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834B83" w:rsidRPr="005269E6" w14:paraId="08CC66C9" w14:textId="77777777" w:rsidTr="005C5B84">
        <w:tc>
          <w:tcPr>
            <w:tcW w:w="6512" w:type="dxa"/>
          </w:tcPr>
          <w:p w14:paraId="1FC294BB" w14:textId="77777777" w:rsidR="00834B83" w:rsidRPr="005269E6" w:rsidRDefault="00834B83" w:rsidP="005C5B84">
            <w:pPr>
              <w:spacing w:before="60" w:after="60" w:line="260" w:lineRule="exact"/>
              <w:rPr>
                <w:b/>
                <w:bCs/>
                <w:rtl/>
                <w:lang w:bidi="ar-EG"/>
              </w:rPr>
            </w:pPr>
            <w:r w:rsidRPr="005269E6">
              <w:rPr>
                <w:b/>
                <w:bCs/>
                <w:rtl/>
                <w:lang w:bidi="ar-EG"/>
              </w:rPr>
              <w:t xml:space="preserve">بند جدول الأعمال: </w:t>
            </w:r>
            <w:r w:rsidRPr="005269E6">
              <w:rPr>
                <w:b/>
                <w:bCs/>
                <w:lang w:bidi="ar-EG"/>
              </w:rPr>
              <w:t>ADM 2</w:t>
            </w:r>
          </w:p>
        </w:tc>
        <w:tc>
          <w:tcPr>
            <w:tcW w:w="3117" w:type="dxa"/>
          </w:tcPr>
          <w:p w14:paraId="06D086B4" w14:textId="77777777" w:rsidR="00834B83" w:rsidRPr="005269E6" w:rsidRDefault="00834B83" w:rsidP="005C5B84">
            <w:pPr>
              <w:spacing w:before="60" w:after="60" w:line="260" w:lineRule="exact"/>
              <w:rPr>
                <w:b/>
                <w:bCs/>
                <w:lang w:bidi="ar-EG"/>
              </w:rPr>
            </w:pPr>
            <w:r w:rsidRPr="005269E6">
              <w:rPr>
                <w:b/>
                <w:bCs/>
                <w:rtl/>
                <w:lang w:bidi="ar-EG"/>
              </w:rPr>
              <w:t xml:space="preserve">الوثيقة </w:t>
            </w:r>
            <w:r w:rsidRPr="005269E6">
              <w:rPr>
                <w:b/>
                <w:bCs/>
                <w:lang w:bidi="ar-EG"/>
              </w:rPr>
              <w:t>C24/40-A</w:t>
            </w:r>
          </w:p>
        </w:tc>
      </w:tr>
      <w:tr w:rsidR="00834B83" w:rsidRPr="005269E6" w14:paraId="0288422E" w14:textId="77777777" w:rsidTr="005C5B84">
        <w:tc>
          <w:tcPr>
            <w:tcW w:w="6512" w:type="dxa"/>
          </w:tcPr>
          <w:p w14:paraId="248FD3C2" w14:textId="77777777" w:rsidR="00834B83" w:rsidRPr="005269E6" w:rsidRDefault="00834B83" w:rsidP="005C5B84">
            <w:pPr>
              <w:spacing w:before="60" w:after="60" w:line="260" w:lineRule="exact"/>
              <w:rPr>
                <w:b/>
                <w:bCs/>
                <w:rtl/>
                <w:lang w:bidi="ar-EG"/>
              </w:rPr>
            </w:pPr>
          </w:p>
        </w:tc>
        <w:tc>
          <w:tcPr>
            <w:tcW w:w="3117" w:type="dxa"/>
          </w:tcPr>
          <w:p w14:paraId="3CBB8FCB" w14:textId="77777777" w:rsidR="00834B83" w:rsidRPr="005269E6" w:rsidRDefault="00834B83" w:rsidP="005C5B84">
            <w:pPr>
              <w:spacing w:before="60" w:after="60" w:line="260" w:lineRule="exact"/>
              <w:rPr>
                <w:b/>
                <w:bCs/>
                <w:rtl/>
                <w:lang w:bidi="ar-EG"/>
              </w:rPr>
            </w:pPr>
            <w:r w:rsidRPr="005269E6">
              <w:rPr>
                <w:b/>
                <w:bCs/>
                <w:lang w:bidi="ar-EG"/>
              </w:rPr>
              <w:t>21</w:t>
            </w:r>
            <w:r w:rsidRPr="005269E6">
              <w:rPr>
                <w:b/>
                <w:bCs/>
                <w:rtl/>
                <w:lang w:bidi="ar-EG"/>
              </w:rPr>
              <w:t xml:space="preserve"> فبراير </w:t>
            </w:r>
            <w:r w:rsidRPr="005269E6">
              <w:rPr>
                <w:b/>
                <w:bCs/>
                <w:lang w:bidi="ar-EG"/>
              </w:rPr>
              <w:t>2024</w:t>
            </w:r>
          </w:p>
        </w:tc>
      </w:tr>
      <w:tr w:rsidR="00834B83" w:rsidRPr="005269E6" w14:paraId="20D5B77D" w14:textId="77777777" w:rsidTr="005C5B84">
        <w:tc>
          <w:tcPr>
            <w:tcW w:w="6512" w:type="dxa"/>
          </w:tcPr>
          <w:p w14:paraId="405F939C" w14:textId="77777777" w:rsidR="00834B83" w:rsidRPr="005269E6" w:rsidRDefault="00834B83" w:rsidP="005C5B84">
            <w:pPr>
              <w:spacing w:before="60" w:after="60" w:line="260" w:lineRule="exact"/>
              <w:rPr>
                <w:b/>
                <w:bCs/>
                <w:rtl/>
                <w:lang w:bidi="ar-EG"/>
              </w:rPr>
            </w:pPr>
          </w:p>
        </w:tc>
        <w:tc>
          <w:tcPr>
            <w:tcW w:w="3117" w:type="dxa"/>
          </w:tcPr>
          <w:p w14:paraId="2DAEAAA8" w14:textId="77777777" w:rsidR="00834B83" w:rsidRPr="005269E6" w:rsidRDefault="00834B83" w:rsidP="005C5B84">
            <w:pPr>
              <w:spacing w:before="60" w:after="60" w:line="260" w:lineRule="exact"/>
              <w:rPr>
                <w:b/>
                <w:bCs/>
                <w:rtl/>
                <w:lang w:bidi="ar-EG"/>
              </w:rPr>
            </w:pPr>
            <w:r w:rsidRPr="005269E6">
              <w:rPr>
                <w:b/>
                <w:bCs/>
                <w:rtl/>
                <w:lang w:bidi="ar-EG"/>
              </w:rPr>
              <w:t>الأصل: بالإنكليزية</w:t>
            </w:r>
          </w:p>
        </w:tc>
      </w:tr>
      <w:tr w:rsidR="00834B83" w:rsidRPr="005269E6" w14:paraId="05ECB0EB" w14:textId="77777777" w:rsidTr="005C5B84">
        <w:tc>
          <w:tcPr>
            <w:tcW w:w="6512" w:type="dxa"/>
          </w:tcPr>
          <w:p w14:paraId="41ED02B0" w14:textId="77777777" w:rsidR="00834B83" w:rsidRPr="005269E6" w:rsidRDefault="00834B83" w:rsidP="005C5B84">
            <w:pPr>
              <w:spacing w:before="60" w:after="60" w:line="260" w:lineRule="exact"/>
              <w:rPr>
                <w:lang w:bidi="ar-EG"/>
              </w:rPr>
            </w:pPr>
          </w:p>
        </w:tc>
        <w:tc>
          <w:tcPr>
            <w:tcW w:w="3117" w:type="dxa"/>
          </w:tcPr>
          <w:p w14:paraId="3C8CF055" w14:textId="77777777" w:rsidR="00834B83" w:rsidRPr="005269E6" w:rsidRDefault="00834B83" w:rsidP="005C5B84">
            <w:pPr>
              <w:spacing w:before="60" w:after="60" w:line="260" w:lineRule="exact"/>
              <w:rPr>
                <w:rtl/>
                <w:lang w:bidi="ar-EG"/>
              </w:rPr>
            </w:pPr>
          </w:p>
        </w:tc>
      </w:tr>
      <w:tr w:rsidR="00834B83" w:rsidRPr="005269E6" w14:paraId="4CB00D29" w14:textId="77777777" w:rsidTr="005C5B84">
        <w:tc>
          <w:tcPr>
            <w:tcW w:w="9629" w:type="dxa"/>
            <w:gridSpan w:val="2"/>
          </w:tcPr>
          <w:p w14:paraId="644BD826" w14:textId="1A221B5E" w:rsidR="00834B83" w:rsidRPr="005269E6" w:rsidRDefault="00834B83" w:rsidP="005C5B84">
            <w:pPr>
              <w:pStyle w:val="Source"/>
              <w:jc w:val="left"/>
              <w:rPr>
                <w:rtl/>
                <w:lang w:bidi="ar-EG"/>
              </w:rPr>
            </w:pPr>
            <w:r w:rsidRPr="005269E6">
              <w:rPr>
                <w:rtl/>
              </w:rPr>
              <w:t>تقرير من الأمينة العامة</w:t>
            </w:r>
          </w:p>
        </w:tc>
      </w:tr>
      <w:tr w:rsidR="00834B83" w:rsidRPr="005269E6" w14:paraId="24C1C28A" w14:textId="77777777" w:rsidTr="005C5B84">
        <w:tc>
          <w:tcPr>
            <w:tcW w:w="9629" w:type="dxa"/>
            <w:gridSpan w:val="2"/>
            <w:tcBorders>
              <w:bottom w:val="single" w:sz="4" w:space="0" w:color="auto"/>
            </w:tcBorders>
          </w:tcPr>
          <w:p w14:paraId="18F5B231" w14:textId="0BC9BDE7" w:rsidR="00834B83" w:rsidRPr="005269E6" w:rsidRDefault="00834B83" w:rsidP="005C5B84">
            <w:pPr>
              <w:pStyle w:val="Subtitle0"/>
            </w:pPr>
            <w:r w:rsidRPr="005269E6">
              <w:rPr>
                <w:rtl/>
              </w:rPr>
              <w:t xml:space="preserve">تقرير الإدارة المالية عن السنة المالية </w:t>
            </w:r>
            <w:r w:rsidRPr="005269E6">
              <w:t>2022</w:t>
            </w:r>
          </w:p>
        </w:tc>
      </w:tr>
      <w:tr w:rsidR="00834B83" w:rsidRPr="005269E6" w14:paraId="4BA7D188" w14:textId="77777777" w:rsidTr="005C5B84">
        <w:tc>
          <w:tcPr>
            <w:tcW w:w="9629" w:type="dxa"/>
            <w:gridSpan w:val="2"/>
            <w:tcBorders>
              <w:top w:val="single" w:sz="4" w:space="0" w:color="auto"/>
              <w:bottom w:val="single" w:sz="4" w:space="0" w:color="auto"/>
            </w:tcBorders>
          </w:tcPr>
          <w:p w14:paraId="3850FF93" w14:textId="77777777" w:rsidR="00834B83" w:rsidRPr="005269E6" w:rsidRDefault="00834B83" w:rsidP="005C5B84">
            <w:pPr>
              <w:pStyle w:val="Headingb"/>
              <w:rPr>
                <w:rtl/>
              </w:rPr>
            </w:pPr>
            <w:r w:rsidRPr="005269E6">
              <w:rPr>
                <w:rtl/>
              </w:rPr>
              <w:t>الغرض</w:t>
            </w:r>
          </w:p>
          <w:p w14:paraId="16698345" w14:textId="77777777" w:rsidR="00834B83" w:rsidRPr="005269E6" w:rsidRDefault="00834B83" w:rsidP="005C5B84">
            <w:pPr>
              <w:rPr>
                <w:rtl/>
              </w:rPr>
            </w:pPr>
            <w:r w:rsidRPr="005269E6">
              <w:rPr>
                <w:rtl/>
              </w:rPr>
              <w:t>تطلب الأمين</w:t>
            </w:r>
            <w:r w:rsidRPr="005269E6">
              <w:rPr>
                <w:rtl/>
                <w:lang w:bidi="ar-EG"/>
              </w:rPr>
              <w:t>ة</w:t>
            </w:r>
            <w:r w:rsidRPr="005269E6">
              <w:rPr>
                <w:rtl/>
              </w:rPr>
              <w:t xml:space="preserve"> العامة، بموجب الرقم </w:t>
            </w:r>
            <w:r w:rsidRPr="005269E6">
              <w:rPr>
                <w:lang w:bidi="ar-SY"/>
              </w:rPr>
              <w:t>101</w:t>
            </w:r>
            <w:r w:rsidRPr="005269E6">
              <w:rPr>
                <w:rtl/>
              </w:rPr>
              <w:t xml:space="preserve"> من اتفاقية الاتحاد الدولي للاتصالات والمادة </w:t>
            </w:r>
            <w:r w:rsidRPr="005269E6">
              <w:rPr>
                <w:lang w:bidi="ar-SY"/>
              </w:rPr>
              <w:t>30</w:t>
            </w:r>
            <w:r w:rsidRPr="005269E6">
              <w:rPr>
                <w:rtl/>
              </w:rPr>
              <w:t xml:space="preserve"> من اللوائح المالية للاتحاد، أن يقدَّم تقرير عن الإدارة المالية إلى المجلس كل عام.</w:t>
            </w:r>
          </w:p>
          <w:p w14:paraId="68DDB1E0" w14:textId="77777777" w:rsidR="00834B83" w:rsidRPr="005269E6" w:rsidRDefault="00834B83" w:rsidP="005C5B84">
            <w:pPr>
              <w:rPr>
                <w:rtl/>
              </w:rPr>
            </w:pPr>
            <w:r w:rsidRPr="005269E6">
              <w:rPr>
                <w:rtl/>
              </w:rPr>
              <w:t xml:space="preserve">ويغطي تقرير الإدارة المالية عن السنة المالية </w:t>
            </w:r>
            <w:r w:rsidRPr="005269E6">
              <w:rPr>
                <w:rtl/>
                <w:lang w:bidi="ar-SY"/>
              </w:rPr>
              <w:t>2022</w:t>
            </w:r>
            <w:r w:rsidRPr="005269E6">
              <w:rPr>
                <w:rtl/>
              </w:rPr>
              <w:t>:</w:t>
            </w:r>
          </w:p>
          <w:p w14:paraId="1BFDC6FA" w14:textId="77777777" w:rsidR="00834B83" w:rsidRPr="005269E6" w:rsidRDefault="00834B83" w:rsidP="005C5B84">
            <w:pPr>
              <w:pStyle w:val="enumlev1"/>
              <w:rPr>
                <w:rtl/>
              </w:rPr>
            </w:pPr>
            <w:r w:rsidRPr="005269E6">
              <w:sym w:font="Symbol" w:char="F0B7"/>
            </w:r>
            <w:r w:rsidRPr="005269E6">
              <w:rPr>
                <w:rtl/>
              </w:rPr>
              <w:tab/>
              <w:t>الحسابات المراجَعة للسنة المالية 2022 لميزانية الاتحاد.</w:t>
            </w:r>
          </w:p>
          <w:p w14:paraId="71C72E2C" w14:textId="77777777" w:rsidR="00834B83" w:rsidRPr="005269E6" w:rsidRDefault="00834B83" w:rsidP="005C5B84">
            <w:pPr>
              <w:pStyle w:val="Headingb"/>
              <w:rPr>
                <w:rtl/>
                <w:lang w:bidi="ar-EG"/>
              </w:rPr>
            </w:pPr>
            <w:r w:rsidRPr="005269E6">
              <w:rPr>
                <w:rtl/>
              </w:rPr>
              <w:t>الإجراء المطلوب من المجلس</w:t>
            </w:r>
          </w:p>
          <w:p w14:paraId="01434786" w14:textId="77777777" w:rsidR="00834B83" w:rsidRPr="005269E6" w:rsidRDefault="00834B83" w:rsidP="005C5B84">
            <w:pPr>
              <w:rPr>
                <w:rtl/>
                <w:lang w:bidi="ar-SY"/>
              </w:rPr>
            </w:pPr>
            <w:r w:rsidRPr="005269E6">
              <w:rPr>
                <w:rtl/>
              </w:rPr>
              <w:t xml:space="preserve">يُقدم تقرير الإدارة المالية بشأن الحسابات المراجَعة ومشروع القرار الوارد في الملحق ألف </w:t>
            </w:r>
            <w:r w:rsidRPr="005269E6">
              <w:rPr>
                <w:rtl/>
                <w:lang w:bidi="ar-SY"/>
              </w:rPr>
              <w:t xml:space="preserve">إلى المجلس </w:t>
            </w:r>
            <w:r w:rsidRPr="005269E6">
              <w:rPr>
                <w:b/>
                <w:bCs/>
                <w:rtl/>
                <w:lang w:bidi="ar-SY"/>
              </w:rPr>
              <w:t>للنظر</w:t>
            </w:r>
            <w:r w:rsidRPr="005269E6">
              <w:rPr>
                <w:rtl/>
                <w:lang w:bidi="ar-SY"/>
              </w:rPr>
              <w:t xml:space="preserve"> فيهما </w:t>
            </w:r>
            <w:r w:rsidRPr="005269E6">
              <w:rPr>
                <w:b/>
                <w:bCs/>
                <w:rtl/>
                <w:lang w:bidi="ar-SY"/>
              </w:rPr>
              <w:t>والموافقة</w:t>
            </w:r>
            <w:r w:rsidRPr="005269E6">
              <w:rPr>
                <w:b/>
                <w:bCs/>
                <w:lang w:bidi="ar-EG"/>
              </w:rPr>
              <w:t> </w:t>
            </w:r>
            <w:r w:rsidRPr="005269E6">
              <w:rPr>
                <w:rtl/>
                <w:lang w:bidi="ar-SY"/>
              </w:rPr>
              <w:t>عليه</w:t>
            </w:r>
            <w:r w:rsidRPr="005269E6">
              <w:rPr>
                <w:rtl/>
                <w:lang w:bidi="ar-EG"/>
              </w:rPr>
              <w:t>م</w:t>
            </w:r>
            <w:r w:rsidRPr="005269E6">
              <w:rPr>
                <w:rtl/>
                <w:lang w:bidi="ar-SY"/>
              </w:rPr>
              <w:t>ا.</w:t>
            </w:r>
          </w:p>
          <w:p w14:paraId="0D1B84C6" w14:textId="77777777" w:rsidR="00834B83" w:rsidRPr="005269E6" w:rsidRDefault="00834B83" w:rsidP="005C5B84">
            <w:pPr>
              <w:rPr>
                <w:rtl/>
                <w:lang w:bidi="ar-SY"/>
              </w:rPr>
            </w:pPr>
            <w:r w:rsidRPr="005269E6">
              <w:rPr>
                <w:rtl/>
              </w:rPr>
              <w:t>وسيُرسل التقرير بعد أن ينظر المجلس فيه ويوافق عليه، إلى الدول الأعضاء وأعضاء القطاعات.</w:t>
            </w:r>
          </w:p>
          <w:p w14:paraId="73C15008" w14:textId="77777777" w:rsidR="00834B83" w:rsidRPr="005269E6" w:rsidRDefault="00834B83" w:rsidP="005C5B84">
            <w:pPr>
              <w:spacing w:before="600"/>
              <w:jc w:val="left"/>
              <w:rPr>
                <w:rtl/>
                <w:lang w:bidi="ar-EG"/>
              </w:rPr>
            </w:pPr>
            <w:r w:rsidRPr="005269E6">
              <w:rPr>
                <w:rtl/>
                <w:lang w:bidi="ar-EG"/>
              </w:rPr>
              <w:t>ــــــــــــــــــــــــــــــــــــــــــــــــــــــــــــــــــــــــــــــــــــــ</w:t>
            </w:r>
          </w:p>
          <w:p w14:paraId="5A283FC6" w14:textId="77777777" w:rsidR="00834B83" w:rsidRPr="005269E6" w:rsidRDefault="00834B83" w:rsidP="005C5B84">
            <w:pPr>
              <w:rPr>
                <w:b/>
                <w:bCs/>
                <w:rtl/>
              </w:rPr>
            </w:pPr>
            <w:r w:rsidRPr="005269E6">
              <w:rPr>
                <w:b/>
                <w:bCs/>
                <w:rtl/>
              </w:rPr>
              <w:t>المراجع</w:t>
            </w:r>
          </w:p>
          <w:p w14:paraId="552370B6" w14:textId="77777777" w:rsidR="00834B83" w:rsidRPr="005269E6" w:rsidRDefault="00834B83" w:rsidP="005C5B84">
            <w:pPr>
              <w:jc w:val="left"/>
              <w:rPr>
                <w:rtl/>
              </w:rPr>
            </w:pPr>
            <w:r w:rsidRPr="005269E6">
              <w:rPr>
                <w:i/>
                <w:iCs/>
                <w:rtl/>
              </w:rPr>
              <w:t xml:space="preserve">الاتفاقية: الرقم </w:t>
            </w:r>
            <w:hyperlink r:id="rId8" w:history="1">
              <w:r w:rsidRPr="005269E6">
                <w:rPr>
                  <w:rStyle w:val="Hyperlink"/>
                  <w:i/>
                  <w:iCs/>
                  <w:lang w:bidi="ar-SY"/>
                </w:rPr>
                <w:t>101</w:t>
              </w:r>
            </w:hyperlink>
            <w:r w:rsidRPr="005269E6">
              <w:rPr>
                <w:i/>
                <w:iCs/>
                <w:rtl/>
                <w:lang w:bidi="ar-SY"/>
              </w:rPr>
              <w:t xml:space="preserve"> </w:t>
            </w:r>
            <w:r w:rsidRPr="005269E6">
              <w:rPr>
                <w:i/>
                <w:iCs/>
                <w:rtl/>
                <w:lang w:bidi="ar-SY"/>
              </w:rPr>
              <w:br/>
              <w:t xml:space="preserve">اللوائح المالية للاتحاد: </w:t>
            </w:r>
            <w:hyperlink r:id="rId9" w:history="1">
              <w:r w:rsidRPr="005269E6">
                <w:rPr>
                  <w:rStyle w:val="Hyperlink"/>
                  <w:i/>
                  <w:iCs/>
                  <w:rtl/>
                  <w:lang w:bidi="ar-SY"/>
                </w:rPr>
                <w:t xml:space="preserve">المادة </w:t>
              </w:r>
              <w:r w:rsidRPr="005269E6">
                <w:rPr>
                  <w:rStyle w:val="Hyperlink"/>
                  <w:i/>
                  <w:iCs/>
                  <w:lang w:bidi="ar-SY"/>
                </w:rPr>
                <w:t>30</w:t>
              </w:r>
            </w:hyperlink>
          </w:p>
        </w:tc>
      </w:tr>
    </w:tbl>
    <w:p w14:paraId="5E271F9A" w14:textId="77777777" w:rsidR="00834B83" w:rsidRPr="005269E6" w:rsidRDefault="00834B83" w:rsidP="00834B83">
      <w:pPr>
        <w:spacing w:before="960"/>
        <w:rPr>
          <w:b/>
          <w:bCs/>
          <w:rtl/>
          <w:lang w:bidi="ar-EG"/>
        </w:rPr>
      </w:pPr>
      <w:r w:rsidRPr="005269E6">
        <w:rPr>
          <w:b/>
          <w:bCs/>
          <w:i/>
          <w:iCs/>
          <w:rtl/>
          <w:lang w:bidi="ar-SY"/>
        </w:rPr>
        <w:t xml:space="preserve">الملحق: </w:t>
      </w:r>
      <w:r w:rsidRPr="005269E6">
        <w:rPr>
          <w:b/>
          <w:bCs/>
          <w:i/>
          <w:iCs/>
        </w:rPr>
        <w:t>1</w:t>
      </w:r>
    </w:p>
    <w:p w14:paraId="1DF44145" w14:textId="77777777" w:rsidR="00834B83" w:rsidRPr="005269E6" w:rsidRDefault="00834B83" w:rsidP="00834B83">
      <w:pPr>
        <w:rPr>
          <w:rtl/>
          <w:lang w:bidi="ar-EG"/>
        </w:rPr>
      </w:pPr>
      <w:r w:rsidRPr="005269E6">
        <w:rPr>
          <w:rtl/>
          <w:lang w:bidi="ar-EG"/>
        </w:rPr>
        <w:br w:type="page"/>
      </w:r>
    </w:p>
    <w:p w14:paraId="4DA9F822" w14:textId="77777777" w:rsidR="00834B83" w:rsidRPr="005269E6" w:rsidRDefault="00834B83" w:rsidP="00834B83">
      <w:pPr>
        <w:pStyle w:val="Annextitle"/>
      </w:pPr>
      <w:r w:rsidRPr="005269E6">
        <w:rPr>
          <w:rtl/>
        </w:rPr>
        <w:lastRenderedPageBreak/>
        <w:t>تقرير الإدارة المالية</w:t>
      </w:r>
    </w:p>
    <w:p w14:paraId="0CA121CC" w14:textId="77777777" w:rsidR="00834B83" w:rsidRPr="005269E6" w:rsidRDefault="00834B83" w:rsidP="00834B83">
      <w:pPr>
        <w:jc w:val="center"/>
        <w:rPr>
          <w:b/>
          <w:bCs/>
          <w:sz w:val="24"/>
          <w:szCs w:val="24"/>
          <w:rtl/>
          <w:lang w:bidi="ar-EG"/>
        </w:rPr>
      </w:pPr>
      <w:r w:rsidRPr="005269E6">
        <w:rPr>
          <w:b/>
          <w:bCs/>
          <w:sz w:val="24"/>
          <w:szCs w:val="24"/>
          <w:rtl/>
          <w:lang w:bidi="ar-EG"/>
        </w:rPr>
        <w:t>جدول المحتويات</w:t>
      </w:r>
    </w:p>
    <w:p w14:paraId="52673403" w14:textId="1092B5D6" w:rsidR="00834B83" w:rsidRPr="005269E6" w:rsidRDefault="00834B83" w:rsidP="006C56AA">
      <w:pPr>
        <w:pStyle w:val="TOC1"/>
        <w:rPr>
          <w:rFonts w:asciiTheme="minorHAnsi" w:hAnsiTheme="minorHAnsi" w:cstheme="minorBidi"/>
          <w:noProof/>
          <w:kern w:val="2"/>
          <w:lang w:val="en-GB" w:eastAsia="en-GB"/>
          <w14:ligatures w14:val="standardContextual"/>
        </w:rPr>
      </w:pPr>
      <w:r w:rsidRPr="005269E6">
        <w:rPr>
          <w:rtl/>
          <w:lang w:bidi="ar-EG"/>
        </w:rPr>
        <w:fldChar w:fldCharType="begin"/>
      </w:r>
      <w:r w:rsidRPr="005269E6">
        <w:rPr>
          <w:rtl/>
          <w:lang w:bidi="ar-EG"/>
        </w:rPr>
        <w:instrText xml:space="preserve"> </w:instrText>
      </w:r>
      <w:r w:rsidRPr="005269E6">
        <w:rPr>
          <w:lang w:bidi="ar-EG"/>
        </w:rPr>
        <w:instrText>TOC</w:instrText>
      </w:r>
      <w:r w:rsidRPr="005269E6">
        <w:rPr>
          <w:rtl/>
          <w:lang w:bidi="ar-EG"/>
        </w:rPr>
        <w:instrText xml:space="preserve"> \</w:instrText>
      </w:r>
      <w:r w:rsidRPr="005269E6">
        <w:rPr>
          <w:lang w:bidi="ar-EG"/>
        </w:rPr>
        <w:instrText>h \z \t "Heading 1,1,Heading 5,1,Annex No,1</w:instrText>
      </w:r>
      <w:r w:rsidRPr="005269E6">
        <w:rPr>
          <w:rtl/>
          <w:lang w:bidi="ar-EG"/>
        </w:rPr>
        <w:instrText xml:space="preserve">" </w:instrText>
      </w:r>
      <w:r w:rsidRPr="005269E6">
        <w:rPr>
          <w:rtl/>
          <w:lang w:bidi="ar-EG"/>
        </w:rPr>
        <w:fldChar w:fldCharType="separate"/>
      </w:r>
      <w:hyperlink w:anchor="_Toc162520609" w:history="1">
        <w:r w:rsidRPr="005269E6">
          <w:rPr>
            <w:rStyle w:val="Hyperlink"/>
            <w:noProof/>
            <w:rtl/>
          </w:rPr>
          <w:t>تحليل البيانات المالية</w:t>
        </w:r>
        <w:r w:rsidRPr="005269E6">
          <w:rPr>
            <w:noProof/>
            <w:webHidden/>
          </w:rPr>
          <w:tab/>
        </w:r>
        <w:r w:rsidRPr="005269E6">
          <w:rPr>
            <w:noProof/>
            <w:webHidden/>
          </w:rPr>
          <w:tab/>
        </w:r>
        <w:r w:rsidRPr="005269E6">
          <w:rPr>
            <w:noProof/>
            <w:webHidden/>
          </w:rPr>
          <w:fldChar w:fldCharType="begin"/>
        </w:r>
        <w:r w:rsidRPr="005269E6">
          <w:rPr>
            <w:noProof/>
            <w:webHidden/>
          </w:rPr>
          <w:instrText xml:space="preserve"> PAGEREF _Toc162520609 \h </w:instrText>
        </w:r>
        <w:r w:rsidRPr="005269E6">
          <w:rPr>
            <w:noProof/>
            <w:webHidden/>
          </w:rPr>
        </w:r>
        <w:r w:rsidRPr="005269E6">
          <w:rPr>
            <w:noProof/>
            <w:webHidden/>
          </w:rPr>
          <w:fldChar w:fldCharType="separate"/>
        </w:r>
        <w:r w:rsidRPr="005269E6">
          <w:rPr>
            <w:noProof/>
            <w:webHidden/>
          </w:rPr>
          <w:t>4</w:t>
        </w:r>
        <w:r w:rsidRPr="005269E6">
          <w:rPr>
            <w:noProof/>
            <w:webHidden/>
          </w:rPr>
          <w:fldChar w:fldCharType="end"/>
        </w:r>
      </w:hyperlink>
    </w:p>
    <w:p w14:paraId="5C434010" w14:textId="5B7EFD48"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10" w:history="1">
        <w:r w:rsidR="00834B83" w:rsidRPr="005269E6">
          <w:rPr>
            <w:rStyle w:val="Hyperlink"/>
            <w:noProof/>
            <w:rtl/>
          </w:rPr>
          <w:t xml:space="preserve">بيان عملية الرقابة الداخلية لعام </w:t>
        </w:r>
        <w:r w:rsidR="00834B83" w:rsidRPr="005269E6">
          <w:rPr>
            <w:rStyle w:val="Hyperlink"/>
            <w:noProof/>
          </w:rPr>
          <w:t>2022</w:t>
        </w:r>
        <w:r w:rsidR="00834B83" w:rsidRPr="005269E6">
          <w:rPr>
            <w:noProof/>
            <w:webHidden/>
          </w:rPr>
          <w:tab/>
        </w:r>
        <w:r w:rsidR="00834B83" w:rsidRPr="005269E6">
          <w:rPr>
            <w:noProof/>
            <w:webHidden/>
          </w:rPr>
          <w:tab/>
        </w:r>
        <w:r w:rsidR="00834B83" w:rsidRPr="005269E6">
          <w:rPr>
            <w:noProof/>
            <w:webHidden/>
          </w:rPr>
          <w:fldChar w:fldCharType="begin"/>
        </w:r>
        <w:r w:rsidR="00834B83" w:rsidRPr="005269E6">
          <w:rPr>
            <w:noProof/>
            <w:webHidden/>
          </w:rPr>
          <w:instrText xml:space="preserve"> PAGEREF _Toc162520610 \h </w:instrText>
        </w:r>
        <w:r w:rsidR="00834B83" w:rsidRPr="005269E6">
          <w:rPr>
            <w:noProof/>
            <w:webHidden/>
          </w:rPr>
        </w:r>
        <w:r w:rsidR="00834B83" w:rsidRPr="005269E6">
          <w:rPr>
            <w:noProof/>
            <w:webHidden/>
          </w:rPr>
          <w:fldChar w:fldCharType="separate"/>
        </w:r>
        <w:r w:rsidR="00834B83" w:rsidRPr="005269E6">
          <w:rPr>
            <w:noProof/>
            <w:webHidden/>
          </w:rPr>
          <w:t>12</w:t>
        </w:r>
        <w:r w:rsidR="00834B83" w:rsidRPr="005269E6">
          <w:rPr>
            <w:noProof/>
            <w:webHidden/>
          </w:rPr>
          <w:fldChar w:fldCharType="end"/>
        </w:r>
      </w:hyperlink>
    </w:p>
    <w:p w14:paraId="1AFD9203" w14:textId="31C78C06"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11" w:history="1">
        <w:r w:rsidR="00834B83" w:rsidRPr="005269E6">
          <w:rPr>
            <w:rStyle w:val="Hyperlink"/>
            <w:noProof/>
            <w:rtl/>
            <w:lang w:bidi="ar"/>
          </w:rPr>
          <w:t>تقرير</w:t>
        </w:r>
        <w:r w:rsidR="00834B83" w:rsidRPr="005269E6">
          <w:rPr>
            <w:rStyle w:val="Hyperlink"/>
            <w:noProof/>
            <w:lang w:val="en"/>
          </w:rPr>
          <w:t xml:space="preserve"> </w:t>
        </w:r>
        <w:r w:rsidR="00834B83" w:rsidRPr="005269E6">
          <w:rPr>
            <w:rStyle w:val="Hyperlink"/>
            <w:noProof/>
            <w:rtl/>
            <w:lang w:bidi="ar"/>
          </w:rPr>
          <w:t>مراجع</w:t>
        </w:r>
        <w:r w:rsidR="00834B83" w:rsidRPr="005269E6">
          <w:rPr>
            <w:rStyle w:val="Hyperlink"/>
            <w:noProof/>
            <w:lang w:val="en"/>
          </w:rPr>
          <w:t xml:space="preserve"> </w:t>
        </w:r>
        <w:r w:rsidR="00834B83" w:rsidRPr="005269E6">
          <w:rPr>
            <w:rStyle w:val="Hyperlink"/>
            <w:noProof/>
            <w:rtl/>
            <w:lang w:bidi="ar"/>
          </w:rPr>
          <w:t>الحسابات</w:t>
        </w:r>
        <w:r w:rsidR="00834B83" w:rsidRPr="005269E6">
          <w:rPr>
            <w:rStyle w:val="Hyperlink"/>
            <w:noProof/>
            <w:lang w:val="en"/>
          </w:rPr>
          <w:t xml:space="preserve"> </w:t>
        </w:r>
        <w:r w:rsidR="00834B83" w:rsidRPr="005269E6">
          <w:rPr>
            <w:rStyle w:val="Hyperlink"/>
            <w:noProof/>
            <w:rtl/>
            <w:lang w:bidi="ar"/>
          </w:rPr>
          <w:t>المستقل</w:t>
        </w:r>
        <w:r w:rsidR="00834B83" w:rsidRPr="005269E6">
          <w:rPr>
            <w:rStyle w:val="Hyperlink"/>
            <w:noProof/>
            <w:lang w:val="en"/>
          </w:rPr>
          <w:t xml:space="preserve"> </w:t>
        </w:r>
        <w:r w:rsidR="00834B83" w:rsidRPr="005269E6">
          <w:rPr>
            <w:rStyle w:val="Hyperlink"/>
            <w:noProof/>
            <w:rtl/>
            <w:lang w:bidi="ar"/>
          </w:rPr>
          <w:t>المقدَّم</w:t>
        </w:r>
        <w:r w:rsidR="00834B83" w:rsidRPr="005269E6">
          <w:rPr>
            <w:rStyle w:val="Hyperlink"/>
            <w:noProof/>
            <w:lang w:val="en"/>
          </w:rPr>
          <w:t xml:space="preserve"> </w:t>
        </w:r>
        <w:r w:rsidR="00834B83" w:rsidRPr="005269E6">
          <w:rPr>
            <w:rStyle w:val="Hyperlink"/>
            <w:noProof/>
            <w:rtl/>
            <w:lang w:bidi="ar"/>
          </w:rPr>
          <w:t>إلى</w:t>
        </w:r>
        <w:r w:rsidR="00834B83" w:rsidRPr="005269E6">
          <w:rPr>
            <w:rStyle w:val="Hyperlink"/>
            <w:noProof/>
            <w:lang w:val="en"/>
          </w:rPr>
          <w:t xml:space="preserve"> </w:t>
        </w:r>
        <w:r w:rsidR="00834B83" w:rsidRPr="005269E6">
          <w:rPr>
            <w:rStyle w:val="Hyperlink"/>
            <w:noProof/>
            <w:rtl/>
            <w:lang w:bidi="ar"/>
          </w:rPr>
          <w:t>الاتحاد</w:t>
        </w:r>
        <w:r w:rsidR="00834B83" w:rsidRPr="005269E6">
          <w:rPr>
            <w:rStyle w:val="Hyperlink"/>
            <w:noProof/>
            <w:lang w:val="en"/>
          </w:rPr>
          <w:t xml:space="preserve"> </w:t>
        </w:r>
        <w:r w:rsidR="00834B83" w:rsidRPr="005269E6">
          <w:rPr>
            <w:rStyle w:val="Hyperlink"/>
            <w:noProof/>
            <w:rtl/>
            <w:lang w:bidi="ar"/>
          </w:rPr>
          <w:t>الدولي</w:t>
        </w:r>
        <w:r w:rsidR="00834B83" w:rsidRPr="005269E6">
          <w:rPr>
            <w:rStyle w:val="Hyperlink"/>
            <w:noProof/>
            <w:lang w:val="en"/>
          </w:rPr>
          <w:t xml:space="preserve"> </w:t>
        </w:r>
        <w:r w:rsidR="00834B83" w:rsidRPr="005269E6">
          <w:rPr>
            <w:rStyle w:val="Hyperlink"/>
            <w:noProof/>
            <w:rtl/>
            <w:lang w:bidi="ar"/>
          </w:rPr>
          <w:t>للاتصالات</w:t>
        </w:r>
        <w:r w:rsidR="00834B83" w:rsidRPr="005269E6">
          <w:rPr>
            <w:noProof/>
            <w:webHidden/>
          </w:rPr>
          <w:tab/>
        </w:r>
        <w:r w:rsidR="00834B83" w:rsidRPr="005269E6">
          <w:rPr>
            <w:noProof/>
            <w:webHidden/>
          </w:rPr>
          <w:tab/>
        </w:r>
        <w:r w:rsidR="00834B83" w:rsidRPr="005269E6">
          <w:rPr>
            <w:noProof/>
            <w:webHidden/>
          </w:rPr>
          <w:fldChar w:fldCharType="begin"/>
        </w:r>
        <w:r w:rsidR="00834B83" w:rsidRPr="005269E6">
          <w:rPr>
            <w:noProof/>
            <w:webHidden/>
          </w:rPr>
          <w:instrText xml:space="preserve"> PAGEREF _Toc162520611 \h </w:instrText>
        </w:r>
        <w:r w:rsidR="00834B83" w:rsidRPr="005269E6">
          <w:rPr>
            <w:noProof/>
            <w:webHidden/>
          </w:rPr>
        </w:r>
        <w:r w:rsidR="00834B83" w:rsidRPr="005269E6">
          <w:rPr>
            <w:noProof/>
            <w:webHidden/>
          </w:rPr>
          <w:fldChar w:fldCharType="separate"/>
        </w:r>
        <w:r w:rsidR="00834B83" w:rsidRPr="005269E6">
          <w:rPr>
            <w:noProof/>
            <w:webHidden/>
          </w:rPr>
          <w:t>17</w:t>
        </w:r>
        <w:r w:rsidR="00834B83" w:rsidRPr="005269E6">
          <w:rPr>
            <w:noProof/>
            <w:webHidden/>
          </w:rPr>
          <w:fldChar w:fldCharType="end"/>
        </w:r>
      </w:hyperlink>
    </w:p>
    <w:p w14:paraId="0CD73BA9" w14:textId="450390E4"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12" w:history="1">
        <w:r w:rsidR="00834B83" w:rsidRPr="005269E6">
          <w:rPr>
            <w:rStyle w:val="Hyperlink"/>
            <w:noProof/>
            <w:rtl/>
            <w:lang w:val="en-GB"/>
          </w:rPr>
          <w:t>البيانات المالية</w:t>
        </w:r>
        <w:r w:rsidR="00834B83" w:rsidRPr="005269E6">
          <w:rPr>
            <w:noProof/>
            <w:webHidden/>
          </w:rPr>
          <w:tab/>
        </w:r>
        <w:r w:rsidR="00834B83" w:rsidRPr="005269E6">
          <w:rPr>
            <w:noProof/>
            <w:webHidden/>
          </w:rPr>
          <w:tab/>
        </w:r>
        <w:r w:rsidR="00834B83" w:rsidRPr="005269E6">
          <w:rPr>
            <w:noProof/>
            <w:webHidden/>
          </w:rPr>
          <w:fldChar w:fldCharType="begin"/>
        </w:r>
        <w:r w:rsidR="00834B83" w:rsidRPr="005269E6">
          <w:rPr>
            <w:noProof/>
            <w:webHidden/>
          </w:rPr>
          <w:instrText xml:space="preserve"> PAGEREF _Toc162520612 \h </w:instrText>
        </w:r>
        <w:r w:rsidR="00834B83" w:rsidRPr="005269E6">
          <w:rPr>
            <w:noProof/>
            <w:webHidden/>
          </w:rPr>
        </w:r>
        <w:r w:rsidR="00834B83" w:rsidRPr="005269E6">
          <w:rPr>
            <w:noProof/>
            <w:webHidden/>
          </w:rPr>
          <w:fldChar w:fldCharType="separate"/>
        </w:r>
        <w:r w:rsidR="00834B83" w:rsidRPr="005269E6">
          <w:rPr>
            <w:noProof/>
            <w:webHidden/>
          </w:rPr>
          <w:t>20</w:t>
        </w:r>
        <w:r w:rsidR="00834B83" w:rsidRPr="005269E6">
          <w:rPr>
            <w:noProof/>
            <w:webHidden/>
          </w:rPr>
          <w:fldChar w:fldCharType="end"/>
        </w:r>
      </w:hyperlink>
    </w:p>
    <w:p w14:paraId="38186935" w14:textId="3BEFCF08"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13" w:history="1">
        <w:r w:rsidR="00834B83" w:rsidRPr="005269E6">
          <w:rPr>
            <w:rStyle w:val="Hyperlink"/>
            <w:noProof/>
            <w:rtl/>
          </w:rPr>
          <w:t>البيان الأول</w:t>
        </w:r>
        <w:r w:rsidR="006C56AA" w:rsidRPr="005269E6">
          <w:rPr>
            <w:rStyle w:val="Hyperlink"/>
            <w:rFonts w:hint="cs"/>
            <w:noProof/>
            <w:rtl/>
          </w:rPr>
          <w:t xml:space="preserve"> - </w:t>
        </w:r>
        <w:r w:rsidR="00834B83" w:rsidRPr="005269E6">
          <w:rPr>
            <w:rStyle w:val="Hyperlink"/>
            <w:noProof/>
            <w:rtl/>
          </w:rPr>
          <w:t xml:space="preserve"> بيان الوضع المالي</w:t>
        </w:r>
      </w:hyperlink>
    </w:p>
    <w:p w14:paraId="1B88F38B" w14:textId="75B0E03A"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14" w:history="1">
        <w:r w:rsidR="00834B83" w:rsidRPr="005269E6">
          <w:rPr>
            <w:rStyle w:val="Hyperlink"/>
            <w:noProof/>
            <w:rtl/>
          </w:rPr>
          <w:t>البيان الثاني</w:t>
        </w:r>
        <w:r w:rsidR="006C56AA" w:rsidRPr="005269E6">
          <w:rPr>
            <w:rStyle w:val="Hyperlink"/>
            <w:rFonts w:hint="cs"/>
            <w:noProof/>
            <w:rtl/>
          </w:rPr>
          <w:t xml:space="preserve"> - </w:t>
        </w:r>
        <w:r w:rsidR="00834B83" w:rsidRPr="005269E6">
          <w:rPr>
            <w:rStyle w:val="Hyperlink"/>
            <w:noProof/>
            <w:rtl/>
          </w:rPr>
          <w:t>بيان الأداء المالي</w:t>
        </w:r>
      </w:hyperlink>
    </w:p>
    <w:p w14:paraId="6FF3D470" w14:textId="1404C6B3"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15" w:history="1">
        <w:r w:rsidR="00834B83" w:rsidRPr="005269E6">
          <w:rPr>
            <w:rStyle w:val="Hyperlink"/>
            <w:noProof/>
            <w:rtl/>
          </w:rPr>
          <w:t xml:space="preserve">البيان </w:t>
        </w:r>
        <w:r w:rsidR="00834B83" w:rsidRPr="005269E6">
          <w:rPr>
            <w:rStyle w:val="Hyperlink"/>
            <w:noProof/>
            <w:rtl/>
            <w:lang w:bidi="ar-EG"/>
          </w:rPr>
          <w:t>الثالث</w:t>
        </w:r>
        <w:r w:rsidR="006C56AA" w:rsidRPr="005269E6">
          <w:rPr>
            <w:rStyle w:val="Hyperlink"/>
            <w:rFonts w:hint="cs"/>
            <w:noProof/>
            <w:rtl/>
          </w:rPr>
          <w:t xml:space="preserve"> -</w:t>
        </w:r>
        <w:r w:rsidR="00834B83" w:rsidRPr="005269E6">
          <w:rPr>
            <w:rStyle w:val="Hyperlink"/>
            <w:noProof/>
            <w:rtl/>
          </w:rPr>
          <w:t xml:space="preserve"> بيان الاختلافات في صافي الأصول</w:t>
        </w:r>
      </w:hyperlink>
    </w:p>
    <w:p w14:paraId="7829CEAF" w14:textId="56D84A21"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16" w:history="1">
        <w:r w:rsidR="00834B83" w:rsidRPr="005269E6">
          <w:rPr>
            <w:rStyle w:val="Hyperlink"/>
            <w:noProof/>
            <w:rtl/>
          </w:rPr>
          <w:t>البيان الرابع</w:t>
        </w:r>
        <w:r w:rsidR="006C56AA" w:rsidRPr="005269E6">
          <w:rPr>
            <w:rStyle w:val="Hyperlink"/>
            <w:rFonts w:hint="cs"/>
            <w:noProof/>
            <w:rtl/>
          </w:rPr>
          <w:t xml:space="preserve"> -</w:t>
        </w:r>
        <w:r w:rsidR="00834B83" w:rsidRPr="005269E6">
          <w:rPr>
            <w:rStyle w:val="Hyperlink"/>
            <w:noProof/>
            <w:rtl/>
          </w:rPr>
          <w:t xml:space="preserve"> بيان التدفقات النقدية</w:t>
        </w:r>
      </w:hyperlink>
    </w:p>
    <w:p w14:paraId="76EB1578" w14:textId="6A1F9220"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17" w:history="1">
        <w:r w:rsidR="00834B83" w:rsidRPr="005269E6">
          <w:rPr>
            <w:rStyle w:val="Hyperlink"/>
            <w:noProof/>
            <w:rtl/>
          </w:rPr>
          <w:t>البيان الخامس</w:t>
        </w:r>
        <w:r w:rsidR="006C56AA" w:rsidRPr="005269E6">
          <w:rPr>
            <w:rStyle w:val="Hyperlink"/>
            <w:rFonts w:hint="cs"/>
            <w:noProof/>
            <w:rtl/>
          </w:rPr>
          <w:t xml:space="preserve"> -</w:t>
        </w:r>
        <w:r w:rsidR="00834B83" w:rsidRPr="005269E6">
          <w:rPr>
            <w:rStyle w:val="Hyperlink"/>
            <w:noProof/>
            <w:rtl/>
          </w:rPr>
          <w:t xml:space="preserve"> بيان المقارنة - الميزانية والمبالغ الفعلية</w:t>
        </w:r>
      </w:hyperlink>
    </w:p>
    <w:p w14:paraId="33A38D36" w14:textId="4F9A8B2B"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18" w:history="1">
        <w:r w:rsidR="00834B83" w:rsidRPr="005269E6">
          <w:rPr>
            <w:rStyle w:val="Hyperlink"/>
            <w:noProof/>
            <w:rtl/>
          </w:rPr>
          <w:t>ملاحظات بشأن البيانات المالية</w:t>
        </w:r>
      </w:hyperlink>
    </w:p>
    <w:p w14:paraId="246D2AC2" w14:textId="1516B9E3"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19" w:history="1">
        <w:r w:rsidR="00834B83" w:rsidRPr="005269E6">
          <w:rPr>
            <w:rStyle w:val="Hyperlink"/>
            <w:noProof/>
            <w:rtl/>
          </w:rPr>
          <w:t xml:space="preserve">الملاحظة </w:t>
        </w:r>
        <w:r w:rsidR="00834B83" w:rsidRPr="005269E6">
          <w:rPr>
            <w:rStyle w:val="Hyperlink"/>
            <w:noProof/>
          </w:rPr>
          <w:t>1</w:t>
        </w:r>
        <w:r w:rsidR="006C56AA" w:rsidRPr="005269E6">
          <w:rPr>
            <w:rFonts w:asciiTheme="minorHAnsi" w:hAnsiTheme="minorHAnsi" w:cstheme="minorBidi" w:hint="cs"/>
            <w:noProof/>
            <w:kern w:val="2"/>
            <w:rtl/>
            <w:lang w:val="en-GB" w:eastAsia="en-GB"/>
            <w14:ligatures w14:val="standardContextual"/>
          </w:rPr>
          <w:t xml:space="preserve"> </w:t>
        </w:r>
        <w:r w:rsidR="006C56AA" w:rsidRPr="005269E6">
          <w:rPr>
            <w:noProof/>
            <w:kern w:val="2"/>
            <w:rtl/>
            <w:lang w:val="en-GB" w:eastAsia="en-GB"/>
            <w14:ligatures w14:val="standardContextual"/>
          </w:rPr>
          <w:t xml:space="preserve">- </w:t>
        </w:r>
        <w:r w:rsidR="00834B83" w:rsidRPr="005269E6">
          <w:rPr>
            <w:rStyle w:val="Hyperlink"/>
            <w:noProof/>
            <w:rtl/>
          </w:rPr>
          <w:t>أهداف الاتحاد</w:t>
        </w:r>
        <w:r w:rsidR="006C56AA" w:rsidRPr="005269E6">
          <w:rPr>
            <w:rStyle w:val="Hyperlink"/>
            <w:noProof/>
            <w:rtl/>
          </w:rPr>
          <w:tab/>
        </w:r>
        <w:r w:rsidR="006C56AA" w:rsidRPr="005269E6">
          <w:rPr>
            <w:rStyle w:val="Hyperlink"/>
            <w:noProof/>
            <w:rtl/>
          </w:rPr>
          <w:tab/>
        </w:r>
        <w:r w:rsidR="00834B83" w:rsidRPr="005269E6">
          <w:rPr>
            <w:noProof/>
            <w:webHidden/>
          </w:rPr>
          <w:fldChar w:fldCharType="begin"/>
        </w:r>
        <w:r w:rsidR="00834B83" w:rsidRPr="005269E6">
          <w:rPr>
            <w:noProof/>
            <w:webHidden/>
          </w:rPr>
          <w:instrText xml:space="preserve"> PAGEREF _Toc162520619 \h </w:instrText>
        </w:r>
        <w:r w:rsidR="00834B83" w:rsidRPr="005269E6">
          <w:rPr>
            <w:noProof/>
            <w:webHidden/>
          </w:rPr>
        </w:r>
        <w:r w:rsidR="00834B83" w:rsidRPr="005269E6">
          <w:rPr>
            <w:noProof/>
            <w:webHidden/>
          </w:rPr>
          <w:fldChar w:fldCharType="separate"/>
        </w:r>
        <w:r w:rsidR="00834B83" w:rsidRPr="005269E6">
          <w:rPr>
            <w:noProof/>
            <w:webHidden/>
          </w:rPr>
          <w:t>26</w:t>
        </w:r>
        <w:r w:rsidR="00834B83" w:rsidRPr="005269E6">
          <w:rPr>
            <w:noProof/>
            <w:webHidden/>
          </w:rPr>
          <w:fldChar w:fldCharType="end"/>
        </w:r>
      </w:hyperlink>
    </w:p>
    <w:p w14:paraId="0B0E1BA9" w14:textId="7B5E286E"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20" w:history="1">
        <w:r w:rsidR="00834B83" w:rsidRPr="005269E6">
          <w:rPr>
            <w:rStyle w:val="Hyperlink"/>
            <w:noProof/>
            <w:rtl/>
          </w:rPr>
          <w:t xml:space="preserve">الملاحظة </w:t>
        </w:r>
        <w:r w:rsidR="00834B83" w:rsidRPr="005269E6">
          <w:rPr>
            <w:rStyle w:val="Hyperlink"/>
            <w:noProof/>
          </w:rPr>
          <w:t>2</w:t>
        </w:r>
        <w:r w:rsidR="00834B83" w:rsidRPr="005269E6">
          <w:rPr>
            <w:rStyle w:val="Hyperlink"/>
            <w:rFonts w:hint="cs"/>
            <w:noProof/>
            <w:rtl/>
            <w:lang w:bidi="ar-SY"/>
          </w:rPr>
          <w:t xml:space="preserve"> - </w:t>
        </w:r>
        <w:r w:rsidR="00834B83" w:rsidRPr="005269E6">
          <w:rPr>
            <w:rStyle w:val="Hyperlink"/>
            <w:noProof/>
            <w:rtl/>
          </w:rPr>
          <w:t>أساس الإعداد والعرض</w:t>
        </w:r>
        <w:r w:rsidR="00834B83" w:rsidRPr="005269E6">
          <w:rPr>
            <w:rStyle w:val="Hyperlink"/>
            <w:noProof/>
            <w:rtl/>
          </w:rPr>
          <w:tab/>
        </w:r>
        <w:r w:rsidR="00834B83" w:rsidRPr="005269E6">
          <w:rPr>
            <w:rStyle w:val="Hyperlink"/>
            <w:noProof/>
            <w:rtl/>
          </w:rPr>
          <w:tab/>
        </w:r>
        <w:r w:rsidR="00834B83" w:rsidRPr="005269E6">
          <w:rPr>
            <w:noProof/>
            <w:webHidden/>
          </w:rPr>
          <w:fldChar w:fldCharType="begin"/>
        </w:r>
        <w:r w:rsidR="00834B83" w:rsidRPr="005269E6">
          <w:rPr>
            <w:noProof/>
            <w:webHidden/>
          </w:rPr>
          <w:instrText xml:space="preserve"> PAGEREF _Toc162520620 \h </w:instrText>
        </w:r>
        <w:r w:rsidR="00834B83" w:rsidRPr="005269E6">
          <w:rPr>
            <w:noProof/>
            <w:webHidden/>
          </w:rPr>
        </w:r>
        <w:r w:rsidR="00834B83" w:rsidRPr="005269E6">
          <w:rPr>
            <w:noProof/>
            <w:webHidden/>
          </w:rPr>
          <w:fldChar w:fldCharType="separate"/>
        </w:r>
        <w:r w:rsidR="00834B83" w:rsidRPr="005269E6">
          <w:rPr>
            <w:noProof/>
            <w:webHidden/>
          </w:rPr>
          <w:t>27</w:t>
        </w:r>
        <w:r w:rsidR="00834B83" w:rsidRPr="005269E6">
          <w:rPr>
            <w:noProof/>
            <w:webHidden/>
          </w:rPr>
          <w:fldChar w:fldCharType="end"/>
        </w:r>
      </w:hyperlink>
    </w:p>
    <w:p w14:paraId="3747EB4D" w14:textId="12D93CBC"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21" w:history="1">
        <w:r w:rsidR="00834B83" w:rsidRPr="005269E6">
          <w:rPr>
            <w:rStyle w:val="Hyperlink"/>
            <w:noProof/>
            <w:rtl/>
          </w:rPr>
          <w:t>الملاحظة 3</w:t>
        </w:r>
        <w:r w:rsidR="006C56AA" w:rsidRPr="005269E6">
          <w:rPr>
            <w:rStyle w:val="Hyperlink"/>
            <w:rFonts w:hint="cs"/>
            <w:noProof/>
            <w:rtl/>
          </w:rPr>
          <w:t xml:space="preserve"> - </w:t>
        </w:r>
        <w:r w:rsidR="00834B83" w:rsidRPr="005269E6">
          <w:rPr>
            <w:rStyle w:val="Hyperlink"/>
            <w:noProof/>
            <w:rtl/>
          </w:rPr>
          <w:t>سياسات محاسبية مهمة</w:t>
        </w:r>
        <w:r w:rsidR="006C56AA" w:rsidRPr="005269E6">
          <w:rPr>
            <w:rStyle w:val="Hyperlink"/>
            <w:noProof/>
            <w:rtl/>
          </w:rPr>
          <w:tab/>
        </w:r>
        <w:r w:rsidR="006C56AA" w:rsidRPr="005269E6">
          <w:rPr>
            <w:rStyle w:val="Hyperlink"/>
            <w:noProof/>
            <w:rtl/>
          </w:rPr>
          <w:tab/>
        </w:r>
        <w:r w:rsidR="00834B83" w:rsidRPr="005269E6">
          <w:rPr>
            <w:noProof/>
            <w:webHidden/>
          </w:rPr>
          <w:fldChar w:fldCharType="begin"/>
        </w:r>
        <w:r w:rsidR="00834B83" w:rsidRPr="005269E6">
          <w:rPr>
            <w:noProof/>
            <w:webHidden/>
          </w:rPr>
          <w:instrText xml:space="preserve"> PAGEREF _Toc162520621 \h </w:instrText>
        </w:r>
        <w:r w:rsidR="00834B83" w:rsidRPr="005269E6">
          <w:rPr>
            <w:noProof/>
            <w:webHidden/>
          </w:rPr>
        </w:r>
        <w:r w:rsidR="00834B83" w:rsidRPr="005269E6">
          <w:rPr>
            <w:noProof/>
            <w:webHidden/>
          </w:rPr>
          <w:fldChar w:fldCharType="separate"/>
        </w:r>
        <w:r w:rsidR="00834B83" w:rsidRPr="005269E6">
          <w:rPr>
            <w:noProof/>
            <w:webHidden/>
          </w:rPr>
          <w:t>29</w:t>
        </w:r>
        <w:r w:rsidR="00834B83" w:rsidRPr="005269E6">
          <w:rPr>
            <w:noProof/>
            <w:webHidden/>
          </w:rPr>
          <w:fldChar w:fldCharType="end"/>
        </w:r>
      </w:hyperlink>
    </w:p>
    <w:p w14:paraId="5D1AB8B2" w14:textId="2E02EC84"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22" w:history="1">
        <w:r w:rsidR="00834B83" w:rsidRPr="005269E6">
          <w:rPr>
            <w:rStyle w:val="Hyperlink"/>
            <w:noProof/>
            <w:rtl/>
          </w:rPr>
          <w:t xml:space="preserve">الملاحظة </w:t>
        </w:r>
        <w:r w:rsidR="00834B83" w:rsidRPr="005269E6">
          <w:rPr>
            <w:rStyle w:val="Hyperlink"/>
            <w:noProof/>
          </w:rPr>
          <w:t>4</w:t>
        </w:r>
        <w:r w:rsidR="006C56AA" w:rsidRPr="005269E6">
          <w:rPr>
            <w:rStyle w:val="Hyperlink"/>
            <w:rFonts w:hint="cs"/>
            <w:noProof/>
            <w:rtl/>
            <w:lang w:bidi="ar-SY"/>
          </w:rPr>
          <w:t xml:space="preserve"> - </w:t>
        </w:r>
        <w:r w:rsidR="00834B83" w:rsidRPr="005269E6">
          <w:rPr>
            <w:rStyle w:val="Hyperlink"/>
            <w:noProof/>
            <w:rtl/>
          </w:rPr>
          <w:t>إدارة صافي الأصول</w:t>
        </w:r>
        <w:r w:rsidR="006C56AA" w:rsidRPr="005269E6">
          <w:rPr>
            <w:rStyle w:val="Hyperlink"/>
            <w:noProof/>
            <w:rtl/>
          </w:rPr>
          <w:tab/>
        </w:r>
        <w:r w:rsidR="006C56AA" w:rsidRPr="005269E6">
          <w:rPr>
            <w:rStyle w:val="Hyperlink"/>
            <w:noProof/>
            <w:rtl/>
          </w:rPr>
          <w:tab/>
        </w:r>
        <w:r w:rsidR="00834B83" w:rsidRPr="005269E6">
          <w:rPr>
            <w:noProof/>
            <w:webHidden/>
          </w:rPr>
          <w:fldChar w:fldCharType="begin"/>
        </w:r>
        <w:r w:rsidR="00834B83" w:rsidRPr="005269E6">
          <w:rPr>
            <w:noProof/>
            <w:webHidden/>
          </w:rPr>
          <w:instrText xml:space="preserve"> PAGEREF _Toc162520622 \h </w:instrText>
        </w:r>
        <w:r w:rsidR="00834B83" w:rsidRPr="005269E6">
          <w:rPr>
            <w:noProof/>
            <w:webHidden/>
          </w:rPr>
        </w:r>
        <w:r w:rsidR="00834B83" w:rsidRPr="005269E6">
          <w:rPr>
            <w:noProof/>
            <w:webHidden/>
          </w:rPr>
          <w:fldChar w:fldCharType="separate"/>
        </w:r>
        <w:r w:rsidR="00834B83" w:rsidRPr="005269E6">
          <w:rPr>
            <w:noProof/>
            <w:webHidden/>
          </w:rPr>
          <w:t>39</w:t>
        </w:r>
        <w:r w:rsidR="00834B83" w:rsidRPr="005269E6">
          <w:rPr>
            <w:noProof/>
            <w:webHidden/>
          </w:rPr>
          <w:fldChar w:fldCharType="end"/>
        </w:r>
      </w:hyperlink>
    </w:p>
    <w:p w14:paraId="652C68B1" w14:textId="08ABFE7B" w:rsidR="00834B83" w:rsidRPr="005269E6" w:rsidRDefault="00F95576" w:rsidP="006C56AA">
      <w:pPr>
        <w:pStyle w:val="TOC1"/>
        <w:rPr>
          <w:noProof/>
          <w:kern w:val="2"/>
          <w:lang w:val="en-GB" w:eastAsia="en-GB"/>
          <w14:ligatures w14:val="standardContextual"/>
        </w:rPr>
      </w:pPr>
      <w:hyperlink w:anchor="_Toc162520623" w:history="1">
        <w:r w:rsidR="00834B83" w:rsidRPr="005269E6">
          <w:rPr>
            <w:rStyle w:val="Hyperlink"/>
            <w:noProof/>
            <w:rtl/>
          </w:rPr>
          <w:t xml:space="preserve">الملاحظة </w:t>
        </w:r>
        <w:r w:rsidR="00834B83" w:rsidRPr="005269E6">
          <w:rPr>
            <w:rStyle w:val="Hyperlink"/>
            <w:noProof/>
          </w:rPr>
          <w:t>5</w:t>
        </w:r>
        <w:r w:rsidR="006C56AA" w:rsidRPr="005269E6">
          <w:rPr>
            <w:rStyle w:val="Hyperlink"/>
            <w:noProof/>
            <w:rtl/>
          </w:rPr>
          <w:t xml:space="preserve"> - </w:t>
        </w:r>
        <w:r w:rsidR="00834B83" w:rsidRPr="005269E6">
          <w:rPr>
            <w:rStyle w:val="Hyperlink"/>
            <w:noProof/>
            <w:rtl/>
          </w:rPr>
          <w:t>إدارة المخاطر المالية</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_Toc162520623 \h </w:instrText>
        </w:r>
        <w:r w:rsidR="00834B83" w:rsidRPr="005269E6">
          <w:rPr>
            <w:noProof/>
            <w:webHidden/>
          </w:rPr>
        </w:r>
        <w:r w:rsidR="00834B83" w:rsidRPr="005269E6">
          <w:rPr>
            <w:noProof/>
            <w:webHidden/>
          </w:rPr>
          <w:fldChar w:fldCharType="separate"/>
        </w:r>
        <w:r w:rsidR="00834B83" w:rsidRPr="005269E6">
          <w:rPr>
            <w:noProof/>
            <w:webHidden/>
          </w:rPr>
          <w:t>41</w:t>
        </w:r>
        <w:r w:rsidR="00834B83" w:rsidRPr="005269E6">
          <w:rPr>
            <w:noProof/>
            <w:webHidden/>
          </w:rPr>
          <w:fldChar w:fldCharType="end"/>
        </w:r>
      </w:hyperlink>
    </w:p>
    <w:p w14:paraId="73B93AF2" w14:textId="5D09426E" w:rsidR="00834B83" w:rsidRPr="005269E6" w:rsidRDefault="00F95576" w:rsidP="006C56AA">
      <w:pPr>
        <w:pStyle w:val="TOC1"/>
        <w:rPr>
          <w:noProof/>
          <w:kern w:val="2"/>
          <w:lang w:val="en-GB" w:eastAsia="en-GB"/>
          <w14:ligatures w14:val="standardContextual"/>
        </w:rPr>
      </w:pPr>
      <w:hyperlink w:anchor="_Toc162520624" w:history="1">
        <w:r w:rsidR="00834B83" w:rsidRPr="005269E6">
          <w:rPr>
            <w:rStyle w:val="Hyperlink"/>
            <w:noProof/>
            <w:rtl/>
          </w:rPr>
          <w:t xml:space="preserve">الملاحظة </w:t>
        </w:r>
        <w:r w:rsidR="00834B83" w:rsidRPr="005269E6">
          <w:rPr>
            <w:rStyle w:val="Hyperlink"/>
            <w:noProof/>
          </w:rPr>
          <w:t>6</w:t>
        </w:r>
        <w:r w:rsidR="006C56AA" w:rsidRPr="005269E6">
          <w:rPr>
            <w:rStyle w:val="Hyperlink"/>
            <w:noProof/>
            <w:rtl/>
          </w:rPr>
          <w:t xml:space="preserve"> - </w:t>
        </w:r>
        <w:r w:rsidR="00834B83" w:rsidRPr="005269E6">
          <w:rPr>
            <w:rStyle w:val="Hyperlink"/>
            <w:noProof/>
            <w:rtl/>
          </w:rPr>
          <w:t>حسن التدبير والتقديرات المحاسبية</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_Toc162520624 \h </w:instrText>
        </w:r>
        <w:r w:rsidR="00834B83" w:rsidRPr="005269E6">
          <w:rPr>
            <w:noProof/>
            <w:webHidden/>
          </w:rPr>
        </w:r>
        <w:r w:rsidR="00834B83" w:rsidRPr="005269E6">
          <w:rPr>
            <w:noProof/>
            <w:webHidden/>
          </w:rPr>
          <w:fldChar w:fldCharType="separate"/>
        </w:r>
        <w:r w:rsidR="00834B83" w:rsidRPr="005269E6">
          <w:rPr>
            <w:noProof/>
            <w:webHidden/>
          </w:rPr>
          <w:t>44</w:t>
        </w:r>
        <w:r w:rsidR="00834B83" w:rsidRPr="005269E6">
          <w:rPr>
            <w:noProof/>
            <w:webHidden/>
          </w:rPr>
          <w:fldChar w:fldCharType="end"/>
        </w:r>
      </w:hyperlink>
    </w:p>
    <w:p w14:paraId="24173E4B" w14:textId="31EF57C5" w:rsidR="00834B83" w:rsidRPr="005269E6" w:rsidRDefault="00F95576" w:rsidP="006C56AA">
      <w:pPr>
        <w:pStyle w:val="TOC1"/>
        <w:rPr>
          <w:noProof/>
          <w:kern w:val="2"/>
          <w:lang w:val="en-GB" w:eastAsia="en-GB"/>
          <w14:ligatures w14:val="standardContextual"/>
        </w:rPr>
      </w:pPr>
      <w:hyperlink w:anchor="_Toc162520625" w:history="1">
        <w:r w:rsidR="00834B83" w:rsidRPr="005269E6">
          <w:rPr>
            <w:rStyle w:val="Hyperlink"/>
            <w:noProof/>
            <w:rtl/>
          </w:rPr>
          <w:t xml:space="preserve">الملاحظة </w:t>
        </w:r>
        <w:r w:rsidR="00834B83" w:rsidRPr="005269E6">
          <w:rPr>
            <w:rStyle w:val="Hyperlink"/>
            <w:noProof/>
          </w:rPr>
          <w:t>7</w:t>
        </w:r>
        <w:r w:rsidR="006C56AA" w:rsidRPr="005269E6">
          <w:rPr>
            <w:rStyle w:val="Hyperlink"/>
            <w:noProof/>
            <w:rtl/>
          </w:rPr>
          <w:t xml:space="preserve"> - </w:t>
        </w:r>
        <w:r w:rsidR="00834B83" w:rsidRPr="005269E6">
          <w:rPr>
            <w:rStyle w:val="Hyperlink"/>
            <w:noProof/>
            <w:rtl/>
          </w:rPr>
          <w:t>الأموال النقدية وما يعادلها</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_Toc162520625 \h </w:instrText>
        </w:r>
        <w:r w:rsidR="00834B83" w:rsidRPr="005269E6">
          <w:rPr>
            <w:noProof/>
            <w:webHidden/>
          </w:rPr>
        </w:r>
        <w:r w:rsidR="00834B83" w:rsidRPr="005269E6">
          <w:rPr>
            <w:noProof/>
            <w:webHidden/>
          </w:rPr>
          <w:fldChar w:fldCharType="separate"/>
        </w:r>
        <w:r w:rsidR="00834B83" w:rsidRPr="005269E6">
          <w:rPr>
            <w:noProof/>
            <w:webHidden/>
          </w:rPr>
          <w:t>44</w:t>
        </w:r>
        <w:r w:rsidR="00834B83" w:rsidRPr="005269E6">
          <w:rPr>
            <w:noProof/>
            <w:webHidden/>
          </w:rPr>
          <w:fldChar w:fldCharType="end"/>
        </w:r>
      </w:hyperlink>
    </w:p>
    <w:p w14:paraId="2ABD77C6" w14:textId="2FDC7BC6" w:rsidR="00834B83" w:rsidRPr="005269E6" w:rsidRDefault="00F95576" w:rsidP="006C56AA">
      <w:pPr>
        <w:pStyle w:val="TOC1"/>
        <w:rPr>
          <w:noProof/>
          <w:kern w:val="2"/>
          <w:lang w:val="en-GB" w:eastAsia="en-GB"/>
          <w14:ligatures w14:val="standardContextual"/>
        </w:rPr>
      </w:pPr>
      <w:hyperlink w:anchor="_Toc162520626" w:history="1">
        <w:r w:rsidR="00834B83" w:rsidRPr="005269E6">
          <w:rPr>
            <w:rStyle w:val="Hyperlink"/>
            <w:noProof/>
            <w:rtl/>
          </w:rPr>
          <w:t xml:space="preserve">الملاحظة </w:t>
        </w:r>
        <w:r w:rsidR="00834B83" w:rsidRPr="005269E6">
          <w:rPr>
            <w:rStyle w:val="Hyperlink"/>
            <w:noProof/>
          </w:rPr>
          <w:t>8</w:t>
        </w:r>
        <w:r w:rsidR="006C56AA" w:rsidRPr="005269E6">
          <w:rPr>
            <w:rStyle w:val="Hyperlink"/>
            <w:noProof/>
            <w:rtl/>
          </w:rPr>
          <w:t xml:space="preserve"> - </w:t>
        </w:r>
        <w:r w:rsidR="00834B83" w:rsidRPr="005269E6">
          <w:rPr>
            <w:rStyle w:val="Hyperlink"/>
            <w:noProof/>
            <w:rtl/>
          </w:rPr>
          <w:t>الاستثمارات</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_Toc162520626 \h </w:instrText>
        </w:r>
        <w:r w:rsidR="00834B83" w:rsidRPr="005269E6">
          <w:rPr>
            <w:noProof/>
            <w:webHidden/>
          </w:rPr>
        </w:r>
        <w:r w:rsidR="00834B83" w:rsidRPr="005269E6">
          <w:rPr>
            <w:noProof/>
            <w:webHidden/>
          </w:rPr>
          <w:fldChar w:fldCharType="separate"/>
        </w:r>
        <w:r w:rsidR="00834B83" w:rsidRPr="005269E6">
          <w:rPr>
            <w:noProof/>
            <w:webHidden/>
          </w:rPr>
          <w:t>45</w:t>
        </w:r>
        <w:r w:rsidR="00834B83" w:rsidRPr="005269E6">
          <w:rPr>
            <w:noProof/>
            <w:webHidden/>
          </w:rPr>
          <w:fldChar w:fldCharType="end"/>
        </w:r>
      </w:hyperlink>
    </w:p>
    <w:p w14:paraId="41A8A712" w14:textId="0EB29394" w:rsidR="00834B83" w:rsidRPr="005269E6" w:rsidRDefault="00F95576" w:rsidP="006C56AA">
      <w:pPr>
        <w:pStyle w:val="TOC1"/>
        <w:rPr>
          <w:noProof/>
          <w:kern w:val="2"/>
          <w:lang w:val="en-GB" w:eastAsia="en-GB"/>
          <w14:ligatures w14:val="standardContextual"/>
        </w:rPr>
      </w:pPr>
      <w:hyperlink w:anchor="_Toc162520627" w:history="1">
        <w:r w:rsidR="00834B83" w:rsidRPr="005269E6">
          <w:rPr>
            <w:rStyle w:val="Hyperlink"/>
            <w:noProof/>
            <w:rtl/>
          </w:rPr>
          <w:t xml:space="preserve">الملاحظة </w:t>
        </w:r>
        <w:r w:rsidR="00834B83" w:rsidRPr="005269E6">
          <w:rPr>
            <w:rStyle w:val="Hyperlink"/>
            <w:noProof/>
          </w:rPr>
          <w:t>9</w:t>
        </w:r>
        <w:r w:rsidR="006C56AA" w:rsidRPr="005269E6">
          <w:rPr>
            <w:noProof/>
            <w:kern w:val="2"/>
            <w:rtl/>
            <w:lang w:val="en-GB" w:eastAsia="en-GB"/>
            <w14:ligatures w14:val="standardContextual"/>
          </w:rPr>
          <w:t xml:space="preserve"> </w:t>
        </w:r>
        <w:r w:rsidR="006C56AA" w:rsidRPr="005269E6">
          <w:rPr>
            <w:rtl/>
          </w:rPr>
          <w:t>-</w:t>
        </w:r>
        <w:r w:rsidR="006C56AA" w:rsidRPr="005269E6">
          <w:rPr>
            <w:noProof/>
            <w:kern w:val="2"/>
            <w:rtl/>
            <w:lang w:val="en-GB" w:eastAsia="en-GB"/>
            <w14:ligatures w14:val="standardContextual"/>
          </w:rPr>
          <w:t xml:space="preserve"> </w:t>
        </w:r>
        <w:r w:rsidR="00834B83" w:rsidRPr="005269E6">
          <w:rPr>
            <w:rStyle w:val="Hyperlink"/>
            <w:noProof/>
            <w:rtl/>
          </w:rPr>
          <w:t>الذمم المدينة</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_Toc162520627 \h </w:instrText>
        </w:r>
        <w:r w:rsidR="00834B83" w:rsidRPr="005269E6">
          <w:rPr>
            <w:noProof/>
            <w:webHidden/>
          </w:rPr>
        </w:r>
        <w:r w:rsidR="00834B83" w:rsidRPr="005269E6">
          <w:rPr>
            <w:noProof/>
            <w:webHidden/>
          </w:rPr>
          <w:fldChar w:fldCharType="separate"/>
        </w:r>
        <w:r w:rsidR="00834B83" w:rsidRPr="005269E6">
          <w:rPr>
            <w:noProof/>
            <w:webHidden/>
          </w:rPr>
          <w:t>45</w:t>
        </w:r>
        <w:r w:rsidR="00834B83" w:rsidRPr="005269E6">
          <w:rPr>
            <w:noProof/>
            <w:webHidden/>
          </w:rPr>
          <w:fldChar w:fldCharType="end"/>
        </w:r>
      </w:hyperlink>
    </w:p>
    <w:p w14:paraId="7E1E2398" w14:textId="4357CE60" w:rsidR="00834B83" w:rsidRPr="005269E6" w:rsidRDefault="00F95576" w:rsidP="006C56AA">
      <w:pPr>
        <w:pStyle w:val="TOC1"/>
        <w:rPr>
          <w:noProof/>
          <w:kern w:val="2"/>
          <w:lang w:val="en-GB" w:eastAsia="en-GB"/>
          <w14:ligatures w14:val="standardContextual"/>
        </w:rPr>
      </w:pPr>
      <w:hyperlink w:anchor="_Toc162520628" w:history="1">
        <w:r w:rsidR="00834B83" w:rsidRPr="005269E6">
          <w:rPr>
            <w:rStyle w:val="Hyperlink"/>
            <w:noProof/>
            <w:rtl/>
          </w:rPr>
          <w:t>الملاحظة 10</w:t>
        </w:r>
        <w:r w:rsidR="006C56AA" w:rsidRPr="005269E6">
          <w:rPr>
            <w:noProof/>
            <w:kern w:val="2"/>
            <w:rtl/>
            <w:lang w:val="en-GB" w:eastAsia="en-GB"/>
            <w14:ligatures w14:val="standardContextual"/>
          </w:rPr>
          <w:t xml:space="preserve"> - </w:t>
        </w:r>
        <w:r w:rsidR="00834B83" w:rsidRPr="005269E6">
          <w:rPr>
            <w:rStyle w:val="Hyperlink"/>
            <w:noProof/>
            <w:rtl/>
          </w:rPr>
          <w:t>المخزونات</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_Toc162520628 \h </w:instrText>
        </w:r>
        <w:r w:rsidR="00834B83" w:rsidRPr="005269E6">
          <w:rPr>
            <w:noProof/>
            <w:webHidden/>
          </w:rPr>
        </w:r>
        <w:r w:rsidR="00834B83" w:rsidRPr="005269E6">
          <w:rPr>
            <w:noProof/>
            <w:webHidden/>
          </w:rPr>
          <w:fldChar w:fldCharType="separate"/>
        </w:r>
        <w:r w:rsidR="00834B83" w:rsidRPr="005269E6">
          <w:rPr>
            <w:noProof/>
            <w:webHidden/>
          </w:rPr>
          <w:t>46</w:t>
        </w:r>
        <w:r w:rsidR="00834B83" w:rsidRPr="005269E6">
          <w:rPr>
            <w:noProof/>
            <w:webHidden/>
          </w:rPr>
          <w:fldChar w:fldCharType="end"/>
        </w:r>
      </w:hyperlink>
    </w:p>
    <w:p w14:paraId="6548780D" w14:textId="34C4143E" w:rsidR="00834B83" w:rsidRPr="005269E6" w:rsidRDefault="00F95576" w:rsidP="006C56AA">
      <w:pPr>
        <w:pStyle w:val="TOC1"/>
        <w:rPr>
          <w:noProof/>
          <w:kern w:val="2"/>
          <w:lang w:val="en-GB" w:eastAsia="en-GB"/>
          <w14:ligatures w14:val="standardContextual"/>
        </w:rPr>
      </w:pPr>
      <w:hyperlink w:anchor="_Toc162520629" w:history="1">
        <w:r w:rsidR="00834B83" w:rsidRPr="005269E6">
          <w:rPr>
            <w:rStyle w:val="Hyperlink"/>
            <w:noProof/>
            <w:rtl/>
          </w:rPr>
          <w:t xml:space="preserve">الملاحظة </w:t>
        </w:r>
        <w:r w:rsidR="00834B83" w:rsidRPr="005269E6">
          <w:rPr>
            <w:rStyle w:val="Hyperlink"/>
            <w:noProof/>
          </w:rPr>
          <w:t>11</w:t>
        </w:r>
        <w:r w:rsidR="006C56AA" w:rsidRPr="005269E6">
          <w:rPr>
            <w:noProof/>
            <w:kern w:val="2"/>
            <w:rtl/>
            <w:lang w:val="en-GB" w:eastAsia="en-GB"/>
            <w14:ligatures w14:val="standardContextual"/>
          </w:rPr>
          <w:t xml:space="preserve"> - </w:t>
        </w:r>
        <w:r w:rsidR="00834B83" w:rsidRPr="005269E6">
          <w:rPr>
            <w:rStyle w:val="Hyperlink"/>
            <w:noProof/>
            <w:rtl/>
          </w:rPr>
          <w:t>الذمم المدينة الأخرى</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_Toc162520629 \h </w:instrText>
        </w:r>
        <w:r w:rsidR="00834B83" w:rsidRPr="005269E6">
          <w:rPr>
            <w:noProof/>
            <w:webHidden/>
          </w:rPr>
        </w:r>
        <w:r w:rsidR="00834B83" w:rsidRPr="005269E6">
          <w:rPr>
            <w:noProof/>
            <w:webHidden/>
          </w:rPr>
          <w:fldChar w:fldCharType="separate"/>
        </w:r>
        <w:r w:rsidR="00834B83" w:rsidRPr="005269E6">
          <w:rPr>
            <w:noProof/>
            <w:webHidden/>
          </w:rPr>
          <w:t>46</w:t>
        </w:r>
        <w:r w:rsidR="00834B83" w:rsidRPr="005269E6">
          <w:rPr>
            <w:noProof/>
            <w:webHidden/>
          </w:rPr>
          <w:fldChar w:fldCharType="end"/>
        </w:r>
      </w:hyperlink>
    </w:p>
    <w:p w14:paraId="2832720D" w14:textId="09DA95BA" w:rsidR="00834B83" w:rsidRPr="005269E6" w:rsidRDefault="00F95576" w:rsidP="006C56AA">
      <w:pPr>
        <w:pStyle w:val="TOC1"/>
        <w:rPr>
          <w:noProof/>
          <w:kern w:val="2"/>
          <w:lang w:val="en-GB" w:eastAsia="en-GB"/>
          <w14:ligatures w14:val="standardContextual"/>
        </w:rPr>
      </w:pPr>
      <w:hyperlink w:anchor="_Toc162520630" w:history="1">
        <w:r w:rsidR="00834B83" w:rsidRPr="005269E6">
          <w:rPr>
            <w:rStyle w:val="Hyperlink"/>
            <w:noProof/>
            <w:rtl/>
          </w:rPr>
          <w:t xml:space="preserve">الملاحظة </w:t>
        </w:r>
        <w:r w:rsidR="00834B83" w:rsidRPr="005269E6">
          <w:rPr>
            <w:rStyle w:val="Hyperlink"/>
            <w:noProof/>
          </w:rPr>
          <w:t>12</w:t>
        </w:r>
        <w:r w:rsidR="006C56AA" w:rsidRPr="005269E6">
          <w:rPr>
            <w:noProof/>
            <w:kern w:val="2"/>
            <w:rtl/>
            <w:lang w:val="en-GB" w:eastAsia="en-GB"/>
            <w14:ligatures w14:val="standardContextual"/>
          </w:rPr>
          <w:t xml:space="preserve"> - </w:t>
        </w:r>
        <w:r w:rsidR="00834B83" w:rsidRPr="005269E6">
          <w:rPr>
            <w:rStyle w:val="Hyperlink"/>
            <w:noProof/>
            <w:rtl/>
          </w:rPr>
          <w:t>الممتلكات والمعدات</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_Toc162520630 \h </w:instrText>
        </w:r>
        <w:r w:rsidR="00834B83" w:rsidRPr="005269E6">
          <w:rPr>
            <w:noProof/>
            <w:webHidden/>
          </w:rPr>
        </w:r>
        <w:r w:rsidR="00834B83" w:rsidRPr="005269E6">
          <w:rPr>
            <w:noProof/>
            <w:webHidden/>
          </w:rPr>
          <w:fldChar w:fldCharType="separate"/>
        </w:r>
        <w:r w:rsidR="00834B83" w:rsidRPr="005269E6">
          <w:rPr>
            <w:noProof/>
            <w:webHidden/>
          </w:rPr>
          <w:t>46</w:t>
        </w:r>
        <w:r w:rsidR="00834B83" w:rsidRPr="005269E6">
          <w:rPr>
            <w:noProof/>
            <w:webHidden/>
          </w:rPr>
          <w:fldChar w:fldCharType="end"/>
        </w:r>
      </w:hyperlink>
    </w:p>
    <w:p w14:paraId="324E22B5" w14:textId="21AEB1F3" w:rsidR="00834B83" w:rsidRPr="005269E6" w:rsidRDefault="00F95576" w:rsidP="006C56AA">
      <w:pPr>
        <w:pStyle w:val="TOC1"/>
        <w:rPr>
          <w:noProof/>
          <w:kern w:val="2"/>
          <w:lang w:val="en-GB" w:eastAsia="en-GB"/>
          <w14:ligatures w14:val="standardContextual"/>
        </w:rPr>
      </w:pPr>
      <w:hyperlink w:anchor="_Toc162520631" w:history="1">
        <w:r w:rsidR="00834B83" w:rsidRPr="005269E6">
          <w:rPr>
            <w:rStyle w:val="Hyperlink"/>
            <w:noProof/>
            <w:rtl/>
          </w:rPr>
          <w:t xml:space="preserve">الملاحظة </w:t>
        </w:r>
        <w:r w:rsidR="00834B83" w:rsidRPr="005269E6">
          <w:rPr>
            <w:rStyle w:val="Hyperlink"/>
            <w:noProof/>
          </w:rPr>
          <w:t>13</w:t>
        </w:r>
        <w:r w:rsidR="006C56AA" w:rsidRPr="005269E6">
          <w:rPr>
            <w:noProof/>
            <w:kern w:val="2"/>
            <w:rtl/>
            <w:lang w:val="en-GB" w:eastAsia="en-GB"/>
            <w14:ligatures w14:val="standardContextual"/>
          </w:rPr>
          <w:t xml:space="preserve"> - </w:t>
        </w:r>
        <w:r w:rsidR="00834B83" w:rsidRPr="005269E6">
          <w:rPr>
            <w:rStyle w:val="Hyperlink"/>
            <w:noProof/>
            <w:rtl/>
          </w:rPr>
          <w:t>الأصول غير المادية</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_Toc162520631 \h </w:instrText>
        </w:r>
        <w:r w:rsidR="00834B83" w:rsidRPr="005269E6">
          <w:rPr>
            <w:noProof/>
            <w:webHidden/>
          </w:rPr>
        </w:r>
        <w:r w:rsidR="00834B83" w:rsidRPr="005269E6">
          <w:rPr>
            <w:noProof/>
            <w:webHidden/>
          </w:rPr>
          <w:fldChar w:fldCharType="separate"/>
        </w:r>
        <w:r w:rsidR="00834B83" w:rsidRPr="005269E6">
          <w:rPr>
            <w:noProof/>
            <w:webHidden/>
          </w:rPr>
          <w:t>48</w:t>
        </w:r>
        <w:r w:rsidR="00834B83" w:rsidRPr="005269E6">
          <w:rPr>
            <w:noProof/>
            <w:webHidden/>
          </w:rPr>
          <w:fldChar w:fldCharType="end"/>
        </w:r>
      </w:hyperlink>
    </w:p>
    <w:p w14:paraId="7A964641" w14:textId="45ED85A7" w:rsidR="00834B83" w:rsidRPr="005269E6" w:rsidRDefault="00F95576" w:rsidP="006C56AA">
      <w:pPr>
        <w:pStyle w:val="TOC1"/>
        <w:rPr>
          <w:noProof/>
          <w:kern w:val="2"/>
          <w:lang w:val="en-GB" w:eastAsia="en-GB"/>
          <w14:ligatures w14:val="standardContextual"/>
        </w:rPr>
      </w:pPr>
      <w:hyperlink w:anchor="_Toc162520632" w:history="1">
        <w:r w:rsidR="00834B83" w:rsidRPr="005269E6">
          <w:rPr>
            <w:rStyle w:val="Hyperlink"/>
            <w:noProof/>
            <w:rtl/>
          </w:rPr>
          <w:t xml:space="preserve">الملاحظة </w:t>
        </w:r>
        <w:r w:rsidR="00834B83" w:rsidRPr="005269E6">
          <w:rPr>
            <w:rStyle w:val="Hyperlink"/>
            <w:noProof/>
          </w:rPr>
          <w:t>14</w:t>
        </w:r>
        <w:r w:rsidR="006C56AA" w:rsidRPr="005269E6">
          <w:rPr>
            <w:noProof/>
            <w:kern w:val="2"/>
            <w:rtl/>
            <w:lang w:val="en-GB" w:eastAsia="en-GB"/>
            <w14:ligatures w14:val="standardContextual"/>
          </w:rPr>
          <w:t xml:space="preserve"> - </w:t>
        </w:r>
        <w:r w:rsidR="00834B83" w:rsidRPr="005269E6">
          <w:rPr>
            <w:rStyle w:val="Hyperlink"/>
            <w:noProof/>
            <w:rtl/>
          </w:rPr>
          <w:t>الأصول قيد الإنشاء</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_Toc162520632 \h </w:instrText>
        </w:r>
        <w:r w:rsidR="00834B83" w:rsidRPr="005269E6">
          <w:rPr>
            <w:noProof/>
            <w:webHidden/>
          </w:rPr>
        </w:r>
        <w:r w:rsidR="00834B83" w:rsidRPr="005269E6">
          <w:rPr>
            <w:noProof/>
            <w:webHidden/>
          </w:rPr>
          <w:fldChar w:fldCharType="separate"/>
        </w:r>
        <w:r w:rsidR="00834B83" w:rsidRPr="005269E6">
          <w:rPr>
            <w:noProof/>
            <w:webHidden/>
          </w:rPr>
          <w:t>49</w:t>
        </w:r>
        <w:r w:rsidR="00834B83" w:rsidRPr="005269E6">
          <w:rPr>
            <w:noProof/>
            <w:webHidden/>
          </w:rPr>
          <w:fldChar w:fldCharType="end"/>
        </w:r>
      </w:hyperlink>
    </w:p>
    <w:p w14:paraId="721216E8" w14:textId="442D315B" w:rsidR="00834B83" w:rsidRPr="005269E6" w:rsidRDefault="00F95576" w:rsidP="006C56AA">
      <w:pPr>
        <w:pStyle w:val="TOC1"/>
        <w:rPr>
          <w:noProof/>
          <w:kern w:val="2"/>
          <w:lang w:val="en-GB" w:eastAsia="en-GB"/>
          <w14:ligatures w14:val="standardContextual"/>
        </w:rPr>
      </w:pPr>
      <w:hyperlink w:anchor="_Toc162520633" w:history="1">
        <w:r w:rsidR="00834B83" w:rsidRPr="005269E6">
          <w:rPr>
            <w:rStyle w:val="Hyperlink"/>
            <w:noProof/>
            <w:rtl/>
          </w:rPr>
          <w:t xml:space="preserve">الملاحظة </w:t>
        </w:r>
        <w:r w:rsidR="00834B83" w:rsidRPr="005269E6">
          <w:rPr>
            <w:rStyle w:val="Hyperlink"/>
            <w:noProof/>
          </w:rPr>
          <w:t>15</w:t>
        </w:r>
        <w:r w:rsidR="006C56AA" w:rsidRPr="005269E6">
          <w:rPr>
            <w:noProof/>
            <w:kern w:val="2"/>
            <w:rtl/>
            <w:lang w:val="en-GB" w:eastAsia="en-GB"/>
            <w14:ligatures w14:val="standardContextual"/>
          </w:rPr>
          <w:t xml:space="preserve"> - </w:t>
        </w:r>
        <w:r w:rsidR="00834B83" w:rsidRPr="005269E6">
          <w:rPr>
            <w:rStyle w:val="Hyperlink"/>
            <w:noProof/>
            <w:rtl/>
          </w:rPr>
          <w:t>الموردون والدائنون الآخرون</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_Toc162520633 \h </w:instrText>
        </w:r>
        <w:r w:rsidR="00834B83" w:rsidRPr="005269E6">
          <w:rPr>
            <w:noProof/>
            <w:webHidden/>
          </w:rPr>
        </w:r>
        <w:r w:rsidR="00834B83" w:rsidRPr="005269E6">
          <w:rPr>
            <w:noProof/>
            <w:webHidden/>
          </w:rPr>
          <w:fldChar w:fldCharType="separate"/>
        </w:r>
        <w:r w:rsidR="00834B83" w:rsidRPr="005269E6">
          <w:rPr>
            <w:noProof/>
            <w:webHidden/>
          </w:rPr>
          <w:t>49</w:t>
        </w:r>
        <w:r w:rsidR="00834B83" w:rsidRPr="005269E6">
          <w:rPr>
            <w:noProof/>
            <w:webHidden/>
          </w:rPr>
          <w:fldChar w:fldCharType="end"/>
        </w:r>
      </w:hyperlink>
    </w:p>
    <w:p w14:paraId="3B05C6AE" w14:textId="14CB5A29" w:rsidR="00834B83" w:rsidRPr="005269E6" w:rsidRDefault="00F95576" w:rsidP="006C56AA">
      <w:pPr>
        <w:pStyle w:val="TOC1"/>
        <w:rPr>
          <w:noProof/>
          <w:kern w:val="2"/>
          <w:lang w:val="en-GB" w:eastAsia="en-GB"/>
          <w14:ligatures w14:val="standardContextual"/>
        </w:rPr>
      </w:pPr>
      <w:hyperlink w:anchor="_Toc162520634" w:history="1">
        <w:r w:rsidR="00834B83" w:rsidRPr="005269E6">
          <w:rPr>
            <w:rStyle w:val="Hyperlink"/>
            <w:noProof/>
            <w:rtl/>
          </w:rPr>
          <w:t xml:space="preserve">الملاحظة </w:t>
        </w:r>
        <w:r w:rsidR="00834B83" w:rsidRPr="005269E6">
          <w:rPr>
            <w:rStyle w:val="Hyperlink"/>
            <w:noProof/>
          </w:rPr>
          <w:t>16</w:t>
        </w:r>
        <w:r w:rsidR="006C56AA" w:rsidRPr="005269E6">
          <w:rPr>
            <w:noProof/>
            <w:kern w:val="2"/>
            <w:rtl/>
            <w:lang w:val="en-GB" w:eastAsia="en-GB"/>
            <w14:ligatures w14:val="standardContextual"/>
          </w:rPr>
          <w:t xml:space="preserve"> - </w:t>
        </w:r>
        <w:r w:rsidR="00834B83" w:rsidRPr="005269E6">
          <w:rPr>
            <w:rStyle w:val="Hyperlink"/>
            <w:noProof/>
            <w:rtl/>
          </w:rPr>
          <w:t>المساهمات الواردة سلفاً والإيرادات المؤجلة</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_Toc162520634 \h </w:instrText>
        </w:r>
        <w:r w:rsidR="00834B83" w:rsidRPr="005269E6">
          <w:rPr>
            <w:noProof/>
            <w:webHidden/>
          </w:rPr>
        </w:r>
        <w:r w:rsidR="00834B83" w:rsidRPr="005269E6">
          <w:rPr>
            <w:noProof/>
            <w:webHidden/>
          </w:rPr>
          <w:fldChar w:fldCharType="separate"/>
        </w:r>
        <w:r w:rsidR="00834B83" w:rsidRPr="005269E6">
          <w:rPr>
            <w:noProof/>
            <w:webHidden/>
          </w:rPr>
          <w:t>49</w:t>
        </w:r>
        <w:r w:rsidR="00834B83" w:rsidRPr="005269E6">
          <w:rPr>
            <w:noProof/>
            <w:webHidden/>
          </w:rPr>
          <w:fldChar w:fldCharType="end"/>
        </w:r>
      </w:hyperlink>
    </w:p>
    <w:p w14:paraId="67A3D98D" w14:textId="584E9229" w:rsidR="00834B83" w:rsidRPr="005269E6" w:rsidRDefault="00F95576" w:rsidP="006C56AA">
      <w:pPr>
        <w:pStyle w:val="TOC1"/>
        <w:rPr>
          <w:noProof/>
          <w:kern w:val="2"/>
          <w:lang w:val="en-GB" w:eastAsia="en-GB"/>
          <w14:ligatures w14:val="standardContextual"/>
        </w:rPr>
      </w:pPr>
      <w:hyperlink w:anchor="_Toc162520635" w:history="1">
        <w:r w:rsidR="00834B83" w:rsidRPr="005269E6">
          <w:rPr>
            <w:rStyle w:val="Hyperlink"/>
            <w:noProof/>
            <w:rtl/>
          </w:rPr>
          <w:t>الملاحظة 17</w:t>
        </w:r>
        <w:r w:rsidR="006C56AA" w:rsidRPr="005269E6">
          <w:rPr>
            <w:noProof/>
            <w:kern w:val="2"/>
            <w:rtl/>
            <w:lang w:val="en-GB" w:eastAsia="en-GB"/>
            <w14:ligatures w14:val="standardContextual"/>
          </w:rPr>
          <w:t xml:space="preserve"> - </w:t>
        </w:r>
        <w:r w:rsidR="00834B83" w:rsidRPr="005269E6">
          <w:rPr>
            <w:rStyle w:val="Hyperlink"/>
            <w:noProof/>
            <w:rtl/>
          </w:rPr>
          <w:t>القروض والديون المالية الأخرى</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_Toc162520635 \h </w:instrText>
        </w:r>
        <w:r w:rsidR="00834B83" w:rsidRPr="005269E6">
          <w:rPr>
            <w:noProof/>
            <w:webHidden/>
          </w:rPr>
        </w:r>
        <w:r w:rsidR="00834B83" w:rsidRPr="005269E6">
          <w:rPr>
            <w:noProof/>
            <w:webHidden/>
          </w:rPr>
          <w:fldChar w:fldCharType="separate"/>
        </w:r>
        <w:r w:rsidR="00834B83" w:rsidRPr="005269E6">
          <w:rPr>
            <w:noProof/>
            <w:webHidden/>
          </w:rPr>
          <w:t>50</w:t>
        </w:r>
        <w:r w:rsidR="00834B83" w:rsidRPr="005269E6">
          <w:rPr>
            <w:noProof/>
            <w:webHidden/>
          </w:rPr>
          <w:fldChar w:fldCharType="end"/>
        </w:r>
      </w:hyperlink>
    </w:p>
    <w:p w14:paraId="13DDD5FC" w14:textId="594A22BC" w:rsidR="00834B83" w:rsidRPr="005269E6" w:rsidRDefault="00F95576" w:rsidP="006C56AA">
      <w:pPr>
        <w:pStyle w:val="TOC1"/>
        <w:rPr>
          <w:noProof/>
          <w:kern w:val="2"/>
          <w:lang w:val="en-GB" w:eastAsia="en-GB"/>
          <w14:ligatures w14:val="standardContextual"/>
        </w:rPr>
      </w:pPr>
      <w:hyperlink w:anchor="_Toc162520636" w:history="1">
        <w:r w:rsidR="00834B83" w:rsidRPr="005269E6">
          <w:rPr>
            <w:rStyle w:val="Hyperlink"/>
            <w:noProof/>
            <w:rtl/>
          </w:rPr>
          <w:t xml:space="preserve">الملاحظة </w:t>
        </w:r>
        <w:r w:rsidR="00834B83" w:rsidRPr="005269E6">
          <w:rPr>
            <w:rStyle w:val="Hyperlink"/>
            <w:noProof/>
          </w:rPr>
          <w:t>18</w:t>
        </w:r>
        <w:r w:rsidR="006C56AA" w:rsidRPr="005269E6">
          <w:rPr>
            <w:noProof/>
            <w:kern w:val="2"/>
            <w:rtl/>
            <w:lang w:val="en-GB" w:eastAsia="en-GB"/>
            <w14:ligatures w14:val="standardContextual"/>
          </w:rPr>
          <w:t xml:space="preserve"> - </w:t>
        </w:r>
        <w:r w:rsidR="00834B83" w:rsidRPr="005269E6">
          <w:rPr>
            <w:rStyle w:val="Hyperlink"/>
            <w:noProof/>
            <w:rtl/>
          </w:rPr>
          <w:t>استحقاقات الموظفين</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_Toc162520636 \h </w:instrText>
        </w:r>
        <w:r w:rsidR="00834B83" w:rsidRPr="005269E6">
          <w:rPr>
            <w:noProof/>
            <w:webHidden/>
          </w:rPr>
        </w:r>
        <w:r w:rsidR="00834B83" w:rsidRPr="005269E6">
          <w:rPr>
            <w:noProof/>
            <w:webHidden/>
          </w:rPr>
          <w:fldChar w:fldCharType="separate"/>
        </w:r>
        <w:r w:rsidR="00834B83" w:rsidRPr="005269E6">
          <w:rPr>
            <w:noProof/>
            <w:webHidden/>
          </w:rPr>
          <w:t>51</w:t>
        </w:r>
        <w:r w:rsidR="00834B83" w:rsidRPr="005269E6">
          <w:rPr>
            <w:noProof/>
            <w:webHidden/>
          </w:rPr>
          <w:fldChar w:fldCharType="end"/>
        </w:r>
      </w:hyperlink>
    </w:p>
    <w:p w14:paraId="4066DD45" w14:textId="0C235919" w:rsidR="00834B83" w:rsidRPr="005269E6" w:rsidRDefault="00F95576" w:rsidP="006C56AA">
      <w:pPr>
        <w:pStyle w:val="TOC1"/>
        <w:rPr>
          <w:noProof/>
          <w:kern w:val="2"/>
          <w:lang w:val="en-GB" w:eastAsia="en-GB"/>
          <w14:ligatures w14:val="standardContextual"/>
        </w:rPr>
      </w:pPr>
      <w:hyperlink w:anchor="_Toc162520637" w:history="1">
        <w:r w:rsidR="00834B83" w:rsidRPr="005269E6">
          <w:rPr>
            <w:rStyle w:val="Hyperlink"/>
            <w:noProof/>
            <w:rtl/>
          </w:rPr>
          <w:t xml:space="preserve">الملاحظة </w:t>
        </w:r>
        <w:r w:rsidR="00834B83" w:rsidRPr="005269E6">
          <w:rPr>
            <w:rStyle w:val="Hyperlink"/>
            <w:noProof/>
          </w:rPr>
          <w:t>19</w:t>
        </w:r>
        <w:r w:rsidR="006C56AA" w:rsidRPr="005269E6">
          <w:rPr>
            <w:noProof/>
            <w:kern w:val="2"/>
            <w:rtl/>
            <w:lang w:val="en-GB" w:eastAsia="en-GB"/>
            <w14:ligatures w14:val="standardContextual"/>
          </w:rPr>
          <w:t xml:space="preserve"> - </w:t>
        </w:r>
        <w:r w:rsidR="00834B83" w:rsidRPr="005269E6">
          <w:rPr>
            <w:rStyle w:val="Hyperlink"/>
            <w:noProof/>
            <w:rtl/>
          </w:rPr>
          <w:t>الحسابات الاحتياطية</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_Toc162520637 \h </w:instrText>
        </w:r>
        <w:r w:rsidR="00834B83" w:rsidRPr="005269E6">
          <w:rPr>
            <w:noProof/>
            <w:webHidden/>
          </w:rPr>
        </w:r>
        <w:r w:rsidR="00834B83" w:rsidRPr="005269E6">
          <w:rPr>
            <w:noProof/>
            <w:webHidden/>
          </w:rPr>
          <w:fldChar w:fldCharType="separate"/>
        </w:r>
        <w:r w:rsidR="00834B83" w:rsidRPr="005269E6">
          <w:rPr>
            <w:noProof/>
            <w:webHidden/>
          </w:rPr>
          <w:t>56</w:t>
        </w:r>
        <w:r w:rsidR="00834B83" w:rsidRPr="005269E6">
          <w:rPr>
            <w:noProof/>
            <w:webHidden/>
          </w:rPr>
          <w:fldChar w:fldCharType="end"/>
        </w:r>
      </w:hyperlink>
    </w:p>
    <w:p w14:paraId="454366CC" w14:textId="431DBC8B" w:rsidR="00834B83" w:rsidRPr="005269E6" w:rsidRDefault="00F95576" w:rsidP="006C56AA">
      <w:pPr>
        <w:pStyle w:val="TOC1"/>
        <w:rPr>
          <w:noProof/>
          <w:kern w:val="2"/>
          <w:lang w:val="en-GB" w:eastAsia="en-GB"/>
          <w14:ligatures w14:val="standardContextual"/>
        </w:rPr>
      </w:pPr>
      <w:hyperlink w:anchor="_Toc162520638" w:history="1">
        <w:r w:rsidR="00834B83" w:rsidRPr="005269E6">
          <w:rPr>
            <w:rStyle w:val="Hyperlink"/>
            <w:noProof/>
            <w:rtl/>
          </w:rPr>
          <w:t xml:space="preserve">الملاحظة </w:t>
        </w:r>
        <w:r w:rsidR="00834B83" w:rsidRPr="005269E6">
          <w:rPr>
            <w:rStyle w:val="Hyperlink"/>
            <w:noProof/>
          </w:rPr>
          <w:t>20</w:t>
        </w:r>
        <w:r w:rsidR="006C56AA" w:rsidRPr="005269E6">
          <w:rPr>
            <w:noProof/>
            <w:kern w:val="2"/>
            <w:rtl/>
            <w:lang w:val="en-GB" w:eastAsia="en-GB"/>
            <w14:ligatures w14:val="standardContextual"/>
          </w:rPr>
          <w:t xml:space="preserve"> - </w:t>
        </w:r>
        <w:r w:rsidR="00834B83" w:rsidRPr="005269E6">
          <w:rPr>
            <w:rStyle w:val="Hyperlink"/>
            <w:noProof/>
            <w:rtl/>
          </w:rPr>
          <w:t>الديون الأخرى</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_Toc162520638 \h </w:instrText>
        </w:r>
        <w:r w:rsidR="00834B83" w:rsidRPr="005269E6">
          <w:rPr>
            <w:noProof/>
            <w:webHidden/>
          </w:rPr>
        </w:r>
        <w:r w:rsidR="00834B83" w:rsidRPr="005269E6">
          <w:rPr>
            <w:noProof/>
            <w:webHidden/>
          </w:rPr>
          <w:fldChar w:fldCharType="separate"/>
        </w:r>
        <w:r w:rsidR="00834B83" w:rsidRPr="005269E6">
          <w:rPr>
            <w:noProof/>
            <w:webHidden/>
          </w:rPr>
          <w:t>56</w:t>
        </w:r>
        <w:r w:rsidR="00834B83" w:rsidRPr="005269E6">
          <w:rPr>
            <w:noProof/>
            <w:webHidden/>
          </w:rPr>
          <w:fldChar w:fldCharType="end"/>
        </w:r>
      </w:hyperlink>
    </w:p>
    <w:p w14:paraId="45CB8BEE" w14:textId="39F31834" w:rsidR="00834B83" w:rsidRPr="005269E6" w:rsidRDefault="00F95576" w:rsidP="006C56AA">
      <w:pPr>
        <w:pStyle w:val="TOC1"/>
        <w:rPr>
          <w:noProof/>
          <w:kern w:val="2"/>
          <w:lang w:val="en-GB" w:eastAsia="en-GB"/>
          <w14:ligatures w14:val="standardContextual"/>
        </w:rPr>
      </w:pPr>
      <w:hyperlink w:anchor="_Toc162520639" w:history="1">
        <w:r w:rsidR="00834B83" w:rsidRPr="005269E6">
          <w:rPr>
            <w:rStyle w:val="Hyperlink"/>
            <w:noProof/>
            <w:rtl/>
          </w:rPr>
          <w:t xml:space="preserve">الملاحظة </w:t>
        </w:r>
        <w:r w:rsidR="00834B83" w:rsidRPr="005269E6">
          <w:rPr>
            <w:rStyle w:val="Hyperlink"/>
            <w:noProof/>
          </w:rPr>
          <w:t>21</w:t>
        </w:r>
        <w:r w:rsidR="006C56AA" w:rsidRPr="005269E6">
          <w:rPr>
            <w:noProof/>
            <w:kern w:val="2"/>
            <w:rtl/>
            <w:lang w:val="en-GB" w:eastAsia="en-GB"/>
            <w14:ligatures w14:val="standardContextual"/>
          </w:rPr>
          <w:t xml:space="preserve"> - </w:t>
        </w:r>
        <w:r w:rsidR="00834B83" w:rsidRPr="005269E6">
          <w:rPr>
            <w:rStyle w:val="Hyperlink"/>
            <w:noProof/>
            <w:rtl/>
          </w:rPr>
          <w:t>الأموال الخارجة عن الميزانية</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_Toc162520639 \h </w:instrText>
        </w:r>
        <w:r w:rsidR="00834B83" w:rsidRPr="005269E6">
          <w:rPr>
            <w:noProof/>
            <w:webHidden/>
          </w:rPr>
        </w:r>
        <w:r w:rsidR="00834B83" w:rsidRPr="005269E6">
          <w:rPr>
            <w:noProof/>
            <w:webHidden/>
          </w:rPr>
          <w:fldChar w:fldCharType="separate"/>
        </w:r>
        <w:r w:rsidR="00834B83" w:rsidRPr="005269E6">
          <w:rPr>
            <w:noProof/>
            <w:webHidden/>
          </w:rPr>
          <w:t>57</w:t>
        </w:r>
        <w:r w:rsidR="00834B83" w:rsidRPr="005269E6">
          <w:rPr>
            <w:noProof/>
            <w:webHidden/>
          </w:rPr>
          <w:fldChar w:fldCharType="end"/>
        </w:r>
      </w:hyperlink>
    </w:p>
    <w:p w14:paraId="2CC411EA" w14:textId="33B4CB96" w:rsidR="00834B83" w:rsidRPr="005269E6" w:rsidRDefault="00F95576" w:rsidP="006C56AA">
      <w:pPr>
        <w:pStyle w:val="TOC1"/>
        <w:rPr>
          <w:noProof/>
          <w:kern w:val="2"/>
          <w:lang w:val="en-GB" w:eastAsia="en-GB"/>
          <w14:ligatures w14:val="standardContextual"/>
        </w:rPr>
      </w:pPr>
      <w:hyperlink w:anchor="_Toc162520640" w:history="1">
        <w:r w:rsidR="00834B83" w:rsidRPr="005269E6">
          <w:rPr>
            <w:rStyle w:val="Hyperlink"/>
            <w:noProof/>
            <w:rtl/>
          </w:rPr>
          <w:t xml:space="preserve">الملاحظة </w:t>
        </w:r>
        <w:r w:rsidR="00834B83" w:rsidRPr="005269E6">
          <w:rPr>
            <w:rStyle w:val="Hyperlink"/>
            <w:noProof/>
          </w:rPr>
          <w:t>22</w:t>
        </w:r>
        <w:r w:rsidR="006C56AA" w:rsidRPr="005269E6">
          <w:rPr>
            <w:noProof/>
            <w:kern w:val="2"/>
            <w:rtl/>
            <w:lang w:val="en-GB" w:eastAsia="en-GB"/>
            <w14:ligatures w14:val="standardContextual"/>
          </w:rPr>
          <w:t xml:space="preserve"> - </w:t>
        </w:r>
        <w:r w:rsidR="00834B83" w:rsidRPr="005269E6">
          <w:rPr>
            <w:rStyle w:val="Hyperlink"/>
            <w:noProof/>
            <w:rtl/>
          </w:rPr>
          <w:t>الإيرادات</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_Toc162520640 \h </w:instrText>
        </w:r>
        <w:r w:rsidR="00834B83" w:rsidRPr="005269E6">
          <w:rPr>
            <w:noProof/>
            <w:webHidden/>
          </w:rPr>
        </w:r>
        <w:r w:rsidR="00834B83" w:rsidRPr="005269E6">
          <w:rPr>
            <w:noProof/>
            <w:webHidden/>
          </w:rPr>
          <w:fldChar w:fldCharType="separate"/>
        </w:r>
        <w:r w:rsidR="00834B83" w:rsidRPr="005269E6">
          <w:rPr>
            <w:noProof/>
            <w:webHidden/>
          </w:rPr>
          <w:t>57</w:t>
        </w:r>
        <w:r w:rsidR="00834B83" w:rsidRPr="005269E6">
          <w:rPr>
            <w:noProof/>
            <w:webHidden/>
          </w:rPr>
          <w:fldChar w:fldCharType="end"/>
        </w:r>
      </w:hyperlink>
    </w:p>
    <w:p w14:paraId="78EFF96C" w14:textId="3DF44D25" w:rsidR="00834B83" w:rsidRPr="005269E6" w:rsidRDefault="00F95576" w:rsidP="006C56AA">
      <w:pPr>
        <w:pStyle w:val="TOC1"/>
        <w:rPr>
          <w:noProof/>
          <w:kern w:val="2"/>
          <w:lang w:val="en-GB" w:eastAsia="en-GB"/>
          <w14:ligatures w14:val="standardContextual"/>
        </w:rPr>
      </w:pPr>
      <w:hyperlink w:anchor="_Toc162520641" w:history="1">
        <w:r w:rsidR="00834B83" w:rsidRPr="005269E6">
          <w:rPr>
            <w:rStyle w:val="Hyperlink"/>
            <w:noProof/>
            <w:spacing w:val="-4"/>
            <w:rtl/>
            <w:lang w:bidi="ar-SY"/>
          </w:rPr>
          <w:t xml:space="preserve">الملاحظة </w:t>
        </w:r>
        <w:r w:rsidR="00834B83" w:rsidRPr="005269E6">
          <w:rPr>
            <w:rStyle w:val="Hyperlink"/>
            <w:noProof/>
            <w:spacing w:val="-4"/>
          </w:rPr>
          <w:t>23</w:t>
        </w:r>
        <w:r w:rsidR="006C56AA" w:rsidRPr="005269E6">
          <w:rPr>
            <w:noProof/>
            <w:kern w:val="2"/>
            <w:rtl/>
            <w:lang w:val="en-GB" w:eastAsia="en-GB"/>
            <w14:ligatures w14:val="standardContextual"/>
          </w:rPr>
          <w:t xml:space="preserve"> - </w:t>
        </w:r>
        <w:r w:rsidR="00834B83" w:rsidRPr="005269E6">
          <w:rPr>
            <w:rStyle w:val="Hyperlink"/>
            <w:noProof/>
            <w:rtl/>
            <w:lang w:bidi="ar-SY"/>
          </w:rPr>
          <w:t>النفقات</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_Toc162520641 \h </w:instrText>
        </w:r>
        <w:r w:rsidR="00834B83" w:rsidRPr="005269E6">
          <w:rPr>
            <w:noProof/>
            <w:webHidden/>
          </w:rPr>
        </w:r>
        <w:r w:rsidR="00834B83" w:rsidRPr="005269E6">
          <w:rPr>
            <w:noProof/>
            <w:webHidden/>
          </w:rPr>
          <w:fldChar w:fldCharType="separate"/>
        </w:r>
        <w:r w:rsidR="00834B83" w:rsidRPr="005269E6">
          <w:rPr>
            <w:noProof/>
            <w:webHidden/>
          </w:rPr>
          <w:t>59</w:t>
        </w:r>
        <w:r w:rsidR="00834B83" w:rsidRPr="005269E6">
          <w:rPr>
            <w:noProof/>
            <w:webHidden/>
          </w:rPr>
          <w:fldChar w:fldCharType="end"/>
        </w:r>
      </w:hyperlink>
    </w:p>
    <w:p w14:paraId="2940A603" w14:textId="60405E81" w:rsidR="00834B83" w:rsidRPr="005269E6" w:rsidRDefault="00F95576" w:rsidP="006C56AA">
      <w:pPr>
        <w:pStyle w:val="TOC1"/>
        <w:rPr>
          <w:noProof/>
          <w:kern w:val="2"/>
          <w:lang w:val="en-GB" w:eastAsia="en-GB"/>
          <w14:ligatures w14:val="standardContextual"/>
        </w:rPr>
      </w:pPr>
      <w:hyperlink w:anchor="_Toc162520642" w:history="1">
        <w:r w:rsidR="00834B83" w:rsidRPr="005269E6">
          <w:rPr>
            <w:rStyle w:val="Hyperlink"/>
            <w:noProof/>
            <w:spacing w:val="-4"/>
            <w:rtl/>
            <w:lang w:bidi="ar-SY"/>
          </w:rPr>
          <w:t xml:space="preserve">الملاحظة </w:t>
        </w:r>
        <w:r w:rsidR="00834B83" w:rsidRPr="005269E6">
          <w:rPr>
            <w:rStyle w:val="Hyperlink"/>
            <w:noProof/>
            <w:spacing w:val="-4"/>
          </w:rPr>
          <w:t>24</w:t>
        </w:r>
        <w:r w:rsidR="006C56AA" w:rsidRPr="005269E6">
          <w:rPr>
            <w:noProof/>
            <w:kern w:val="2"/>
            <w:rtl/>
            <w:lang w:val="en-GB" w:eastAsia="en-GB"/>
            <w14:ligatures w14:val="standardContextual"/>
          </w:rPr>
          <w:t xml:space="preserve"> - </w:t>
        </w:r>
        <w:r w:rsidR="00834B83" w:rsidRPr="005269E6">
          <w:rPr>
            <w:rStyle w:val="Hyperlink"/>
            <w:noProof/>
            <w:rtl/>
            <w:lang w:bidi="ar-SY"/>
          </w:rPr>
          <w:t xml:space="preserve">الإبلاغ بحسب الأبواب – بيان الأداء المالي </w:t>
        </w:r>
        <w:r w:rsidR="00834B83" w:rsidRPr="005269E6">
          <w:rPr>
            <w:rStyle w:val="Hyperlink"/>
            <w:noProof/>
            <w:lang w:bidi="ar-SY"/>
          </w:rPr>
          <w:t>2022</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_Toc162520642 \h </w:instrText>
        </w:r>
        <w:r w:rsidR="00834B83" w:rsidRPr="005269E6">
          <w:rPr>
            <w:noProof/>
            <w:webHidden/>
          </w:rPr>
        </w:r>
        <w:r w:rsidR="00834B83" w:rsidRPr="005269E6">
          <w:rPr>
            <w:noProof/>
            <w:webHidden/>
          </w:rPr>
          <w:fldChar w:fldCharType="separate"/>
        </w:r>
        <w:r w:rsidR="00834B83" w:rsidRPr="005269E6">
          <w:rPr>
            <w:noProof/>
            <w:webHidden/>
          </w:rPr>
          <w:t>61</w:t>
        </w:r>
        <w:r w:rsidR="00834B83" w:rsidRPr="005269E6">
          <w:rPr>
            <w:noProof/>
            <w:webHidden/>
          </w:rPr>
          <w:fldChar w:fldCharType="end"/>
        </w:r>
      </w:hyperlink>
    </w:p>
    <w:p w14:paraId="302D8BA5" w14:textId="20766171" w:rsidR="00834B83" w:rsidRPr="005269E6" w:rsidRDefault="00F95576" w:rsidP="006C56AA">
      <w:pPr>
        <w:pStyle w:val="TOC1"/>
        <w:rPr>
          <w:noProof/>
          <w:kern w:val="2"/>
          <w:lang w:val="en-GB" w:eastAsia="en-GB"/>
          <w14:ligatures w14:val="standardContextual"/>
        </w:rPr>
      </w:pPr>
      <w:hyperlink w:anchor="_Toc162520643" w:history="1">
        <w:r w:rsidR="00834B83" w:rsidRPr="005269E6">
          <w:rPr>
            <w:rStyle w:val="Hyperlink"/>
            <w:noProof/>
            <w:rtl/>
          </w:rPr>
          <w:t xml:space="preserve">الملاحظة </w:t>
        </w:r>
        <w:r w:rsidR="00834B83" w:rsidRPr="005269E6">
          <w:rPr>
            <w:rStyle w:val="Hyperlink"/>
            <w:noProof/>
          </w:rPr>
          <w:t>25</w:t>
        </w:r>
        <w:r w:rsidR="006C56AA" w:rsidRPr="005269E6">
          <w:rPr>
            <w:noProof/>
            <w:kern w:val="2"/>
            <w:rtl/>
            <w:lang w:val="en-GB" w:eastAsia="en-GB"/>
            <w14:ligatures w14:val="standardContextual"/>
          </w:rPr>
          <w:t xml:space="preserve"> - </w:t>
        </w:r>
        <w:r w:rsidR="00834B83" w:rsidRPr="005269E6">
          <w:rPr>
            <w:rStyle w:val="Hyperlink"/>
            <w:noProof/>
            <w:rtl/>
          </w:rPr>
          <w:t>التوفيق بين المبالغ المدرجة في الميزانية والمبالغ الفعلية</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_Toc162520643 \h </w:instrText>
        </w:r>
        <w:r w:rsidR="00834B83" w:rsidRPr="005269E6">
          <w:rPr>
            <w:noProof/>
            <w:webHidden/>
          </w:rPr>
        </w:r>
        <w:r w:rsidR="00834B83" w:rsidRPr="005269E6">
          <w:rPr>
            <w:noProof/>
            <w:webHidden/>
          </w:rPr>
          <w:fldChar w:fldCharType="separate"/>
        </w:r>
        <w:r w:rsidR="00834B83" w:rsidRPr="005269E6">
          <w:rPr>
            <w:noProof/>
            <w:webHidden/>
          </w:rPr>
          <w:t>63</w:t>
        </w:r>
        <w:r w:rsidR="00834B83" w:rsidRPr="005269E6">
          <w:rPr>
            <w:noProof/>
            <w:webHidden/>
          </w:rPr>
          <w:fldChar w:fldCharType="end"/>
        </w:r>
      </w:hyperlink>
    </w:p>
    <w:p w14:paraId="5E530884" w14:textId="7884F913" w:rsidR="00834B83" w:rsidRPr="005269E6" w:rsidRDefault="00F95576" w:rsidP="006C56AA">
      <w:pPr>
        <w:pStyle w:val="TOC1"/>
        <w:rPr>
          <w:noProof/>
          <w:kern w:val="2"/>
          <w:lang w:val="en-GB" w:eastAsia="en-GB"/>
          <w14:ligatures w14:val="standardContextual"/>
        </w:rPr>
      </w:pPr>
      <w:hyperlink w:anchor="_Toc162520644" w:history="1">
        <w:r w:rsidR="00834B83" w:rsidRPr="005269E6">
          <w:rPr>
            <w:rStyle w:val="Hyperlink"/>
            <w:noProof/>
            <w:rtl/>
            <w:lang w:bidi="ar-SY"/>
          </w:rPr>
          <w:t xml:space="preserve">الملاحظة </w:t>
        </w:r>
        <w:r w:rsidR="00834B83" w:rsidRPr="005269E6">
          <w:rPr>
            <w:rStyle w:val="Hyperlink"/>
            <w:noProof/>
          </w:rPr>
          <w:t>26</w:t>
        </w:r>
        <w:r w:rsidR="006C56AA" w:rsidRPr="005269E6">
          <w:rPr>
            <w:noProof/>
            <w:kern w:val="2"/>
            <w:rtl/>
            <w:lang w:val="en-GB" w:eastAsia="en-GB"/>
            <w14:ligatures w14:val="standardContextual"/>
          </w:rPr>
          <w:t xml:space="preserve"> - </w:t>
        </w:r>
        <w:r w:rsidR="00834B83" w:rsidRPr="005269E6">
          <w:rPr>
            <w:rStyle w:val="Hyperlink"/>
            <w:noProof/>
            <w:rtl/>
            <w:lang w:bidi="ar-SY"/>
          </w:rPr>
          <w:t xml:space="preserve">الكشوف المتعلقة بالأطراف </w:t>
        </w:r>
        <w:r w:rsidR="00834B83" w:rsidRPr="005269E6">
          <w:rPr>
            <w:rStyle w:val="Hyperlink"/>
            <w:noProof/>
            <w:rtl/>
          </w:rPr>
          <w:t>المتكافلة</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_Toc162520644 \h </w:instrText>
        </w:r>
        <w:r w:rsidR="00834B83" w:rsidRPr="005269E6">
          <w:rPr>
            <w:noProof/>
            <w:webHidden/>
          </w:rPr>
        </w:r>
        <w:r w:rsidR="00834B83" w:rsidRPr="005269E6">
          <w:rPr>
            <w:noProof/>
            <w:webHidden/>
          </w:rPr>
          <w:fldChar w:fldCharType="separate"/>
        </w:r>
        <w:r w:rsidR="00834B83" w:rsidRPr="005269E6">
          <w:rPr>
            <w:noProof/>
            <w:webHidden/>
          </w:rPr>
          <w:t>65</w:t>
        </w:r>
        <w:r w:rsidR="00834B83" w:rsidRPr="005269E6">
          <w:rPr>
            <w:noProof/>
            <w:webHidden/>
          </w:rPr>
          <w:fldChar w:fldCharType="end"/>
        </w:r>
      </w:hyperlink>
    </w:p>
    <w:p w14:paraId="327A860C" w14:textId="2054439E" w:rsidR="00834B83" w:rsidRPr="005269E6" w:rsidRDefault="00F95576" w:rsidP="006C56AA">
      <w:pPr>
        <w:pStyle w:val="TOC1"/>
        <w:rPr>
          <w:noProof/>
          <w:kern w:val="2"/>
          <w:lang w:val="en-GB" w:eastAsia="en-GB"/>
          <w14:ligatures w14:val="standardContextual"/>
        </w:rPr>
      </w:pPr>
      <w:hyperlink w:anchor="_Toc162520645" w:history="1">
        <w:r w:rsidR="00834B83" w:rsidRPr="005269E6">
          <w:rPr>
            <w:rStyle w:val="Hyperlink"/>
            <w:noProof/>
            <w:rtl/>
          </w:rPr>
          <w:t xml:space="preserve">الملاحظة </w:t>
        </w:r>
        <w:r w:rsidR="00834B83" w:rsidRPr="005269E6">
          <w:rPr>
            <w:rStyle w:val="Hyperlink"/>
            <w:noProof/>
          </w:rPr>
          <w:t>27</w:t>
        </w:r>
        <w:r w:rsidR="006C56AA" w:rsidRPr="005269E6">
          <w:rPr>
            <w:noProof/>
            <w:kern w:val="2"/>
            <w:rtl/>
            <w:lang w:val="en-GB" w:eastAsia="en-GB"/>
            <w14:ligatures w14:val="standardContextual"/>
          </w:rPr>
          <w:t xml:space="preserve"> - </w:t>
        </w:r>
        <w:r w:rsidR="00834B83" w:rsidRPr="005269E6">
          <w:rPr>
            <w:rStyle w:val="Hyperlink"/>
            <w:noProof/>
            <w:rtl/>
          </w:rPr>
          <w:t>الالتزامات المستقبلية</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_Toc162520645 \h </w:instrText>
        </w:r>
        <w:r w:rsidR="00834B83" w:rsidRPr="005269E6">
          <w:rPr>
            <w:noProof/>
            <w:webHidden/>
          </w:rPr>
        </w:r>
        <w:r w:rsidR="00834B83" w:rsidRPr="005269E6">
          <w:rPr>
            <w:noProof/>
            <w:webHidden/>
          </w:rPr>
          <w:fldChar w:fldCharType="separate"/>
        </w:r>
        <w:r w:rsidR="00834B83" w:rsidRPr="005269E6">
          <w:rPr>
            <w:noProof/>
            <w:webHidden/>
          </w:rPr>
          <w:t>65</w:t>
        </w:r>
        <w:r w:rsidR="00834B83" w:rsidRPr="005269E6">
          <w:rPr>
            <w:noProof/>
            <w:webHidden/>
          </w:rPr>
          <w:fldChar w:fldCharType="end"/>
        </w:r>
      </w:hyperlink>
    </w:p>
    <w:p w14:paraId="217548E3" w14:textId="5BB2C5A9" w:rsidR="00834B83" w:rsidRPr="005269E6" w:rsidRDefault="00F95576" w:rsidP="006C56AA">
      <w:pPr>
        <w:pStyle w:val="TOC1"/>
        <w:rPr>
          <w:noProof/>
          <w:kern w:val="2"/>
          <w:lang w:val="en-GB" w:eastAsia="en-GB"/>
          <w14:ligatures w14:val="standardContextual"/>
        </w:rPr>
      </w:pPr>
      <w:hyperlink w:anchor="_Toc162520646" w:history="1">
        <w:r w:rsidR="00834B83" w:rsidRPr="005269E6">
          <w:rPr>
            <w:rStyle w:val="Hyperlink"/>
            <w:noProof/>
            <w:rtl/>
            <w:lang w:bidi="ar-SY"/>
          </w:rPr>
          <w:t xml:space="preserve">الملاحظة </w:t>
        </w:r>
        <w:r w:rsidR="00834B83" w:rsidRPr="005269E6">
          <w:rPr>
            <w:rStyle w:val="Hyperlink"/>
            <w:noProof/>
          </w:rPr>
          <w:t>28</w:t>
        </w:r>
        <w:r w:rsidR="006C56AA" w:rsidRPr="005269E6">
          <w:rPr>
            <w:noProof/>
            <w:kern w:val="2"/>
            <w:rtl/>
            <w:lang w:val="en-GB" w:eastAsia="en-GB"/>
            <w14:ligatures w14:val="standardContextual"/>
          </w:rPr>
          <w:t xml:space="preserve"> - </w:t>
        </w:r>
        <w:r w:rsidR="00834B83" w:rsidRPr="005269E6">
          <w:rPr>
            <w:rStyle w:val="Hyperlink"/>
            <w:noProof/>
            <w:rtl/>
            <w:lang w:bidi="ar-SY"/>
          </w:rPr>
          <w:t>مدفوعات</w:t>
        </w:r>
        <w:r w:rsidR="00834B83" w:rsidRPr="005269E6">
          <w:rPr>
            <w:rStyle w:val="Hyperlink"/>
            <w:noProof/>
            <w:lang w:bidi="ar-SY"/>
          </w:rPr>
          <w:t xml:space="preserve"> </w:t>
        </w:r>
        <w:r w:rsidR="00834B83" w:rsidRPr="005269E6">
          <w:rPr>
            <w:rStyle w:val="Hyperlink"/>
            <w:noProof/>
            <w:rtl/>
            <w:lang w:bidi="ar-SY"/>
          </w:rPr>
          <w:t>الإكراميات</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_Toc162520646 \h </w:instrText>
        </w:r>
        <w:r w:rsidR="00834B83" w:rsidRPr="005269E6">
          <w:rPr>
            <w:noProof/>
            <w:webHidden/>
          </w:rPr>
        </w:r>
        <w:r w:rsidR="00834B83" w:rsidRPr="005269E6">
          <w:rPr>
            <w:noProof/>
            <w:webHidden/>
          </w:rPr>
          <w:fldChar w:fldCharType="separate"/>
        </w:r>
        <w:r w:rsidR="00834B83" w:rsidRPr="005269E6">
          <w:rPr>
            <w:noProof/>
            <w:webHidden/>
          </w:rPr>
          <w:t>65</w:t>
        </w:r>
        <w:r w:rsidR="00834B83" w:rsidRPr="005269E6">
          <w:rPr>
            <w:noProof/>
            <w:webHidden/>
          </w:rPr>
          <w:fldChar w:fldCharType="end"/>
        </w:r>
      </w:hyperlink>
    </w:p>
    <w:p w14:paraId="2B79EDBB" w14:textId="7455C63F" w:rsidR="00834B83" w:rsidRPr="005269E6" w:rsidRDefault="00F95576" w:rsidP="006C56AA">
      <w:pPr>
        <w:pStyle w:val="TOC1"/>
        <w:rPr>
          <w:noProof/>
          <w:kern w:val="2"/>
          <w:lang w:val="en-GB" w:eastAsia="en-GB"/>
          <w14:ligatures w14:val="standardContextual"/>
        </w:rPr>
      </w:pPr>
      <w:hyperlink w:anchor="_Toc162520647" w:history="1">
        <w:r w:rsidR="00834B83" w:rsidRPr="005269E6">
          <w:rPr>
            <w:rStyle w:val="Hyperlink"/>
            <w:noProof/>
            <w:rtl/>
            <w:lang w:bidi="ar-SY"/>
          </w:rPr>
          <w:t xml:space="preserve">الملاحظة </w:t>
        </w:r>
        <w:r w:rsidR="00834B83" w:rsidRPr="005269E6">
          <w:rPr>
            <w:rStyle w:val="Hyperlink"/>
            <w:noProof/>
          </w:rPr>
          <w:t>29</w:t>
        </w:r>
        <w:r w:rsidR="006C56AA" w:rsidRPr="005269E6">
          <w:rPr>
            <w:noProof/>
            <w:kern w:val="2"/>
            <w:rtl/>
            <w:lang w:val="en-GB" w:eastAsia="en-GB"/>
            <w14:ligatures w14:val="standardContextual"/>
          </w:rPr>
          <w:t xml:space="preserve"> - </w:t>
        </w:r>
        <w:r w:rsidR="00834B83" w:rsidRPr="005269E6">
          <w:rPr>
            <w:rStyle w:val="Hyperlink"/>
            <w:noProof/>
            <w:rtl/>
            <w:lang w:bidi="ar-SY"/>
          </w:rPr>
          <w:t>الأحداث التي أعقبت تاريخ البيان المالي</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_Toc162520647 \h </w:instrText>
        </w:r>
        <w:r w:rsidR="00834B83" w:rsidRPr="005269E6">
          <w:rPr>
            <w:noProof/>
            <w:webHidden/>
          </w:rPr>
        </w:r>
        <w:r w:rsidR="00834B83" w:rsidRPr="005269E6">
          <w:rPr>
            <w:noProof/>
            <w:webHidden/>
          </w:rPr>
          <w:fldChar w:fldCharType="separate"/>
        </w:r>
        <w:r w:rsidR="00834B83" w:rsidRPr="005269E6">
          <w:rPr>
            <w:noProof/>
            <w:webHidden/>
          </w:rPr>
          <w:t>66</w:t>
        </w:r>
        <w:r w:rsidR="00834B83" w:rsidRPr="005269E6">
          <w:rPr>
            <w:noProof/>
            <w:webHidden/>
          </w:rPr>
          <w:fldChar w:fldCharType="end"/>
        </w:r>
      </w:hyperlink>
    </w:p>
    <w:p w14:paraId="7FA1DA6C" w14:textId="19A367A2" w:rsidR="00834B83" w:rsidRPr="005269E6" w:rsidRDefault="00F95576" w:rsidP="006C56AA">
      <w:pPr>
        <w:pStyle w:val="TOC1"/>
        <w:rPr>
          <w:noProof/>
          <w:kern w:val="2"/>
          <w:lang w:val="en-GB" w:eastAsia="en-GB"/>
          <w14:ligatures w14:val="standardContextual"/>
        </w:rPr>
      </w:pPr>
      <w:hyperlink w:anchor="_Toc162520648" w:history="1">
        <w:r w:rsidR="00834B83" w:rsidRPr="005269E6">
          <w:rPr>
            <w:rStyle w:val="Hyperlink"/>
            <w:noProof/>
            <w:rtl/>
            <w:lang w:bidi="ar-SY"/>
          </w:rPr>
          <w:t xml:space="preserve">الملاحظة </w:t>
        </w:r>
        <w:r w:rsidR="00834B83" w:rsidRPr="005269E6">
          <w:rPr>
            <w:rStyle w:val="Hyperlink"/>
            <w:noProof/>
          </w:rPr>
          <w:t>30</w:t>
        </w:r>
        <w:r w:rsidR="006C56AA" w:rsidRPr="005269E6">
          <w:rPr>
            <w:noProof/>
            <w:kern w:val="2"/>
            <w:rtl/>
            <w:lang w:val="en-GB" w:eastAsia="en-GB"/>
            <w14:ligatures w14:val="standardContextual"/>
          </w:rPr>
          <w:t xml:space="preserve"> - </w:t>
        </w:r>
        <w:r w:rsidR="00834B83" w:rsidRPr="005269E6">
          <w:rPr>
            <w:rStyle w:val="Hyperlink"/>
            <w:noProof/>
            <w:rtl/>
            <w:lang w:bidi="ar-SY"/>
          </w:rPr>
          <w:t>التغير في التقديرات المحاسبية والأخطاء</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_Toc162520648 \h </w:instrText>
        </w:r>
        <w:r w:rsidR="00834B83" w:rsidRPr="005269E6">
          <w:rPr>
            <w:noProof/>
            <w:webHidden/>
          </w:rPr>
        </w:r>
        <w:r w:rsidR="00834B83" w:rsidRPr="005269E6">
          <w:rPr>
            <w:noProof/>
            <w:webHidden/>
          </w:rPr>
          <w:fldChar w:fldCharType="separate"/>
        </w:r>
        <w:r w:rsidR="00834B83" w:rsidRPr="005269E6">
          <w:rPr>
            <w:noProof/>
            <w:webHidden/>
          </w:rPr>
          <w:t>66</w:t>
        </w:r>
        <w:r w:rsidR="00834B83" w:rsidRPr="005269E6">
          <w:rPr>
            <w:noProof/>
            <w:webHidden/>
          </w:rPr>
          <w:fldChar w:fldCharType="end"/>
        </w:r>
      </w:hyperlink>
    </w:p>
    <w:p w14:paraId="3D5F8D4B" w14:textId="1047C43C" w:rsidR="00834B83" w:rsidRPr="005269E6" w:rsidRDefault="00F95576" w:rsidP="006C56AA">
      <w:pPr>
        <w:pStyle w:val="TOC1"/>
        <w:rPr>
          <w:rFonts w:asciiTheme="minorHAnsi" w:hAnsiTheme="minorHAnsi" w:cstheme="minorBidi"/>
          <w:noProof/>
          <w:kern w:val="2"/>
          <w:lang w:val="en-GB" w:eastAsia="en-GB"/>
          <w14:ligatures w14:val="standardContextual"/>
        </w:rPr>
      </w:pPr>
      <w:hyperlink w:anchor="_Toc162520653" w:history="1">
        <w:r w:rsidR="00834B83" w:rsidRPr="005269E6">
          <w:rPr>
            <w:rStyle w:val="Hyperlink"/>
            <w:noProof/>
            <w:rtl/>
            <w:lang w:bidi="ar-SY"/>
          </w:rPr>
          <w:t>الملحق ألف</w:t>
        </w:r>
        <w:r w:rsidR="00BD75D4" w:rsidRPr="005269E6">
          <w:rPr>
            <w:rStyle w:val="Hyperlink"/>
            <w:rFonts w:hint="cs"/>
            <w:noProof/>
            <w:rtl/>
            <w:lang w:bidi="ar-SY"/>
          </w:rPr>
          <w:t xml:space="preserve"> - </w:t>
        </w:r>
        <w:r w:rsidR="00BD75D4" w:rsidRPr="005269E6">
          <w:rPr>
            <w:rFonts w:hint="cs"/>
            <w:rtl/>
          </w:rPr>
          <w:t>مشروع قرار</w:t>
        </w:r>
        <w:r w:rsidR="00834B83" w:rsidRPr="005269E6">
          <w:rPr>
            <w:noProof/>
            <w:webHidden/>
          </w:rPr>
          <w:tab/>
        </w:r>
        <w:r w:rsidR="006C56AA" w:rsidRPr="005269E6">
          <w:rPr>
            <w:noProof/>
            <w:webHidden/>
            <w:rtl/>
          </w:rPr>
          <w:tab/>
        </w:r>
        <w:r w:rsidR="00834B83" w:rsidRPr="005269E6">
          <w:rPr>
            <w:noProof/>
            <w:webHidden/>
          </w:rPr>
          <w:fldChar w:fldCharType="begin"/>
        </w:r>
        <w:r w:rsidR="00834B83" w:rsidRPr="005269E6">
          <w:rPr>
            <w:noProof/>
            <w:webHidden/>
          </w:rPr>
          <w:instrText xml:space="preserve"> PAGEREF _Toc162520653 \h </w:instrText>
        </w:r>
        <w:r w:rsidR="00834B83" w:rsidRPr="005269E6">
          <w:rPr>
            <w:noProof/>
            <w:webHidden/>
          </w:rPr>
        </w:r>
        <w:r w:rsidR="00834B83" w:rsidRPr="005269E6">
          <w:rPr>
            <w:noProof/>
            <w:webHidden/>
          </w:rPr>
          <w:fldChar w:fldCharType="separate"/>
        </w:r>
        <w:r w:rsidR="00834B83" w:rsidRPr="005269E6">
          <w:rPr>
            <w:noProof/>
            <w:webHidden/>
          </w:rPr>
          <w:t>77</w:t>
        </w:r>
        <w:r w:rsidR="00834B83" w:rsidRPr="005269E6">
          <w:rPr>
            <w:noProof/>
            <w:webHidden/>
          </w:rPr>
          <w:fldChar w:fldCharType="end"/>
        </w:r>
      </w:hyperlink>
    </w:p>
    <w:p w14:paraId="1C9A42BD" w14:textId="15BC5CAD" w:rsidR="00834B83" w:rsidRPr="005269E6" w:rsidRDefault="00834B83" w:rsidP="00834B83">
      <w:pPr>
        <w:rPr>
          <w:rtl/>
          <w:lang w:bidi="ar-EG"/>
        </w:rPr>
      </w:pPr>
      <w:r w:rsidRPr="005269E6">
        <w:rPr>
          <w:rtl/>
          <w:lang w:bidi="ar-EG"/>
        </w:rPr>
        <w:fldChar w:fldCharType="end"/>
      </w:r>
    </w:p>
    <w:p w14:paraId="64FF05E7" w14:textId="77777777" w:rsidR="00834B83" w:rsidRPr="005269E6" w:rsidRDefault="00834B83" w:rsidP="00834B83">
      <w:pPr>
        <w:tabs>
          <w:tab w:val="clear" w:pos="794"/>
        </w:tabs>
        <w:spacing w:before="0" w:after="160" w:line="259" w:lineRule="auto"/>
        <w:jc w:val="left"/>
        <w:rPr>
          <w:rFonts w:eastAsiaTheme="majorEastAsia"/>
          <w:b/>
          <w:bCs/>
          <w:color w:val="000000" w:themeColor="text1"/>
          <w:sz w:val="26"/>
          <w:szCs w:val="26"/>
          <w:lang w:eastAsia="en-US" w:bidi="ar-EG"/>
        </w:rPr>
      </w:pPr>
      <w:r w:rsidRPr="005269E6">
        <w:rPr>
          <w:color w:val="000000" w:themeColor="text1"/>
        </w:rPr>
        <w:br w:type="page"/>
      </w:r>
    </w:p>
    <w:p w14:paraId="2692666E" w14:textId="77777777" w:rsidR="00834B83" w:rsidRPr="005269E6" w:rsidRDefault="00834B83" w:rsidP="00834B83">
      <w:pPr>
        <w:pStyle w:val="Heading1"/>
      </w:pPr>
      <w:bookmarkStart w:id="0" w:name="_Toc162520609"/>
      <w:r w:rsidRPr="005269E6">
        <w:rPr>
          <w:rtl/>
        </w:rPr>
        <w:lastRenderedPageBreak/>
        <w:t>تحليل البيانات المالية</w:t>
      </w:r>
      <w:bookmarkEnd w:id="0"/>
    </w:p>
    <w:p w14:paraId="597058EF" w14:textId="77777777" w:rsidR="00834B83" w:rsidRPr="005269E6" w:rsidRDefault="00834B83" w:rsidP="00834B83">
      <w:pPr>
        <w:pStyle w:val="Headingb"/>
        <w:rPr>
          <w:rtl/>
        </w:rPr>
      </w:pPr>
      <w:r w:rsidRPr="005269E6">
        <w:rPr>
          <w:rtl/>
        </w:rPr>
        <w:t>مقدمة</w:t>
      </w:r>
    </w:p>
    <w:p w14:paraId="4610B3E6" w14:textId="77777777" w:rsidR="00834B83" w:rsidRPr="005269E6" w:rsidRDefault="00834B83" w:rsidP="00834B83">
      <w:pPr>
        <w:rPr>
          <w:lang w:bidi="ar-EG"/>
        </w:rPr>
      </w:pPr>
      <w:r w:rsidRPr="005269E6">
        <w:rPr>
          <w:lang w:bidi="ar-EG"/>
        </w:rPr>
        <w:t>1</w:t>
      </w:r>
      <w:r w:rsidRPr="005269E6">
        <w:rPr>
          <w:lang w:bidi="ar-EG"/>
        </w:rPr>
        <w:tab/>
      </w:r>
      <w:r w:rsidRPr="005269E6">
        <w:rPr>
          <w:rtl/>
          <w:lang w:bidi="ar-SY"/>
        </w:rPr>
        <w:t>تقدَّم البيانات المالية وتقرير الإدارة المالية للسنة المنتهية في 31 ديسمبر 2022 وفقاً للمادة 30 من اللوائح المالية للاتحاد – طبعة عام 2018.</w:t>
      </w:r>
    </w:p>
    <w:p w14:paraId="09D247B0" w14:textId="77777777" w:rsidR="00834B83" w:rsidRPr="005269E6" w:rsidRDefault="00834B83" w:rsidP="00834B83">
      <w:pPr>
        <w:rPr>
          <w:lang w:bidi="ar-EG"/>
        </w:rPr>
      </w:pPr>
      <w:r w:rsidRPr="005269E6">
        <w:rPr>
          <w:lang w:bidi="ar-EG"/>
        </w:rPr>
        <w:t>2</w:t>
      </w:r>
      <w:r w:rsidRPr="005269E6">
        <w:rPr>
          <w:lang w:bidi="ar-EG"/>
        </w:rPr>
        <w:tab/>
      </w:r>
      <w:r w:rsidRPr="005269E6">
        <w:rPr>
          <w:rtl/>
          <w:lang w:bidi="ar-SY"/>
        </w:rPr>
        <w:t>تُعد البيانات المالية وفقاً للمعايير المحاسبية الدولية للقطاع العام (</w:t>
      </w:r>
      <w:r w:rsidRPr="005269E6">
        <w:rPr>
          <w:lang w:bidi="ar-SY"/>
        </w:rPr>
        <w:t>IPSAS</w:t>
      </w:r>
      <w:r w:rsidRPr="005269E6">
        <w:rPr>
          <w:rtl/>
          <w:lang w:bidi="ar-SY"/>
        </w:rPr>
        <w:t>) وتغطي جميع عمليات المنظمة، بما في ذلك العمليات الممولة من الميزانية العادية والإيرادات من خارج الميزانية ومن التشغيل والتمويل.</w:t>
      </w:r>
    </w:p>
    <w:p w14:paraId="6314E933" w14:textId="77777777" w:rsidR="00834B83" w:rsidRPr="005269E6" w:rsidRDefault="00834B83" w:rsidP="00834B83">
      <w:pPr>
        <w:pStyle w:val="enumlev1"/>
        <w:rPr>
          <w:rtl/>
        </w:rPr>
      </w:pPr>
      <w:r w:rsidRPr="005269E6">
        <w:rPr>
          <w:rtl/>
        </w:rPr>
        <w:t xml:space="preserve"> أ )</w:t>
      </w:r>
      <w:r w:rsidRPr="005269E6">
        <w:rPr>
          <w:rtl/>
        </w:rPr>
        <w:tab/>
      </w:r>
      <w:r w:rsidRPr="005269E6">
        <w:rPr>
          <w:rtl/>
          <w:lang w:bidi="ar-EG"/>
        </w:rPr>
        <w:t>تحدد اللوائح المالية فترة مالية لفترة سنتين؛ ومع ذلك، وفقاً للمعايير المحاسبية الدولية للقطاع العام (</w:t>
      </w:r>
      <w:r w:rsidRPr="005269E6">
        <w:t>IPSAS</w:t>
      </w:r>
      <w:r w:rsidRPr="005269E6">
        <w:rPr>
          <w:rtl/>
          <w:lang w:bidi="ar-EG"/>
        </w:rPr>
        <w:t>)، يُتطلب عرض البيانات المالية السنوية. وتُعد ميزانية الاتحاد لفترة السنتين في إطار ميزانية قائمة على النتائج، ويشمل نطاقها ما يلي:</w:t>
      </w:r>
    </w:p>
    <w:p w14:paraId="3443478F" w14:textId="77777777" w:rsidR="00834B83" w:rsidRPr="005269E6" w:rsidRDefault="00834B83" w:rsidP="00834B83">
      <w:pPr>
        <w:pStyle w:val="enumlev2"/>
        <w:rPr>
          <w:rtl/>
          <w:lang w:bidi="ar-SY"/>
        </w:rPr>
      </w:pPr>
      <w:r w:rsidRPr="005269E6">
        <w:rPr>
          <w:rtl/>
          <w:lang w:bidi="ar-SY"/>
        </w:rPr>
        <w:t>’1‘</w:t>
      </w:r>
      <w:r w:rsidRPr="005269E6">
        <w:rPr>
          <w:rtl/>
          <w:lang w:bidi="ar-SY"/>
        </w:rPr>
        <w:tab/>
        <w:t>الميزانية العادية - مساهمات الدول الأعضاء وكذلك مساهمات أعضاء القطاعات والمنتسبين؛</w:t>
      </w:r>
    </w:p>
    <w:p w14:paraId="141D005C" w14:textId="77777777" w:rsidR="00834B83" w:rsidRPr="005269E6" w:rsidRDefault="00834B83" w:rsidP="00834B83">
      <w:pPr>
        <w:pStyle w:val="enumlev2"/>
        <w:rPr>
          <w:rtl/>
          <w:lang w:bidi="ar-SY"/>
        </w:rPr>
      </w:pPr>
      <w:r w:rsidRPr="005269E6">
        <w:rPr>
          <w:rtl/>
          <w:lang w:bidi="ar-SY"/>
        </w:rPr>
        <w:t>’2‘</w:t>
      </w:r>
      <w:r w:rsidRPr="005269E6">
        <w:rPr>
          <w:rtl/>
          <w:lang w:bidi="ar-SY"/>
        </w:rPr>
        <w:tab/>
        <w:t>إيرادات استرداد التكاليف (بما في ذلك المنشورات وبطاقات التبليغ عن الشبكات الساتلية والإيرادات المتأتية من الفوائد والأنشطة الأخرى المدرة للإيرادات)؛ والسحب، عند الضرورة، من حساب الاحتياطي.</w:t>
      </w:r>
    </w:p>
    <w:p w14:paraId="37A380DF" w14:textId="77777777" w:rsidR="00834B83" w:rsidRPr="005269E6" w:rsidRDefault="00834B83" w:rsidP="00834B83">
      <w:pPr>
        <w:pStyle w:val="enumlev1"/>
        <w:rPr>
          <w:rtl/>
        </w:rPr>
      </w:pPr>
      <w:r w:rsidRPr="005269E6">
        <w:rPr>
          <w:rtl/>
        </w:rPr>
        <w:t>ب)</w:t>
      </w:r>
      <w:r w:rsidRPr="005269E6">
        <w:rPr>
          <w:rtl/>
        </w:rPr>
        <w:tab/>
      </w:r>
      <w:r w:rsidRPr="005269E6">
        <w:rPr>
          <w:rtl/>
          <w:lang w:bidi="ar-EG"/>
        </w:rPr>
        <w:t>جميع الإيرادات الأخرى، بما فيها الأموال الخارجة عن الميزانية، غير المبلَّغ عنها في إطار ميزانية الاتحاد.</w:t>
      </w:r>
    </w:p>
    <w:p w14:paraId="1693AE60" w14:textId="77777777" w:rsidR="00834B83" w:rsidRPr="005269E6" w:rsidRDefault="00834B83" w:rsidP="00834B83">
      <w:pPr>
        <w:rPr>
          <w:rtl/>
          <w:lang w:bidi="ar-SY"/>
        </w:rPr>
      </w:pPr>
      <w:r w:rsidRPr="005269E6">
        <w:rPr>
          <w:rtl/>
          <w:lang w:bidi="ar-EG"/>
        </w:rPr>
        <w:t>3</w:t>
      </w:r>
      <w:r w:rsidRPr="005269E6">
        <w:rPr>
          <w:lang w:bidi="ar-EG"/>
        </w:rPr>
        <w:tab/>
      </w:r>
      <w:r w:rsidRPr="005269E6">
        <w:rPr>
          <w:rtl/>
          <w:lang w:bidi="ar-EG"/>
        </w:rPr>
        <w:t>ولا يؤثر الإبلاغ عن البيانات المالية على أساس المعايير المحاسبية الدولية للقطاع العام (</w:t>
      </w:r>
      <w:r w:rsidRPr="005269E6">
        <w:rPr>
          <w:lang w:bidi="ar-SY"/>
        </w:rPr>
        <w:t>IPSAS</w:t>
      </w:r>
      <w:r w:rsidRPr="005269E6">
        <w:rPr>
          <w:rtl/>
          <w:lang w:bidi="ar-EG"/>
        </w:rPr>
        <w:t>) على إعداد ميزانية الاتحاد على أساس النتائج أو الإبلاغ عنها، والتي يستمر عرضها على أساس نقدي معدَّل. ونظراً لاختلاف أساس الميزانية والبيانات المالية، ترد تسوية بين الميزانية وبيان الأداء المالي للمعايير المحاسبية الدولية للقطاع العام في إطار البيان الخامس: بيان المقارنة – بين الميزانية والمبالغ الفعلية في الملاحظة 25 من البيانات المالية.</w:t>
      </w:r>
    </w:p>
    <w:p w14:paraId="3A9557AA" w14:textId="6AD1CB82" w:rsidR="00834B83" w:rsidRPr="005269E6" w:rsidRDefault="00834B83" w:rsidP="00834B83">
      <w:pPr>
        <w:pStyle w:val="Headingb"/>
        <w:rPr>
          <w:rtl/>
          <w:lang w:bidi="ar-SY"/>
        </w:rPr>
      </w:pPr>
      <w:bookmarkStart w:id="1" w:name="_Toc452156573"/>
      <w:r w:rsidRPr="005269E6">
        <w:rPr>
          <w:rtl/>
        </w:rPr>
        <w:t>أبرز نقاط تقرير الإدارة المالية</w:t>
      </w:r>
      <w:bookmarkEnd w:id="1"/>
      <w:r w:rsidRPr="005269E6">
        <w:rPr>
          <w:rFonts w:hint="cs"/>
          <w:rtl/>
        </w:rPr>
        <w:t xml:space="preserve"> </w:t>
      </w:r>
      <w:r w:rsidRPr="005269E6">
        <w:t>2022</w:t>
      </w:r>
    </w:p>
    <w:p w14:paraId="0E50F6D8" w14:textId="77777777" w:rsidR="00834B83" w:rsidRPr="005269E6" w:rsidRDefault="00834B83" w:rsidP="00834B83">
      <w:pPr>
        <w:rPr>
          <w:spacing w:val="-2"/>
          <w:rtl/>
          <w:lang w:bidi="ar-SY"/>
        </w:rPr>
      </w:pPr>
      <w:r w:rsidRPr="005269E6">
        <w:rPr>
          <w:spacing w:val="-2"/>
          <w:lang w:bidi="ar-SY"/>
        </w:rPr>
        <w:t>4</w:t>
      </w:r>
      <w:r w:rsidRPr="005269E6">
        <w:rPr>
          <w:spacing w:val="-2"/>
          <w:rtl/>
          <w:lang w:bidi="ar-SY"/>
        </w:rPr>
        <w:tab/>
        <w:t>تُمسك حسابات الاتحاد بالفرنكات السويسرية. وتشمل البيانات المالية المعروضة أنشطة الاتحاد الخارجة عن الميزانية.</w:t>
      </w:r>
    </w:p>
    <w:p w14:paraId="531A6707" w14:textId="77777777" w:rsidR="00834B83" w:rsidRPr="005269E6" w:rsidRDefault="00834B83" w:rsidP="00834B83">
      <w:pPr>
        <w:keepNext/>
        <w:spacing w:after="120"/>
        <w:rPr>
          <w:rtl/>
          <w:lang w:bidi="ar-EG"/>
        </w:rPr>
      </w:pPr>
      <w:r w:rsidRPr="005269E6">
        <w:rPr>
          <w:lang w:bidi="ar-SY"/>
        </w:rPr>
        <w:t>5</w:t>
      </w:r>
      <w:r w:rsidRPr="005269E6">
        <w:rPr>
          <w:rtl/>
          <w:lang w:bidi="ar-SY"/>
        </w:rPr>
        <w:tab/>
        <w:t xml:space="preserve">يلخص الجدول </w:t>
      </w:r>
      <w:r w:rsidRPr="005269E6">
        <w:rPr>
          <w:lang w:bidi="ar-SY"/>
        </w:rPr>
        <w:t>1</w:t>
      </w:r>
      <w:r w:rsidRPr="005269E6">
        <w:rPr>
          <w:rtl/>
          <w:lang w:bidi="ar-SY"/>
        </w:rPr>
        <w:t xml:space="preserve"> أدناه الوضع المالي للاتحاد </w:t>
      </w:r>
      <w:bookmarkStart w:id="2" w:name="_Hlk160098519"/>
      <w:r w:rsidRPr="005269E6">
        <w:rPr>
          <w:rtl/>
          <w:lang w:bidi="ar-SY"/>
        </w:rPr>
        <w:t xml:space="preserve">عام </w:t>
      </w:r>
      <w:bookmarkEnd w:id="2"/>
      <w:r w:rsidRPr="005269E6">
        <w:rPr>
          <w:lang w:bidi="ar-SY"/>
        </w:rPr>
        <w:t>2022</w:t>
      </w:r>
      <w:r w:rsidRPr="005269E6">
        <w:rPr>
          <w:rtl/>
          <w:lang w:bidi="ar-SY"/>
        </w:rPr>
        <w:t xml:space="preserve"> بالمقارنة مع</w:t>
      </w:r>
      <w:r w:rsidRPr="005269E6">
        <w:rPr>
          <w:rtl/>
        </w:rPr>
        <w:t xml:space="preserve"> </w:t>
      </w:r>
      <w:r w:rsidRPr="005269E6">
        <w:rPr>
          <w:rtl/>
          <w:lang w:bidi="ar-SY"/>
        </w:rPr>
        <w:t xml:space="preserve">عام </w:t>
      </w:r>
      <w:r w:rsidRPr="005269E6">
        <w:rPr>
          <w:lang w:bidi="ar-SY"/>
        </w:rPr>
        <w:t>2021</w:t>
      </w:r>
      <w:r w:rsidRPr="005269E6">
        <w:rPr>
          <w:rtl/>
          <w:lang w:bidi="ar-EG"/>
        </w:rPr>
        <w:t>.</w:t>
      </w:r>
    </w:p>
    <w:p w14:paraId="36EF57FA" w14:textId="77777777" w:rsidR="00834B83" w:rsidRPr="005269E6" w:rsidRDefault="00834B83" w:rsidP="00834B83">
      <w:pPr>
        <w:pStyle w:val="Tabletitle"/>
        <w:rPr>
          <w:rtl/>
          <w:lang w:bidi="ar-EG"/>
        </w:rPr>
      </w:pPr>
      <w:r w:rsidRPr="005269E6">
        <w:rPr>
          <w:rtl/>
        </w:rPr>
        <w:t>الجدول 1 - الوضع المالي للسنتين 2022 و2021</w:t>
      </w:r>
    </w:p>
    <w:tbl>
      <w:tblPr>
        <w:tblStyle w:val="TableGrid0"/>
        <w:bidiVisual/>
        <w:tblW w:w="4000" w:type="pct"/>
        <w:jc w:val="center"/>
        <w:tblInd w:w="0" w:type="dxa"/>
        <w:tblCellMar>
          <w:top w:w="50" w:type="dxa"/>
          <w:left w:w="30" w:type="dxa"/>
          <w:right w:w="115" w:type="dxa"/>
        </w:tblCellMar>
        <w:tblLook w:val="04A0" w:firstRow="1" w:lastRow="0" w:firstColumn="1" w:lastColumn="0" w:noHBand="0" w:noVBand="1"/>
      </w:tblPr>
      <w:tblGrid>
        <w:gridCol w:w="4236"/>
        <w:gridCol w:w="1130"/>
        <w:gridCol w:w="1176"/>
        <w:gridCol w:w="1169"/>
      </w:tblGrid>
      <w:tr w:rsidR="00834B83" w:rsidRPr="005269E6" w14:paraId="2A5DA869" w14:textId="77777777" w:rsidTr="005C5B84">
        <w:trPr>
          <w:jc w:val="center"/>
        </w:trPr>
        <w:tc>
          <w:tcPr>
            <w:tcW w:w="4236" w:type="dxa"/>
            <w:tcBorders>
              <w:top w:val="nil"/>
              <w:left w:val="nil"/>
              <w:bottom w:val="nil"/>
              <w:right w:val="nil"/>
            </w:tcBorders>
            <w:shd w:val="clear" w:color="auto" w:fill="538DD5"/>
            <w:vAlign w:val="center"/>
          </w:tcPr>
          <w:p w14:paraId="170EE2E5" w14:textId="77777777" w:rsidR="00834B83" w:rsidRPr="005269E6" w:rsidRDefault="00834B83" w:rsidP="005C5B84">
            <w:pPr>
              <w:pStyle w:val="TableHead"/>
              <w:jc w:val="left"/>
              <w:rPr>
                <w:sz w:val="18"/>
                <w:szCs w:val="18"/>
              </w:rPr>
            </w:pPr>
            <w:r w:rsidRPr="005269E6">
              <w:rPr>
                <w:sz w:val="18"/>
                <w:szCs w:val="18"/>
                <w:rtl/>
              </w:rPr>
              <w:t>بآلاف الفرنكات السويسرية</w:t>
            </w:r>
          </w:p>
        </w:tc>
        <w:tc>
          <w:tcPr>
            <w:tcW w:w="1130" w:type="dxa"/>
            <w:tcBorders>
              <w:top w:val="nil"/>
              <w:left w:val="nil"/>
              <w:bottom w:val="nil"/>
              <w:right w:val="nil"/>
            </w:tcBorders>
            <w:shd w:val="clear" w:color="auto" w:fill="538DD5"/>
            <w:vAlign w:val="center"/>
          </w:tcPr>
          <w:p w14:paraId="31233333" w14:textId="77777777" w:rsidR="00834B83" w:rsidRPr="005269E6" w:rsidRDefault="00834B83" w:rsidP="005C5B84">
            <w:pPr>
              <w:pStyle w:val="TableHead"/>
              <w:rPr>
                <w:sz w:val="18"/>
                <w:szCs w:val="18"/>
              </w:rPr>
            </w:pPr>
            <w:r w:rsidRPr="005269E6">
              <w:rPr>
                <w:sz w:val="18"/>
                <w:szCs w:val="18"/>
              </w:rPr>
              <w:t>2022</w:t>
            </w:r>
          </w:p>
        </w:tc>
        <w:tc>
          <w:tcPr>
            <w:tcW w:w="1176" w:type="dxa"/>
            <w:tcBorders>
              <w:top w:val="nil"/>
              <w:left w:val="nil"/>
              <w:bottom w:val="nil"/>
              <w:right w:val="nil"/>
            </w:tcBorders>
            <w:shd w:val="clear" w:color="auto" w:fill="538DD5"/>
          </w:tcPr>
          <w:p w14:paraId="2E6FF45C" w14:textId="77777777" w:rsidR="00834B83" w:rsidRPr="005269E6" w:rsidRDefault="00834B83" w:rsidP="005C5B84">
            <w:pPr>
              <w:pStyle w:val="TableHead"/>
              <w:rPr>
                <w:sz w:val="18"/>
                <w:szCs w:val="18"/>
              </w:rPr>
            </w:pPr>
            <w:r w:rsidRPr="005269E6">
              <w:rPr>
                <w:sz w:val="18"/>
                <w:szCs w:val="18"/>
              </w:rPr>
              <w:t>2021</w:t>
            </w:r>
          </w:p>
          <w:p w14:paraId="17FE362E" w14:textId="77777777" w:rsidR="00834B83" w:rsidRPr="005269E6" w:rsidRDefault="00834B83" w:rsidP="005C5B84">
            <w:pPr>
              <w:pStyle w:val="TableHead"/>
              <w:rPr>
                <w:sz w:val="18"/>
                <w:szCs w:val="18"/>
              </w:rPr>
            </w:pPr>
            <w:r w:rsidRPr="005269E6">
              <w:rPr>
                <w:sz w:val="18"/>
                <w:szCs w:val="18"/>
                <w:rtl/>
              </w:rPr>
              <w:t>(المعاد بيانه)</w:t>
            </w:r>
          </w:p>
        </w:tc>
        <w:tc>
          <w:tcPr>
            <w:tcW w:w="1169" w:type="dxa"/>
            <w:tcBorders>
              <w:top w:val="nil"/>
              <w:left w:val="nil"/>
              <w:bottom w:val="nil"/>
              <w:right w:val="nil"/>
            </w:tcBorders>
            <w:shd w:val="clear" w:color="auto" w:fill="538DD5"/>
            <w:vAlign w:val="center"/>
          </w:tcPr>
          <w:p w14:paraId="0E714480" w14:textId="77777777" w:rsidR="00834B83" w:rsidRPr="005269E6" w:rsidRDefault="00834B83" w:rsidP="005C5B84">
            <w:pPr>
              <w:pStyle w:val="TableHead"/>
              <w:rPr>
                <w:sz w:val="18"/>
                <w:szCs w:val="18"/>
              </w:rPr>
            </w:pPr>
            <w:r w:rsidRPr="005269E6">
              <w:rPr>
                <w:sz w:val="18"/>
                <w:szCs w:val="18"/>
                <w:rtl/>
              </w:rPr>
              <w:t>الاختلاف</w:t>
            </w:r>
          </w:p>
        </w:tc>
      </w:tr>
      <w:tr w:rsidR="00834B83" w:rsidRPr="005269E6" w14:paraId="4C59702D" w14:textId="77777777" w:rsidTr="005C5B84">
        <w:trPr>
          <w:jc w:val="center"/>
        </w:trPr>
        <w:tc>
          <w:tcPr>
            <w:tcW w:w="4236" w:type="dxa"/>
            <w:tcBorders>
              <w:top w:val="nil"/>
              <w:left w:val="nil"/>
              <w:bottom w:val="nil"/>
              <w:right w:val="nil"/>
            </w:tcBorders>
            <w:shd w:val="clear" w:color="auto" w:fill="auto"/>
            <w:vAlign w:val="bottom"/>
          </w:tcPr>
          <w:p w14:paraId="661289AD" w14:textId="77777777" w:rsidR="00834B83" w:rsidRPr="005269E6" w:rsidRDefault="00834B83" w:rsidP="005C5B84">
            <w:pPr>
              <w:pStyle w:val="Tabletexte"/>
              <w:rPr>
                <w:sz w:val="18"/>
                <w:szCs w:val="18"/>
              </w:rPr>
            </w:pPr>
            <w:r w:rsidRPr="005269E6">
              <w:rPr>
                <w:sz w:val="18"/>
                <w:szCs w:val="18"/>
                <w:rtl/>
              </w:rPr>
              <w:t>الإيرادات</w:t>
            </w:r>
          </w:p>
        </w:tc>
        <w:tc>
          <w:tcPr>
            <w:tcW w:w="1130" w:type="dxa"/>
            <w:tcBorders>
              <w:top w:val="nil"/>
              <w:left w:val="nil"/>
              <w:bottom w:val="nil"/>
              <w:right w:val="nil"/>
            </w:tcBorders>
            <w:shd w:val="clear" w:color="auto" w:fill="auto"/>
            <w:vAlign w:val="center"/>
          </w:tcPr>
          <w:p w14:paraId="7038A143" w14:textId="77777777" w:rsidR="00834B83" w:rsidRPr="005269E6" w:rsidRDefault="00834B83" w:rsidP="0031505F">
            <w:pPr>
              <w:pStyle w:val="Tabletexte"/>
              <w:jc w:val="left"/>
              <w:rPr>
                <w:sz w:val="18"/>
                <w:szCs w:val="18"/>
              </w:rPr>
            </w:pPr>
            <w:r w:rsidRPr="005269E6">
              <w:rPr>
                <w:sz w:val="18"/>
                <w:szCs w:val="18"/>
              </w:rPr>
              <w:t>172 364</w:t>
            </w:r>
          </w:p>
        </w:tc>
        <w:tc>
          <w:tcPr>
            <w:tcW w:w="1176" w:type="dxa"/>
            <w:tcBorders>
              <w:top w:val="nil"/>
              <w:left w:val="nil"/>
              <w:bottom w:val="nil"/>
              <w:right w:val="nil"/>
            </w:tcBorders>
            <w:shd w:val="clear" w:color="auto" w:fill="auto"/>
          </w:tcPr>
          <w:p w14:paraId="478F8B5D" w14:textId="77777777" w:rsidR="00834B83" w:rsidRPr="005269E6" w:rsidRDefault="00834B83" w:rsidP="0031505F">
            <w:pPr>
              <w:pStyle w:val="Tabletexte"/>
              <w:jc w:val="left"/>
              <w:rPr>
                <w:sz w:val="18"/>
                <w:szCs w:val="18"/>
              </w:rPr>
            </w:pPr>
            <w:r w:rsidRPr="005269E6">
              <w:rPr>
                <w:sz w:val="18"/>
                <w:szCs w:val="18"/>
              </w:rPr>
              <w:t>177 586</w:t>
            </w:r>
          </w:p>
        </w:tc>
        <w:tc>
          <w:tcPr>
            <w:tcW w:w="1169" w:type="dxa"/>
            <w:tcBorders>
              <w:top w:val="nil"/>
              <w:left w:val="nil"/>
              <w:bottom w:val="nil"/>
              <w:right w:val="nil"/>
            </w:tcBorders>
            <w:shd w:val="clear" w:color="auto" w:fill="auto"/>
            <w:vAlign w:val="center"/>
          </w:tcPr>
          <w:p w14:paraId="68E24AB8" w14:textId="77777777" w:rsidR="00834B83" w:rsidRPr="005269E6" w:rsidRDefault="00834B83" w:rsidP="0031505F">
            <w:pPr>
              <w:pStyle w:val="Tabletexte"/>
              <w:jc w:val="left"/>
              <w:rPr>
                <w:sz w:val="18"/>
                <w:szCs w:val="18"/>
              </w:rPr>
            </w:pPr>
            <w:r w:rsidRPr="005269E6">
              <w:rPr>
                <w:sz w:val="18"/>
                <w:szCs w:val="18"/>
              </w:rPr>
              <w:t>(5 222)</w:t>
            </w:r>
          </w:p>
        </w:tc>
      </w:tr>
      <w:tr w:rsidR="00834B83" w:rsidRPr="005269E6" w14:paraId="76532431" w14:textId="77777777" w:rsidTr="005C5B84">
        <w:trPr>
          <w:jc w:val="center"/>
        </w:trPr>
        <w:tc>
          <w:tcPr>
            <w:tcW w:w="4236" w:type="dxa"/>
            <w:tcBorders>
              <w:top w:val="nil"/>
              <w:left w:val="nil"/>
              <w:bottom w:val="nil"/>
              <w:right w:val="nil"/>
            </w:tcBorders>
            <w:shd w:val="clear" w:color="auto" w:fill="auto"/>
            <w:vAlign w:val="bottom"/>
          </w:tcPr>
          <w:p w14:paraId="1E314771" w14:textId="77777777" w:rsidR="00834B83" w:rsidRPr="005269E6" w:rsidRDefault="00834B83" w:rsidP="005C5B84">
            <w:pPr>
              <w:pStyle w:val="Tabletexte"/>
              <w:rPr>
                <w:sz w:val="18"/>
                <w:szCs w:val="18"/>
              </w:rPr>
            </w:pPr>
            <w:r w:rsidRPr="005269E6">
              <w:rPr>
                <w:sz w:val="18"/>
                <w:szCs w:val="18"/>
                <w:rtl/>
              </w:rPr>
              <w:t>النفقات</w:t>
            </w:r>
          </w:p>
        </w:tc>
        <w:tc>
          <w:tcPr>
            <w:tcW w:w="1130" w:type="dxa"/>
            <w:tcBorders>
              <w:top w:val="nil"/>
              <w:left w:val="nil"/>
              <w:bottom w:val="nil"/>
              <w:right w:val="nil"/>
            </w:tcBorders>
            <w:shd w:val="clear" w:color="auto" w:fill="auto"/>
            <w:vAlign w:val="center"/>
          </w:tcPr>
          <w:p w14:paraId="638E6C67" w14:textId="77777777" w:rsidR="00834B83" w:rsidRPr="005269E6" w:rsidRDefault="00834B83" w:rsidP="0031505F">
            <w:pPr>
              <w:pStyle w:val="Tabletexte"/>
              <w:jc w:val="left"/>
              <w:rPr>
                <w:sz w:val="18"/>
                <w:szCs w:val="18"/>
              </w:rPr>
            </w:pPr>
            <w:r w:rsidRPr="005269E6">
              <w:rPr>
                <w:sz w:val="18"/>
                <w:szCs w:val="18"/>
              </w:rPr>
              <w:t>196 805</w:t>
            </w:r>
          </w:p>
        </w:tc>
        <w:tc>
          <w:tcPr>
            <w:tcW w:w="1176" w:type="dxa"/>
            <w:tcBorders>
              <w:top w:val="nil"/>
              <w:left w:val="nil"/>
              <w:bottom w:val="nil"/>
              <w:right w:val="nil"/>
            </w:tcBorders>
            <w:shd w:val="clear" w:color="auto" w:fill="auto"/>
          </w:tcPr>
          <w:p w14:paraId="69E187A7" w14:textId="77777777" w:rsidR="00834B83" w:rsidRPr="005269E6" w:rsidRDefault="00834B83" w:rsidP="0031505F">
            <w:pPr>
              <w:pStyle w:val="Tabletexte"/>
              <w:jc w:val="left"/>
              <w:rPr>
                <w:sz w:val="18"/>
                <w:szCs w:val="18"/>
              </w:rPr>
            </w:pPr>
            <w:r w:rsidRPr="005269E6">
              <w:rPr>
                <w:sz w:val="18"/>
                <w:szCs w:val="18"/>
              </w:rPr>
              <w:t>190 882</w:t>
            </w:r>
          </w:p>
        </w:tc>
        <w:tc>
          <w:tcPr>
            <w:tcW w:w="1169" w:type="dxa"/>
            <w:tcBorders>
              <w:top w:val="nil"/>
              <w:left w:val="nil"/>
              <w:bottom w:val="nil"/>
              <w:right w:val="nil"/>
            </w:tcBorders>
            <w:shd w:val="clear" w:color="auto" w:fill="auto"/>
            <w:vAlign w:val="center"/>
          </w:tcPr>
          <w:p w14:paraId="0C1E0283" w14:textId="77777777" w:rsidR="00834B83" w:rsidRPr="005269E6" w:rsidRDefault="00834B83" w:rsidP="0031505F">
            <w:pPr>
              <w:pStyle w:val="Tabletexte"/>
              <w:jc w:val="left"/>
              <w:rPr>
                <w:sz w:val="18"/>
                <w:szCs w:val="18"/>
              </w:rPr>
            </w:pPr>
            <w:r w:rsidRPr="005269E6">
              <w:rPr>
                <w:sz w:val="18"/>
                <w:szCs w:val="18"/>
              </w:rPr>
              <w:t>5 923</w:t>
            </w:r>
          </w:p>
        </w:tc>
      </w:tr>
      <w:tr w:rsidR="00834B83" w:rsidRPr="005269E6" w14:paraId="24CB8140" w14:textId="77777777" w:rsidTr="005C5B84">
        <w:trPr>
          <w:jc w:val="center"/>
        </w:trPr>
        <w:tc>
          <w:tcPr>
            <w:tcW w:w="4236" w:type="dxa"/>
            <w:tcBorders>
              <w:top w:val="nil"/>
              <w:left w:val="nil"/>
              <w:bottom w:val="nil"/>
              <w:right w:val="nil"/>
            </w:tcBorders>
            <w:shd w:val="clear" w:color="auto" w:fill="538DD5"/>
            <w:vAlign w:val="bottom"/>
          </w:tcPr>
          <w:p w14:paraId="6EA06C60" w14:textId="77777777" w:rsidR="00834B83" w:rsidRPr="005269E6" w:rsidRDefault="00834B83" w:rsidP="005C5B84">
            <w:pPr>
              <w:pStyle w:val="Tabletexte"/>
              <w:rPr>
                <w:b/>
                <w:bCs/>
                <w:sz w:val="18"/>
                <w:szCs w:val="18"/>
              </w:rPr>
            </w:pPr>
            <w:r w:rsidRPr="005269E6">
              <w:rPr>
                <w:b/>
                <w:bCs/>
                <w:sz w:val="18"/>
                <w:szCs w:val="18"/>
                <w:rtl/>
              </w:rPr>
              <w:t>الفائض (العجز)</w:t>
            </w:r>
          </w:p>
        </w:tc>
        <w:tc>
          <w:tcPr>
            <w:tcW w:w="1130" w:type="dxa"/>
            <w:tcBorders>
              <w:top w:val="nil"/>
              <w:left w:val="nil"/>
              <w:bottom w:val="nil"/>
              <w:right w:val="nil"/>
            </w:tcBorders>
            <w:shd w:val="clear" w:color="auto" w:fill="538DD5"/>
            <w:vAlign w:val="center"/>
          </w:tcPr>
          <w:p w14:paraId="1B6A9364" w14:textId="77777777" w:rsidR="00834B83" w:rsidRPr="005269E6" w:rsidRDefault="00834B83" w:rsidP="0031505F">
            <w:pPr>
              <w:pStyle w:val="Tabletexte"/>
              <w:jc w:val="left"/>
              <w:rPr>
                <w:b/>
                <w:bCs/>
                <w:sz w:val="18"/>
                <w:szCs w:val="18"/>
              </w:rPr>
            </w:pPr>
            <w:r w:rsidRPr="005269E6">
              <w:rPr>
                <w:b/>
                <w:bCs/>
                <w:sz w:val="18"/>
                <w:szCs w:val="18"/>
              </w:rPr>
              <w:t>(24 442)</w:t>
            </w:r>
          </w:p>
        </w:tc>
        <w:tc>
          <w:tcPr>
            <w:tcW w:w="1176" w:type="dxa"/>
            <w:tcBorders>
              <w:top w:val="nil"/>
              <w:left w:val="nil"/>
              <w:bottom w:val="nil"/>
              <w:right w:val="nil"/>
            </w:tcBorders>
            <w:shd w:val="clear" w:color="auto" w:fill="538DD5"/>
          </w:tcPr>
          <w:p w14:paraId="62A5282F" w14:textId="77777777" w:rsidR="00834B83" w:rsidRPr="005269E6" w:rsidRDefault="00834B83" w:rsidP="0031505F">
            <w:pPr>
              <w:pStyle w:val="Tabletexte"/>
              <w:jc w:val="left"/>
              <w:rPr>
                <w:b/>
                <w:bCs/>
                <w:sz w:val="18"/>
                <w:szCs w:val="18"/>
              </w:rPr>
            </w:pPr>
            <w:r w:rsidRPr="005269E6">
              <w:rPr>
                <w:b/>
                <w:bCs/>
                <w:sz w:val="18"/>
                <w:szCs w:val="18"/>
              </w:rPr>
              <w:t>(13 296)</w:t>
            </w:r>
          </w:p>
        </w:tc>
        <w:tc>
          <w:tcPr>
            <w:tcW w:w="1169" w:type="dxa"/>
            <w:tcBorders>
              <w:top w:val="nil"/>
              <w:left w:val="nil"/>
              <w:bottom w:val="nil"/>
              <w:right w:val="nil"/>
            </w:tcBorders>
            <w:shd w:val="clear" w:color="auto" w:fill="538DD5"/>
            <w:vAlign w:val="center"/>
          </w:tcPr>
          <w:p w14:paraId="75039080" w14:textId="77777777" w:rsidR="00834B83" w:rsidRPr="005269E6" w:rsidRDefault="00834B83" w:rsidP="0031505F">
            <w:pPr>
              <w:pStyle w:val="Tabletexte"/>
              <w:jc w:val="left"/>
              <w:rPr>
                <w:b/>
                <w:bCs/>
                <w:sz w:val="18"/>
                <w:szCs w:val="18"/>
              </w:rPr>
            </w:pPr>
            <w:r w:rsidRPr="005269E6">
              <w:rPr>
                <w:b/>
                <w:bCs/>
                <w:sz w:val="18"/>
                <w:szCs w:val="18"/>
              </w:rPr>
              <w:t>(11 145)</w:t>
            </w:r>
          </w:p>
        </w:tc>
      </w:tr>
      <w:tr w:rsidR="00834B83" w:rsidRPr="005269E6" w14:paraId="555A2BD5" w14:textId="77777777" w:rsidTr="005C5B84">
        <w:trPr>
          <w:jc w:val="center"/>
        </w:trPr>
        <w:tc>
          <w:tcPr>
            <w:tcW w:w="4236" w:type="dxa"/>
            <w:tcBorders>
              <w:top w:val="nil"/>
              <w:left w:val="nil"/>
              <w:bottom w:val="nil"/>
              <w:right w:val="nil"/>
            </w:tcBorders>
            <w:shd w:val="clear" w:color="auto" w:fill="auto"/>
            <w:vAlign w:val="bottom"/>
          </w:tcPr>
          <w:p w14:paraId="2E2A4CBE" w14:textId="77777777" w:rsidR="00834B83" w:rsidRPr="005269E6" w:rsidRDefault="00834B83" w:rsidP="005C5B84">
            <w:pPr>
              <w:pStyle w:val="Tabletexte"/>
              <w:rPr>
                <w:sz w:val="18"/>
                <w:szCs w:val="18"/>
              </w:rPr>
            </w:pPr>
            <w:r w:rsidRPr="005269E6">
              <w:rPr>
                <w:sz w:val="18"/>
                <w:szCs w:val="18"/>
                <w:rtl/>
              </w:rPr>
              <w:t>الأصول</w:t>
            </w:r>
          </w:p>
        </w:tc>
        <w:tc>
          <w:tcPr>
            <w:tcW w:w="1130" w:type="dxa"/>
            <w:tcBorders>
              <w:top w:val="nil"/>
              <w:left w:val="nil"/>
              <w:bottom w:val="nil"/>
              <w:right w:val="nil"/>
            </w:tcBorders>
            <w:shd w:val="clear" w:color="auto" w:fill="auto"/>
            <w:vAlign w:val="center"/>
          </w:tcPr>
          <w:p w14:paraId="27CEDC5B" w14:textId="77777777" w:rsidR="00834B83" w:rsidRPr="005269E6" w:rsidRDefault="00834B83" w:rsidP="0031505F">
            <w:pPr>
              <w:pStyle w:val="Tabletexte"/>
              <w:jc w:val="left"/>
              <w:rPr>
                <w:sz w:val="18"/>
                <w:szCs w:val="18"/>
              </w:rPr>
            </w:pPr>
            <w:r w:rsidRPr="005269E6">
              <w:rPr>
                <w:sz w:val="18"/>
                <w:szCs w:val="18"/>
              </w:rPr>
              <w:t>317 882</w:t>
            </w:r>
          </w:p>
        </w:tc>
        <w:tc>
          <w:tcPr>
            <w:tcW w:w="1176" w:type="dxa"/>
            <w:tcBorders>
              <w:top w:val="nil"/>
              <w:left w:val="nil"/>
              <w:bottom w:val="nil"/>
              <w:right w:val="nil"/>
            </w:tcBorders>
            <w:shd w:val="clear" w:color="auto" w:fill="auto"/>
          </w:tcPr>
          <w:p w14:paraId="45E865E7" w14:textId="77777777" w:rsidR="00834B83" w:rsidRPr="005269E6" w:rsidRDefault="00834B83" w:rsidP="0031505F">
            <w:pPr>
              <w:pStyle w:val="Tabletexte"/>
              <w:jc w:val="left"/>
              <w:rPr>
                <w:sz w:val="18"/>
                <w:szCs w:val="18"/>
              </w:rPr>
            </w:pPr>
            <w:r w:rsidRPr="005269E6">
              <w:rPr>
                <w:sz w:val="18"/>
                <w:szCs w:val="18"/>
              </w:rPr>
              <w:t>337 565</w:t>
            </w:r>
          </w:p>
        </w:tc>
        <w:tc>
          <w:tcPr>
            <w:tcW w:w="1169" w:type="dxa"/>
            <w:tcBorders>
              <w:top w:val="nil"/>
              <w:left w:val="nil"/>
              <w:bottom w:val="nil"/>
              <w:right w:val="nil"/>
            </w:tcBorders>
            <w:shd w:val="clear" w:color="auto" w:fill="auto"/>
            <w:vAlign w:val="center"/>
          </w:tcPr>
          <w:p w14:paraId="7F9A1665" w14:textId="77777777" w:rsidR="00834B83" w:rsidRPr="005269E6" w:rsidRDefault="00834B83" w:rsidP="0031505F">
            <w:pPr>
              <w:pStyle w:val="Tabletexte"/>
              <w:jc w:val="left"/>
              <w:rPr>
                <w:sz w:val="18"/>
                <w:szCs w:val="18"/>
              </w:rPr>
            </w:pPr>
            <w:r w:rsidRPr="005269E6">
              <w:rPr>
                <w:sz w:val="18"/>
                <w:szCs w:val="18"/>
              </w:rPr>
              <w:t>(19 683)</w:t>
            </w:r>
          </w:p>
        </w:tc>
      </w:tr>
      <w:tr w:rsidR="00834B83" w:rsidRPr="005269E6" w14:paraId="638D94B7" w14:textId="77777777" w:rsidTr="005C5B84">
        <w:trPr>
          <w:jc w:val="center"/>
        </w:trPr>
        <w:tc>
          <w:tcPr>
            <w:tcW w:w="4236" w:type="dxa"/>
            <w:tcBorders>
              <w:top w:val="nil"/>
              <w:left w:val="nil"/>
              <w:bottom w:val="nil"/>
              <w:right w:val="nil"/>
            </w:tcBorders>
            <w:shd w:val="clear" w:color="auto" w:fill="auto"/>
            <w:vAlign w:val="bottom"/>
          </w:tcPr>
          <w:p w14:paraId="7F50700E" w14:textId="77777777" w:rsidR="00834B83" w:rsidRPr="005269E6" w:rsidRDefault="00834B83" w:rsidP="005C5B84">
            <w:pPr>
              <w:pStyle w:val="Tabletexte"/>
              <w:rPr>
                <w:sz w:val="18"/>
                <w:szCs w:val="18"/>
              </w:rPr>
            </w:pPr>
            <w:r w:rsidRPr="005269E6">
              <w:rPr>
                <w:sz w:val="18"/>
                <w:szCs w:val="18"/>
                <w:rtl/>
              </w:rPr>
              <w:t>الخصوم</w:t>
            </w:r>
          </w:p>
        </w:tc>
        <w:tc>
          <w:tcPr>
            <w:tcW w:w="1130" w:type="dxa"/>
            <w:tcBorders>
              <w:top w:val="nil"/>
              <w:left w:val="nil"/>
              <w:bottom w:val="nil"/>
              <w:right w:val="nil"/>
            </w:tcBorders>
            <w:shd w:val="clear" w:color="auto" w:fill="auto"/>
            <w:vAlign w:val="center"/>
          </w:tcPr>
          <w:p w14:paraId="4BE7B595" w14:textId="77777777" w:rsidR="00834B83" w:rsidRPr="005269E6" w:rsidRDefault="00834B83" w:rsidP="0031505F">
            <w:pPr>
              <w:pStyle w:val="Tabletexte"/>
              <w:jc w:val="left"/>
              <w:rPr>
                <w:sz w:val="18"/>
                <w:szCs w:val="18"/>
              </w:rPr>
            </w:pPr>
            <w:r w:rsidRPr="005269E6">
              <w:rPr>
                <w:sz w:val="18"/>
                <w:szCs w:val="18"/>
              </w:rPr>
              <w:t>530 941</w:t>
            </w:r>
          </w:p>
        </w:tc>
        <w:tc>
          <w:tcPr>
            <w:tcW w:w="1176" w:type="dxa"/>
            <w:tcBorders>
              <w:top w:val="nil"/>
              <w:left w:val="nil"/>
              <w:bottom w:val="nil"/>
              <w:right w:val="nil"/>
            </w:tcBorders>
            <w:shd w:val="clear" w:color="auto" w:fill="auto"/>
          </w:tcPr>
          <w:p w14:paraId="132DEF92" w14:textId="77777777" w:rsidR="00834B83" w:rsidRPr="005269E6" w:rsidRDefault="00834B83" w:rsidP="0031505F">
            <w:pPr>
              <w:pStyle w:val="Tabletexte"/>
              <w:jc w:val="left"/>
              <w:rPr>
                <w:sz w:val="18"/>
                <w:szCs w:val="18"/>
              </w:rPr>
            </w:pPr>
            <w:r w:rsidRPr="005269E6">
              <w:rPr>
                <w:sz w:val="18"/>
                <w:szCs w:val="18"/>
              </w:rPr>
              <w:t>748 351</w:t>
            </w:r>
          </w:p>
        </w:tc>
        <w:tc>
          <w:tcPr>
            <w:tcW w:w="1169" w:type="dxa"/>
            <w:tcBorders>
              <w:top w:val="nil"/>
              <w:left w:val="nil"/>
              <w:bottom w:val="nil"/>
              <w:right w:val="nil"/>
            </w:tcBorders>
            <w:shd w:val="clear" w:color="auto" w:fill="auto"/>
            <w:vAlign w:val="center"/>
          </w:tcPr>
          <w:p w14:paraId="644C70BB" w14:textId="77777777" w:rsidR="00834B83" w:rsidRPr="005269E6" w:rsidRDefault="00834B83" w:rsidP="0031505F">
            <w:pPr>
              <w:pStyle w:val="Tabletexte"/>
              <w:jc w:val="left"/>
              <w:rPr>
                <w:sz w:val="18"/>
                <w:szCs w:val="18"/>
              </w:rPr>
            </w:pPr>
            <w:r w:rsidRPr="005269E6">
              <w:rPr>
                <w:sz w:val="18"/>
                <w:szCs w:val="18"/>
              </w:rPr>
              <w:t>(217 410)</w:t>
            </w:r>
          </w:p>
        </w:tc>
      </w:tr>
      <w:tr w:rsidR="00834B83" w:rsidRPr="005269E6" w14:paraId="25F0B724" w14:textId="77777777" w:rsidTr="005C5B84">
        <w:trPr>
          <w:jc w:val="center"/>
        </w:trPr>
        <w:tc>
          <w:tcPr>
            <w:tcW w:w="4236" w:type="dxa"/>
            <w:tcBorders>
              <w:top w:val="nil"/>
              <w:left w:val="nil"/>
              <w:bottom w:val="nil"/>
              <w:right w:val="nil"/>
            </w:tcBorders>
            <w:shd w:val="clear" w:color="auto" w:fill="538DD5"/>
            <w:vAlign w:val="bottom"/>
          </w:tcPr>
          <w:p w14:paraId="498F2811" w14:textId="77777777" w:rsidR="00834B83" w:rsidRPr="005269E6" w:rsidRDefault="00834B83" w:rsidP="005C5B84">
            <w:pPr>
              <w:pStyle w:val="Tabletexte"/>
              <w:rPr>
                <w:b/>
                <w:bCs/>
                <w:sz w:val="18"/>
                <w:szCs w:val="18"/>
              </w:rPr>
            </w:pPr>
            <w:r w:rsidRPr="005269E6">
              <w:rPr>
                <w:b/>
                <w:bCs/>
                <w:sz w:val="18"/>
                <w:szCs w:val="18"/>
                <w:rtl/>
              </w:rPr>
              <w:t>صافي الأصول</w:t>
            </w:r>
          </w:p>
        </w:tc>
        <w:tc>
          <w:tcPr>
            <w:tcW w:w="1130" w:type="dxa"/>
            <w:tcBorders>
              <w:top w:val="nil"/>
              <w:left w:val="nil"/>
              <w:bottom w:val="nil"/>
              <w:right w:val="nil"/>
            </w:tcBorders>
            <w:shd w:val="clear" w:color="auto" w:fill="538DD5"/>
            <w:vAlign w:val="center"/>
          </w:tcPr>
          <w:p w14:paraId="1400EA1F" w14:textId="77777777" w:rsidR="00834B83" w:rsidRPr="005269E6" w:rsidRDefault="00834B83" w:rsidP="0031505F">
            <w:pPr>
              <w:pStyle w:val="Tabletexte"/>
              <w:jc w:val="left"/>
              <w:rPr>
                <w:b/>
                <w:bCs/>
                <w:sz w:val="18"/>
                <w:szCs w:val="18"/>
              </w:rPr>
            </w:pPr>
            <w:r w:rsidRPr="005269E6">
              <w:rPr>
                <w:b/>
                <w:bCs/>
                <w:sz w:val="18"/>
                <w:szCs w:val="18"/>
              </w:rPr>
              <w:t>(213 059)</w:t>
            </w:r>
          </w:p>
        </w:tc>
        <w:tc>
          <w:tcPr>
            <w:tcW w:w="1176" w:type="dxa"/>
            <w:tcBorders>
              <w:top w:val="nil"/>
              <w:left w:val="nil"/>
              <w:bottom w:val="nil"/>
              <w:right w:val="nil"/>
            </w:tcBorders>
            <w:shd w:val="clear" w:color="auto" w:fill="538DD5"/>
          </w:tcPr>
          <w:p w14:paraId="022267DB" w14:textId="77777777" w:rsidR="00834B83" w:rsidRPr="005269E6" w:rsidRDefault="00834B83" w:rsidP="0031505F">
            <w:pPr>
              <w:pStyle w:val="Tabletexte"/>
              <w:jc w:val="left"/>
              <w:rPr>
                <w:b/>
                <w:bCs/>
                <w:sz w:val="18"/>
                <w:szCs w:val="18"/>
              </w:rPr>
            </w:pPr>
            <w:r w:rsidRPr="005269E6">
              <w:rPr>
                <w:b/>
                <w:bCs/>
                <w:sz w:val="18"/>
                <w:szCs w:val="18"/>
              </w:rPr>
              <w:t>(410 786)</w:t>
            </w:r>
          </w:p>
        </w:tc>
        <w:tc>
          <w:tcPr>
            <w:tcW w:w="1169" w:type="dxa"/>
            <w:tcBorders>
              <w:top w:val="nil"/>
              <w:left w:val="nil"/>
              <w:bottom w:val="nil"/>
              <w:right w:val="nil"/>
            </w:tcBorders>
            <w:shd w:val="clear" w:color="auto" w:fill="538DD5"/>
            <w:vAlign w:val="center"/>
          </w:tcPr>
          <w:p w14:paraId="7CF6DFB2" w14:textId="77777777" w:rsidR="00834B83" w:rsidRPr="005269E6" w:rsidRDefault="00834B83" w:rsidP="0031505F">
            <w:pPr>
              <w:pStyle w:val="Tabletexte"/>
              <w:jc w:val="left"/>
              <w:rPr>
                <w:b/>
                <w:bCs/>
                <w:sz w:val="18"/>
                <w:szCs w:val="18"/>
              </w:rPr>
            </w:pPr>
            <w:r w:rsidRPr="005269E6">
              <w:rPr>
                <w:b/>
                <w:bCs/>
                <w:sz w:val="18"/>
                <w:szCs w:val="18"/>
              </w:rPr>
              <w:t>197 727</w:t>
            </w:r>
          </w:p>
        </w:tc>
      </w:tr>
    </w:tbl>
    <w:p w14:paraId="1EAE93DB" w14:textId="77777777" w:rsidR="00834B83" w:rsidRPr="005269E6" w:rsidRDefault="00834B83" w:rsidP="00784B2E">
      <w:pPr>
        <w:spacing w:before="240"/>
        <w:rPr>
          <w:lang w:bidi="ar-EG"/>
        </w:rPr>
      </w:pPr>
      <w:r w:rsidRPr="005269E6">
        <w:rPr>
          <w:lang w:bidi="ar-EG"/>
        </w:rPr>
        <w:t>6</w:t>
      </w:r>
      <w:r w:rsidRPr="005269E6">
        <w:rPr>
          <w:lang w:bidi="ar-EG"/>
        </w:rPr>
        <w:tab/>
      </w:r>
      <w:r w:rsidRPr="005269E6">
        <w:rPr>
          <w:rtl/>
          <w:lang w:bidi="ar-EG"/>
        </w:rPr>
        <w:t>كما ذُكر في الجدول 1 أعلاه، هناك انخفاض في</w:t>
      </w:r>
      <w:r w:rsidRPr="005269E6">
        <w:rPr>
          <w:rtl/>
        </w:rPr>
        <w:t xml:space="preserve"> </w:t>
      </w:r>
      <w:r w:rsidRPr="005269E6">
        <w:rPr>
          <w:rtl/>
          <w:lang w:bidi="ar-EG"/>
        </w:rPr>
        <w:t>إجمالي الإيرادات عام 2022 مقارنة بعام 2021 بمقدار 5,2 مليون فرنك سويسري. ويعزى هذا الانخفاض إلى انخفاض في استرداد التكاليف وإيرادات التمويل بمبلغ 11 مليون فرنك سويسري تقابله زيادات في المساهمات المقررة والمساهمات الخارجة عن الميزانية (5,8 مليون فرنك سويسري). وزادت أيضاً نفقات عام 2022 مقارنة بعام 2021 بمقدار 5,9 مليون فرنك سويسري وهي ناتجة بمعظمها عن زيادات في نفقات البعثات والعاملين ونفقات التشغيل الأخرى. وتقدم الأقسام التالية مزيداً من التحليل للإيرادات والنفقات.</w:t>
      </w:r>
    </w:p>
    <w:p w14:paraId="2A6AFFBE" w14:textId="77777777" w:rsidR="00834B83" w:rsidRPr="005269E6" w:rsidRDefault="00834B83" w:rsidP="00834B83">
      <w:pPr>
        <w:rPr>
          <w:lang w:bidi="ar-EG"/>
        </w:rPr>
      </w:pPr>
      <w:r w:rsidRPr="005269E6">
        <w:rPr>
          <w:lang w:bidi="ar-EG"/>
        </w:rPr>
        <w:lastRenderedPageBreak/>
        <w:t>7</w:t>
      </w:r>
      <w:r w:rsidRPr="005269E6">
        <w:rPr>
          <w:lang w:bidi="ar-EG"/>
        </w:rPr>
        <w:tab/>
      </w:r>
      <w:r w:rsidRPr="005269E6">
        <w:rPr>
          <w:rtl/>
          <w:lang w:bidi="ar-EG"/>
        </w:rPr>
        <w:t>وانخفضت أصول المنظمة بمقدار 19,7 مليون فرنك سويسري، ويرجع ذلك في الغالب إلى الأموال النقدية وما يعادلها والاستثمارات والذمم المدينة. وانخفضت الخصوم بمبلغ 217,4 مليون فرنك سويسري، ويعزى ذلك إلى انخفاض قيمة صندوق التأمين الصحي بعد انتهاء الخدمة (</w:t>
      </w:r>
      <w:r w:rsidRPr="005269E6">
        <w:rPr>
          <w:lang w:bidi="ar-EG"/>
        </w:rPr>
        <w:t>ASHI</w:t>
      </w:r>
      <w:r w:rsidRPr="005269E6">
        <w:rPr>
          <w:rtl/>
          <w:lang w:bidi="ar-EG"/>
        </w:rPr>
        <w:t>)، نتيجة للتغيرات في معدلات الخصم.</w:t>
      </w:r>
    </w:p>
    <w:p w14:paraId="65E1E4ED" w14:textId="77777777" w:rsidR="00834B83" w:rsidRPr="005269E6" w:rsidRDefault="00834B83" w:rsidP="00834B83">
      <w:pPr>
        <w:rPr>
          <w:spacing w:val="-2"/>
          <w:lang w:bidi="ar-SY"/>
        </w:rPr>
      </w:pPr>
      <w:r w:rsidRPr="005269E6">
        <w:rPr>
          <w:spacing w:val="-2"/>
          <w:lang w:bidi="ar-EG"/>
        </w:rPr>
        <w:t>8</w:t>
      </w:r>
      <w:r w:rsidRPr="005269E6">
        <w:rPr>
          <w:spacing w:val="-2"/>
          <w:lang w:bidi="ar-EG"/>
        </w:rPr>
        <w:tab/>
      </w:r>
      <w:r w:rsidRPr="005269E6">
        <w:rPr>
          <w:spacing w:val="-2"/>
          <w:rtl/>
          <w:lang w:bidi="ar-EG"/>
        </w:rPr>
        <w:t>والعجز المشار إليه أعلاه</w:t>
      </w:r>
      <w:r w:rsidRPr="005269E6">
        <w:rPr>
          <w:spacing w:val="-2"/>
          <w:rtl/>
        </w:rPr>
        <w:t xml:space="preserve"> </w:t>
      </w:r>
      <w:r w:rsidRPr="005269E6">
        <w:rPr>
          <w:spacing w:val="-2"/>
          <w:rtl/>
          <w:lang w:bidi="ar-EG"/>
        </w:rPr>
        <w:t>والبالغ 24,4 مليون فرنك سويسري هو المبلغ الإجمالي للنفقات التي تجاوزت الإيرادات في عام 2022 لمنظمة الاتحاد بأكملها. بيد أن العجز مقابل تنفيذ الميزانية يبلغ 4,8 مليون فرنك سويسري، وهو ما يرد توثيقه بالتفصيل في البيان الخامس ويرد شرحه كذلك في الملاحظة 25 من البيانات المالية. ويبين الجدول 2 أدناه تمويل عجز الميزانية من الاحتياطي والوفورات من أموال السنوات السابقة. وفي 31 ديسمبر 2022، بلغ رصيد صندوق الاحتياطي 28,4 مليون فرنك سويسري.</w:t>
      </w:r>
    </w:p>
    <w:p w14:paraId="26184E30" w14:textId="77777777" w:rsidR="00834B83" w:rsidRPr="005269E6" w:rsidRDefault="00834B83" w:rsidP="00834B83">
      <w:pPr>
        <w:pStyle w:val="Tabletitle"/>
        <w:rPr>
          <w:rtl/>
          <w:lang w:bidi="ar-EG"/>
        </w:rPr>
      </w:pPr>
      <w:r w:rsidRPr="005269E6">
        <w:rPr>
          <w:rtl/>
          <w:lang w:bidi="ar-SA"/>
        </w:rPr>
        <w:t>الجدول 2 - تمويل ميزانية عام 2022</w:t>
      </w:r>
    </w:p>
    <w:tbl>
      <w:tblPr>
        <w:tblStyle w:val="TableGrid0"/>
        <w:bidiVisual/>
        <w:tblW w:w="4000" w:type="pct"/>
        <w:jc w:val="center"/>
        <w:tblInd w:w="0" w:type="dxa"/>
        <w:tblCellMar>
          <w:left w:w="28" w:type="dxa"/>
          <w:right w:w="28" w:type="dxa"/>
        </w:tblCellMar>
        <w:tblLook w:val="04A0" w:firstRow="1" w:lastRow="0" w:firstColumn="1" w:lastColumn="0" w:noHBand="0" w:noVBand="1"/>
      </w:tblPr>
      <w:tblGrid>
        <w:gridCol w:w="5303"/>
        <w:gridCol w:w="1204"/>
        <w:gridCol w:w="1204"/>
      </w:tblGrid>
      <w:tr w:rsidR="00834B83" w:rsidRPr="005269E6" w14:paraId="6F09CDD2" w14:textId="77777777" w:rsidTr="005C5B84">
        <w:trPr>
          <w:jc w:val="center"/>
        </w:trPr>
        <w:tc>
          <w:tcPr>
            <w:tcW w:w="5303" w:type="dxa"/>
            <w:tcBorders>
              <w:top w:val="nil"/>
              <w:left w:val="nil"/>
              <w:bottom w:val="nil"/>
              <w:right w:val="nil"/>
            </w:tcBorders>
            <w:shd w:val="clear" w:color="auto" w:fill="538DD5"/>
            <w:vAlign w:val="center"/>
          </w:tcPr>
          <w:p w14:paraId="0D7C451B" w14:textId="77777777" w:rsidR="00834B83" w:rsidRPr="005269E6" w:rsidRDefault="00834B83" w:rsidP="005C5B84">
            <w:pPr>
              <w:pStyle w:val="TableHead"/>
              <w:jc w:val="both"/>
              <w:rPr>
                <w:sz w:val="18"/>
                <w:szCs w:val="18"/>
              </w:rPr>
            </w:pPr>
            <w:r w:rsidRPr="005269E6">
              <w:rPr>
                <w:sz w:val="18"/>
                <w:szCs w:val="18"/>
                <w:rtl/>
                <w:lang w:bidi="ar-SY"/>
              </w:rPr>
              <w:t>وصف</w:t>
            </w:r>
          </w:p>
        </w:tc>
        <w:tc>
          <w:tcPr>
            <w:tcW w:w="1204" w:type="dxa"/>
            <w:tcBorders>
              <w:top w:val="nil"/>
              <w:left w:val="nil"/>
              <w:bottom w:val="nil"/>
              <w:right w:val="nil"/>
            </w:tcBorders>
            <w:shd w:val="clear" w:color="auto" w:fill="538DD5"/>
          </w:tcPr>
          <w:p w14:paraId="7373E317" w14:textId="77777777" w:rsidR="00834B83" w:rsidRPr="005269E6" w:rsidRDefault="00834B83" w:rsidP="005C5B84">
            <w:pPr>
              <w:pStyle w:val="TableHead"/>
              <w:rPr>
                <w:sz w:val="18"/>
                <w:szCs w:val="18"/>
              </w:rPr>
            </w:pPr>
          </w:p>
        </w:tc>
        <w:tc>
          <w:tcPr>
            <w:tcW w:w="1204" w:type="dxa"/>
            <w:tcBorders>
              <w:top w:val="nil"/>
              <w:left w:val="nil"/>
              <w:bottom w:val="nil"/>
              <w:right w:val="nil"/>
            </w:tcBorders>
            <w:shd w:val="clear" w:color="auto" w:fill="538DD5"/>
            <w:vAlign w:val="center"/>
          </w:tcPr>
          <w:p w14:paraId="3FDBD1BB" w14:textId="77777777" w:rsidR="00834B83" w:rsidRPr="005269E6" w:rsidRDefault="00834B83" w:rsidP="005C5B84">
            <w:pPr>
              <w:pStyle w:val="TableHead"/>
              <w:rPr>
                <w:sz w:val="18"/>
                <w:szCs w:val="18"/>
              </w:rPr>
            </w:pPr>
            <w:r w:rsidRPr="005269E6">
              <w:rPr>
                <w:sz w:val="18"/>
                <w:szCs w:val="18"/>
                <w:rtl/>
              </w:rPr>
              <w:t>بآلاف الفرنكات السويسرية</w:t>
            </w:r>
          </w:p>
        </w:tc>
      </w:tr>
      <w:tr w:rsidR="00834B83" w:rsidRPr="005269E6" w14:paraId="2143EDAA" w14:textId="77777777" w:rsidTr="005C5B84">
        <w:trPr>
          <w:jc w:val="center"/>
        </w:trPr>
        <w:tc>
          <w:tcPr>
            <w:tcW w:w="5303" w:type="dxa"/>
            <w:tcBorders>
              <w:top w:val="nil"/>
              <w:left w:val="nil"/>
              <w:bottom w:val="nil"/>
              <w:right w:val="nil"/>
            </w:tcBorders>
            <w:vAlign w:val="bottom"/>
          </w:tcPr>
          <w:p w14:paraId="6629D7CA" w14:textId="77777777" w:rsidR="00834B83" w:rsidRPr="005269E6" w:rsidRDefault="00834B83" w:rsidP="005C5B84">
            <w:pPr>
              <w:pStyle w:val="Tabletexte"/>
              <w:rPr>
                <w:sz w:val="18"/>
                <w:szCs w:val="18"/>
              </w:rPr>
            </w:pPr>
            <w:r w:rsidRPr="005269E6">
              <w:rPr>
                <w:sz w:val="18"/>
                <w:szCs w:val="18"/>
                <w:rtl/>
              </w:rPr>
              <w:t>عجز ميزانية عام 2022</w:t>
            </w:r>
          </w:p>
        </w:tc>
        <w:tc>
          <w:tcPr>
            <w:tcW w:w="1204" w:type="dxa"/>
            <w:tcBorders>
              <w:top w:val="nil"/>
              <w:left w:val="nil"/>
              <w:bottom w:val="nil"/>
              <w:right w:val="nil"/>
            </w:tcBorders>
            <w:vAlign w:val="bottom"/>
          </w:tcPr>
          <w:p w14:paraId="6E484CCD" w14:textId="77777777" w:rsidR="00834B83" w:rsidRPr="005269E6" w:rsidRDefault="00834B83" w:rsidP="0031505F">
            <w:pPr>
              <w:pStyle w:val="Tabletexte"/>
              <w:jc w:val="left"/>
              <w:rPr>
                <w:sz w:val="18"/>
                <w:szCs w:val="18"/>
              </w:rPr>
            </w:pPr>
          </w:p>
        </w:tc>
        <w:tc>
          <w:tcPr>
            <w:tcW w:w="1204" w:type="dxa"/>
            <w:tcBorders>
              <w:top w:val="nil"/>
              <w:left w:val="nil"/>
              <w:bottom w:val="nil"/>
              <w:right w:val="nil"/>
            </w:tcBorders>
            <w:vAlign w:val="bottom"/>
          </w:tcPr>
          <w:p w14:paraId="66B74E4E" w14:textId="77777777" w:rsidR="00834B83" w:rsidRPr="005269E6" w:rsidRDefault="00834B83" w:rsidP="0031505F">
            <w:pPr>
              <w:pStyle w:val="Tabletexte"/>
              <w:jc w:val="left"/>
              <w:rPr>
                <w:sz w:val="18"/>
                <w:szCs w:val="18"/>
              </w:rPr>
            </w:pPr>
            <w:r w:rsidRPr="005269E6">
              <w:rPr>
                <w:sz w:val="18"/>
                <w:szCs w:val="18"/>
              </w:rPr>
              <w:t>(4 847)</w:t>
            </w:r>
          </w:p>
        </w:tc>
      </w:tr>
      <w:tr w:rsidR="00834B83" w:rsidRPr="005269E6" w14:paraId="355095D3" w14:textId="77777777" w:rsidTr="005C5B84">
        <w:trPr>
          <w:jc w:val="center"/>
        </w:trPr>
        <w:tc>
          <w:tcPr>
            <w:tcW w:w="5303" w:type="dxa"/>
            <w:tcBorders>
              <w:top w:val="nil"/>
              <w:left w:val="nil"/>
              <w:bottom w:val="nil"/>
              <w:right w:val="nil"/>
            </w:tcBorders>
            <w:vAlign w:val="bottom"/>
          </w:tcPr>
          <w:p w14:paraId="460158BE" w14:textId="77777777" w:rsidR="00834B83" w:rsidRPr="005269E6" w:rsidRDefault="00834B83" w:rsidP="005C5B84">
            <w:pPr>
              <w:pStyle w:val="Tabletexte"/>
              <w:rPr>
                <w:b/>
                <w:bCs/>
                <w:sz w:val="18"/>
                <w:szCs w:val="18"/>
              </w:rPr>
            </w:pPr>
            <w:r w:rsidRPr="005269E6">
              <w:rPr>
                <w:b/>
                <w:bCs/>
                <w:sz w:val="18"/>
                <w:szCs w:val="18"/>
                <w:rtl/>
              </w:rPr>
              <w:t>بتمويل من الصندوق الاحتياطي</w:t>
            </w:r>
          </w:p>
          <w:p w14:paraId="3CB63D87" w14:textId="77777777" w:rsidR="00834B83" w:rsidRPr="005269E6" w:rsidRDefault="00834B83" w:rsidP="005C5B84">
            <w:pPr>
              <w:pStyle w:val="Tabletexte"/>
              <w:ind w:left="345"/>
              <w:rPr>
                <w:sz w:val="18"/>
                <w:szCs w:val="18"/>
              </w:rPr>
            </w:pPr>
            <w:r w:rsidRPr="005269E6">
              <w:rPr>
                <w:sz w:val="18"/>
                <w:szCs w:val="18"/>
                <w:rtl/>
                <w:lang w:bidi="ar-EG"/>
              </w:rPr>
              <w:t>-</w:t>
            </w:r>
            <w:r w:rsidRPr="005269E6">
              <w:rPr>
                <w:sz w:val="18"/>
                <w:szCs w:val="18"/>
              </w:rPr>
              <w:tab/>
            </w:r>
            <w:r w:rsidRPr="005269E6">
              <w:rPr>
                <w:sz w:val="18"/>
                <w:szCs w:val="18"/>
                <w:rtl/>
              </w:rPr>
              <w:t>الأنشطة المؤجلة للمؤتمر العالمي لتنمية الاتصالات</w:t>
            </w:r>
          </w:p>
        </w:tc>
        <w:tc>
          <w:tcPr>
            <w:tcW w:w="1204" w:type="dxa"/>
            <w:tcBorders>
              <w:top w:val="nil"/>
              <w:left w:val="nil"/>
              <w:bottom w:val="nil"/>
              <w:right w:val="nil"/>
            </w:tcBorders>
            <w:vAlign w:val="bottom"/>
          </w:tcPr>
          <w:p w14:paraId="366328FA" w14:textId="77777777" w:rsidR="00834B83" w:rsidRPr="005269E6" w:rsidRDefault="00834B83" w:rsidP="0031505F">
            <w:pPr>
              <w:pStyle w:val="Tabletexte"/>
              <w:jc w:val="left"/>
              <w:rPr>
                <w:sz w:val="18"/>
                <w:szCs w:val="18"/>
              </w:rPr>
            </w:pPr>
            <w:r w:rsidRPr="005269E6">
              <w:rPr>
                <w:sz w:val="18"/>
                <w:szCs w:val="18"/>
              </w:rPr>
              <w:t>1 321</w:t>
            </w:r>
          </w:p>
        </w:tc>
        <w:tc>
          <w:tcPr>
            <w:tcW w:w="1204" w:type="dxa"/>
            <w:tcBorders>
              <w:top w:val="nil"/>
              <w:left w:val="nil"/>
              <w:bottom w:val="nil"/>
              <w:right w:val="nil"/>
            </w:tcBorders>
          </w:tcPr>
          <w:p w14:paraId="1527DCDC" w14:textId="77777777" w:rsidR="00834B83" w:rsidRPr="005269E6" w:rsidRDefault="00834B83" w:rsidP="0031505F">
            <w:pPr>
              <w:pStyle w:val="Tabletexte"/>
              <w:jc w:val="left"/>
              <w:rPr>
                <w:sz w:val="18"/>
                <w:szCs w:val="18"/>
              </w:rPr>
            </w:pPr>
          </w:p>
        </w:tc>
      </w:tr>
      <w:tr w:rsidR="00834B83" w:rsidRPr="005269E6" w14:paraId="38984839" w14:textId="77777777" w:rsidTr="005C5B84">
        <w:trPr>
          <w:jc w:val="center"/>
        </w:trPr>
        <w:tc>
          <w:tcPr>
            <w:tcW w:w="5303" w:type="dxa"/>
            <w:tcBorders>
              <w:top w:val="nil"/>
              <w:left w:val="nil"/>
              <w:bottom w:val="nil"/>
              <w:right w:val="nil"/>
            </w:tcBorders>
          </w:tcPr>
          <w:p w14:paraId="6F909871" w14:textId="77777777" w:rsidR="00834B83" w:rsidRPr="005269E6" w:rsidRDefault="00834B83" w:rsidP="005C5B84">
            <w:pPr>
              <w:pStyle w:val="Tabletexte"/>
              <w:ind w:left="345"/>
              <w:rPr>
                <w:sz w:val="18"/>
                <w:szCs w:val="18"/>
              </w:rPr>
            </w:pPr>
            <w:r w:rsidRPr="005269E6">
              <w:rPr>
                <w:sz w:val="18"/>
                <w:szCs w:val="18"/>
                <w:rtl/>
              </w:rPr>
              <w:t>-</w:t>
            </w:r>
            <w:r w:rsidRPr="005269E6">
              <w:rPr>
                <w:sz w:val="18"/>
                <w:szCs w:val="18"/>
              </w:rPr>
              <w:tab/>
            </w:r>
            <w:r w:rsidRPr="005269E6">
              <w:rPr>
                <w:sz w:val="18"/>
                <w:szCs w:val="18"/>
                <w:rtl/>
              </w:rPr>
              <w:t>الأنشطة المؤجلة للجمعية العالمية لتقييس الاتصالات</w:t>
            </w:r>
          </w:p>
        </w:tc>
        <w:tc>
          <w:tcPr>
            <w:tcW w:w="1204" w:type="dxa"/>
            <w:tcBorders>
              <w:top w:val="nil"/>
              <w:left w:val="nil"/>
              <w:bottom w:val="nil"/>
              <w:right w:val="nil"/>
            </w:tcBorders>
          </w:tcPr>
          <w:p w14:paraId="19350A42" w14:textId="77777777" w:rsidR="00834B83" w:rsidRPr="005269E6" w:rsidRDefault="00834B83" w:rsidP="0031505F">
            <w:pPr>
              <w:pStyle w:val="Tabletexte"/>
              <w:jc w:val="left"/>
              <w:rPr>
                <w:sz w:val="18"/>
                <w:szCs w:val="18"/>
              </w:rPr>
            </w:pPr>
            <w:r w:rsidRPr="005269E6">
              <w:rPr>
                <w:sz w:val="18"/>
                <w:szCs w:val="18"/>
              </w:rPr>
              <w:t>1 169</w:t>
            </w:r>
          </w:p>
        </w:tc>
        <w:tc>
          <w:tcPr>
            <w:tcW w:w="1204" w:type="dxa"/>
            <w:tcBorders>
              <w:top w:val="nil"/>
              <w:left w:val="nil"/>
              <w:bottom w:val="nil"/>
              <w:right w:val="nil"/>
            </w:tcBorders>
          </w:tcPr>
          <w:p w14:paraId="22D74C56" w14:textId="77777777" w:rsidR="00834B83" w:rsidRPr="005269E6" w:rsidRDefault="00834B83" w:rsidP="0031505F">
            <w:pPr>
              <w:pStyle w:val="Tabletexte"/>
              <w:jc w:val="left"/>
              <w:rPr>
                <w:sz w:val="18"/>
                <w:szCs w:val="18"/>
              </w:rPr>
            </w:pPr>
          </w:p>
        </w:tc>
      </w:tr>
      <w:tr w:rsidR="00834B83" w:rsidRPr="005269E6" w14:paraId="724F31D1" w14:textId="77777777" w:rsidTr="005C5B84">
        <w:trPr>
          <w:jc w:val="center"/>
        </w:trPr>
        <w:tc>
          <w:tcPr>
            <w:tcW w:w="5303" w:type="dxa"/>
            <w:tcBorders>
              <w:top w:val="nil"/>
              <w:left w:val="nil"/>
              <w:bottom w:val="nil"/>
              <w:right w:val="nil"/>
            </w:tcBorders>
          </w:tcPr>
          <w:p w14:paraId="45178966" w14:textId="77777777" w:rsidR="00834B83" w:rsidRPr="005269E6" w:rsidRDefault="00834B83" w:rsidP="005C5B84">
            <w:pPr>
              <w:pStyle w:val="Tabletexte"/>
              <w:ind w:left="345"/>
              <w:rPr>
                <w:sz w:val="18"/>
                <w:szCs w:val="18"/>
              </w:rPr>
            </w:pPr>
            <w:r w:rsidRPr="005269E6">
              <w:rPr>
                <w:sz w:val="18"/>
                <w:szCs w:val="18"/>
                <w:rtl/>
              </w:rPr>
              <w:t>-</w:t>
            </w:r>
            <w:r w:rsidRPr="005269E6">
              <w:rPr>
                <w:sz w:val="18"/>
                <w:szCs w:val="18"/>
              </w:rPr>
              <w:tab/>
            </w:r>
            <w:r w:rsidRPr="005269E6">
              <w:rPr>
                <w:sz w:val="18"/>
                <w:szCs w:val="18"/>
                <w:rtl/>
              </w:rPr>
              <w:t xml:space="preserve">تكلفة وحدة التحقيق </w:t>
            </w:r>
            <w:r w:rsidRPr="005269E6">
              <w:rPr>
                <w:rFonts w:eastAsia="Calibri"/>
                <w:color w:val="000000"/>
                <w:kern w:val="0"/>
                <w:sz w:val="18"/>
                <w:szCs w:val="18"/>
                <w:lang w:bidi="ar-SA"/>
                <w14:ligatures w14:val="none"/>
              </w:rPr>
              <w:t>(C20/78)</w:t>
            </w:r>
          </w:p>
        </w:tc>
        <w:tc>
          <w:tcPr>
            <w:tcW w:w="1204" w:type="dxa"/>
            <w:tcBorders>
              <w:top w:val="nil"/>
              <w:left w:val="nil"/>
              <w:right w:val="nil"/>
            </w:tcBorders>
          </w:tcPr>
          <w:p w14:paraId="32FEEDF7" w14:textId="77777777" w:rsidR="00834B83" w:rsidRPr="005269E6" w:rsidRDefault="00834B83" w:rsidP="0031505F">
            <w:pPr>
              <w:pStyle w:val="Tabletexte"/>
              <w:jc w:val="left"/>
              <w:rPr>
                <w:sz w:val="18"/>
                <w:szCs w:val="18"/>
              </w:rPr>
            </w:pPr>
            <w:r w:rsidRPr="005269E6">
              <w:rPr>
                <w:sz w:val="18"/>
                <w:szCs w:val="18"/>
              </w:rPr>
              <w:t>226</w:t>
            </w:r>
          </w:p>
        </w:tc>
        <w:tc>
          <w:tcPr>
            <w:tcW w:w="1204" w:type="dxa"/>
            <w:tcBorders>
              <w:top w:val="nil"/>
              <w:left w:val="nil"/>
              <w:bottom w:val="nil"/>
              <w:right w:val="nil"/>
            </w:tcBorders>
          </w:tcPr>
          <w:p w14:paraId="78FBE362" w14:textId="77777777" w:rsidR="00834B83" w:rsidRPr="005269E6" w:rsidRDefault="00834B83" w:rsidP="0031505F">
            <w:pPr>
              <w:pStyle w:val="Tabletexte"/>
              <w:jc w:val="left"/>
              <w:rPr>
                <w:sz w:val="18"/>
                <w:szCs w:val="18"/>
              </w:rPr>
            </w:pPr>
          </w:p>
        </w:tc>
      </w:tr>
      <w:tr w:rsidR="00834B83" w:rsidRPr="005269E6" w14:paraId="1F8A946B" w14:textId="77777777" w:rsidTr="005C5B84">
        <w:trPr>
          <w:jc w:val="center"/>
        </w:trPr>
        <w:tc>
          <w:tcPr>
            <w:tcW w:w="5303" w:type="dxa"/>
            <w:tcBorders>
              <w:top w:val="nil"/>
              <w:left w:val="nil"/>
              <w:bottom w:val="nil"/>
              <w:right w:val="nil"/>
            </w:tcBorders>
          </w:tcPr>
          <w:p w14:paraId="63370BA5" w14:textId="77777777" w:rsidR="00834B83" w:rsidRPr="005269E6" w:rsidRDefault="00834B83" w:rsidP="005C5B84">
            <w:pPr>
              <w:pStyle w:val="Tabletexte"/>
              <w:ind w:left="345"/>
              <w:rPr>
                <w:sz w:val="18"/>
                <w:szCs w:val="18"/>
              </w:rPr>
            </w:pPr>
            <w:r w:rsidRPr="005269E6">
              <w:rPr>
                <w:sz w:val="18"/>
                <w:szCs w:val="18"/>
                <w:rtl/>
              </w:rPr>
              <w:t>-</w:t>
            </w:r>
            <w:r w:rsidRPr="005269E6">
              <w:rPr>
                <w:sz w:val="18"/>
                <w:szCs w:val="18"/>
              </w:rPr>
              <w:tab/>
            </w:r>
            <w:r w:rsidRPr="005269E6">
              <w:rPr>
                <w:sz w:val="18"/>
                <w:szCs w:val="18"/>
                <w:rtl/>
              </w:rPr>
              <w:t>السحب من حساب الاحتياطي في عام 2022</w:t>
            </w:r>
          </w:p>
        </w:tc>
        <w:tc>
          <w:tcPr>
            <w:tcW w:w="1204" w:type="dxa"/>
            <w:tcBorders>
              <w:top w:val="nil"/>
              <w:left w:val="nil"/>
              <w:bottom w:val="single" w:sz="4" w:space="0" w:color="auto"/>
              <w:right w:val="nil"/>
            </w:tcBorders>
          </w:tcPr>
          <w:p w14:paraId="51C6A85C" w14:textId="77777777" w:rsidR="00834B83" w:rsidRPr="005269E6" w:rsidRDefault="00834B83" w:rsidP="0031505F">
            <w:pPr>
              <w:pStyle w:val="Tabletexte"/>
              <w:jc w:val="left"/>
              <w:rPr>
                <w:sz w:val="18"/>
                <w:szCs w:val="18"/>
              </w:rPr>
            </w:pPr>
            <w:r w:rsidRPr="005269E6">
              <w:rPr>
                <w:sz w:val="18"/>
                <w:szCs w:val="18"/>
              </w:rPr>
              <w:t>316</w:t>
            </w:r>
          </w:p>
        </w:tc>
        <w:tc>
          <w:tcPr>
            <w:tcW w:w="1204" w:type="dxa"/>
            <w:tcBorders>
              <w:top w:val="nil"/>
              <w:left w:val="nil"/>
              <w:bottom w:val="nil"/>
              <w:right w:val="nil"/>
            </w:tcBorders>
          </w:tcPr>
          <w:p w14:paraId="4D35AF15" w14:textId="77777777" w:rsidR="00834B83" w:rsidRPr="005269E6" w:rsidRDefault="00834B83" w:rsidP="0031505F">
            <w:pPr>
              <w:pStyle w:val="Tabletexte"/>
              <w:jc w:val="left"/>
              <w:rPr>
                <w:sz w:val="18"/>
                <w:szCs w:val="18"/>
              </w:rPr>
            </w:pPr>
          </w:p>
        </w:tc>
      </w:tr>
      <w:tr w:rsidR="00834B83" w:rsidRPr="005269E6" w14:paraId="18BA0A43" w14:textId="77777777" w:rsidTr="005C5B84">
        <w:trPr>
          <w:jc w:val="center"/>
        </w:trPr>
        <w:tc>
          <w:tcPr>
            <w:tcW w:w="5303" w:type="dxa"/>
            <w:tcBorders>
              <w:top w:val="nil"/>
              <w:left w:val="nil"/>
              <w:bottom w:val="nil"/>
              <w:right w:val="nil"/>
            </w:tcBorders>
          </w:tcPr>
          <w:p w14:paraId="226C93E8" w14:textId="77777777" w:rsidR="00834B83" w:rsidRPr="005269E6" w:rsidRDefault="00834B83" w:rsidP="005C5B84">
            <w:pPr>
              <w:pStyle w:val="Tabletexte"/>
              <w:ind w:left="345"/>
              <w:rPr>
                <w:i/>
                <w:sz w:val="18"/>
                <w:szCs w:val="18"/>
              </w:rPr>
            </w:pPr>
            <w:r w:rsidRPr="005269E6">
              <w:rPr>
                <w:sz w:val="18"/>
                <w:szCs w:val="18"/>
                <w:rtl/>
              </w:rPr>
              <w:t>-</w:t>
            </w:r>
            <w:r w:rsidRPr="005269E6">
              <w:rPr>
                <w:sz w:val="18"/>
                <w:szCs w:val="18"/>
              </w:rPr>
              <w:tab/>
            </w:r>
            <w:r w:rsidRPr="005269E6">
              <w:rPr>
                <w:iCs/>
                <w:sz w:val="18"/>
                <w:szCs w:val="18"/>
                <w:rtl/>
              </w:rPr>
              <w:t>المجموع الكلي – في حساب الاحتياطي</w:t>
            </w:r>
          </w:p>
        </w:tc>
        <w:tc>
          <w:tcPr>
            <w:tcW w:w="1204" w:type="dxa"/>
            <w:tcBorders>
              <w:top w:val="single" w:sz="4" w:space="0" w:color="auto"/>
              <w:left w:val="nil"/>
              <w:bottom w:val="nil"/>
              <w:right w:val="nil"/>
            </w:tcBorders>
          </w:tcPr>
          <w:p w14:paraId="3A72E640" w14:textId="77777777" w:rsidR="00834B83" w:rsidRPr="005269E6" w:rsidRDefault="00834B83" w:rsidP="0031505F">
            <w:pPr>
              <w:pStyle w:val="Tabletexte"/>
              <w:jc w:val="left"/>
              <w:rPr>
                <w:sz w:val="18"/>
                <w:szCs w:val="18"/>
              </w:rPr>
            </w:pPr>
            <w:r w:rsidRPr="005269E6">
              <w:rPr>
                <w:i/>
                <w:sz w:val="18"/>
                <w:szCs w:val="18"/>
              </w:rPr>
              <w:t>3 032</w:t>
            </w:r>
          </w:p>
        </w:tc>
        <w:tc>
          <w:tcPr>
            <w:tcW w:w="1204" w:type="dxa"/>
            <w:tcBorders>
              <w:top w:val="nil"/>
              <w:left w:val="nil"/>
              <w:bottom w:val="nil"/>
              <w:right w:val="nil"/>
            </w:tcBorders>
          </w:tcPr>
          <w:p w14:paraId="64F7FD37" w14:textId="77777777" w:rsidR="00834B83" w:rsidRPr="005269E6" w:rsidRDefault="00834B83" w:rsidP="0031505F">
            <w:pPr>
              <w:pStyle w:val="Tabletexte"/>
              <w:jc w:val="left"/>
              <w:rPr>
                <w:sz w:val="18"/>
                <w:szCs w:val="18"/>
              </w:rPr>
            </w:pPr>
          </w:p>
        </w:tc>
      </w:tr>
      <w:tr w:rsidR="00834B83" w:rsidRPr="005269E6" w14:paraId="5D39DDA1" w14:textId="77777777" w:rsidTr="005C5B84">
        <w:trPr>
          <w:jc w:val="center"/>
        </w:trPr>
        <w:tc>
          <w:tcPr>
            <w:tcW w:w="5303" w:type="dxa"/>
            <w:tcBorders>
              <w:top w:val="nil"/>
              <w:left w:val="nil"/>
              <w:bottom w:val="nil"/>
              <w:right w:val="nil"/>
            </w:tcBorders>
            <w:vAlign w:val="bottom"/>
          </w:tcPr>
          <w:p w14:paraId="342879AB" w14:textId="77777777" w:rsidR="00834B83" w:rsidRPr="005269E6" w:rsidRDefault="00834B83" w:rsidP="005C5B84">
            <w:pPr>
              <w:pStyle w:val="Tabletexte"/>
              <w:rPr>
                <w:b/>
                <w:bCs/>
                <w:sz w:val="18"/>
                <w:szCs w:val="18"/>
              </w:rPr>
            </w:pPr>
            <w:r w:rsidRPr="005269E6">
              <w:rPr>
                <w:b/>
                <w:bCs/>
                <w:sz w:val="18"/>
                <w:szCs w:val="18"/>
                <w:rtl/>
              </w:rPr>
              <w:t>بتمويل من مدخرات من صندوق السنوات السابقة</w:t>
            </w:r>
          </w:p>
          <w:p w14:paraId="0FD059FC" w14:textId="77777777" w:rsidR="00834B83" w:rsidRPr="005269E6" w:rsidRDefault="00834B83" w:rsidP="005C5B84">
            <w:pPr>
              <w:pStyle w:val="Tabletexte"/>
              <w:ind w:left="345"/>
              <w:rPr>
                <w:sz w:val="18"/>
                <w:szCs w:val="18"/>
              </w:rPr>
            </w:pPr>
            <w:r w:rsidRPr="005269E6">
              <w:rPr>
                <w:sz w:val="18"/>
                <w:szCs w:val="18"/>
                <w:rtl/>
              </w:rPr>
              <w:t>-</w:t>
            </w:r>
            <w:r w:rsidRPr="005269E6">
              <w:rPr>
                <w:sz w:val="18"/>
                <w:szCs w:val="18"/>
              </w:rPr>
              <w:tab/>
            </w:r>
            <w:r w:rsidRPr="005269E6">
              <w:rPr>
                <w:sz w:val="18"/>
                <w:szCs w:val="18"/>
                <w:rtl/>
              </w:rPr>
              <w:t>المقرر 619 (نفقات 2022)</w:t>
            </w:r>
          </w:p>
        </w:tc>
        <w:tc>
          <w:tcPr>
            <w:tcW w:w="1204" w:type="dxa"/>
            <w:tcBorders>
              <w:top w:val="nil"/>
              <w:left w:val="nil"/>
              <w:bottom w:val="nil"/>
              <w:right w:val="nil"/>
            </w:tcBorders>
            <w:vAlign w:val="bottom"/>
          </w:tcPr>
          <w:p w14:paraId="4718C940" w14:textId="77777777" w:rsidR="00834B83" w:rsidRPr="005269E6" w:rsidRDefault="00834B83" w:rsidP="0031505F">
            <w:pPr>
              <w:pStyle w:val="Tabletexte"/>
              <w:jc w:val="left"/>
              <w:rPr>
                <w:sz w:val="18"/>
                <w:szCs w:val="18"/>
              </w:rPr>
            </w:pPr>
            <w:r w:rsidRPr="005269E6">
              <w:rPr>
                <w:sz w:val="18"/>
                <w:szCs w:val="18"/>
              </w:rPr>
              <w:t>643</w:t>
            </w:r>
          </w:p>
        </w:tc>
        <w:tc>
          <w:tcPr>
            <w:tcW w:w="1204" w:type="dxa"/>
            <w:tcBorders>
              <w:top w:val="nil"/>
              <w:left w:val="nil"/>
              <w:bottom w:val="nil"/>
              <w:right w:val="nil"/>
            </w:tcBorders>
          </w:tcPr>
          <w:p w14:paraId="1CED78A4" w14:textId="77777777" w:rsidR="00834B83" w:rsidRPr="005269E6" w:rsidRDefault="00834B83" w:rsidP="0031505F">
            <w:pPr>
              <w:pStyle w:val="Tabletexte"/>
              <w:jc w:val="left"/>
              <w:rPr>
                <w:sz w:val="18"/>
                <w:szCs w:val="18"/>
              </w:rPr>
            </w:pPr>
          </w:p>
        </w:tc>
      </w:tr>
      <w:tr w:rsidR="00834B83" w:rsidRPr="005269E6" w14:paraId="40220F1E" w14:textId="77777777" w:rsidTr="005C5B84">
        <w:trPr>
          <w:jc w:val="center"/>
        </w:trPr>
        <w:tc>
          <w:tcPr>
            <w:tcW w:w="5303" w:type="dxa"/>
            <w:tcBorders>
              <w:top w:val="nil"/>
              <w:left w:val="nil"/>
              <w:bottom w:val="nil"/>
              <w:right w:val="nil"/>
            </w:tcBorders>
          </w:tcPr>
          <w:p w14:paraId="0FF85038" w14:textId="77777777" w:rsidR="00834B83" w:rsidRPr="005269E6" w:rsidRDefault="00834B83" w:rsidP="005C5B84">
            <w:pPr>
              <w:pStyle w:val="Tabletexte"/>
              <w:ind w:left="345"/>
              <w:rPr>
                <w:sz w:val="18"/>
                <w:szCs w:val="18"/>
              </w:rPr>
            </w:pPr>
            <w:r w:rsidRPr="005269E6">
              <w:rPr>
                <w:sz w:val="18"/>
                <w:szCs w:val="18"/>
                <w:rtl/>
              </w:rPr>
              <w:t>-</w:t>
            </w:r>
            <w:r w:rsidRPr="005269E6">
              <w:rPr>
                <w:sz w:val="18"/>
                <w:szCs w:val="18"/>
              </w:rPr>
              <w:tab/>
            </w:r>
            <w:r w:rsidRPr="005269E6">
              <w:rPr>
                <w:sz w:val="18"/>
                <w:szCs w:val="18"/>
                <w:rtl/>
              </w:rPr>
              <w:t>التدقيق الجنائي (نفقات 2022)</w:t>
            </w:r>
          </w:p>
        </w:tc>
        <w:tc>
          <w:tcPr>
            <w:tcW w:w="1204" w:type="dxa"/>
            <w:tcBorders>
              <w:top w:val="nil"/>
              <w:left w:val="nil"/>
              <w:right w:val="nil"/>
            </w:tcBorders>
          </w:tcPr>
          <w:p w14:paraId="442A28F2" w14:textId="77777777" w:rsidR="00834B83" w:rsidRPr="005269E6" w:rsidRDefault="00834B83" w:rsidP="0031505F">
            <w:pPr>
              <w:pStyle w:val="Tabletexte"/>
              <w:jc w:val="left"/>
              <w:rPr>
                <w:sz w:val="18"/>
                <w:szCs w:val="18"/>
              </w:rPr>
            </w:pPr>
            <w:r w:rsidRPr="005269E6">
              <w:rPr>
                <w:sz w:val="18"/>
                <w:szCs w:val="18"/>
              </w:rPr>
              <w:t>486</w:t>
            </w:r>
          </w:p>
        </w:tc>
        <w:tc>
          <w:tcPr>
            <w:tcW w:w="1204" w:type="dxa"/>
            <w:tcBorders>
              <w:top w:val="nil"/>
              <w:left w:val="nil"/>
              <w:bottom w:val="nil"/>
              <w:right w:val="nil"/>
            </w:tcBorders>
          </w:tcPr>
          <w:p w14:paraId="20719306" w14:textId="77777777" w:rsidR="00834B83" w:rsidRPr="005269E6" w:rsidRDefault="00834B83" w:rsidP="0031505F">
            <w:pPr>
              <w:pStyle w:val="Tabletexte"/>
              <w:jc w:val="left"/>
              <w:rPr>
                <w:sz w:val="18"/>
                <w:szCs w:val="18"/>
              </w:rPr>
            </w:pPr>
          </w:p>
        </w:tc>
      </w:tr>
      <w:tr w:rsidR="00834B83" w:rsidRPr="005269E6" w14:paraId="52A28DD0" w14:textId="77777777" w:rsidTr="005C5B84">
        <w:trPr>
          <w:jc w:val="center"/>
        </w:trPr>
        <w:tc>
          <w:tcPr>
            <w:tcW w:w="5303" w:type="dxa"/>
            <w:tcBorders>
              <w:top w:val="nil"/>
              <w:left w:val="nil"/>
              <w:bottom w:val="nil"/>
              <w:right w:val="nil"/>
            </w:tcBorders>
          </w:tcPr>
          <w:p w14:paraId="75AAC5BE" w14:textId="77777777" w:rsidR="00834B83" w:rsidRPr="005269E6" w:rsidRDefault="00834B83" w:rsidP="005C5B84">
            <w:pPr>
              <w:pStyle w:val="Tabletexte"/>
              <w:ind w:left="345"/>
              <w:rPr>
                <w:sz w:val="18"/>
                <w:szCs w:val="18"/>
              </w:rPr>
            </w:pPr>
            <w:r w:rsidRPr="005269E6">
              <w:rPr>
                <w:sz w:val="18"/>
                <w:szCs w:val="18"/>
                <w:rtl/>
              </w:rPr>
              <w:t>-</w:t>
            </w:r>
            <w:r w:rsidRPr="005269E6">
              <w:rPr>
                <w:sz w:val="18"/>
                <w:szCs w:val="18"/>
              </w:rPr>
              <w:tab/>
            </w:r>
            <w:r w:rsidRPr="005269E6">
              <w:rPr>
                <w:sz w:val="18"/>
                <w:szCs w:val="18"/>
                <w:rtl/>
              </w:rPr>
              <w:t xml:space="preserve">بتمويل من </w:t>
            </w:r>
            <w:r w:rsidRPr="005269E6">
              <w:rPr>
                <w:sz w:val="18"/>
                <w:szCs w:val="18"/>
                <w:rtl/>
                <w:lang w:bidi="ar-EG"/>
              </w:rPr>
              <w:t>قرارات</w:t>
            </w:r>
            <w:r w:rsidRPr="005269E6">
              <w:rPr>
                <w:sz w:val="18"/>
                <w:szCs w:val="18"/>
                <w:rtl/>
              </w:rPr>
              <w:t xml:space="preserve"> المجلس</w:t>
            </w:r>
          </w:p>
        </w:tc>
        <w:tc>
          <w:tcPr>
            <w:tcW w:w="1204" w:type="dxa"/>
            <w:tcBorders>
              <w:top w:val="nil"/>
              <w:left w:val="nil"/>
              <w:bottom w:val="single" w:sz="4" w:space="0" w:color="auto"/>
              <w:right w:val="nil"/>
            </w:tcBorders>
          </w:tcPr>
          <w:p w14:paraId="3370EDAE" w14:textId="77777777" w:rsidR="00834B83" w:rsidRPr="005269E6" w:rsidRDefault="00834B83" w:rsidP="0031505F">
            <w:pPr>
              <w:pStyle w:val="Tabletexte"/>
              <w:jc w:val="left"/>
              <w:rPr>
                <w:sz w:val="18"/>
                <w:szCs w:val="18"/>
              </w:rPr>
            </w:pPr>
            <w:r w:rsidRPr="005269E6">
              <w:rPr>
                <w:sz w:val="18"/>
                <w:szCs w:val="18"/>
              </w:rPr>
              <w:t>686</w:t>
            </w:r>
          </w:p>
        </w:tc>
        <w:tc>
          <w:tcPr>
            <w:tcW w:w="1204" w:type="dxa"/>
            <w:tcBorders>
              <w:top w:val="nil"/>
              <w:left w:val="nil"/>
              <w:bottom w:val="nil"/>
              <w:right w:val="nil"/>
            </w:tcBorders>
          </w:tcPr>
          <w:p w14:paraId="0E5AF62B" w14:textId="77777777" w:rsidR="00834B83" w:rsidRPr="005269E6" w:rsidRDefault="00834B83" w:rsidP="0031505F">
            <w:pPr>
              <w:pStyle w:val="Tabletexte"/>
              <w:jc w:val="left"/>
              <w:rPr>
                <w:sz w:val="18"/>
                <w:szCs w:val="18"/>
              </w:rPr>
            </w:pPr>
          </w:p>
        </w:tc>
      </w:tr>
      <w:tr w:rsidR="00834B83" w:rsidRPr="005269E6" w14:paraId="7538B2DF" w14:textId="77777777" w:rsidTr="005C5B84">
        <w:trPr>
          <w:jc w:val="center"/>
        </w:trPr>
        <w:tc>
          <w:tcPr>
            <w:tcW w:w="5303" w:type="dxa"/>
            <w:tcBorders>
              <w:top w:val="nil"/>
              <w:left w:val="nil"/>
              <w:bottom w:val="nil"/>
              <w:right w:val="nil"/>
            </w:tcBorders>
          </w:tcPr>
          <w:p w14:paraId="41273543" w14:textId="77777777" w:rsidR="00834B83" w:rsidRPr="005269E6" w:rsidRDefault="00834B83" w:rsidP="005C5B84">
            <w:pPr>
              <w:pStyle w:val="Tabletexte"/>
              <w:ind w:left="345"/>
              <w:rPr>
                <w:i/>
                <w:iCs/>
                <w:sz w:val="18"/>
                <w:szCs w:val="18"/>
              </w:rPr>
            </w:pPr>
            <w:r w:rsidRPr="005269E6">
              <w:rPr>
                <w:sz w:val="18"/>
                <w:szCs w:val="18"/>
                <w:rtl/>
              </w:rPr>
              <w:t>-</w:t>
            </w:r>
            <w:r w:rsidRPr="005269E6">
              <w:rPr>
                <w:sz w:val="18"/>
                <w:szCs w:val="18"/>
              </w:rPr>
              <w:tab/>
            </w:r>
            <w:r w:rsidRPr="005269E6">
              <w:rPr>
                <w:i/>
                <w:iCs/>
                <w:sz w:val="18"/>
                <w:szCs w:val="18"/>
                <w:rtl/>
              </w:rPr>
              <w:t>المجموع الكلي –</w:t>
            </w:r>
            <w:r w:rsidRPr="005269E6">
              <w:rPr>
                <w:sz w:val="18"/>
                <w:szCs w:val="18"/>
                <w:rtl/>
              </w:rPr>
              <w:t xml:space="preserve"> </w:t>
            </w:r>
            <w:r w:rsidRPr="005269E6">
              <w:rPr>
                <w:i/>
                <w:iCs/>
                <w:sz w:val="18"/>
                <w:szCs w:val="18"/>
                <w:rtl/>
              </w:rPr>
              <w:t>للمدخرات من صندوق السنوات السابقة</w:t>
            </w:r>
          </w:p>
        </w:tc>
        <w:tc>
          <w:tcPr>
            <w:tcW w:w="1204" w:type="dxa"/>
            <w:tcBorders>
              <w:top w:val="single" w:sz="4" w:space="0" w:color="auto"/>
              <w:left w:val="nil"/>
              <w:bottom w:val="nil"/>
              <w:right w:val="nil"/>
            </w:tcBorders>
          </w:tcPr>
          <w:p w14:paraId="183316DF" w14:textId="77777777" w:rsidR="00834B83" w:rsidRPr="005269E6" w:rsidRDefault="00834B83" w:rsidP="0031505F">
            <w:pPr>
              <w:pStyle w:val="Tabletexte"/>
              <w:jc w:val="left"/>
              <w:rPr>
                <w:sz w:val="18"/>
                <w:szCs w:val="18"/>
              </w:rPr>
            </w:pPr>
            <w:r w:rsidRPr="005269E6">
              <w:rPr>
                <w:i/>
                <w:sz w:val="18"/>
                <w:szCs w:val="18"/>
              </w:rPr>
              <w:t>1 815</w:t>
            </w:r>
          </w:p>
        </w:tc>
        <w:tc>
          <w:tcPr>
            <w:tcW w:w="1204" w:type="dxa"/>
            <w:tcBorders>
              <w:top w:val="nil"/>
              <w:left w:val="nil"/>
              <w:bottom w:val="nil"/>
              <w:right w:val="nil"/>
            </w:tcBorders>
          </w:tcPr>
          <w:p w14:paraId="7B012015" w14:textId="77777777" w:rsidR="00834B83" w:rsidRPr="005269E6" w:rsidRDefault="00834B83" w:rsidP="0031505F">
            <w:pPr>
              <w:pStyle w:val="Tabletexte"/>
              <w:jc w:val="left"/>
              <w:rPr>
                <w:sz w:val="18"/>
                <w:szCs w:val="18"/>
              </w:rPr>
            </w:pPr>
          </w:p>
        </w:tc>
      </w:tr>
      <w:tr w:rsidR="00834B83" w:rsidRPr="005269E6" w14:paraId="3050B689" w14:textId="77777777" w:rsidTr="005C5B84">
        <w:trPr>
          <w:jc w:val="center"/>
        </w:trPr>
        <w:tc>
          <w:tcPr>
            <w:tcW w:w="5303" w:type="dxa"/>
            <w:tcBorders>
              <w:top w:val="nil"/>
              <w:left w:val="nil"/>
              <w:bottom w:val="nil"/>
              <w:right w:val="nil"/>
            </w:tcBorders>
            <w:vAlign w:val="bottom"/>
          </w:tcPr>
          <w:p w14:paraId="1B330EEC" w14:textId="77777777" w:rsidR="00834B83" w:rsidRPr="005269E6" w:rsidRDefault="00834B83" w:rsidP="005C5B84">
            <w:pPr>
              <w:pStyle w:val="Tabletexte"/>
              <w:rPr>
                <w:sz w:val="18"/>
                <w:szCs w:val="18"/>
              </w:rPr>
            </w:pPr>
            <w:r w:rsidRPr="005269E6">
              <w:rPr>
                <w:sz w:val="18"/>
                <w:szCs w:val="18"/>
                <w:rtl/>
              </w:rPr>
              <w:t>التمويل الكلي</w:t>
            </w:r>
          </w:p>
        </w:tc>
        <w:tc>
          <w:tcPr>
            <w:tcW w:w="1204" w:type="dxa"/>
            <w:tcBorders>
              <w:top w:val="nil"/>
              <w:left w:val="nil"/>
              <w:bottom w:val="nil"/>
              <w:right w:val="nil"/>
            </w:tcBorders>
            <w:vAlign w:val="bottom"/>
          </w:tcPr>
          <w:p w14:paraId="10D03B98" w14:textId="77777777" w:rsidR="00834B83" w:rsidRPr="005269E6" w:rsidRDefault="00834B83" w:rsidP="0031505F">
            <w:pPr>
              <w:pStyle w:val="Tabletexte"/>
              <w:jc w:val="left"/>
              <w:rPr>
                <w:sz w:val="18"/>
                <w:szCs w:val="18"/>
              </w:rPr>
            </w:pPr>
          </w:p>
        </w:tc>
        <w:tc>
          <w:tcPr>
            <w:tcW w:w="1204" w:type="dxa"/>
            <w:tcBorders>
              <w:top w:val="nil"/>
              <w:left w:val="nil"/>
              <w:bottom w:val="nil"/>
              <w:right w:val="nil"/>
            </w:tcBorders>
            <w:vAlign w:val="bottom"/>
          </w:tcPr>
          <w:p w14:paraId="1F8AF11D" w14:textId="77777777" w:rsidR="00834B83" w:rsidRPr="005269E6" w:rsidRDefault="00834B83" w:rsidP="0031505F">
            <w:pPr>
              <w:pStyle w:val="Tabletexte"/>
              <w:jc w:val="left"/>
              <w:rPr>
                <w:sz w:val="18"/>
                <w:szCs w:val="18"/>
              </w:rPr>
            </w:pPr>
            <w:r w:rsidRPr="005269E6">
              <w:rPr>
                <w:sz w:val="18"/>
                <w:szCs w:val="18"/>
              </w:rPr>
              <w:t>4 847</w:t>
            </w:r>
          </w:p>
        </w:tc>
      </w:tr>
      <w:tr w:rsidR="00834B83" w:rsidRPr="005269E6" w14:paraId="1D1CE689" w14:textId="77777777" w:rsidTr="005C5B84">
        <w:trPr>
          <w:jc w:val="center"/>
        </w:trPr>
        <w:tc>
          <w:tcPr>
            <w:tcW w:w="5303" w:type="dxa"/>
            <w:tcBorders>
              <w:top w:val="nil"/>
              <w:left w:val="nil"/>
              <w:bottom w:val="nil"/>
              <w:right w:val="nil"/>
            </w:tcBorders>
            <w:shd w:val="clear" w:color="auto" w:fill="538DD5"/>
            <w:vAlign w:val="center"/>
          </w:tcPr>
          <w:p w14:paraId="237766CF" w14:textId="77777777" w:rsidR="00834B83" w:rsidRPr="005269E6" w:rsidRDefault="00834B83" w:rsidP="002D0A2B">
            <w:pPr>
              <w:spacing w:after="120"/>
              <w:rPr>
                <w:b/>
                <w:bCs/>
                <w:sz w:val="18"/>
                <w:szCs w:val="18"/>
                <w:lang w:bidi="ar-SY"/>
              </w:rPr>
            </w:pPr>
            <w:r w:rsidRPr="005269E6">
              <w:rPr>
                <w:b/>
                <w:bCs/>
                <w:sz w:val="18"/>
                <w:szCs w:val="18"/>
                <w:rtl/>
                <w:lang w:bidi="ar-SY"/>
              </w:rPr>
              <w:t>الميزانية المتوازنة في 31 ديسمبر 2022</w:t>
            </w:r>
          </w:p>
        </w:tc>
        <w:tc>
          <w:tcPr>
            <w:tcW w:w="1204" w:type="dxa"/>
            <w:tcBorders>
              <w:top w:val="nil"/>
              <w:left w:val="nil"/>
              <w:bottom w:val="nil"/>
              <w:right w:val="nil"/>
            </w:tcBorders>
            <w:shd w:val="clear" w:color="auto" w:fill="538DD5"/>
            <w:vAlign w:val="center"/>
          </w:tcPr>
          <w:p w14:paraId="36AFE027" w14:textId="77777777" w:rsidR="00834B83" w:rsidRPr="005269E6" w:rsidRDefault="00834B83" w:rsidP="0031505F">
            <w:pPr>
              <w:pStyle w:val="Tabletexte"/>
              <w:jc w:val="left"/>
              <w:rPr>
                <w:b/>
                <w:bCs/>
                <w:sz w:val="18"/>
                <w:szCs w:val="18"/>
              </w:rPr>
            </w:pPr>
          </w:p>
        </w:tc>
        <w:tc>
          <w:tcPr>
            <w:tcW w:w="1204" w:type="dxa"/>
            <w:tcBorders>
              <w:top w:val="nil"/>
              <w:left w:val="nil"/>
              <w:bottom w:val="nil"/>
              <w:right w:val="nil"/>
            </w:tcBorders>
            <w:shd w:val="clear" w:color="auto" w:fill="538DD5"/>
            <w:vAlign w:val="center"/>
          </w:tcPr>
          <w:p w14:paraId="1437008D" w14:textId="77777777" w:rsidR="00834B83" w:rsidRPr="005269E6" w:rsidRDefault="00834B83" w:rsidP="0031505F">
            <w:pPr>
              <w:pStyle w:val="Tabletexte"/>
              <w:jc w:val="left"/>
              <w:rPr>
                <w:b/>
                <w:bCs/>
                <w:sz w:val="18"/>
                <w:szCs w:val="18"/>
              </w:rPr>
            </w:pPr>
            <w:r w:rsidRPr="005269E6">
              <w:rPr>
                <w:b/>
                <w:bCs/>
                <w:sz w:val="18"/>
                <w:szCs w:val="18"/>
              </w:rPr>
              <w:t>-</w:t>
            </w:r>
          </w:p>
        </w:tc>
      </w:tr>
    </w:tbl>
    <w:p w14:paraId="78C4C9EB" w14:textId="77777777" w:rsidR="00834B83" w:rsidRPr="005269E6" w:rsidRDefault="00834B83" w:rsidP="00834B83">
      <w:pPr>
        <w:tabs>
          <w:tab w:val="clear" w:pos="794"/>
        </w:tabs>
        <w:spacing w:before="0" w:after="160" w:line="259" w:lineRule="auto"/>
        <w:jc w:val="left"/>
        <w:rPr>
          <w:b/>
          <w:bCs/>
          <w:sz w:val="24"/>
          <w:szCs w:val="24"/>
          <w:rtl/>
        </w:rPr>
      </w:pPr>
      <w:r w:rsidRPr="005269E6">
        <w:rPr>
          <w:rtl/>
        </w:rPr>
        <w:br w:type="page"/>
      </w:r>
    </w:p>
    <w:p w14:paraId="30832665" w14:textId="77777777" w:rsidR="00834B83" w:rsidRPr="005269E6" w:rsidRDefault="00834B83" w:rsidP="00834B83">
      <w:pPr>
        <w:pStyle w:val="Headingb"/>
        <w:rPr>
          <w:rtl/>
        </w:rPr>
      </w:pPr>
      <w:r w:rsidRPr="005269E6">
        <w:rPr>
          <w:rtl/>
        </w:rPr>
        <w:lastRenderedPageBreak/>
        <w:t>الأداء المالي</w:t>
      </w:r>
    </w:p>
    <w:p w14:paraId="3264CB6E" w14:textId="77777777" w:rsidR="00834B83" w:rsidRPr="005269E6" w:rsidRDefault="00834B83" w:rsidP="00834B83">
      <w:pPr>
        <w:pStyle w:val="Headingb"/>
        <w:rPr>
          <w:rtl/>
        </w:rPr>
      </w:pPr>
      <w:r w:rsidRPr="005269E6">
        <w:rPr>
          <w:rtl/>
        </w:rPr>
        <w:t>الايرادات</w:t>
      </w:r>
    </w:p>
    <w:p w14:paraId="5FDD1386" w14:textId="551E19E4" w:rsidR="00834B83" w:rsidRPr="005269E6" w:rsidRDefault="00834B83" w:rsidP="00834B83">
      <w:pPr>
        <w:rPr>
          <w:lang w:bidi="ar-SY"/>
        </w:rPr>
      </w:pPr>
      <w:r w:rsidRPr="005269E6">
        <w:t>9</w:t>
      </w:r>
      <w:r w:rsidRPr="005269E6">
        <w:tab/>
      </w:r>
      <w:r w:rsidRPr="005269E6">
        <w:rPr>
          <w:rtl/>
          <w:lang w:bidi="ar-SY"/>
        </w:rPr>
        <w:t>في عام 2022، بلغت إيرادات الاتحاد 172,4 مليون فرنك سويسري (177,6 مليون فرنك سويسري في 2021). ويبين الجدول 3 أدناه المصادر الرئيسية للإيرادات لكل من عام</w:t>
      </w:r>
      <w:r w:rsidR="001A1215" w:rsidRPr="005269E6">
        <w:rPr>
          <w:rFonts w:hint="cs"/>
          <w:rtl/>
          <w:lang w:bidi="ar-SY"/>
        </w:rPr>
        <w:t>َ</w:t>
      </w:r>
      <w:r w:rsidRPr="005269E6">
        <w:rPr>
          <w:rtl/>
          <w:lang w:bidi="ar-SY"/>
        </w:rPr>
        <w:t xml:space="preserve">ي 2022 و2021. وزادت إيرادات المساهمات المقررة </w:t>
      </w:r>
      <w:r w:rsidRPr="005269E6">
        <w:rPr>
          <w:rtl/>
          <w:lang w:bidi="ar-EG"/>
        </w:rPr>
        <w:t>والطوعية</w:t>
      </w:r>
      <w:r w:rsidRPr="005269E6">
        <w:rPr>
          <w:rtl/>
          <w:lang w:bidi="ar-SY"/>
        </w:rPr>
        <w:t xml:space="preserve"> بمقدار </w:t>
      </w:r>
      <w:r w:rsidRPr="005269E6">
        <w:rPr>
          <w:lang w:bidi="ar-SY"/>
        </w:rPr>
        <w:t>5,8</w:t>
      </w:r>
      <w:r w:rsidRPr="005269E6">
        <w:rPr>
          <w:rtl/>
          <w:lang w:bidi="ar-SY"/>
        </w:rPr>
        <w:t xml:space="preserve"> مليون فرنك سويسري. وانخفضت تلك المتأتية من المنشورات وبطاقات التبليغ عن الشبكات الساتلية بمقدار 5,8 مليون فرنك سويسري مما أثر على تنفيذ ميزانية الاتحاد المعتمدة للفترة 2022-2023. وانخفضت الإيرادات الأخرى بمقدار </w:t>
      </w:r>
      <w:r w:rsidRPr="005269E6">
        <w:rPr>
          <w:lang w:bidi="ar-SY"/>
        </w:rPr>
        <w:t>5,2</w:t>
      </w:r>
      <w:r w:rsidRPr="005269E6">
        <w:rPr>
          <w:rtl/>
          <w:lang w:bidi="ar-SY"/>
        </w:rPr>
        <w:t xml:space="preserve"> مليون فرنك سويسري ويعزى ذلك في معظمه إلى التغييرات في الاعتراف بتمويل الميزانية العادية.</w:t>
      </w:r>
    </w:p>
    <w:p w14:paraId="3F42F058" w14:textId="7ED43430" w:rsidR="00834B83" w:rsidRPr="005269E6" w:rsidRDefault="00834B83" w:rsidP="00834B83">
      <w:pPr>
        <w:pStyle w:val="Tabletitle"/>
        <w:rPr>
          <w:rtl/>
          <w:lang w:bidi="ar-EG"/>
        </w:rPr>
      </w:pPr>
      <w:r w:rsidRPr="005269E6">
        <w:rPr>
          <w:rtl/>
        </w:rPr>
        <w:t>الجدول 3 - مصادر الإيرادات عام</w:t>
      </w:r>
      <w:r w:rsidR="001A1215" w:rsidRPr="005269E6">
        <w:rPr>
          <w:rFonts w:hint="cs"/>
          <w:rtl/>
        </w:rPr>
        <w:t>َ</w:t>
      </w:r>
      <w:r w:rsidRPr="005269E6">
        <w:rPr>
          <w:rtl/>
        </w:rPr>
        <w:t>ي 2022 و2021</w:t>
      </w:r>
    </w:p>
    <w:tbl>
      <w:tblPr>
        <w:tblStyle w:val="TableGrid0"/>
        <w:bidiVisual/>
        <w:tblW w:w="4060" w:type="pct"/>
        <w:jc w:val="center"/>
        <w:tblInd w:w="0" w:type="dxa"/>
        <w:tblCellMar>
          <w:right w:w="32" w:type="dxa"/>
        </w:tblCellMar>
        <w:tblLook w:val="04A0" w:firstRow="1" w:lastRow="0" w:firstColumn="1" w:lastColumn="0" w:noHBand="0" w:noVBand="1"/>
      </w:tblPr>
      <w:tblGrid>
        <w:gridCol w:w="4111"/>
        <w:gridCol w:w="1296"/>
        <w:gridCol w:w="1329"/>
        <w:gridCol w:w="1087"/>
      </w:tblGrid>
      <w:tr w:rsidR="00834B83" w:rsidRPr="005269E6" w14:paraId="0C807D50" w14:textId="77777777" w:rsidTr="005C5B84">
        <w:trPr>
          <w:trHeight w:val="494"/>
          <w:tblHeader/>
          <w:jc w:val="center"/>
        </w:trPr>
        <w:tc>
          <w:tcPr>
            <w:tcW w:w="4113" w:type="dxa"/>
            <w:tcBorders>
              <w:top w:val="nil"/>
              <w:left w:val="nil"/>
              <w:bottom w:val="nil"/>
              <w:right w:val="nil"/>
            </w:tcBorders>
            <w:shd w:val="clear" w:color="auto" w:fill="538DD5"/>
            <w:vAlign w:val="center"/>
          </w:tcPr>
          <w:p w14:paraId="060B32B2" w14:textId="77777777" w:rsidR="00834B83" w:rsidRPr="005269E6" w:rsidRDefault="00834B83" w:rsidP="005C5B84">
            <w:pPr>
              <w:pStyle w:val="TableHead"/>
              <w:rPr>
                <w:sz w:val="18"/>
                <w:szCs w:val="18"/>
              </w:rPr>
            </w:pPr>
            <w:r w:rsidRPr="005269E6">
              <w:rPr>
                <w:sz w:val="18"/>
                <w:szCs w:val="18"/>
                <w:rtl/>
              </w:rPr>
              <w:t>بآلاف الفرنكات السويسرية</w:t>
            </w:r>
          </w:p>
        </w:tc>
        <w:tc>
          <w:tcPr>
            <w:tcW w:w="1297" w:type="dxa"/>
            <w:tcBorders>
              <w:top w:val="nil"/>
              <w:left w:val="nil"/>
              <w:bottom w:val="nil"/>
              <w:right w:val="nil"/>
            </w:tcBorders>
            <w:shd w:val="clear" w:color="auto" w:fill="538DD5"/>
            <w:vAlign w:val="center"/>
          </w:tcPr>
          <w:p w14:paraId="76A47827" w14:textId="77777777" w:rsidR="00834B83" w:rsidRPr="005269E6" w:rsidRDefault="00834B83" w:rsidP="005C5B84">
            <w:pPr>
              <w:pStyle w:val="TableHead"/>
              <w:rPr>
                <w:sz w:val="18"/>
                <w:szCs w:val="18"/>
              </w:rPr>
            </w:pPr>
            <w:r w:rsidRPr="005269E6">
              <w:rPr>
                <w:sz w:val="18"/>
                <w:szCs w:val="18"/>
              </w:rPr>
              <w:t>2022</w:t>
            </w:r>
          </w:p>
        </w:tc>
        <w:tc>
          <w:tcPr>
            <w:tcW w:w="1330" w:type="dxa"/>
            <w:tcBorders>
              <w:top w:val="nil"/>
              <w:left w:val="nil"/>
              <w:bottom w:val="nil"/>
              <w:right w:val="nil"/>
            </w:tcBorders>
            <w:shd w:val="clear" w:color="auto" w:fill="538DD5"/>
          </w:tcPr>
          <w:p w14:paraId="1EA277CA" w14:textId="77777777" w:rsidR="00834B83" w:rsidRPr="005269E6" w:rsidRDefault="00834B83" w:rsidP="005C5B84">
            <w:pPr>
              <w:pStyle w:val="TableHead"/>
              <w:rPr>
                <w:sz w:val="18"/>
                <w:szCs w:val="18"/>
              </w:rPr>
            </w:pPr>
            <w:r w:rsidRPr="005269E6">
              <w:rPr>
                <w:sz w:val="18"/>
                <w:szCs w:val="18"/>
              </w:rPr>
              <w:t>2021</w:t>
            </w:r>
          </w:p>
          <w:p w14:paraId="59DA5187" w14:textId="77777777" w:rsidR="00834B83" w:rsidRPr="005269E6" w:rsidRDefault="00834B83" w:rsidP="005C5B84">
            <w:pPr>
              <w:pStyle w:val="TableHead"/>
              <w:rPr>
                <w:sz w:val="18"/>
                <w:szCs w:val="18"/>
              </w:rPr>
            </w:pPr>
            <w:r w:rsidRPr="005269E6">
              <w:rPr>
                <w:sz w:val="18"/>
                <w:szCs w:val="18"/>
                <w:rtl/>
              </w:rPr>
              <w:t>(المعاد بيانها)</w:t>
            </w:r>
          </w:p>
        </w:tc>
        <w:tc>
          <w:tcPr>
            <w:tcW w:w="1087" w:type="dxa"/>
            <w:tcBorders>
              <w:top w:val="nil"/>
              <w:left w:val="nil"/>
              <w:bottom w:val="nil"/>
              <w:right w:val="single" w:sz="4" w:space="0" w:color="FFFFFF"/>
            </w:tcBorders>
            <w:shd w:val="clear" w:color="auto" w:fill="538DD5"/>
            <w:vAlign w:val="center"/>
          </w:tcPr>
          <w:p w14:paraId="27769D62" w14:textId="77777777" w:rsidR="00834B83" w:rsidRPr="005269E6" w:rsidRDefault="00834B83" w:rsidP="005C5B84">
            <w:pPr>
              <w:pStyle w:val="TableHead"/>
              <w:rPr>
                <w:sz w:val="18"/>
                <w:szCs w:val="18"/>
              </w:rPr>
            </w:pPr>
            <w:r w:rsidRPr="005269E6">
              <w:rPr>
                <w:sz w:val="18"/>
                <w:szCs w:val="18"/>
                <w:rtl/>
              </w:rPr>
              <w:t>الاختلاف</w:t>
            </w:r>
          </w:p>
        </w:tc>
      </w:tr>
      <w:tr w:rsidR="00834B83" w:rsidRPr="005269E6" w14:paraId="5516D000" w14:textId="77777777" w:rsidTr="005C5B84">
        <w:trPr>
          <w:trHeight w:val="476"/>
          <w:jc w:val="center"/>
        </w:trPr>
        <w:tc>
          <w:tcPr>
            <w:tcW w:w="4113" w:type="dxa"/>
            <w:tcBorders>
              <w:top w:val="nil"/>
              <w:left w:val="nil"/>
              <w:bottom w:val="nil"/>
              <w:right w:val="nil"/>
            </w:tcBorders>
            <w:shd w:val="clear" w:color="auto" w:fill="FFFFFF"/>
            <w:vAlign w:val="bottom"/>
          </w:tcPr>
          <w:p w14:paraId="38542F31" w14:textId="77777777" w:rsidR="00834B83" w:rsidRPr="005269E6" w:rsidRDefault="00834B83" w:rsidP="005C5B84">
            <w:pPr>
              <w:pStyle w:val="Tabletexte"/>
              <w:keepNext/>
              <w:rPr>
                <w:sz w:val="18"/>
                <w:szCs w:val="18"/>
              </w:rPr>
            </w:pPr>
            <w:r w:rsidRPr="005269E6">
              <w:rPr>
                <w:sz w:val="18"/>
                <w:szCs w:val="18"/>
                <w:rtl/>
              </w:rPr>
              <w:t>المساهمات المقررة</w:t>
            </w:r>
          </w:p>
        </w:tc>
        <w:tc>
          <w:tcPr>
            <w:tcW w:w="1297" w:type="dxa"/>
            <w:tcBorders>
              <w:top w:val="nil"/>
              <w:left w:val="nil"/>
              <w:bottom w:val="nil"/>
              <w:right w:val="nil"/>
            </w:tcBorders>
            <w:shd w:val="clear" w:color="auto" w:fill="FFFFFF"/>
            <w:vAlign w:val="bottom"/>
          </w:tcPr>
          <w:p w14:paraId="10A34F6F" w14:textId="77777777" w:rsidR="00834B83" w:rsidRPr="005269E6" w:rsidRDefault="00834B83" w:rsidP="0031505F">
            <w:pPr>
              <w:pStyle w:val="Tabletexte"/>
              <w:keepNext/>
              <w:jc w:val="left"/>
              <w:rPr>
                <w:sz w:val="18"/>
                <w:szCs w:val="18"/>
              </w:rPr>
            </w:pPr>
            <w:r w:rsidRPr="005269E6">
              <w:rPr>
                <w:sz w:val="18"/>
                <w:szCs w:val="18"/>
              </w:rPr>
              <w:t>127 613</w:t>
            </w:r>
          </w:p>
        </w:tc>
        <w:tc>
          <w:tcPr>
            <w:tcW w:w="1330" w:type="dxa"/>
            <w:tcBorders>
              <w:top w:val="nil"/>
              <w:left w:val="nil"/>
              <w:bottom w:val="nil"/>
              <w:right w:val="nil"/>
            </w:tcBorders>
            <w:shd w:val="clear" w:color="auto" w:fill="FFFFFF"/>
            <w:vAlign w:val="bottom"/>
          </w:tcPr>
          <w:p w14:paraId="642B06A0" w14:textId="77777777" w:rsidR="00834B83" w:rsidRPr="005269E6" w:rsidRDefault="00834B83" w:rsidP="0031505F">
            <w:pPr>
              <w:pStyle w:val="Tabletexte"/>
              <w:keepNext/>
              <w:jc w:val="left"/>
              <w:rPr>
                <w:sz w:val="18"/>
                <w:szCs w:val="18"/>
              </w:rPr>
            </w:pPr>
            <w:r w:rsidRPr="005269E6">
              <w:rPr>
                <w:sz w:val="18"/>
                <w:szCs w:val="18"/>
              </w:rPr>
              <w:t>125 611</w:t>
            </w:r>
          </w:p>
        </w:tc>
        <w:tc>
          <w:tcPr>
            <w:tcW w:w="1087" w:type="dxa"/>
            <w:tcBorders>
              <w:top w:val="nil"/>
              <w:left w:val="nil"/>
              <w:bottom w:val="nil"/>
              <w:right w:val="nil"/>
            </w:tcBorders>
            <w:shd w:val="clear" w:color="auto" w:fill="FFFFFF"/>
            <w:vAlign w:val="bottom"/>
          </w:tcPr>
          <w:p w14:paraId="61AA15E5" w14:textId="77777777" w:rsidR="00834B83" w:rsidRPr="005269E6" w:rsidRDefault="00834B83" w:rsidP="0031505F">
            <w:pPr>
              <w:pStyle w:val="Tabletexte"/>
              <w:keepNext/>
              <w:jc w:val="left"/>
              <w:rPr>
                <w:sz w:val="18"/>
                <w:szCs w:val="18"/>
              </w:rPr>
            </w:pPr>
            <w:r w:rsidRPr="005269E6">
              <w:rPr>
                <w:sz w:val="18"/>
                <w:szCs w:val="18"/>
              </w:rPr>
              <w:t>2 002</w:t>
            </w:r>
          </w:p>
        </w:tc>
      </w:tr>
      <w:tr w:rsidR="00834B83" w:rsidRPr="005269E6" w14:paraId="13E89275" w14:textId="77777777" w:rsidTr="005C5B84">
        <w:trPr>
          <w:trHeight w:val="317"/>
          <w:jc w:val="center"/>
        </w:trPr>
        <w:tc>
          <w:tcPr>
            <w:tcW w:w="4113" w:type="dxa"/>
            <w:tcBorders>
              <w:top w:val="nil"/>
              <w:left w:val="nil"/>
              <w:bottom w:val="nil"/>
              <w:right w:val="nil"/>
            </w:tcBorders>
            <w:shd w:val="clear" w:color="auto" w:fill="FFFFFF"/>
            <w:vAlign w:val="bottom"/>
          </w:tcPr>
          <w:p w14:paraId="673679B9" w14:textId="77777777" w:rsidR="00834B83" w:rsidRPr="005269E6" w:rsidRDefault="00834B83" w:rsidP="005C5B84">
            <w:pPr>
              <w:rPr>
                <w:sz w:val="18"/>
                <w:szCs w:val="18"/>
                <w:lang w:bidi="ar-SY"/>
              </w:rPr>
            </w:pPr>
            <w:r w:rsidRPr="005269E6">
              <w:rPr>
                <w:sz w:val="18"/>
                <w:szCs w:val="18"/>
                <w:rtl/>
                <w:lang w:bidi="ar-SY"/>
              </w:rPr>
              <w:t>المساهمات الخارجة عن الميزانية</w:t>
            </w:r>
          </w:p>
        </w:tc>
        <w:tc>
          <w:tcPr>
            <w:tcW w:w="1297" w:type="dxa"/>
            <w:tcBorders>
              <w:top w:val="nil"/>
              <w:left w:val="nil"/>
              <w:bottom w:val="nil"/>
              <w:right w:val="nil"/>
            </w:tcBorders>
            <w:shd w:val="clear" w:color="auto" w:fill="FFFFFF"/>
          </w:tcPr>
          <w:p w14:paraId="2FE8935D" w14:textId="77777777" w:rsidR="00834B83" w:rsidRPr="005269E6" w:rsidRDefault="00834B83" w:rsidP="0031505F">
            <w:pPr>
              <w:pStyle w:val="Tabletexte"/>
              <w:jc w:val="left"/>
              <w:rPr>
                <w:sz w:val="18"/>
                <w:szCs w:val="18"/>
              </w:rPr>
            </w:pPr>
            <w:r w:rsidRPr="005269E6">
              <w:rPr>
                <w:sz w:val="18"/>
                <w:szCs w:val="18"/>
              </w:rPr>
              <w:t>17 965</w:t>
            </w:r>
          </w:p>
        </w:tc>
        <w:tc>
          <w:tcPr>
            <w:tcW w:w="1330" w:type="dxa"/>
            <w:tcBorders>
              <w:top w:val="nil"/>
              <w:left w:val="nil"/>
              <w:bottom w:val="nil"/>
              <w:right w:val="nil"/>
            </w:tcBorders>
            <w:shd w:val="clear" w:color="auto" w:fill="FFFFFF"/>
          </w:tcPr>
          <w:p w14:paraId="086A1282" w14:textId="77777777" w:rsidR="00834B83" w:rsidRPr="005269E6" w:rsidRDefault="00834B83" w:rsidP="0031505F">
            <w:pPr>
              <w:pStyle w:val="Tabletexte"/>
              <w:jc w:val="left"/>
              <w:rPr>
                <w:sz w:val="18"/>
                <w:szCs w:val="18"/>
              </w:rPr>
            </w:pPr>
            <w:r w:rsidRPr="005269E6">
              <w:rPr>
                <w:sz w:val="18"/>
                <w:szCs w:val="18"/>
              </w:rPr>
              <w:t>14 123</w:t>
            </w:r>
          </w:p>
        </w:tc>
        <w:tc>
          <w:tcPr>
            <w:tcW w:w="1087" w:type="dxa"/>
            <w:tcBorders>
              <w:top w:val="nil"/>
              <w:left w:val="nil"/>
              <w:bottom w:val="nil"/>
              <w:right w:val="nil"/>
            </w:tcBorders>
            <w:shd w:val="clear" w:color="auto" w:fill="FFFFFF"/>
          </w:tcPr>
          <w:p w14:paraId="6854AFC9" w14:textId="77777777" w:rsidR="00834B83" w:rsidRPr="005269E6" w:rsidRDefault="00834B83" w:rsidP="0031505F">
            <w:pPr>
              <w:pStyle w:val="Tabletexte"/>
              <w:jc w:val="left"/>
              <w:rPr>
                <w:sz w:val="18"/>
                <w:szCs w:val="18"/>
              </w:rPr>
            </w:pPr>
            <w:r w:rsidRPr="005269E6">
              <w:rPr>
                <w:sz w:val="18"/>
                <w:szCs w:val="18"/>
              </w:rPr>
              <w:t>3 842</w:t>
            </w:r>
          </w:p>
        </w:tc>
      </w:tr>
      <w:tr w:rsidR="00834B83" w:rsidRPr="005269E6" w14:paraId="6109FF71" w14:textId="77777777" w:rsidTr="005C5B84">
        <w:trPr>
          <w:trHeight w:val="257"/>
          <w:jc w:val="center"/>
        </w:trPr>
        <w:tc>
          <w:tcPr>
            <w:tcW w:w="4113" w:type="dxa"/>
            <w:tcBorders>
              <w:top w:val="nil"/>
              <w:left w:val="nil"/>
              <w:bottom w:val="nil"/>
              <w:right w:val="nil"/>
            </w:tcBorders>
            <w:shd w:val="clear" w:color="auto" w:fill="FFFFFF"/>
            <w:vAlign w:val="bottom"/>
          </w:tcPr>
          <w:p w14:paraId="5C473D36" w14:textId="77777777" w:rsidR="00834B83" w:rsidRPr="005269E6" w:rsidRDefault="00834B83" w:rsidP="005C5B84">
            <w:pPr>
              <w:pStyle w:val="Tabletexte"/>
              <w:ind w:left="278" w:hanging="278"/>
              <w:rPr>
                <w:i/>
                <w:iCs/>
                <w:sz w:val="18"/>
                <w:szCs w:val="18"/>
              </w:rPr>
            </w:pPr>
            <w:r w:rsidRPr="005269E6">
              <w:rPr>
                <w:sz w:val="18"/>
                <w:szCs w:val="18"/>
                <w:rtl/>
              </w:rPr>
              <w:t>-</w:t>
            </w:r>
            <w:r w:rsidRPr="005269E6">
              <w:rPr>
                <w:sz w:val="18"/>
                <w:szCs w:val="18"/>
              </w:rPr>
              <w:tab/>
            </w:r>
            <w:r w:rsidRPr="005269E6">
              <w:rPr>
                <w:i/>
                <w:iCs/>
                <w:sz w:val="18"/>
                <w:szCs w:val="18"/>
                <w:rtl/>
              </w:rPr>
              <w:t>المساهمات الطوعية</w:t>
            </w:r>
          </w:p>
        </w:tc>
        <w:tc>
          <w:tcPr>
            <w:tcW w:w="1297" w:type="dxa"/>
            <w:tcBorders>
              <w:top w:val="nil"/>
              <w:left w:val="nil"/>
              <w:bottom w:val="nil"/>
              <w:right w:val="nil"/>
            </w:tcBorders>
            <w:shd w:val="clear" w:color="auto" w:fill="FFFFFF"/>
          </w:tcPr>
          <w:p w14:paraId="34042EFD" w14:textId="77777777" w:rsidR="00834B83" w:rsidRPr="005269E6" w:rsidRDefault="00834B83" w:rsidP="0031505F">
            <w:pPr>
              <w:pStyle w:val="Tabletexte"/>
              <w:jc w:val="left"/>
              <w:rPr>
                <w:sz w:val="18"/>
                <w:szCs w:val="18"/>
              </w:rPr>
            </w:pPr>
            <w:r w:rsidRPr="005269E6">
              <w:rPr>
                <w:i/>
                <w:sz w:val="18"/>
                <w:szCs w:val="18"/>
              </w:rPr>
              <w:t>3 947</w:t>
            </w:r>
          </w:p>
        </w:tc>
        <w:tc>
          <w:tcPr>
            <w:tcW w:w="1330" w:type="dxa"/>
            <w:tcBorders>
              <w:top w:val="nil"/>
              <w:left w:val="nil"/>
              <w:bottom w:val="nil"/>
              <w:right w:val="nil"/>
            </w:tcBorders>
            <w:shd w:val="clear" w:color="auto" w:fill="FFFFFF"/>
          </w:tcPr>
          <w:p w14:paraId="1F8B68BE" w14:textId="77777777" w:rsidR="00834B83" w:rsidRPr="005269E6" w:rsidRDefault="00834B83" w:rsidP="0031505F">
            <w:pPr>
              <w:pStyle w:val="Tabletexte"/>
              <w:jc w:val="left"/>
              <w:rPr>
                <w:sz w:val="18"/>
                <w:szCs w:val="18"/>
              </w:rPr>
            </w:pPr>
            <w:r w:rsidRPr="005269E6">
              <w:rPr>
                <w:i/>
                <w:sz w:val="18"/>
                <w:szCs w:val="18"/>
              </w:rPr>
              <w:t>2 850</w:t>
            </w:r>
          </w:p>
        </w:tc>
        <w:tc>
          <w:tcPr>
            <w:tcW w:w="1087" w:type="dxa"/>
            <w:tcBorders>
              <w:top w:val="nil"/>
              <w:left w:val="nil"/>
              <w:bottom w:val="nil"/>
              <w:right w:val="nil"/>
            </w:tcBorders>
            <w:shd w:val="clear" w:color="auto" w:fill="FFFFFF"/>
          </w:tcPr>
          <w:p w14:paraId="423E09C7" w14:textId="77777777" w:rsidR="00834B83" w:rsidRPr="005269E6" w:rsidRDefault="00834B83" w:rsidP="0031505F">
            <w:pPr>
              <w:pStyle w:val="Tabletexte"/>
              <w:jc w:val="left"/>
              <w:rPr>
                <w:sz w:val="18"/>
                <w:szCs w:val="18"/>
              </w:rPr>
            </w:pPr>
            <w:r w:rsidRPr="005269E6">
              <w:rPr>
                <w:i/>
                <w:sz w:val="18"/>
                <w:szCs w:val="18"/>
              </w:rPr>
              <w:t>1 097</w:t>
            </w:r>
          </w:p>
        </w:tc>
      </w:tr>
      <w:tr w:rsidR="00834B83" w:rsidRPr="005269E6" w14:paraId="0C0D149D" w14:textId="77777777" w:rsidTr="005C5B84">
        <w:trPr>
          <w:trHeight w:val="302"/>
          <w:jc w:val="center"/>
        </w:trPr>
        <w:tc>
          <w:tcPr>
            <w:tcW w:w="4113" w:type="dxa"/>
            <w:tcBorders>
              <w:top w:val="nil"/>
              <w:left w:val="nil"/>
              <w:bottom w:val="nil"/>
              <w:right w:val="nil"/>
            </w:tcBorders>
            <w:shd w:val="clear" w:color="auto" w:fill="FFFFFF"/>
            <w:vAlign w:val="bottom"/>
          </w:tcPr>
          <w:p w14:paraId="57997E52" w14:textId="77777777" w:rsidR="00834B83" w:rsidRPr="005269E6" w:rsidRDefault="00834B83" w:rsidP="005C5B84">
            <w:pPr>
              <w:pStyle w:val="Tabletexte"/>
              <w:ind w:left="278" w:hanging="278"/>
              <w:rPr>
                <w:i/>
                <w:iCs/>
                <w:sz w:val="18"/>
                <w:szCs w:val="18"/>
              </w:rPr>
            </w:pPr>
            <w:r w:rsidRPr="005269E6">
              <w:rPr>
                <w:sz w:val="18"/>
                <w:szCs w:val="18"/>
                <w:rtl/>
              </w:rPr>
              <w:t>-</w:t>
            </w:r>
            <w:r w:rsidRPr="005269E6">
              <w:rPr>
                <w:sz w:val="18"/>
                <w:szCs w:val="18"/>
              </w:rPr>
              <w:tab/>
            </w:r>
            <w:r w:rsidRPr="005269E6">
              <w:rPr>
                <w:i/>
                <w:iCs/>
                <w:sz w:val="18"/>
                <w:szCs w:val="18"/>
                <w:rtl/>
              </w:rPr>
              <w:t>مساهمات الصناديق الاستئمانية</w:t>
            </w:r>
          </w:p>
        </w:tc>
        <w:tc>
          <w:tcPr>
            <w:tcW w:w="1297" w:type="dxa"/>
            <w:tcBorders>
              <w:top w:val="nil"/>
              <w:left w:val="nil"/>
              <w:bottom w:val="nil"/>
              <w:right w:val="nil"/>
            </w:tcBorders>
            <w:shd w:val="clear" w:color="auto" w:fill="FFFFFF"/>
          </w:tcPr>
          <w:p w14:paraId="368FFBB0" w14:textId="77777777" w:rsidR="00834B83" w:rsidRPr="005269E6" w:rsidRDefault="00834B83" w:rsidP="0031505F">
            <w:pPr>
              <w:pStyle w:val="Tabletexte"/>
              <w:jc w:val="left"/>
              <w:rPr>
                <w:sz w:val="18"/>
                <w:szCs w:val="18"/>
              </w:rPr>
            </w:pPr>
            <w:r w:rsidRPr="005269E6">
              <w:rPr>
                <w:i/>
                <w:sz w:val="18"/>
                <w:szCs w:val="18"/>
              </w:rPr>
              <w:t>14 018</w:t>
            </w:r>
          </w:p>
        </w:tc>
        <w:tc>
          <w:tcPr>
            <w:tcW w:w="1330" w:type="dxa"/>
            <w:tcBorders>
              <w:top w:val="nil"/>
              <w:left w:val="nil"/>
              <w:bottom w:val="nil"/>
              <w:right w:val="nil"/>
            </w:tcBorders>
            <w:shd w:val="clear" w:color="auto" w:fill="FFFFFF"/>
          </w:tcPr>
          <w:p w14:paraId="4CB757FE" w14:textId="77777777" w:rsidR="00834B83" w:rsidRPr="005269E6" w:rsidRDefault="00834B83" w:rsidP="0031505F">
            <w:pPr>
              <w:pStyle w:val="Tabletexte"/>
              <w:jc w:val="left"/>
              <w:rPr>
                <w:sz w:val="18"/>
                <w:szCs w:val="18"/>
              </w:rPr>
            </w:pPr>
            <w:r w:rsidRPr="005269E6">
              <w:rPr>
                <w:i/>
                <w:sz w:val="18"/>
                <w:szCs w:val="18"/>
              </w:rPr>
              <w:t>11 273</w:t>
            </w:r>
          </w:p>
        </w:tc>
        <w:tc>
          <w:tcPr>
            <w:tcW w:w="1087" w:type="dxa"/>
            <w:tcBorders>
              <w:top w:val="nil"/>
              <w:left w:val="nil"/>
              <w:bottom w:val="nil"/>
              <w:right w:val="nil"/>
            </w:tcBorders>
            <w:shd w:val="clear" w:color="auto" w:fill="FFFFFF"/>
          </w:tcPr>
          <w:p w14:paraId="30B788EF" w14:textId="77777777" w:rsidR="00834B83" w:rsidRPr="005269E6" w:rsidRDefault="00834B83" w:rsidP="0031505F">
            <w:pPr>
              <w:pStyle w:val="Tabletexte"/>
              <w:jc w:val="left"/>
              <w:rPr>
                <w:sz w:val="18"/>
                <w:szCs w:val="18"/>
              </w:rPr>
            </w:pPr>
            <w:r w:rsidRPr="005269E6">
              <w:rPr>
                <w:i/>
                <w:sz w:val="18"/>
                <w:szCs w:val="18"/>
              </w:rPr>
              <w:t>2 745</w:t>
            </w:r>
          </w:p>
        </w:tc>
      </w:tr>
      <w:tr w:rsidR="00834B83" w:rsidRPr="005269E6" w14:paraId="416049FF" w14:textId="77777777" w:rsidTr="005C5B84">
        <w:trPr>
          <w:trHeight w:val="319"/>
          <w:jc w:val="center"/>
        </w:trPr>
        <w:tc>
          <w:tcPr>
            <w:tcW w:w="4113" w:type="dxa"/>
            <w:tcBorders>
              <w:top w:val="nil"/>
              <w:left w:val="nil"/>
              <w:bottom w:val="nil"/>
              <w:right w:val="nil"/>
            </w:tcBorders>
            <w:shd w:val="clear" w:color="auto" w:fill="FFFFFF"/>
            <w:vAlign w:val="bottom"/>
          </w:tcPr>
          <w:p w14:paraId="6CDC9211" w14:textId="77777777" w:rsidR="00834B83" w:rsidRPr="005269E6" w:rsidRDefault="00834B83" w:rsidP="005C5B84">
            <w:pPr>
              <w:rPr>
                <w:sz w:val="18"/>
                <w:szCs w:val="18"/>
                <w:lang w:bidi="ar-SY"/>
              </w:rPr>
            </w:pPr>
            <w:r w:rsidRPr="005269E6">
              <w:rPr>
                <w:sz w:val="18"/>
                <w:szCs w:val="18"/>
                <w:rtl/>
                <w:lang w:bidi="ar-SY"/>
              </w:rPr>
              <w:t>إيرادات استرداد التكاليف</w:t>
            </w:r>
          </w:p>
        </w:tc>
        <w:tc>
          <w:tcPr>
            <w:tcW w:w="1297" w:type="dxa"/>
            <w:tcBorders>
              <w:top w:val="nil"/>
              <w:left w:val="nil"/>
              <w:bottom w:val="nil"/>
              <w:right w:val="nil"/>
            </w:tcBorders>
            <w:shd w:val="clear" w:color="auto" w:fill="FFFFFF"/>
          </w:tcPr>
          <w:p w14:paraId="64DC7781" w14:textId="77777777" w:rsidR="00834B83" w:rsidRPr="005269E6" w:rsidRDefault="00834B83" w:rsidP="0031505F">
            <w:pPr>
              <w:pStyle w:val="Tabletexte"/>
              <w:jc w:val="left"/>
              <w:rPr>
                <w:sz w:val="18"/>
                <w:szCs w:val="18"/>
              </w:rPr>
            </w:pPr>
            <w:r w:rsidRPr="005269E6">
              <w:rPr>
                <w:sz w:val="18"/>
                <w:szCs w:val="18"/>
              </w:rPr>
              <w:t>26 473</w:t>
            </w:r>
          </w:p>
        </w:tc>
        <w:tc>
          <w:tcPr>
            <w:tcW w:w="1330" w:type="dxa"/>
            <w:tcBorders>
              <w:top w:val="nil"/>
              <w:left w:val="nil"/>
              <w:bottom w:val="nil"/>
              <w:right w:val="nil"/>
            </w:tcBorders>
            <w:shd w:val="clear" w:color="auto" w:fill="FFFFFF"/>
          </w:tcPr>
          <w:p w14:paraId="78E18E44" w14:textId="77777777" w:rsidR="00834B83" w:rsidRPr="005269E6" w:rsidRDefault="00834B83" w:rsidP="0031505F">
            <w:pPr>
              <w:pStyle w:val="Tabletexte"/>
              <w:jc w:val="left"/>
              <w:rPr>
                <w:sz w:val="18"/>
                <w:szCs w:val="18"/>
              </w:rPr>
            </w:pPr>
            <w:r w:rsidRPr="005269E6">
              <w:rPr>
                <w:sz w:val="18"/>
                <w:szCs w:val="18"/>
              </w:rPr>
              <w:t>37 354</w:t>
            </w:r>
          </w:p>
        </w:tc>
        <w:tc>
          <w:tcPr>
            <w:tcW w:w="1087" w:type="dxa"/>
            <w:tcBorders>
              <w:top w:val="nil"/>
              <w:left w:val="nil"/>
              <w:bottom w:val="nil"/>
              <w:right w:val="nil"/>
            </w:tcBorders>
            <w:shd w:val="clear" w:color="auto" w:fill="FFFFFF"/>
          </w:tcPr>
          <w:p w14:paraId="001BB0F5" w14:textId="77777777" w:rsidR="00834B83" w:rsidRPr="005269E6" w:rsidRDefault="00834B83" w:rsidP="0031505F">
            <w:pPr>
              <w:pStyle w:val="Tabletexte"/>
              <w:jc w:val="left"/>
              <w:rPr>
                <w:sz w:val="18"/>
                <w:szCs w:val="18"/>
              </w:rPr>
            </w:pPr>
            <w:r w:rsidRPr="005269E6">
              <w:rPr>
                <w:sz w:val="18"/>
                <w:szCs w:val="18"/>
              </w:rPr>
              <w:t>(10 881)</w:t>
            </w:r>
          </w:p>
        </w:tc>
      </w:tr>
      <w:tr w:rsidR="00834B83" w:rsidRPr="005269E6" w14:paraId="21F6B464" w14:textId="77777777" w:rsidTr="005C5B84">
        <w:trPr>
          <w:trHeight w:val="257"/>
          <w:jc w:val="center"/>
        </w:trPr>
        <w:tc>
          <w:tcPr>
            <w:tcW w:w="4113" w:type="dxa"/>
            <w:tcBorders>
              <w:top w:val="nil"/>
              <w:left w:val="nil"/>
              <w:bottom w:val="nil"/>
              <w:right w:val="nil"/>
            </w:tcBorders>
            <w:shd w:val="clear" w:color="auto" w:fill="FFFFFF"/>
            <w:vAlign w:val="bottom"/>
          </w:tcPr>
          <w:p w14:paraId="26038ECF" w14:textId="77777777" w:rsidR="00834B83" w:rsidRPr="005269E6" w:rsidRDefault="00834B83" w:rsidP="005C5B84">
            <w:pPr>
              <w:pStyle w:val="Tabletexte"/>
              <w:ind w:left="278" w:hanging="278"/>
              <w:rPr>
                <w:i/>
                <w:iCs/>
                <w:sz w:val="18"/>
                <w:szCs w:val="18"/>
              </w:rPr>
            </w:pPr>
            <w:r w:rsidRPr="005269E6">
              <w:rPr>
                <w:sz w:val="18"/>
                <w:szCs w:val="18"/>
                <w:rtl/>
              </w:rPr>
              <w:t>-</w:t>
            </w:r>
            <w:r w:rsidRPr="005269E6">
              <w:rPr>
                <w:sz w:val="18"/>
                <w:szCs w:val="18"/>
              </w:rPr>
              <w:tab/>
            </w:r>
            <w:r w:rsidRPr="005269E6">
              <w:rPr>
                <w:i/>
                <w:iCs/>
                <w:sz w:val="18"/>
                <w:szCs w:val="18"/>
                <w:rtl/>
              </w:rPr>
              <w:t>المنشورات</w:t>
            </w:r>
          </w:p>
        </w:tc>
        <w:tc>
          <w:tcPr>
            <w:tcW w:w="1297" w:type="dxa"/>
            <w:tcBorders>
              <w:top w:val="nil"/>
              <w:left w:val="nil"/>
              <w:bottom w:val="nil"/>
              <w:right w:val="nil"/>
            </w:tcBorders>
            <w:shd w:val="clear" w:color="auto" w:fill="FFFFFF"/>
          </w:tcPr>
          <w:p w14:paraId="718A74E3" w14:textId="77777777" w:rsidR="00834B83" w:rsidRPr="005269E6" w:rsidRDefault="00834B83" w:rsidP="0031505F">
            <w:pPr>
              <w:pStyle w:val="Tabletexte"/>
              <w:jc w:val="left"/>
              <w:rPr>
                <w:sz w:val="18"/>
                <w:szCs w:val="18"/>
              </w:rPr>
            </w:pPr>
            <w:r w:rsidRPr="005269E6">
              <w:rPr>
                <w:i/>
                <w:sz w:val="18"/>
                <w:szCs w:val="18"/>
              </w:rPr>
              <w:t>14 604</w:t>
            </w:r>
          </w:p>
        </w:tc>
        <w:tc>
          <w:tcPr>
            <w:tcW w:w="1330" w:type="dxa"/>
            <w:tcBorders>
              <w:top w:val="nil"/>
              <w:left w:val="nil"/>
              <w:bottom w:val="nil"/>
              <w:right w:val="nil"/>
            </w:tcBorders>
            <w:shd w:val="clear" w:color="auto" w:fill="FFFFFF"/>
          </w:tcPr>
          <w:p w14:paraId="67B31290" w14:textId="77777777" w:rsidR="00834B83" w:rsidRPr="005269E6" w:rsidRDefault="00834B83" w:rsidP="0031505F">
            <w:pPr>
              <w:pStyle w:val="Tabletexte"/>
              <w:jc w:val="left"/>
              <w:rPr>
                <w:sz w:val="18"/>
                <w:szCs w:val="18"/>
              </w:rPr>
            </w:pPr>
            <w:r w:rsidRPr="005269E6">
              <w:rPr>
                <w:i/>
                <w:sz w:val="18"/>
                <w:szCs w:val="18"/>
              </w:rPr>
              <w:t>19 411</w:t>
            </w:r>
          </w:p>
        </w:tc>
        <w:tc>
          <w:tcPr>
            <w:tcW w:w="1087" w:type="dxa"/>
            <w:tcBorders>
              <w:top w:val="nil"/>
              <w:left w:val="nil"/>
              <w:bottom w:val="nil"/>
              <w:right w:val="nil"/>
            </w:tcBorders>
            <w:shd w:val="clear" w:color="auto" w:fill="FFFFFF"/>
          </w:tcPr>
          <w:p w14:paraId="5BDBFFF1" w14:textId="77777777" w:rsidR="00834B83" w:rsidRPr="005269E6" w:rsidRDefault="00834B83" w:rsidP="0031505F">
            <w:pPr>
              <w:pStyle w:val="Tabletexte"/>
              <w:jc w:val="left"/>
              <w:rPr>
                <w:sz w:val="18"/>
                <w:szCs w:val="18"/>
              </w:rPr>
            </w:pPr>
            <w:r w:rsidRPr="005269E6">
              <w:rPr>
                <w:i/>
                <w:sz w:val="18"/>
                <w:szCs w:val="18"/>
              </w:rPr>
              <w:t>(4 807)</w:t>
            </w:r>
          </w:p>
        </w:tc>
      </w:tr>
      <w:tr w:rsidR="00834B83" w:rsidRPr="005269E6" w14:paraId="5E9F041E" w14:textId="77777777" w:rsidTr="005C5B84">
        <w:trPr>
          <w:trHeight w:val="259"/>
          <w:jc w:val="center"/>
        </w:trPr>
        <w:tc>
          <w:tcPr>
            <w:tcW w:w="4113" w:type="dxa"/>
            <w:tcBorders>
              <w:top w:val="nil"/>
              <w:left w:val="nil"/>
              <w:bottom w:val="nil"/>
              <w:right w:val="nil"/>
            </w:tcBorders>
            <w:shd w:val="clear" w:color="auto" w:fill="FFFFFF"/>
            <w:vAlign w:val="bottom"/>
          </w:tcPr>
          <w:p w14:paraId="10733321" w14:textId="77777777" w:rsidR="00834B83" w:rsidRPr="005269E6" w:rsidRDefault="00834B83" w:rsidP="005C5B84">
            <w:pPr>
              <w:pStyle w:val="Tabletexte"/>
              <w:ind w:left="278" w:hanging="278"/>
              <w:rPr>
                <w:i/>
                <w:iCs/>
                <w:sz w:val="18"/>
                <w:szCs w:val="18"/>
              </w:rPr>
            </w:pPr>
            <w:r w:rsidRPr="005269E6">
              <w:rPr>
                <w:sz w:val="18"/>
                <w:szCs w:val="18"/>
                <w:rtl/>
              </w:rPr>
              <w:t>-</w:t>
            </w:r>
            <w:r w:rsidRPr="005269E6">
              <w:rPr>
                <w:sz w:val="18"/>
                <w:szCs w:val="18"/>
              </w:rPr>
              <w:tab/>
            </w:r>
            <w:r w:rsidRPr="005269E6">
              <w:rPr>
                <w:i/>
                <w:iCs/>
                <w:sz w:val="18"/>
                <w:szCs w:val="18"/>
                <w:rtl/>
              </w:rPr>
              <w:t>بطاقات التبليغ عن الشبكات الساتلية</w:t>
            </w:r>
          </w:p>
        </w:tc>
        <w:tc>
          <w:tcPr>
            <w:tcW w:w="1297" w:type="dxa"/>
            <w:tcBorders>
              <w:top w:val="nil"/>
              <w:left w:val="nil"/>
              <w:bottom w:val="nil"/>
              <w:right w:val="nil"/>
            </w:tcBorders>
            <w:shd w:val="clear" w:color="auto" w:fill="FFFFFF"/>
          </w:tcPr>
          <w:p w14:paraId="2E7D2173" w14:textId="77777777" w:rsidR="00834B83" w:rsidRPr="005269E6" w:rsidRDefault="00834B83" w:rsidP="0031505F">
            <w:pPr>
              <w:pStyle w:val="Tabletexte"/>
              <w:jc w:val="left"/>
              <w:rPr>
                <w:sz w:val="18"/>
                <w:szCs w:val="18"/>
              </w:rPr>
            </w:pPr>
            <w:r w:rsidRPr="005269E6">
              <w:rPr>
                <w:i/>
                <w:sz w:val="18"/>
                <w:szCs w:val="18"/>
              </w:rPr>
              <w:t>10 285</w:t>
            </w:r>
          </w:p>
        </w:tc>
        <w:tc>
          <w:tcPr>
            <w:tcW w:w="1330" w:type="dxa"/>
            <w:tcBorders>
              <w:top w:val="nil"/>
              <w:left w:val="nil"/>
              <w:bottom w:val="nil"/>
              <w:right w:val="nil"/>
            </w:tcBorders>
            <w:shd w:val="clear" w:color="auto" w:fill="FFFFFF"/>
          </w:tcPr>
          <w:p w14:paraId="117915EB" w14:textId="77777777" w:rsidR="00834B83" w:rsidRPr="005269E6" w:rsidRDefault="00834B83" w:rsidP="0031505F">
            <w:pPr>
              <w:pStyle w:val="Tabletexte"/>
              <w:jc w:val="left"/>
              <w:rPr>
                <w:sz w:val="18"/>
                <w:szCs w:val="18"/>
              </w:rPr>
            </w:pPr>
            <w:r w:rsidRPr="005269E6">
              <w:rPr>
                <w:i/>
                <w:sz w:val="18"/>
                <w:szCs w:val="18"/>
              </w:rPr>
              <w:t>11 240</w:t>
            </w:r>
          </w:p>
        </w:tc>
        <w:tc>
          <w:tcPr>
            <w:tcW w:w="1087" w:type="dxa"/>
            <w:tcBorders>
              <w:top w:val="nil"/>
              <w:left w:val="nil"/>
              <w:bottom w:val="nil"/>
              <w:right w:val="nil"/>
            </w:tcBorders>
            <w:shd w:val="clear" w:color="auto" w:fill="FFFFFF"/>
          </w:tcPr>
          <w:p w14:paraId="6D4A8361" w14:textId="77777777" w:rsidR="00834B83" w:rsidRPr="005269E6" w:rsidRDefault="00834B83" w:rsidP="0031505F">
            <w:pPr>
              <w:pStyle w:val="Tabletexte"/>
              <w:jc w:val="left"/>
              <w:rPr>
                <w:sz w:val="18"/>
                <w:szCs w:val="18"/>
              </w:rPr>
            </w:pPr>
            <w:r w:rsidRPr="005269E6">
              <w:rPr>
                <w:i/>
                <w:sz w:val="18"/>
                <w:szCs w:val="18"/>
              </w:rPr>
              <w:t>(955)</w:t>
            </w:r>
          </w:p>
        </w:tc>
      </w:tr>
      <w:tr w:rsidR="00834B83" w:rsidRPr="005269E6" w14:paraId="2FF0065B" w14:textId="77777777" w:rsidTr="005C5B84">
        <w:trPr>
          <w:trHeight w:val="302"/>
          <w:jc w:val="center"/>
        </w:trPr>
        <w:tc>
          <w:tcPr>
            <w:tcW w:w="4113" w:type="dxa"/>
            <w:tcBorders>
              <w:top w:val="nil"/>
              <w:left w:val="nil"/>
              <w:bottom w:val="nil"/>
              <w:right w:val="nil"/>
            </w:tcBorders>
            <w:shd w:val="clear" w:color="auto" w:fill="FFFFFF"/>
            <w:vAlign w:val="bottom"/>
          </w:tcPr>
          <w:p w14:paraId="156DD1B0" w14:textId="77777777" w:rsidR="00834B83" w:rsidRPr="005269E6" w:rsidRDefault="00834B83" w:rsidP="005C5B84">
            <w:pPr>
              <w:pStyle w:val="Tabletexte"/>
              <w:ind w:left="278" w:hanging="278"/>
              <w:rPr>
                <w:i/>
                <w:iCs/>
                <w:sz w:val="18"/>
                <w:szCs w:val="18"/>
              </w:rPr>
            </w:pPr>
            <w:r w:rsidRPr="005269E6">
              <w:rPr>
                <w:sz w:val="18"/>
                <w:szCs w:val="18"/>
                <w:rtl/>
              </w:rPr>
              <w:t>-</w:t>
            </w:r>
            <w:r w:rsidRPr="005269E6">
              <w:rPr>
                <w:sz w:val="18"/>
                <w:szCs w:val="18"/>
              </w:rPr>
              <w:tab/>
            </w:r>
            <w:r w:rsidRPr="005269E6">
              <w:rPr>
                <w:i/>
                <w:iCs/>
                <w:sz w:val="18"/>
                <w:szCs w:val="18"/>
                <w:rtl/>
              </w:rPr>
              <w:t>إيرادات أخرى</w:t>
            </w:r>
          </w:p>
        </w:tc>
        <w:tc>
          <w:tcPr>
            <w:tcW w:w="1297" w:type="dxa"/>
            <w:tcBorders>
              <w:top w:val="nil"/>
              <w:left w:val="nil"/>
              <w:bottom w:val="nil"/>
              <w:right w:val="nil"/>
            </w:tcBorders>
            <w:shd w:val="clear" w:color="auto" w:fill="FFFFFF"/>
          </w:tcPr>
          <w:p w14:paraId="3111F7CC" w14:textId="77777777" w:rsidR="00834B83" w:rsidRPr="005269E6" w:rsidRDefault="00834B83" w:rsidP="0031505F">
            <w:pPr>
              <w:pStyle w:val="Tabletexte"/>
              <w:jc w:val="left"/>
              <w:rPr>
                <w:sz w:val="18"/>
                <w:szCs w:val="18"/>
              </w:rPr>
            </w:pPr>
            <w:r w:rsidRPr="005269E6">
              <w:rPr>
                <w:i/>
                <w:sz w:val="18"/>
                <w:szCs w:val="18"/>
              </w:rPr>
              <w:t>1 584</w:t>
            </w:r>
          </w:p>
        </w:tc>
        <w:tc>
          <w:tcPr>
            <w:tcW w:w="1330" w:type="dxa"/>
            <w:tcBorders>
              <w:top w:val="nil"/>
              <w:left w:val="nil"/>
              <w:bottom w:val="nil"/>
              <w:right w:val="nil"/>
            </w:tcBorders>
            <w:shd w:val="clear" w:color="auto" w:fill="FFFFFF"/>
          </w:tcPr>
          <w:p w14:paraId="195C230E" w14:textId="77777777" w:rsidR="00834B83" w:rsidRPr="005269E6" w:rsidRDefault="00834B83" w:rsidP="0031505F">
            <w:pPr>
              <w:pStyle w:val="Tabletexte"/>
              <w:jc w:val="left"/>
              <w:rPr>
                <w:sz w:val="18"/>
                <w:szCs w:val="18"/>
              </w:rPr>
            </w:pPr>
            <w:r w:rsidRPr="005269E6">
              <w:rPr>
                <w:i/>
                <w:sz w:val="18"/>
                <w:szCs w:val="18"/>
              </w:rPr>
              <w:t>6 703</w:t>
            </w:r>
          </w:p>
        </w:tc>
        <w:tc>
          <w:tcPr>
            <w:tcW w:w="1087" w:type="dxa"/>
            <w:tcBorders>
              <w:top w:val="nil"/>
              <w:left w:val="nil"/>
              <w:bottom w:val="nil"/>
              <w:right w:val="nil"/>
            </w:tcBorders>
            <w:shd w:val="clear" w:color="auto" w:fill="FFFFFF"/>
          </w:tcPr>
          <w:p w14:paraId="7EB990AC" w14:textId="77777777" w:rsidR="00834B83" w:rsidRPr="005269E6" w:rsidRDefault="00834B83" w:rsidP="0031505F">
            <w:pPr>
              <w:pStyle w:val="Tabletexte"/>
              <w:jc w:val="left"/>
              <w:rPr>
                <w:sz w:val="18"/>
                <w:szCs w:val="18"/>
              </w:rPr>
            </w:pPr>
            <w:r w:rsidRPr="005269E6">
              <w:rPr>
                <w:i/>
                <w:sz w:val="18"/>
                <w:szCs w:val="18"/>
              </w:rPr>
              <w:t xml:space="preserve"> (5 119)</w:t>
            </w:r>
          </w:p>
        </w:tc>
      </w:tr>
      <w:tr w:rsidR="00834B83" w:rsidRPr="005269E6" w14:paraId="0A7613B6" w14:textId="77777777" w:rsidTr="005C5B84">
        <w:trPr>
          <w:trHeight w:val="425"/>
          <w:jc w:val="center"/>
        </w:trPr>
        <w:tc>
          <w:tcPr>
            <w:tcW w:w="4113" w:type="dxa"/>
            <w:tcBorders>
              <w:top w:val="nil"/>
              <w:left w:val="nil"/>
              <w:bottom w:val="nil"/>
              <w:right w:val="nil"/>
            </w:tcBorders>
            <w:shd w:val="clear" w:color="auto" w:fill="FFFFFF"/>
            <w:vAlign w:val="bottom"/>
          </w:tcPr>
          <w:p w14:paraId="26308BE1" w14:textId="77777777" w:rsidR="00834B83" w:rsidRPr="005269E6" w:rsidRDefault="00834B83" w:rsidP="005C5B84">
            <w:pPr>
              <w:rPr>
                <w:sz w:val="18"/>
                <w:szCs w:val="18"/>
                <w:lang w:bidi="ar-SY"/>
              </w:rPr>
            </w:pPr>
            <w:r w:rsidRPr="005269E6">
              <w:rPr>
                <w:sz w:val="18"/>
                <w:szCs w:val="18"/>
                <w:rtl/>
                <w:lang w:bidi="ar-SY"/>
              </w:rPr>
              <w:t>إيرادات التمويل / (التكلفة)</w:t>
            </w:r>
          </w:p>
        </w:tc>
        <w:tc>
          <w:tcPr>
            <w:tcW w:w="1297" w:type="dxa"/>
            <w:tcBorders>
              <w:top w:val="nil"/>
              <w:left w:val="nil"/>
              <w:bottom w:val="nil"/>
              <w:right w:val="nil"/>
            </w:tcBorders>
            <w:shd w:val="clear" w:color="auto" w:fill="FFFFFF"/>
          </w:tcPr>
          <w:p w14:paraId="2F7300C5" w14:textId="77777777" w:rsidR="00834B83" w:rsidRPr="005269E6" w:rsidRDefault="00834B83" w:rsidP="0031505F">
            <w:pPr>
              <w:pStyle w:val="Tabletexte"/>
              <w:jc w:val="left"/>
              <w:rPr>
                <w:sz w:val="18"/>
                <w:szCs w:val="18"/>
              </w:rPr>
            </w:pPr>
            <w:r w:rsidRPr="005269E6">
              <w:rPr>
                <w:sz w:val="18"/>
                <w:szCs w:val="18"/>
              </w:rPr>
              <w:t>313</w:t>
            </w:r>
          </w:p>
        </w:tc>
        <w:tc>
          <w:tcPr>
            <w:tcW w:w="1330" w:type="dxa"/>
            <w:tcBorders>
              <w:top w:val="nil"/>
              <w:left w:val="nil"/>
              <w:bottom w:val="nil"/>
              <w:right w:val="nil"/>
            </w:tcBorders>
            <w:shd w:val="clear" w:color="auto" w:fill="FFFFFF"/>
          </w:tcPr>
          <w:p w14:paraId="69F14AB9" w14:textId="77777777" w:rsidR="00834B83" w:rsidRPr="005269E6" w:rsidRDefault="00834B83" w:rsidP="0031505F">
            <w:pPr>
              <w:pStyle w:val="Tabletexte"/>
              <w:jc w:val="left"/>
              <w:rPr>
                <w:sz w:val="18"/>
                <w:szCs w:val="18"/>
              </w:rPr>
            </w:pPr>
            <w:r w:rsidRPr="005269E6">
              <w:rPr>
                <w:sz w:val="18"/>
                <w:szCs w:val="18"/>
              </w:rPr>
              <w:t>497</w:t>
            </w:r>
          </w:p>
        </w:tc>
        <w:tc>
          <w:tcPr>
            <w:tcW w:w="1087" w:type="dxa"/>
            <w:tcBorders>
              <w:top w:val="nil"/>
              <w:left w:val="nil"/>
              <w:bottom w:val="nil"/>
              <w:right w:val="nil"/>
            </w:tcBorders>
            <w:shd w:val="clear" w:color="auto" w:fill="FFFFFF"/>
          </w:tcPr>
          <w:p w14:paraId="68CC8E25" w14:textId="77777777" w:rsidR="00834B83" w:rsidRPr="005269E6" w:rsidRDefault="00834B83" w:rsidP="0031505F">
            <w:pPr>
              <w:pStyle w:val="Tabletexte"/>
              <w:jc w:val="left"/>
              <w:rPr>
                <w:sz w:val="18"/>
                <w:szCs w:val="18"/>
              </w:rPr>
            </w:pPr>
            <w:r w:rsidRPr="005269E6">
              <w:rPr>
                <w:sz w:val="18"/>
                <w:szCs w:val="18"/>
              </w:rPr>
              <w:t xml:space="preserve"> (184)</w:t>
            </w:r>
          </w:p>
        </w:tc>
      </w:tr>
      <w:tr w:rsidR="00834B83" w:rsidRPr="005269E6" w14:paraId="6490F3EC" w14:textId="77777777" w:rsidTr="005C5B84">
        <w:trPr>
          <w:trHeight w:val="470"/>
          <w:jc w:val="center"/>
        </w:trPr>
        <w:tc>
          <w:tcPr>
            <w:tcW w:w="4113" w:type="dxa"/>
            <w:tcBorders>
              <w:top w:val="nil"/>
              <w:left w:val="nil"/>
              <w:bottom w:val="single" w:sz="4" w:space="0" w:color="FFFFFF"/>
              <w:right w:val="nil"/>
            </w:tcBorders>
            <w:shd w:val="clear" w:color="auto" w:fill="538DD5"/>
            <w:vAlign w:val="bottom"/>
          </w:tcPr>
          <w:p w14:paraId="6EDEE0AA" w14:textId="77777777" w:rsidR="00834B83" w:rsidRPr="005269E6" w:rsidRDefault="00834B83" w:rsidP="005C5B84">
            <w:pPr>
              <w:pStyle w:val="Tabletexte"/>
              <w:rPr>
                <w:b/>
                <w:bCs/>
                <w:sz w:val="18"/>
                <w:szCs w:val="18"/>
              </w:rPr>
            </w:pPr>
            <w:r w:rsidRPr="005269E6">
              <w:rPr>
                <w:b/>
                <w:bCs/>
                <w:sz w:val="18"/>
                <w:szCs w:val="18"/>
                <w:rtl/>
              </w:rPr>
              <w:t>مجموع الإيرادات</w:t>
            </w:r>
          </w:p>
        </w:tc>
        <w:tc>
          <w:tcPr>
            <w:tcW w:w="1297" w:type="dxa"/>
            <w:tcBorders>
              <w:top w:val="nil"/>
              <w:left w:val="nil"/>
              <w:bottom w:val="single" w:sz="4" w:space="0" w:color="FFFFFF"/>
              <w:right w:val="nil"/>
            </w:tcBorders>
            <w:shd w:val="clear" w:color="auto" w:fill="538DD5"/>
            <w:vAlign w:val="center"/>
          </w:tcPr>
          <w:p w14:paraId="775DD8C2" w14:textId="77777777" w:rsidR="00834B83" w:rsidRPr="005269E6" w:rsidRDefault="00834B83" w:rsidP="0031505F">
            <w:pPr>
              <w:pStyle w:val="Tabletexte"/>
              <w:jc w:val="left"/>
              <w:rPr>
                <w:b/>
                <w:bCs/>
                <w:sz w:val="18"/>
                <w:szCs w:val="18"/>
              </w:rPr>
            </w:pPr>
            <w:r w:rsidRPr="005269E6">
              <w:rPr>
                <w:b/>
                <w:bCs/>
                <w:sz w:val="18"/>
                <w:szCs w:val="18"/>
              </w:rPr>
              <w:t>172 364</w:t>
            </w:r>
          </w:p>
        </w:tc>
        <w:tc>
          <w:tcPr>
            <w:tcW w:w="1330" w:type="dxa"/>
            <w:tcBorders>
              <w:top w:val="nil"/>
              <w:left w:val="nil"/>
              <w:bottom w:val="single" w:sz="4" w:space="0" w:color="FFFFFF"/>
              <w:right w:val="nil"/>
            </w:tcBorders>
            <w:shd w:val="clear" w:color="auto" w:fill="538DD5"/>
            <w:vAlign w:val="center"/>
          </w:tcPr>
          <w:p w14:paraId="6651862E" w14:textId="77777777" w:rsidR="00834B83" w:rsidRPr="005269E6" w:rsidRDefault="00834B83" w:rsidP="0031505F">
            <w:pPr>
              <w:pStyle w:val="Tabletexte"/>
              <w:jc w:val="left"/>
              <w:rPr>
                <w:b/>
                <w:bCs/>
                <w:sz w:val="18"/>
                <w:szCs w:val="18"/>
              </w:rPr>
            </w:pPr>
            <w:r w:rsidRPr="005269E6">
              <w:rPr>
                <w:b/>
                <w:bCs/>
                <w:sz w:val="18"/>
                <w:szCs w:val="18"/>
              </w:rPr>
              <w:t>177 586</w:t>
            </w:r>
          </w:p>
        </w:tc>
        <w:tc>
          <w:tcPr>
            <w:tcW w:w="1087" w:type="dxa"/>
            <w:tcBorders>
              <w:top w:val="nil"/>
              <w:left w:val="nil"/>
              <w:bottom w:val="single" w:sz="4" w:space="0" w:color="FFFFFF"/>
              <w:right w:val="single" w:sz="4" w:space="0" w:color="FFFFFF"/>
            </w:tcBorders>
            <w:shd w:val="clear" w:color="auto" w:fill="538DD5"/>
            <w:vAlign w:val="center"/>
          </w:tcPr>
          <w:p w14:paraId="60958EB7" w14:textId="77777777" w:rsidR="00834B83" w:rsidRPr="005269E6" w:rsidRDefault="00834B83" w:rsidP="0031505F">
            <w:pPr>
              <w:pStyle w:val="Tabletexte"/>
              <w:jc w:val="left"/>
              <w:rPr>
                <w:b/>
                <w:bCs/>
                <w:sz w:val="18"/>
                <w:szCs w:val="18"/>
              </w:rPr>
            </w:pPr>
            <w:r w:rsidRPr="005269E6">
              <w:rPr>
                <w:b/>
                <w:bCs/>
                <w:sz w:val="18"/>
                <w:szCs w:val="18"/>
              </w:rPr>
              <w:t xml:space="preserve"> (5 222)</w:t>
            </w:r>
          </w:p>
        </w:tc>
      </w:tr>
    </w:tbl>
    <w:p w14:paraId="27EA7EBA" w14:textId="77777777" w:rsidR="00834B83" w:rsidRPr="005269E6" w:rsidRDefault="00834B83" w:rsidP="00834B83">
      <w:pPr>
        <w:pStyle w:val="Figuretitle"/>
        <w:rPr>
          <w:lang w:bidi="ar-SY"/>
        </w:rPr>
      </w:pPr>
      <w:r w:rsidRPr="005269E6">
        <w:rPr>
          <w:rtl/>
        </w:rPr>
        <w:lastRenderedPageBreak/>
        <w:t>الشكل 1 - فرز تحليل الإيرادات لعام 2022</w:t>
      </w:r>
    </w:p>
    <w:p w14:paraId="6A0C5ED0" w14:textId="77777777" w:rsidR="00834B83" w:rsidRPr="005269E6" w:rsidRDefault="00834B83" w:rsidP="00086B63">
      <w:pPr>
        <w:pStyle w:val="Figure"/>
        <w:bidi/>
        <w:spacing w:before="100" w:beforeAutospacing="1" w:after="100" w:afterAutospacing="1"/>
        <w:rPr>
          <w:rtl/>
        </w:rPr>
      </w:pPr>
      <w:r w:rsidRPr="005269E6">
        <w:rPr>
          <w:noProof/>
        </w:rPr>
        <w:drawing>
          <wp:inline distT="0" distB="0" distL="0" distR="0" wp14:anchorId="2F5B566B" wp14:editId="5E0F1A0A">
            <wp:extent cx="5560060" cy="2993390"/>
            <wp:effectExtent l="0" t="0" r="2540" b="0"/>
            <wp:docPr id="2110653341" name="Picture 6" descr="A pie chart with a number of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53341" name="Picture 6" descr="A pie chart with a number of percentag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0060" cy="2993390"/>
                    </a:xfrm>
                    <a:prstGeom prst="rect">
                      <a:avLst/>
                    </a:prstGeom>
                    <a:noFill/>
                  </pic:spPr>
                </pic:pic>
              </a:graphicData>
            </a:graphic>
          </wp:inline>
        </w:drawing>
      </w:r>
    </w:p>
    <w:p w14:paraId="779E4912" w14:textId="77777777" w:rsidR="00834B83" w:rsidRPr="005269E6" w:rsidRDefault="00834B83" w:rsidP="00834B83">
      <w:pPr>
        <w:rPr>
          <w:spacing w:val="-4"/>
        </w:rPr>
      </w:pPr>
      <w:r w:rsidRPr="005269E6">
        <w:rPr>
          <w:spacing w:val="-4"/>
        </w:rPr>
        <w:t>10</w:t>
      </w:r>
      <w:r w:rsidRPr="005269E6">
        <w:rPr>
          <w:spacing w:val="-4"/>
        </w:rPr>
        <w:tab/>
      </w:r>
      <w:r w:rsidRPr="005269E6">
        <w:rPr>
          <w:spacing w:val="-4"/>
          <w:rtl/>
          <w:lang w:bidi="ar-SY"/>
        </w:rPr>
        <w:t>وكما يتضح من الشكل 1 أعلاه، فإن المصدر الرئيسي للإيرادات هو المساهمات المقررة التي تمثل 74 في المائة تليها إيرادات استرداد التكاليف التي تمثل 16 في المائة وتشمل أساساً مبيعات المنشورات وبطاقات التبليغ عن الشبكات الساتلية (</w:t>
      </w:r>
      <w:r w:rsidRPr="005269E6">
        <w:rPr>
          <w:spacing w:val="-4"/>
          <w:lang w:bidi="ar-SY"/>
        </w:rPr>
        <w:t>SNF</w:t>
      </w:r>
      <w:r w:rsidRPr="005269E6">
        <w:rPr>
          <w:spacing w:val="-4"/>
          <w:rtl/>
          <w:lang w:bidi="ar-SY"/>
        </w:rPr>
        <w:t>).</w:t>
      </w:r>
    </w:p>
    <w:p w14:paraId="0E662CE1" w14:textId="77777777" w:rsidR="00834B83" w:rsidRPr="005269E6" w:rsidRDefault="00834B83" w:rsidP="00834B83">
      <w:r w:rsidRPr="005269E6">
        <w:t>11</w:t>
      </w:r>
      <w:r w:rsidRPr="005269E6">
        <w:tab/>
      </w:r>
      <w:r w:rsidRPr="005269E6">
        <w:rPr>
          <w:rtl/>
          <w:lang w:bidi="ar-SY"/>
        </w:rPr>
        <w:t>وبلغت المساهمات المعترف بها للصناديق الاستئمانية (المسجلة في إطار المساهمات من خارج الميزانية في الجدول 3) 14 مليون فرنك سويسري في عام 2022 (مقابل 11,3 مليون فرنك سويسري في عام 2021). ويعزى سبب الزيادة إلى زيادة معدل التنفيذ في عام 2022 مقارنة بعام 2021 للصناديق الاستئمانية.</w:t>
      </w:r>
    </w:p>
    <w:p w14:paraId="00D4789A" w14:textId="77777777" w:rsidR="00834B83" w:rsidRPr="005269E6" w:rsidRDefault="00834B83" w:rsidP="00834B83">
      <w:r w:rsidRPr="005269E6">
        <w:t>12</w:t>
      </w:r>
      <w:r w:rsidRPr="005269E6">
        <w:tab/>
      </w:r>
      <w:r w:rsidRPr="005269E6">
        <w:rPr>
          <w:rtl/>
          <w:lang w:bidi="ar-SY"/>
        </w:rPr>
        <w:t xml:space="preserve">وبلغت المساهمات الطوعية المسجلة في إطار المساهمات من خارج الميزانية في الجدول 3، 4,0 مليون فرنك سويسري في عام 2022 مقارنة بمبلغ 2,9 مليون فرنك سويسري في عام 2021. ويرد في </w:t>
      </w:r>
      <w:hyperlink r:id="rId11" w:history="1">
        <w:r w:rsidRPr="005269E6">
          <w:rPr>
            <w:rStyle w:val="Hyperlink"/>
            <w:rtl/>
            <w:lang w:bidi="ar-SY"/>
          </w:rPr>
          <w:t xml:space="preserve">الوثيقة </w:t>
        </w:r>
        <w:r w:rsidRPr="005269E6">
          <w:rPr>
            <w:rStyle w:val="Hyperlink"/>
            <w:lang w:bidi="ar-SY"/>
          </w:rPr>
          <w:t>C23 INF/12</w:t>
        </w:r>
      </w:hyperlink>
      <w:r w:rsidRPr="005269E6">
        <w:rPr>
          <w:rtl/>
          <w:lang w:bidi="ar-SY"/>
        </w:rPr>
        <w:t xml:space="preserve"> مزيد من</w:t>
      </w:r>
      <w:r w:rsidRPr="005269E6">
        <w:rPr>
          <w:rtl/>
          <w:lang w:bidi="ar-EG"/>
        </w:rPr>
        <w:t> </w:t>
      </w:r>
      <w:r w:rsidRPr="005269E6">
        <w:rPr>
          <w:rtl/>
          <w:lang w:bidi="ar-SY"/>
        </w:rPr>
        <w:t>المعلومات التفصيلية عن الأنشطة خارج الميزانية.</w:t>
      </w:r>
    </w:p>
    <w:p w14:paraId="72235CA5" w14:textId="77777777" w:rsidR="00834B83" w:rsidRPr="005269E6" w:rsidRDefault="00834B83" w:rsidP="00834B83">
      <w:r w:rsidRPr="005269E6">
        <w:t>13</w:t>
      </w:r>
      <w:r w:rsidRPr="005269E6">
        <w:tab/>
      </w:r>
      <w:r w:rsidRPr="005269E6">
        <w:rPr>
          <w:rtl/>
          <w:lang w:bidi="ar-SY"/>
        </w:rPr>
        <w:t>وحقق تنفيذ مشاريع الصناديق الاستئمانية (</w:t>
      </w:r>
      <w:r w:rsidRPr="005269E6">
        <w:rPr>
          <w:lang w:bidi="ar-SY"/>
        </w:rPr>
        <w:t>FIT</w:t>
      </w:r>
      <w:r w:rsidRPr="005269E6">
        <w:rPr>
          <w:rtl/>
          <w:lang w:bidi="ar-SY"/>
        </w:rPr>
        <w:t xml:space="preserve">) إيرادات بلغت </w:t>
      </w:r>
      <w:r w:rsidRPr="005269E6">
        <w:rPr>
          <w:lang w:bidi="ar-SY"/>
        </w:rPr>
        <w:t>941 000</w:t>
      </w:r>
      <w:r w:rsidRPr="005269E6">
        <w:rPr>
          <w:rtl/>
          <w:lang w:bidi="ar-SY"/>
        </w:rPr>
        <w:t xml:space="preserve"> فرنك سويسري في عام 2022 (</w:t>
      </w:r>
      <w:r w:rsidRPr="005269E6">
        <w:rPr>
          <w:lang w:bidi="ar-SY"/>
        </w:rPr>
        <w:t>724 000</w:t>
      </w:r>
      <w:r w:rsidRPr="005269E6">
        <w:rPr>
          <w:rtl/>
          <w:lang w:bidi="ar-SY"/>
        </w:rPr>
        <w:t> فرنك سويسري في عام 2021) كتكاليف دعم.</w:t>
      </w:r>
    </w:p>
    <w:p w14:paraId="51A628B1" w14:textId="77777777" w:rsidR="00834B83" w:rsidRPr="005269E6" w:rsidRDefault="00834B83" w:rsidP="00834B83">
      <w:pPr>
        <w:pStyle w:val="Headingb"/>
        <w:rPr>
          <w:lang w:bidi="ar-SY"/>
        </w:rPr>
      </w:pPr>
      <w:r w:rsidRPr="005269E6">
        <w:rPr>
          <w:rtl/>
        </w:rPr>
        <w:t>النفقات</w:t>
      </w:r>
    </w:p>
    <w:p w14:paraId="6E73F254" w14:textId="335C6D64" w:rsidR="00834B83" w:rsidRPr="005269E6" w:rsidRDefault="00834B83" w:rsidP="00834B83">
      <w:pPr>
        <w:rPr>
          <w:rtl/>
          <w:lang w:bidi="ar-SY"/>
        </w:rPr>
      </w:pPr>
      <w:r w:rsidRPr="005269E6">
        <w:t>14</w:t>
      </w:r>
      <w:r w:rsidRPr="005269E6">
        <w:tab/>
      </w:r>
      <w:r w:rsidRPr="005269E6">
        <w:rPr>
          <w:rtl/>
        </w:rPr>
        <w:t xml:space="preserve">في </w:t>
      </w:r>
      <w:bookmarkStart w:id="3" w:name="_Hlk160115643"/>
      <w:r w:rsidRPr="005269E6">
        <w:rPr>
          <w:rtl/>
        </w:rPr>
        <w:t xml:space="preserve">عام </w:t>
      </w:r>
      <w:bookmarkEnd w:id="3"/>
      <w:r w:rsidRPr="005269E6">
        <w:rPr>
          <w:rtl/>
        </w:rPr>
        <w:t>2022، بلغت نفقات الاتحاد 196,8 مليون فرنك سويسري (190,9 مليون فرنك سويسري في عام 2021) مما يمثل زيادة بنسبة 3,1% مقارنة بعام 2021. ويبين الجدول 4 مقارنة النفقات لعام 2022 مقارنة بعام 2021. ويعزى ذلك إلى انخفاض رسم التأمين الصحي بعد انتهاء الخدمة الذي قابله بارتفاع تكاليف موظفي فئة الخدمات العامة. ويلاحَظ أن أكبر النفقات، وهي نفقات الموظفين في عام 2022، ظلت مستقرة مقارنة بعام 2021. وتتعلق الزيادة الرئيسية عام 2022 بنفقات السفر التي زادت إلى 5,1 مليون فرنك سويسري ولكنها لم تصل بعد إلى مستواها ما قبل جائحة كوفيد (البالغ 7,7 مليون فرنك سويسري في عام 2019).</w:t>
      </w:r>
      <w:r w:rsidR="006F1A61" w:rsidRPr="005269E6">
        <w:rPr>
          <w:rFonts w:hint="cs"/>
          <w:rtl/>
        </w:rPr>
        <w:t xml:space="preserve"> </w:t>
      </w:r>
    </w:p>
    <w:p w14:paraId="71246D29" w14:textId="525B4BFC" w:rsidR="00834B83" w:rsidRPr="005269E6" w:rsidRDefault="00834B83" w:rsidP="00834B83">
      <w:pPr>
        <w:pStyle w:val="Tabletitle"/>
        <w:rPr>
          <w:rtl/>
          <w:lang w:bidi="ar-EG"/>
        </w:rPr>
      </w:pPr>
      <w:r w:rsidRPr="005269E6">
        <w:rPr>
          <w:rtl/>
          <w:lang w:bidi="ar-SA"/>
        </w:rPr>
        <w:t>الجدول 4 - مقارنة نفقات عام</w:t>
      </w:r>
      <w:r w:rsidR="00C270CE" w:rsidRPr="005269E6">
        <w:rPr>
          <w:rFonts w:hint="cs"/>
          <w:rtl/>
          <w:lang w:bidi="ar-SA"/>
        </w:rPr>
        <w:t>َ</w:t>
      </w:r>
      <w:r w:rsidRPr="005269E6">
        <w:rPr>
          <w:rtl/>
          <w:lang w:bidi="ar-SA"/>
        </w:rPr>
        <w:t>ي 2022 و2021</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4"/>
        <w:gridCol w:w="1596"/>
        <w:gridCol w:w="1596"/>
        <w:gridCol w:w="1596"/>
        <w:gridCol w:w="1597"/>
      </w:tblGrid>
      <w:tr w:rsidR="00834B83" w:rsidRPr="005269E6" w14:paraId="7BD68F14" w14:textId="77777777" w:rsidTr="005C5B84">
        <w:trPr>
          <w:jc w:val="center"/>
        </w:trPr>
        <w:tc>
          <w:tcPr>
            <w:tcW w:w="3254" w:type="dxa"/>
            <w:shd w:val="clear" w:color="auto" w:fill="538DD5"/>
            <w:vAlign w:val="center"/>
          </w:tcPr>
          <w:p w14:paraId="1D7CA66C" w14:textId="77777777" w:rsidR="00834B83" w:rsidRPr="005269E6" w:rsidRDefault="00834B83" w:rsidP="005C5B84">
            <w:pPr>
              <w:pStyle w:val="TableHead"/>
              <w:jc w:val="left"/>
              <w:rPr>
                <w:sz w:val="18"/>
                <w:szCs w:val="18"/>
              </w:rPr>
            </w:pPr>
            <w:r w:rsidRPr="005269E6">
              <w:rPr>
                <w:sz w:val="18"/>
                <w:szCs w:val="18"/>
                <w:rtl/>
              </w:rPr>
              <w:t>بآلاف الفرنكات السويسرية</w:t>
            </w:r>
          </w:p>
        </w:tc>
        <w:tc>
          <w:tcPr>
            <w:tcW w:w="1596" w:type="dxa"/>
            <w:shd w:val="clear" w:color="auto" w:fill="538DD5"/>
          </w:tcPr>
          <w:p w14:paraId="52093FB2" w14:textId="77777777" w:rsidR="00834B83" w:rsidRPr="005269E6" w:rsidRDefault="00834B83" w:rsidP="005C5B84">
            <w:pPr>
              <w:pStyle w:val="TableHead"/>
              <w:rPr>
                <w:sz w:val="18"/>
                <w:szCs w:val="18"/>
              </w:rPr>
            </w:pPr>
            <w:r w:rsidRPr="005269E6">
              <w:rPr>
                <w:sz w:val="18"/>
                <w:szCs w:val="18"/>
              </w:rPr>
              <w:t>2022</w:t>
            </w:r>
          </w:p>
        </w:tc>
        <w:tc>
          <w:tcPr>
            <w:tcW w:w="1596" w:type="dxa"/>
            <w:shd w:val="clear" w:color="auto" w:fill="538DD5"/>
          </w:tcPr>
          <w:p w14:paraId="47DD6DEC" w14:textId="77777777" w:rsidR="00834B83" w:rsidRPr="005269E6" w:rsidRDefault="00834B83" w:rsidP="005C5B84">
            <w:pPr>
              <w:pStyle w:val="TableHead"/>
              <w:rPr>
                <w:sz w:val="18"/>
                <w:szCs w:val="18"/>
              </w:rPr>
            </w:pPr>
            <w:r w:rsidRPr="005269E6">
              <w:rPr>
                <w:sz w:val="18"/>
                <w:szCs w:val="18"/>
              </w:rPr>
              <w:t>2021</w:t>
            </w:r>
            <w:r w:rsidRPr="005269E6">
              <w:rPr>
                <w:sz w:val="18"/>
                <w:szCs w:val="18"/>
                <w:rtl/>
              </w:rPr>
              <w:t xml:space="preserve"> (المعاد بيانها)</w:t>
            </w:r>
          </w:p>
        </w:tc>
        <w:tc>
          <w:tcPr>
            <w:tcW w:w="1596" w:type="dxa"/>
            <w:shd w:val="clear" w:color="auto" w:fill="538DD5"/>
          </w:tcPr>
          <w:p w14:paraId="14CEE3E8" w14:textId="77777777" w:rsidR="00834B83" w:rsidRPr="005269E6" w:rsidRDefault="00834B83" w:rsidP="005C5B84">
            <w:pPr>
              <w:pStyle w:val="TableHead"/>
              <w:rPr>
                <w:sz w:val="18"/>
                <w:szCs w:val="18"/>
              </w:rPr>
            </w:pPr>
            <w:r w:rsidRPr="005269E6">
              <w:rPr>
                <w:sz w:val="18"/>
                <w:szCs w:val="18"/>
                <w:rtl/>
              </w:rPr>
              <w:t>الاختلاف</w:t>
            </w:r>
          </w:p>
        </w:tc>
        <w:tc>
          <w:tcPr>
            <w:tcW w:w="1597" w:type="dxa"/>
            <w:shd w:val="clear" w:color="auto" w:fill="538DD5"/>
          </w:tcPr>
          <w:p w14:paraId="600A07B5" w14:textId="06EA7BD8" w:rsidR="00834B83" w:rsidRPr="005269E6" w:rsidRDefault="00C270CE" w:rsidP="005C5B84">
            <w:pPr>
              <w:pStyle w:val="TableHead"/>
              <w:rPr>
                <w:sz w:val="18"/>
                <w:szCs w:val="18"/>
              </w:rPr>
            </w:pPr>
            <w:r w:rsidRPr="005269E6">
              <w:rPr>
                <w:rFonts w:hint="cs"/>
                <w:sz w:val="18"/>
                <w:szCs w:val="18"/>
                <w:rtl/>
              </w:rPr>
              <w:t>ا</w:t>
            </w:r>
            <w:r w:rsidR="00834B83" w:rsidRPr="005269E6">
              <w:rPr>
                <w:sz w:val="18"/>
                <w:szCs w:val="18"/>
                <w:rtl/>
              </w:rPr>
              <w:t>لاختلاف %</w:t>
            </w:r>
          </w:p>
        </w:tc>
      </w:tr>
      <w:tr w:rsidR="00834B83" w:rsidRPr="005269E6" w14:paraId="72608FA7" w14:textId="77777777" w:rsidTr="005C5B84">
        <w:trPr>
          <w:jc w:val="center"/>
        </w:trPr>
        <w:tc>
          <w:tcPr>
            <w:tcW w:w="3254" w:type="dxa"/>
          </w:tcPr>
          <w:p w14:paraId="713BFAC8" w14:textId="77777777" w:rsidR="00834B83" w:rsidRPr="005269E6" w:rsidRDefault="00834B83" w:rsidP="005C5B84">
            <w:pPr>
              <w:rPr>
                <w:sz w:val="18"/>
                <w:szCs w:val="18"/>
                <w:lang w:bidi="ar-SY"/>
              </w:rPr>
            </w:pPr>
            <w:r w:rsidRPr="005269E6">
              <w:rPr>
                <w:sz w:val="18"/>
                <w:szCs w:val="18"/>
                <w:rtl/>
                <w:lang w:bidi="ar-SY"/>
              </w:rPr>
              <w:t>نفقات الموظفين</w:t>
            </w:r>
          </w:p>
        </w:tc>
        <w:tc>
          <w:tcPr>
            <w:tcW w:w="1596" w:type="dxa"/>
          </w:tcPr>
          <w:p w14:paraId="2510C910" w14:textId="77777777" w:rsidR="00834B83" w:rsidRPr="005269E6" w:rsidRDefault="00834B83" w:rsidP="0031505F">
            <w:pPr>
              <w:pStyle w:val="Tabletexte"/>
              <w:jc w:val="left"/>
              <w:rPr>
                <w:sz w:val="18"/>
                <w:szCs w:val="18"/>
              </w:rPr>
            </w:pPr>
            <w:r w:rsidRPr="005269E6">
              <w:rPr>
                <w:sz w:val="18"/>
                <w:szCs w:val="18"/>
              </w:rPr>
              <w:t>153 510</w:t>
            </w:r>
          </w:p>
        </w:tc>
        <w:tc>
          <w:tcPr>
            <w:tcW w:w="1596" w:type="dxa"/>
          </w:tcPr>
          <w:p w14:paraId="0FFE2EC7" w14:textId="77777777" w:rsidR="00834B83" w:rsidRPr="005269E6" w:rsidRDefault="00834B83" w:rsidP="0031505F">
            <w:pPr>
              <w:pStyle w:val="Tabletexte"/>
              <w:jc w:val="left"/>
              <w:rPr>
                <w:sz w:val="18"/>
                <w:szCs w:val="18"/>
              </w:rPr>
            </w:pPr>
            <w:r w:rsidRPr="005269E6">
              <w:rPr>
                <w:sz w:val="18"/>
                <w:szCs w:val="18"/>
              </w:rPr>
              <w:t>151 899</w:t>
            </w:r>
          </w:p>
        </w:tc>
        <w:tc>
          <w:tcPr>
            <w:tcW w:w="1596" w:type="dxa"/>
          </w:tcPr>
          <w:p w14:paraId="2555321B" w14:textId="77777777" w:rsidR="00834B83" w:rsidRPr="005269E6" w:rsidRDefault="00834B83" w:rsidP="0031505F">
            <w:pPr>
              <w:pStyle w:val="Tabletexte"/>
              <w:jc w:val="left"/>
              <w:rPr>
                <w:sz w:val="18"/>
                <w:szCs w:val="18"/>
              </w:rPr>
            </w:pPr>
            <w:r w:rsidRPr="005269E6">
              <w:rPr>
                <w:sz w:val="18"/>
                <w:szCs w:val="18"/>
              </w:rPr>
              <w:t>1 611</w:t>
            </w:r>
          </w:p>
        </w:tc>
        <w:tc>
          <w:tcPr>
            <w:tcW w:w="1597" w:type="dxa"/>
          </w:tcPr>
          <w:p w14:paraId="506FF6EC" w14:textId="77777777" w:rsidR="00834B83" w:rsidRPr="005269E6" w:rsidRDefault="00834B83" w:rsidP="0031505F">
            <w:pPr>
              <w:pStyle w:val="Tabletexte"/>
              <w:ind w:left="57"/>
              <w:jc w:val="left"/>
              <w:rPr>
                <w:sz w:val="18"/>
                <w:szCs w:val="18"/>
              </w:rPr>
            </w:pPr>
            <w:r w:rsidRPr="005269E6">
              <w:rPr>
                <w:sz w:val="18"/>
                <w:szCs w:val="18"/>
              </w:rPr>
              <w:t>1,1</w:t>
            </w:r>
            <w:r w:rsidRPr="005269E6">
              <w:rPr>
                <w:sz w:val="18"/>
                <w:szCs w:val="18"/>
                <w:rtl/>
              </w:rPr>
              <w:t>%</w:t>
            </w:r>
          </w:p>
        </w:tc>
      </w:tr>
      <w:tr w:rsidR="00834B83" w:rsidRPr="005269E6" w14:paraId="38ADEEF9" w14:textId="77777777" w:rsidTr="005C5B84">
        <w:trPr>
          <w:jc w:val="center"/>
        </w:trPr>
        <w:tc>
          <w:tcPr>
            <w:tcW w:w="3254" w:type="dxa"/>
          </w:tcPr>
          <w:p w14:paraId="7D73E44A" w14:textId="77777777" w:rsidR="00834B83" w:rsidRPr="005269E6" w:rsidRDefault="00834B83" w:rsidP="005C5B84">
            <w:pPr>
              <w:pStyle w:val="Tabletexte"/>
              <w:rPr>
                <w:sz w:val="18"/>
                <w:szCs w:val="18"/>
              </w:rPr>
            </w:pPr>
            <w:r w:rsidRPr="005269E6">
              <w:rPr>
                <w:sz w:val="18"/>
                <w:szCs w:val="18"/>
                <w:rtl/>
              </w:rPr>
              <w:t>نفقات البعثات</w:t>
            </w:r>
          </w:p>
        </w:tc>
        <w:tc>
          <w:tcPr>
            <w:tcW w:w="1596" w:type="dxa"/>
          </w:tcPr>
          <w:p w14:paraId="6209D701" w14:textId="77777777" w:rsidR="00834B83" w:rsidRPr="005269E6" w:rsidRDefault="00834B83" w:rsidP="0031505F">
            <w:pPr>
              <w:pStyle w:val="Tabletexte"/>
              <w:jc w:val="left"/>
              <w:rPr>
                <w:sz w:val="18"/>
                <w:szCs w:val="18"/>
              </w:rPr>
            </w:pPr>
            <w:r w:rsidRPr="005269E6">
              <w:rPr>
                <w:sz w:val="18"/>
                <w:szCs w:val="18"/>
              </w:rPr>
              <w:t>5 589</w:t>
            </w:r>
          </w:p>
        </w:tc>
        <w:tc>
          <w:tcPr>
            <w:tcW w:w="1596" w:type="dxa"/>
          </w:tcPr>
          <w:p w14:paraId="2E8A1F66" w14:textId="77777777" w:rsidR="00834B83" w:rsidRPr="005269E6" w:rsidRDefault="00834B83" w:rsidP="0031505F">
            <w:pPr>
              <w:pStyle w:val="Tabletexte"/>
              <w:jc w:val="left"/>
              <w:rPr>
                <w:sz w:val="18"/>
                <w:szCs w:val="18"/>
              </w:rPr>
            </w:pPr>
            <w:r w:rsidRPr="005269E6">
              <w:rPr>
                <w:sz w:val="18"/>
                <w:szCs w:val="18"/>
              </w:rPr>
              <w:t>443</w:t>
            </w:r>
          </w:p>
        </w:tc>
        <w:tc>
          <w:tcPr>
            <w:tcW w:w="1596" w:type="dxa"/>
          </w:tcPr>
          <w:p w14:paraId="03E36453" w14:textId="77777777" w:rsidR="00834B83" w:rsidRPr="005269E6" w:rsidRDefault="00834B83" w:rsidP="0031505F">
            <w:pPr>
              <w:pStyle w:val="Tabletexte"/>
              <w:jc w:val="left"/>
              <w:rPr>
                <w:sz w:val="18"/>
                <w:szCs w:val="18"/>
              </w:rPr>
            </w:pPr>
            <w:r w:rsidRPr="005269E6">
              <w:rPr>
                <w:sz w:val="18"/>
                <w:szCs w:val="18"/>
              </w:rPr>
              <w:t>5 147</w:t>
            </w:r>
          </w:p>
        </w:tc>
        <w:tc>
          <w:tcPr>
            <w:tcW w:w="1597" w:type="dxa"/>
          </w:tcPr>
          <w:p w14:paraId="458C7694" w14:textId="77777777" w:rsidR="00834B83" w:rsidRPr="005269E6" w:rsidRDefault="00834B83" w:rsidP="0031505F">
            <w:pPr>
              <w:pStyle w:val="Tabletexte"/>
              <w:ind w:left="57"/>
              <w:jc w:val="left"/>
              <w:rPr>
                <w:sz w:val="18"/>
                <w:szCs w:val="18"/>
              </w:rPr>
            </w:pPr>
            <w:r w:rsidRPr="005269E6">
              <w:rPr>
                <w:sz w:val="18"/>
                <w:szCs w:val="18"/>
              </w:rPr>
              <w:t>1162,4</w:t>
            </w:r>
            <w:r w:rsidRPr="005269E6">
              <w:rPr>
                <w:sz w:val="18"/>
                <w:szCs w:val="18"/>
                <w:rtl/>
              </w:rPr>
              <w:t>%</w:t>
            </w:r>
          </w:p>
        </w:tc>
      </w:tr>
      <w:tr w:rsidR="00834B83" w:rsidRPr="005269E6" w14:paraId="660537B0" w14:textId="77777777" w:rsidTr="005C5B84">
        <w:trPr>
          <w:jc w:val="center"/>
        </w:trPr>
        <w:tc>
          <w:tcPr>
            <w:tcW w:w="3254" w:type="dxa"/>
          </w:tcPr>
          <w:p w14:paraId="03B58CD2" w14:textId="77777777" w:rsidR="00834B83" w:rsidRPr="005269E6" w:rsidRDefault="00834B83" w:rsidP="005C5B84">
            <w:pPr>
              <w:rPr>
                <w:sz w:val="18"/>
                <w:szCs w:val="18"/>
                <w:lang w:bidi="ar-SY"/>
              </w:rPr>
            </w:pPr>
            <w:r w:rsidRPr="005269E6">
              <w:rPr>
                <w:sz w:val="18"/>
                <w:szCs w:val="18"/>
                <w:rtl/>
                <w:lang w:bidi="ar-SY"/>
              </w:rPr>
              <w:t>الخدمات التعاقدية</w:t>
            </w:r>
          </w:p>
        </w:tc>
        <w:tc>
          <w:tcPr>
            <w:tcW w:w="1596" w:type="dxa"/>
          </w:tcPr>
          <w:p w14:paraId="66E7F6E7" w14:textId="77777777" w:rsidR="00834B83" w:rsidRPr="005269E6" w:rsidRDefault="00834B83" w:rsidP="0031505F">
            <w:pPr>
              <w:pStyle w:val="Tabletexte"/>
              <w:jc w:val="left"/>
              <w:rPr>
                <w:sz w:val="18"/>
                <w:szCs w:val="18"/>
              </w:rPr>
            </w:pPr>
            <w:r w:rsidRPr="005269E6">
              <w:rPr>
                <w:sz w:val="18"/>
                <w:szCs w:val="18"/>
              </w:rPr>
              <w:t>20 527</w:t>
            </w:r>
          </w:p>
        </w:tc>
        <w:tc>
          <w:tcPr>
            <w:tcW w:w="1596" w:type="dxa"/>
          </w:tcPr>
          <w:p w14:paraId="6BF7F8F9" w14:textId="77777777" w:rsidR="00834B83" w:rsidRPr="005269E6" w:rsidRDefault="00834B83" w:rsidP="0031505F">
            <w:pPr>
              <w:pStyle w:val="Tabletexte"/>
              <w:jc w:val="left"/>
              <w:rPr>
                <w:sz w:val="18"/>
                <w:szCs w:val="18"/>
              </w:rPr>
            </w:pPr>
            <w:r w:rsidRPr="005269E6">
              <w:rPr>
                <w:sz w:val="18"/>
                <w:szCs w:val="18"/>
              </w:rPr>
              <w:t>21 262</w:t>
            </w:r>
          </w:p>
        </w:tc>
        <w:tc>
          <w:tcPr>
            <w:tcW w:w="1596" w:type="dxa"/>
          </w:tcPr>
          <w:p w14:paraId="2317485E" w14:textId="77777777" w:rsidR="00834B83" w:rsidRPr="005269E6" w:rsidRDefault="00834B83" w:rsidP="0031505F">
            <w:pPr>
              <w:pStyle w:val="Tabletexte"/>
              <w:jc w:val="left"/>
              <w:rPr>
                <w:sz w:val="18"/>
                <w:szCs w:val="18"/>
              </w:rPr>
            </w:pPr>
            <w:r w:rsidRPr="005269E6">
              <w:rPr>
                <w:sz w:val="18"/>
                <w:szCs w:val="18"/>
              </w:rPr>
              <w:t>(735)</w:t>
            </w:r>
          </w:p>
        </w:tc>
        <w:tc>
          <w:tcPr>
            <w:tcW w:w="1597" w:type="dxa"/>
          </w:tcPr>
          <w:p w14:paraId="4F4004CE" w14:textId="77777777" w:rsidR="00834B83" w:rsidRPr="005269E6" w:rsidRDefault="00834B83" w:rsidP="0031505F">
            <w:pPr>
              <w:pStyle w:val="Tabletexte"/>
              <w:jc w:val="left"/>
              <w:rPr>
                <w:sz w:val="18"/>
                <w:szCs w:val="18"/>
              </w:rPr>
            </w:pPr>
            <w:r w:rsidRPr="005269E6">
              <w:rPr>
                <w:sz w:val="18"/>
                <w:szCs w:val="18"/>
                <w:rtl/>
              </w:rPr>
              <w:t>-</w:t>
            </w:r>
            <w:r w:rsidRPr="005269E6">
              <w:rPr>
                <w:sz w:val="18"/>
                <w:szCs w:val="18"/>
              </w:rPr>
              <w:t>3,5</w:t>
            </w:r>
            <w:r w:rsidRPr="005269E6">
              <w:rPr>
                <w:sz w:val="18"/>
                <w:szCs w:val="18"/>
                <w:rtl/>
              </w:rPr>
              <w:t>%</w:t>
            </w:r>
          </w:p>
        </w:tc>
      </w:tr>
      <w:tr w:rsidR="00834B83" w:rsidRPr="005269E6" w14:paraId="156C4BEC" w14:textId="77777777" w:rsidTr="005C5B84">
        <w:trPr>
          <w:jc w:val="center"/>
        </w:trPr>
        <w:tc>
          <w:tcPr>
            <w:tcW w:w="3254" w:type="dxa"/>
          </w:tcPr>
          <w:p w14:paraId="71364782" w14:textId="77777777" w:rsidR="00834B83" w:rsidRPr="005269E6" w:rsidRDefault="00834B83" w:rsidP="005C5B84">
            <w:pPr>
              <w:rPr>
                <w:sz w:val="18"/>
                <w:szCs w:val="18"/>
                <w:lang w:bidi="ar-SY"/>
              </w:rPr>
            </w:pPr>
            <w:r w:rsidRPr="005269E6">
              <w:rPr>
                <w:sz w:val="18"/>
                <w:szCs w:val="18"/>
                <w:rtl/>
                <w:lang w:bidi="ar-SY"/>
              </w:rPr>
              <w:t>استئجار وصيانة المباني والمعدات</w:t>
            </w:r>
          </w:p>
        </w:tc>
        <w:tc>
          <w:tcPr>
            <w:tcW w:w="1596" w:type="dxa"/>
          </w:tcPr>
          <w:p w14:paraId="4A6227A2" w14:textId="77777777" w:rsidR="00834B83" w:rsidRPr="005269E6" w:rsidRDefault="00834B83" w:rsidP="0031505F">
            <w:pPr>
              <w:pStyle w:val="Tabletexte"/>
              <w:jc w:val="left"/>
              <w:rPr>
                <w:sz w:val="18"/>
                <w:szCs w:val="18"/>
              </w:rPr>
            </w:pPr>
            <w:r w:rsidRPr="005269E6">
              <w:rPr>
                <w:sz w:val="18"/>
                <w:szCs w:val="18"/>
              </w:rPr>
              <w:t>2 860</w:t>
            </w:r>
          </w:p>
        </w:tc>
        <w:tc>
          <w:tcPr>
            <w:tcW w:w="1596" w:type="dxa"/>
          </w:tcPr>
          <w:p w14:paraId="329750C9" w14:textId="77777777" w:rsidR="00834B83" w:rsidRPr="005269E6" w:rsidRDefault="00834B83" w:rsidP="0031505F">
            <w:pPr>
              <w:pStyle w:val="Tabletexte"/>
              <w:jc w:val="left"/>
              <w:rPr>
                <w:sz w:val="18"/>
                <w:szCs w:val="18"/>
              </w:rPr>
            </w:pPr>
            <w:r w:rsidRPr="005269E6">
              <w:rPr>
                <w:sz w:val="18"/>
                <w:szCs w:val="18"/>
              </w:rPr>
              <w:t>1 847</w:t>
            </w:r>
          </w:p>
        </w:tc>
        <w:tc>
          <w:tcPr>
            <w:tcW w:w="1596" w:type="dxa"/>
          </w:tcPr>
          <w:p w14:paraId="72030E2D" w14:textId="77777777" w:rsidR="00834B83" w:rsidRPr="005269E6" w:rsidRDefault="00834B83" w:rsidP="0031505F">
            <w:pPr>
              <w:pStyle w:val="Tabletexte"/>
              <w:jc w:val="left"/>
              <w:rPr>
                <w:sz w:val="18"/>
                <w:szCs w:val="18"/>
              </w:rPr>
            </w:pPr>
            <w:r w:rsidRPr="005269E6">
              <w:rPr>
                <w:sz w:val="18"/>
                <w:szCs w:val="18"/>
              </w:rPr>
              <w:t>1 013</w:t>
            </w:r>
          </w:p>
        </w:tc>
        <w:tc>
          <w:tcPr>
            <w:tcW w:w="1597" w:type="dxa"/>
          </w:tcPr>
          <w:p w14:paraId="7A43C869" w14:textId="77777777" w:rsidR="00834B83" w:rsidRPr="005269E6" w:rsidRDefault="00834B83" w:rsidP="0031505F">
            <w:pPr>
              <w:pStyle w:val="Tabletexte"/>
              <w:ind w:left="57"/>
              <w:jc w:val="left"/>
              <w:rPr>
                <w:sz w:val="18"/>
                <w:szCs w:val="18"/>
              </w:rPr>
            </w:pPr>
            <w:r w:rsidRPr="005269E6">
              <w:rPr>
                <w:sz w:val="18"/>
                <w:szCs w:val="18"/>
              </w:rPr>
              <w:t>54,8</w:t>
            </w:r>
            <w:r w:rsidRPr="005269E6">
              <w:rPr>
                <w:sz w:val="18"/>
                <w:szCs w:val="18"/>
                <w:rtl/>
              </w:rPr>
              <w:t>%</w:t>
            </w:r>
          </w:p>
        </w:tc>
      </w:tr>
      <w:tr w:rsidR="00834B83" w:rsidRPr="005269E6" w14:paraId="6F27B57D" w14:textId="77777777" w:rsidTr="005C5B84">
        <w:trPr>
          <w:jc w:val="center"/>
        </w:trPr>
        <w:tc>
          <w:tcPr>
            <w:tcW w:w="3254" w:type="dxa"/>
          </w:tcPr>
          <w:p w14:paraId="76A9663C" w14:textId="77777777" w:rsidR="00834B83" w:rsidRPr="005269E6" w:rsidRDefault="00834B83" w:rsidP="005C5B84">
            <w:pPr>
              <w:rPr>
                <w:sz w:val="18"/>
                <w:szCs w:val="18"/>
                <w:lang w:bidi="ar-SY"/>
              </w:rPr>
            </w:pPr>
            <w:r w:rsidRPr="005269E6">
              <w:rPr>
                <w:sz w:val="18"/>
                <w:szCs w:val="18"/>
                <w:rtl/>
                <w:lang w:bidi="ar-SY"/>
              </w:rPr>
              <w:lastRenderedPageBreak/>
              <w:t>المعدات واللوازم</w:t>
            </w:r>
          </w:p>
        </w:tc>
        <w:tc>
          <w:tcPr>
            <w:tcW w:w="1596" w:type="dxa"/>
          </w:tcPr>
          <w:p w14:paraId="5BC41344" w14:textId="77777777" w:rsidR="00834B83" w:rsidRPr="005269E6" w:rsidRDefault="00834B83" w:rsidP="0031505F">
            <w:pPr>
              <w:pStyle w:val="Tabletexte"/>
              <w:jc w:val="left"/>
              <w:rPr>
                <w:sz w:val="18"/>
                <w:szCs w:val="18"/>
              </w:rPr>
            </w:pPr>
            <w:r w:rsidRPr="005269E6">
              <w:rPr>
                <w:sz w:val="18"/>
                <w:szCs w:val="18"/>
              </w:rPr>
              <w:t>2 460</w:t>
            </w:r>
          </w:p>
        </w:tc>
        <w:tc>
          <w:tcPr>
            <w:tcW w:w="1596" w:type="dxa"/>
          </w:tcPr>
          <w:p w14:paraId="0C240121" w14:textId="77777777" w:rsidR="00834B83" w:rsidRPr="005269E6" w:rsidRDefault="00834B83" w:rsidP="0031505F">
            <w:pPr>
              <w:pStyle w:val="Tabletexte"/>
              <w:jc w:val="left"/>
              <w:rPr>
                <w:sz w:val="18"/>
                <w:szCs w:val="18"/>
              </w:rPr>
            </w:pPr>
            <w:r w:rsidRPr="005269E6">
              <w:rPr>
                <w:sz w:val="18"/>
                <w:szCs w:val="18"/>
              </w:rPr>
              <w:t>2 297</w:t>
            </w:r>
          </w:p>
        </w:tc>
        <w:tc>
          <w:tcPr>
            <w:tcW w:w="1596" w:type="dxa"/>
          </w:tcPr>
          <w:p w14:paraId="5C4C1844" w14:textId="77777777" w:rsidR="00834B83" w:rsidRPr="005269E6" w:rsidRDefault="00834B83" w:rsidP="0031505F">
            <w:pPr>
              <w:pStyle w:val="Tabletexte"/>
              <w:jc w:val="left"/>
              <w:rPr>
                <w:sz w:val="18"/>
                <w:szCs w:val="18"/>
              </w:rPr>
            </w:pPr>
            <w:r w:rsidRPr="005269E6">
              <w:rPr>
                <w:sz w:val="18"/>
                <w:szCs w:val="18"/>
              </w:rPr>
              <w:t>163</w:t>
            </w:r>
          </w:p>
        </w:tc>
        <w:tc>
          <w:tcPr>
            <w:tcW w:w="1597" w:type="dxa"/>
          </w:tcPr>
          <w:p w14:paraId="6E4BDB44" w14:textId="77777777" w:rsidR="00834B83" w:rsidRPr="005269E6" w:rsidRDefault="00834B83" w:rsidP="0031505F">
            <w:pPr>
              <w:pStyle w:val="Tabletexte"/>
              <w:ind w:left="57"/>
              <w:jc w:val="left"/>
              <w:rPr>
                <w:sz w:val="18"/>
                <w:szCs w:val="18"/>
              </w:rPr>
            </w:pPr>
            <w:r w:rsidRPr="005269E6">
              <w:rPr>
                <w:sz w:val="18"/>
                <w:szCs w:val="18"/>
              </w:rPr>
              <w:t>7,1</w:t>
            </w:r>
            <w:r w:rsidRPr="005269E6">
              <w:rPr>
                <w:sz w:val="18"/>
                <w:szCs w:val="18"/>
                <w:rtl/>
              </w:rPr>
              <w:t>%</w:t>
            </w:r>
          </w:p>
        </w:tc>
      </w:tr>
      <w:tr w:rsidR="00834B83" w:rsidRPr="005269E6" w14:paraId="1885C7CE" w14:textId="77777777" w:rsidTr="005C5B84">
        <w:trPr>
          <w:jc w:val="center"/>
        </w:trPr>
        <w:tc>
          <w:tcPr>
            <w:tcW w:w="3254" w:type="dxa"/>
          </w:tcPr>
          <w:p w14:paraId="616A6AED" w14:textId="77777777" w:rsidR="00834B83" w:rsidRPr="005269E6" w:rsidRDefault="00834B83" w:rsidP="005C5B84">
            <w:pPr>
              <w:pStyle w:val="Tabletexte"/>
              <w:rPr>
                <w:sz w:val="18"/>
                <w:szCs w:val="18"/>
              </w:rPr>
            </w:pPr>
            <w:r w:rsidRPr="005269E6">
              <w:rPr>
                <w:sz w:val="18"/>
                <w:szCs w:val="18"/>
                <w:rtl/>
              </w:rPr>
              <w:t>الإهلاك وخسائر انخفاض القيمة</w:t>
            </w:r>
          </w:p>
        </w:tc>
        <w:tc>
          <w:tcPr>
            <w:tcW w:w="1596" w:type="dxa"/>
          </w:tcPr>
          <w:p w14:paraId="4A95034D" w14:textId="77777777" w:rsidR="00834B83" w:rsidRPr="005269E6" w:rsidRDefault="00834B83" w:rsidP="0031505F">
            <w:pPr>
              <w:pStyle w:val="Tabletexte"/>
              <w:jc w:val="left"/>
              <w:rPr>
                <w:sz w:val="18"/>
                <w:szCs w:val="18"/>
              </w:rPr>
            </w:pPr>
            <w:r w:rsidRPr="005269E6">
              <w:rPr>
                <w:sz w:val="18"/>
                <w:szCs w:val="18"/>
              </w:rPr>
              <w:t>9 495</w:t>
            </w:r>
          </w:p>
        </w:tc>
        <w:tc>
          <w:tcPr>
            <w:tcW w:w="1596" w:type="dxa"/>
          </w:tcPr>
          <w:p w14:paraId="51AC8ED1" w14:textId="77777777" w:rsidR="00834B83" w:rsidRPr="005269E6" w:rsidRDefault="00834B83" w:rsidP="0031505F">
            <w:pPr>
              <w:pStyle w:val="Tabletexte"/>
              <w:jc w:val="left"/>
              <w:rPr>
                <w:sz w:val="18"/>
                <w:szCs w:val="18"/>
              </w:rPr>
            </w:pPr>
            <w:r w:rsidRPr="005269E6">
              <w:rPr>
                <w:sz w:val="18"/>
                <w:szCs w:val="18"/>
              </w:rPr>
              <w:t>9 693</w:t>
            </w:r>
          </w:p>
        </w:tc>
        <w:tc>
          <w:tcPr>
            <w:tcW w:w="1596" w:type="dxa"/>
          </w:tcPr>
          <w:p w14:paraId="63EFCCB4" w14:textId="77777777" w:rsidR="00834B83" w:rsidRPr="005269E6" w:rsidRDefault="00834B83" w:rsidP="0031505F">
            <w:pPr>
              <w:pStyle w:val="Tabletexte"/>
              <w:jc w:val="left"/>
              <w:rPr>
                <w:sz w:val="18"/>
                <w:szCs w:val="18"/>
              </w:rPr>
            </w:pPr>
            <w:r w:rsidRPr="005269E6">
              <w:rPr>
                <w:sz w:val="18"/>
                <w:szCs w:val="18"/>
              </w:rPr>
              <w:t>(198)</w:t>
            </w:r>
          </w:p>
        </w:tc>
        <w:tc>
          <w:tcPr>
            <w:tcW w:w="1597" w:type="dxa"/>
          </w:tcPr>
          <w:p w14:paraId="018CFAFF" w14:textId="77777777" w:rsidR="00834B83" w:rsidRPr="005269E6" w:rsidRDefault="00834B83" w:rsidP="0031505F">
            <w:pPr>
              <w:pStyle w:val="Tabletexte"/>
              <w:jc w:val="left"/>
              <w:rPr>
                <w:sz w:val="18"/>
                <w:szCs w:val="18"/>
              </w:rPr>
            </w:pPr>
            <w:r w:rsidRPr="005269E6">
              <w:rPr>
                <w:sz w:val="18"/>
                <w:szCs w:val="18"/>
                <w:rtl/>
              </w:rPr>
              <w:t>-</w:t>
            </w:r>
            <w:r w:rsidRPr="005269E6">
              <w:rPr>
                <w:sz w:val="18"/>
                <w:szCs w:val="18"/>
              </w:rPr>
              <w:t>2,0</w:t>
            </w:r>
            <w:r w:rsidRPr="005269E6">
              <w:rPr>
                <w:sz w:val="18"/>
                <w:szCs w:val="18"/>
                <w:rtl/>
              </w:rPr>
              <w:t>%</w:t>
            </w:r>
          </w:p>
        </w:tc>
      </w:tr>
      <w:tr w:rsidR="00834B83" w:rsidRPr="005269E6" w14:paraId="4C875A6A" w14:textId="77777777" w:rsidTr="005C5B84">
        <w:trPr>
          <w:jc w:val="center"/>
        </w:trPr>
        <w:tc>
          <w:tcPr>
            <w:tcW w:w="3254" w:type="dxa"/>
          </w:tcPr>
          <w:p w14:paraId="5F4EE208" w14:textId="77777777" w:rsidR="00834B83" w:rsidRPr="005269E6" w:rsidRDefault="00834B83" w:rsidP="005C5B84">
            <w:pPr>
              <w:rPr>
                <w:sz w:val="18"/>
                <w:szCs w:val="18"/>
                <w:lang w:bidi="ar-SY"/>
              </w:rPr>
            </w:pPr>
            <w:r w:rsidRPr="005269E6">
              <w:rPr>
                <w:sz w:val="18"/>
                <w:szCs w:val="18"/>
                <w:rtl/>
                <w:lang w:bidi="ar-SY"/>
              </w:rPr>
              <w:t>نفقات الشحن والاتصالات والخدمات</w:t>
            </w:r>
          </w:p>
        </w:tc>
        <w:tc>
          <w:tcPr>
            <w:tcW w:w="1596" w:type="dxa"/>
          </w:tcPr>
          <w:p w14:paraId="70423B16" w14:textId="77777777" w:rsidR="00834B83" w:rsidRPr="005269E6" w:rsidRDefault="00834B83" w:rsidP="0031505F">
            <w:pPr>
              <w:pStyle w:val="Tabletexte"/>
              <w:jc w:val="left"/>
              <w:rPr>
                <w:sz w:val="18"/>
                <w:szCs w:val="18"/>
              </w:rPr>
            </w:pPr>
            <w:r w:rsidRPr="005269E6">
              <w:rPr>
                <w:sz w:val="18"/>
                <w:szCs w:val="18"/>
              </w:rPr>
              <w:t>2 242</w:t>
            </w:r>
          </w:p>
        </w:tc>
        <w:tc>
          <w:tcPr>
            <w:tcW w:w="1596" w:type="dxa"/>
          </w:tcPr>
          <w:p w14:paraId="37E1ABFC" w14:textId="77777777" w:rsidR="00834B83" w:rsidRPr="005269E6" w:rsidRDefault="00834B83" w:rsidP="0031505F">
            <w:pPr>
              <w:pStyle w:val="Tabletexte"/>
              <w:jc w:val="left"/>
              <w:rPr>
                <w:sz w:val="18"/>
                <w:szCs w:val="18"/>
              </w:rPr>
            </w:pPr>
            <w:r w:rsidRPr="005269E6">
              <w:rPr>
                <w:sz w:val="18"/>
                <w:szCs w:val="18"/>
              </w:rPr>
              <w:t>1 505</w:t>
            </w:r>
          </w:p>
        </w:tc>
        <w:tc>
          <w:tcPr>
            <w:tcW w:w="1596" w:type="dxa"/>
          </w:tcPr>
          <w:p w14:paraId="678FB916" w14:textId="77777777" w:rsidR="00834B83" w:rsidRPr="005269E6" w:rsidRDefault="00834B83" w:rsidP="0031505F">
            <w:pPr>
              <w:pStyle w:val="Tabletexte"/>
              <w:jc w:val="left"/>
              <w:rPr>
                <w:sz w:val="18"/>
                <w:szCs w:val="18"/>
              </w:rPr>
            </w:pPr>
            <w:r w:rsidRPr="005269E6">
              <w:rPr>
                <w:sz w:val="18"/>
                <w:szCs w:val="18"/>
              </w:rPr>
              <w:t>737</w:t>
            </w:r>
          </w:p>
        </w:tc>
        <w:tc>
          <w:tcPr>
            <w:tcW w:w="1597" w:type="dxa"/>
          </w:tcPr>
          <w:p w14:paraId="0FBC7955" w14:textId="77777777" w:rsidR="00834B83" w:rsidRPr="005269E6" w:rsidRDefault="00834B83" w:rsidP="0031505F">
            <w:pPr>
              <w:pStyle w:val="Tabletexte"/>
              <w:ind w:left="57"/>
              <w:jc w:val="left"/>
              <w:rPr>
                <w:sz w:val="18"/>
                <w:szCs w:val="18"/>
              </w:rPr>
            </w:pPr>
            <w:r w:rsidRPr="005269E6">
              <w:rPr>
                <w:sz w:val="18"/>
                <w:szCs w:val="18"/>
              </w:rPr>
              <w:t>49,0</w:t>
            </w:r>
            <w:r w:rsidRPr="005269E6">
              <w:rPr>
                <w:sz w:val="18"/>
                <w:szCs w:val="18"/>
                <w:rtl/>
              </w:rPr>
              <w:t>%</w:t>
            </w:r>
          </w:p>
        </w:tc>
      </w:tr>
      <w:tr w:rsidR="00834B83" w:rsidRPr="005269E6" w14:paraId="252397C9" w14:textId="77777777" w:rsidTr="005C5B84">
        <w:trPr>
          <w:jc w:val="center"/>
        </w:trPr>
        <w:tc>
          <w:tcPr>
            <w:tcW w:w="3254" w:type="dxa"/>
          </w:tcPr>
          <w:p w14:paraId="7FA4789C" w14:textId="77777777" w:rsidR="00834B83" w:rsidRPr="005269E6" w:rsidRDefault="00834B83" w:rsidP="005C5B84">
            <w:pPr>
              <w:pStyle w:val="Tabletexte"/>
              <w:rPr>
                <w:sz w:val="18"/>
                <w:szCs w:val="18"/>
              </w:rPr>
            </w:pPr>
            <w:r w:rsidRPr="005269E6">
              <w:rPr>
                <w:sz w:val="18"/>
                <w:szCs w:val="18"/>
                <w:rtl/>
              </w:rPr>
              <w:t>نفقات أخرى</w:t>
            </w:r>
          </w:p>
        </w:tc>
        <w:tc>
          <w:tcPr>
            <w:tcW w:w="1596" w:type="dxa"/>
          </w:tcPr>
          <w:p w14:paraId="63B3EC49" w14:textId="77777777" w:rsidR="00834B83" w:rsidRPr="005269E6" w:rsidRDefault="00834B83" w:rsidP="0031505F">
            <w:pPr>
              <w:pStyle w:val="Tabletexte"/>
              <w:jc w:val="left"/>
              <w:rPr>
                <w:sz w:val="18"/>
                <w:szCs w:val="18"/>
              </w:rPr>
            </w:pPr>
            <w:r w:rsidRPr="005269E6">
              <w:rPr>
                <w:sz w:val="18"/>
                <w:szCs w:val="18"/>
              </w:rPr>
              <w:t>122</w:t>
            </w:r>
          </w:p>
        </w:tc>
        <w:tc>
          <w:tcPr>
            <w:tcW w:w="1596" w:type="dxa"/>
          </w:tcPr>
          <w:p w14:paraId="087C90DA" w14:textId="77777777" w:rsidR="00834B83" w:rsidRPr="005269E6" w:rsidRDefault="00834B83" w:rsidP="0031505F">
            <w:pPr>
              <w:pStyle w:val="Tabletexte"/>
              <w:jc w:val="left"/>
              <w:rPr>
                <w:sz w:val="18"/>
                <w:szCs w:val="18"/>
              </w:rPr>
            </w:pPr>
            <w:r w:rsidRPr="005269E6">
              <w:rPr>
                <w:sz w:val="18"/>
                <w:szCs w:val="18"/>
              </w:rPr>
              <w:t>1 936</w:t>
            </w:r>
          </w:p>
        </w:tc>
        <w:tc>
          <w:tcPr>
            <w:tcW w:w="1596" w:type="dxa"/>
          </w:tcPr>
          <w:p w14:paraId="2DCDB6FD" w14:textId="77777777" w:rsidR="00834B83" w:rsidRPr="005269E6" w:rsidRDefault="00834B83" w:rsidP="0031505F">
            <w:pPr>
              <w:pStyle w:val="Tabletexte"/>
              <w:jc w:val="left"/>
              <w:rPr>
                <w:sz w:val="18"/>
                <w:szCs w:val="18"/>
              </w:rPr>
            </w:pPr>
            <w:r w:rsidRPr="005269E6">
              <w:rPr>
                <w:sz w:val="18"/>
                <w:szCs w:val="18"/>
              </w:rPr>
              <w:t>(1 814)</w:t>
            </w:r>
          </w:p>
        </w:tc>
        <w:tc>
          <w:tcPr>
            <w:tcW w:w="1597" w:type="dxa"/>
          </w:tcPr>
          <w:p w14:paraId="47F1DFCD" w14:textId="77777777" w:rsidR="00834B83" w:rsidRPr="005269E6" w:rsidRDefault="00834B83" w:rsidP="0031505F">
            <w:pPr>
              <w:pStyle w:val="Tabletexte"/>
              <w:jc w:val="left"/>
              <w:rPr>
                <w:sz w:val="18"/>
                <w:szCs w:val="18"/>
              </w:rPr>
            </w:pPr>
            <w:r w:rsidRPr="005269E6">
              <w:rPr>
                <w:sz w:val="18"/>
                <w:szCs w:val="18"/>
                <w:rtl/>
              </w:rPr>
              <w:t>-</w:t>
            </w:r>
            <w:r w:rsidRPr="005269E6">
              <w:rPr>
                <w:sz w:val="18"/>
                <w:szCs w:val="18"/>
              </w:rPr>
              <w:t>93,7</w:t>
            </w:r>
            <w:r w:rsidRPr="005269E6">
              <w:rPr>
                <w:sz w:val="18"/>
                <w:szCs w:val="18"/>
                <w:rtl/>
              </w:rPr>
              <w:t>%</w:t>
            </w:r>
          </w:p>
        </w:tc>
      </w:tr>
      <w:tr w:rsidR="00834B83" w:rsidRPr="005269E6" w14:paraId="5420CC0B" w14:textId="77777777" w:rsidTr="005C5B84">
        <w:trPr>
          <w:jc w:val="center"/>
        </w:trPr>
        <w:tc>
          <w:tcPr>
            <w:tcW w:w="3254" w:type="dxa"/>
            <w:shd w:val="clear" w:color="auto" w:fill="538DD5"/>
          </w:tcPr>
          <w:p w14:paraId="6182CB77" w14:textId="77777777" w:rsidR="00834B83" w:rsidRPr="005269E6" w:rsidRDefault="00834B83" w:rsidP="005C5B84">
            <w:pPr>
              <w:pStyle w:val="Tabletexte"/>
              <w:rPr>
                <w:b/>
                <w:bCs/>
                <w:sz w:val="18"/>
                <w:szCs w:val="18"/>
              </w:rPr>
            </w:pPr>
            <w:r w:rsidRPr="005269E6">
              <w:rPr>
                <w:b/>
                <w:bCs/>
                <w:sz w:val="18"/>
                <w:szCs w:val="18"/>
                <w:rtl/>
              </w:rPr>
              <w:t>مجمل النفقات</w:t>
            </w:r>
          </w:p>
        </w:tc>
        <w:tc>
          <w:tcPr>
            <w:tcW w:w="1596" w:type="dxa"/>
            <w:shd w:val="clear" w:color="auto" w:fill="538DD5"/>
          </w:tcPr>
          <w:p w14:paraId="71C47F13" w14:textId="77777777" w:rsidR="00834B83" w:rsidRPr="005269E6" w:rsidRDefault="00834B83" w:rsidP="0031505F">
            <w:pPr>
              <w:pStyle w:val="Tabletexte"/>
              <w:jc w:val="left"/>
              <w:rPr>
                <w:b/>
                <w:bCs/>
                <w:sz w:val="18"/>
                <w:szCs w:val="18"/>
              </w:rPr>
            </w:pPr>
            <w:r w:rsidRPr="005269E6">
              <w:rPr>
                <w:b/>
                <w:bCs/>
                <w:sz w:val="18"/>
                <w:szCs w:val="18"/>
              </w:rPr>
              <w:t>196 805</w:t>
            </w:r>
          </w:p>
        </w:tc>
        <w:tc>
          <w:tcPr>
            <w:tcW w:w="1596" w:type="dxa"/>
            <w:shd w:val="clear" w:color="auto" w:fill="538DD5"/>
          </w:tcPr>
          <w:p w14:paraId="1A4BFCDB" w14:textId="77777777" w:rsidR="00834B83" w:rsidRPr="005269E6" w:rsidRDefault="00834B83" w:rsidP="0031505F">
            <w:pPr>
              <w:pStyle w:val="Tabletexte"/>
              <w:jc w:val="left"/>
              <w:rPr>
                <w:b/>
                <w:bCs/>
                <w:sz w:val="18"/>
                <w:szCs w:val="18"/>
              </w:rPr>
            </w:pPr>
            <w:r w:rsidRPr="005269E6">
              <w:rPr>
                <w:b/>
                <w:bCs/>
                <w:sz w:val="18"/>
                <w:szCs w:val="18"/>
              </w:rPr>
              <w:t>190 882</w:t>
            </w:r>
          </w:p>
        </w:tc>
        <w:tc>
          <w:tcPr>
            <w:tcW w:w="1596" w:type="dxa"/>
            <w:shd w:val="clear" w:color="auto" w:fill="538DD5"/>
          </w:tcPr>
          <w:p w14:paraId="70302842" w14:textId="77777777" w:rsidR="00834B83" w:rsidRPr="005269E6" w:rsidRDefault="00834B83" w:rsidP="0031505F">
            <w:pPr>
              <w:pStyle w:val="Tabletexte"/>
              <w:jc w:val="left"/>
              <w:rPr>
                <w:b/>
                <w:bCs/>
                <w:sz w:val="18"/>
                <w:szCs w:val="18"/>
              </w:rPr>
            </w:pPr>
            <w:r w:rsidRPr="005269E6">
              <w:rPr>
                <w:b/>
                <w:bCs/>
                <w:sz w:val="18"/>
                <w:szCs w:val="18"/>
              </w:rPr>
              <w:t>5 923</w:t>
            </w:r>
          </w:p>
        </w:tc>
        <w:tc>
          <w:tcPr>
            <w:tcW w:w="1597" w:type="dxa"/>
            <w:shd w:val="clear" w:color="auto" w:fill="538DD5"/>
          </w:tcPr>
          <w:p w14:paraId="02856FDB" w14:textId="77777777" w:rsidR="00834B83" w:rsidRPr="005269E6" w:rsidRDefault="00834B83" w:rsidP="0031505F">
            <w:pPr>
              <w:pStyle w:val="Tabletexte"/>
              <w:ind w:left="57"/>
              <w:jc w:val="left"/>
              <w:rPr>
                <w:b/>
                <w:bCs/>
                <w:sz w:val="18"/>
                <w:szCs w:val="18"/>
              </w:rPr>
            </w:pPr>
            <w:r w:rsidRPr="005269E6">
              <w:rPr>
                <w:b/>
                <w:bCs/>
                <w:sz w:val="18"/>
                <w:szCs w:val="18"/>
              </w:rPr>
              <w:t>3,1</w:t>
            </w:r>
            <w:r w:rsidRPr="005269E6">
              <w:rPr>
                <w:b/>
                <w:bCs/>
                <w:sz w:val="18"/>
                <w:szCs w:val="18"/>
                <w:rtl/>
              </w:rPr>
              <w:t>%</w:t>
            </w:r>
          </w:p>
        </w:tc>
      </w:tr>
    </w:tbl>
    <w:p w14:paraId="0940B7A4" w14:textId="77777777" w:rsidR="00834B83" w:rsidRPr="005269E6" w:rsidRDefault="00834B83" w:rsidP="00C270CE">
      <w:pPr>
        <w:spacing w:before="240"/>
        <w:rPr>
          <w:rtl/>
          <w:lang w:bidi="ar-SY"/>
        </w:rPr>
      </w:pPr>
      <w:r w:rsidRPr="005269E6">
        <w:t>15</w:t>
      </w:r>
      <w:r w:rsidRPr="005269E6">
        <w:tab/>
      </w:r>
      <w:r w:rsidRPr="005269E6">
        <w:rPr>
          <w:rtl/>
          <w:lang w:bidi="ar-SY"/>
        </w:rPr>
        <w:t>تبين مقارنة النفقات عام 2022، في الشكل 2، توزيع أنواع النفقات في عام 2022 الذي يبرز ارتفاع مستوى تكاليف الموظفين في الاتحاد التي تشكل 78% من جميع التكاليف. وتشكل الخدمات التعاقدية الفئة الأكبر التالية من النفقات بنسبة 10% وهي مماثلة لعام 2021.</w:t>
      </w:r>
    </w:p>
    <w:p w14:paraId="12D1B971" w14:textId="77777777" w:rsidR="00834B83" w:rsidRPr="005269E6" w:rsidRDefault="00834B83" w:rsidP="00834B83">
      <w:pPr>
        <w:pStyle w:val="Figuretitle"/>
        <w:rPr>
          <w:lang w:bidi="ar-SY"/>
        </w:rPr>
      </w:pPr>
      <w:r w:rsidRPr="005269E6">
        <w:rPr>
          <w:rtl/>
          <w:lang w:bidi="ar-SY"/>
        </w:rPr>
        <w:t>الشكل 2 - تكوين النفقات عام 2022 (196,8 مليون فرنك سويسري)</w:t>
      </w:r>
    </w:p>
    <w:p w14:paraId="12C3D3A2" w14:textId="77777777" w:rsidR="00834B83" w:rsidRPr="005269E6" w:rsidRDefault="00834B83" w:rsidP="00C017A9">
      <w:pPr>
        <w:pStyle w:val="Figure"/>
        <w:bidi/>
        <w:spacing w:before="100" w:beforeAutospacing="1" w:after="100" w:afterAutospacing="1"/>
        <w:rPr>
          <w:rtl/>
        </w:rPr>
      </w:pPr>
      <w:r w:rsidRPr="005269E6">
        <w:rPr>
          <w:noProof/>
        </w:rPr>
        <w:drawing>
          <wp:inline distT="0" distB="0" distL="0" distR="0" wp14:anchorId="0466E34E" wp14:editId="7A2AC980">
            <wp:extent cx="6010910" cy="3663950"/>
            <wp:effectExtent l="0" t="0" r="8890" b="0"/>
            <wp:docPr id="1449918416" name="Picture 5"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18416" name="Picture 5" descr="A pie chart with numbers and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910" cy="3663950"/>
                    </a:xfrm>
                    <a:prstGeom prst="rect">
                      <a:avLst/>
                    </a:prstGeom>
                    <a:noFill/>
                  </pic:spPr>
                </pic:pic>
              </a:graphicData>
            </a:graphic>
          </wp:inline>
        </w:drawing>
      </w:r>
    </w:p>
    <w:p w14:paraId="7D9AAE70" w14:textId="77777777" w:rsidR="00834B83" w:rsidRPr="005269E6" w:rsidRDefault="00834B83" w:rsidP="00834B83">
      <w:pPr>
        <w:pStyle w:val="Headingb"/>
        <w:rPr>
          <w:lang w:bidi="ar-SY"/>
        </w:rPr>
      </w:pPr>
      <w:r w:rsidRPr="005269E6">
        <w:rPr>
          <w:rtl/>
          <w:lang w:bidi="ar-SY"/>
        </w:rPr>
        <w:t>الوضع المالي</w:t>
      </w:r>
    </w:p>
    <w:p w14:paraId="3222EE8E" w14:textId="2D459AD0" w:rsidR="00834B83" w:rsidRPr="005269E6" w:rsidRDefault="00834B83" w:rsidP="00086B63">
      <w:pPr>
        <w:rPr>
          <w:lang w:bidi="ar-SY"/>
        </w:rPr>
      </w:pPr>
      <w:r w:rsidRPr="005269E6">
        <w:rPr>
          <w:lang w:bidi="ar-SY"/>
        </w:rPr>
        <w:t>16</w:t>
      </w:r>
      <w:r w:rsidRPr="005269E6">
        <w:rPr>
          <w:lang w:bidi="ar-SY"/>
        </w:rPr>
        <w:tab/>
      </w:r>
      <w:r w:rsidRPr="005269E6">
        <w:rPr>
          <w:rtl/>
          <w:lang w:bidi="ar-SY"/>
        </w:rPr>
        <w:t>في 31 ديسمبر 2022، بلغ صافي أصول المنظمة 213,1 مليون فرنك سويسري سالبة، وبلغ مجموع الأصول 317,9 مليون فرنك سويسري وبلغ مجموع الخصوم 530,9 مليون فرنك سويسري على النحو المبين في الجدول 5 أدناه.</w:t>
      </w:r>
      <w:r w:rsidRPr="005269E6">
        <w:rPr>
          <w:rtl/>
        </w:rPr>
        <w:t xml:space="preserve"> </w:t>
      </w:r>
      <w:r w:rsidRPr="005269E6">
        <w:rPr>
          <w:rtl/>
          <w:lang w:bidi="ar-SY"/>
        </w:rPr>
        <w:t>وكان صافي الأصول أعلى بمقدار 197,7 مليون فرنك سويسري مقارنة بعام 2021.</w:t>
      </w:r>
      <w:r w:rsidRPr="005269E6">
        <w:rPr>
          <w:rtl/>
        </w:rPr>
        <w:t xml:space="preserve"> </w:t>
      </w:r>
      <w:r w:rsidRPr="005269E6">
        <w:rPr>
          <w:rtl/>
          <w:lang w:bidi="ar-SY"/>
        </w:rPr>
        <w:t>ويعزى ذلك إلى التغيرات في افتراضات تقييم التأمين الصحي بعد انتهاء الخدمة لعام 2022 مقارنة بعام 2021.</w:t>
      </w:r>
      <w:r w:rsidRPr="005269E6">
        <w:rPr>
          <w:rtl/>
        </w:rPr>
        <w:t xml:space="preserve"> </w:t>
      </w:r>
      <w:r w:rsidR="00086B63" w:rsidRPr="00086B63">
        <w:rPr>
          <w:rFonts w:hint="cs"/>
          <w:rtl/>
        </w:rPr>
        <w:t>ولكن، ثمة عجز كبير لا يزال قائماً</w:t>
      </w:r>
      <w:r w:rsidR="00C270CE" w:rsidRPr="005269E6">
        <w:rPr>
          <w:rFonts w:hint="cs"/>
          <w:rtl/>
          <w:lang w:bidi="ar-SY"/>
        </w:rPr>
        <w:t>،</w:t>
      </w:r>
      <w:r w:rsidRPr="005269E6">
        <w:rPr>
          <w:rtl/>
        </w:rPr>
        <w:t xml:space="preserve"> </w:t>
      </w:r>
      <w:r w:rsidRPr="005269E6">
        <w:rPr>
          <w:rtl/>
          <w:lang w:bidi="ar-SY"/>
        </w:rPr>
        <w:t>وسيظل صافي الأصول سالبا</w:t>
      </w:r>
      <w:r w:rsidR="00C270CE" w:rsidRPr="005269E6">
        <w:rPr>
          <w:rFonts w:hint="cs"/>
          <w:rtl/>
          <w:lang w:bidi="ar-SY"/>
        </w:rPr>
        <w:t>ً</w:t>
      </w:r>
      <w:r w:rsidRPr="005269E6">
        <w:rPr>
          <w:rtl/>
          <w:lang w:bidi="ar-SY"/>
        </w:rPr>
        <w:t xml:space="preserve"> بواقع 213,1 مليون فرنك سويسري بسبب التزامات صندوق التأمين الصحي بعد انتهاء الخدمة </w:t>
      </w:r>
      <w:r w:rsidRPr="005269E6">
        <w:rPr>
          <w:lang w:bidi="ar-SY"/>
        </w:rPr>
        <w:t>(ASHI)</w:t>
      </w:r>
      <w:r w:rsidRPr="005269E6">
        <w:rPr>
          <w:rtl/>
          <w:lang w:bidi="ar-SY"/>
        </w:rPr>
        <w:t xml:space="preserve"> (344,1 مليون فرنك سويسري). وتمثل معالجة نموذج استحقاقات الموظفين الطويلة الأجل شرطاً حاسماً لتغيير هذا الاتجاه.</w:t>
      </w:r>
    </w:p>
    <w:p w14:paraId="01269EC6" w14:textId="77777777" w:rsidR="00834B83" w:rsidRPr="005269E6" w:rsidRDefault="00834B83" w:rsidP="00834B83">
      <w:pPr>
        <w:pStyle w:val="Tabletitle"/>
        <w:rPr>
          <w:lang w:val="en"/>
        </w:rPr>
      </w:pPr>
      <w:r w:rsidRPr="005269E6">
        <w:rPr>
          <w:rtl/>
          <w:lang w:bidi="ar"/>
        </w:rPr>
        <w:lastRenderedPageBreak/>
        <w:t>الجدول</w:t>
      </w:r>
      <w:r w:rsidRPr="005269E6">
        <w:rPr>
          <w:lang w:val="en"/>
        </w:rPr>
        <w:t xml:space="preserve"> 5 - </w:t>
      </w:r>
      <w:r w:rsidRPr="005269E6">
        <w:rPr>
          <w:rtl/>
          <w:lang w:bidi="ar"/>
        </w:rPr>
        <w:t>ملخص</w:t>
      </w:r>
      <w:r w:rsidRPr="005269E6">
        <w:rPr>
          <w:lang w:val="en"/>
        </w:rPr>
        <w:t xml:space="preserve"> </w:t>
      </w:r>
      <w:r w:rsidRPr="005269E6">
        <w:rPr>
          <w:rtl/>
          <w:lang w:bidi="ar"/>
        </w:rPr>
        <w:t>الأصول</w:t>
      </w:r>
      <w:r w:rsidRPr="005269E6">
        <w:rPr>
          <w:lang w:val="en"/>
        </w:rPr>
        <w:t xml:space="preserve"> </w:t>
      </w:r>
      <w:r w:rsidRPr="005269E6">
        <w:rPr>
          <w:rtl/>
          <w:lang w:bidi="ar"/>
        </w:rPr>
        <w:t>والخصوم</w:t>
      </w:r>
      <w:r w:rsidRPr="005269E6">
        <w:rPr>
          <w:lang w:val="en"/>
        </w:rPr>
        <w:t xml:space="preserve"> </w:t>
      </w:r>
      <w:r w:rsidRPr="005269E6">
        <w:rPr>
          <w:rtl/>
          <w:lang w:bidi="ar"/>
        </w:rPr>
        <w:t>وصافي</w:t>
      </w:r>
      <w:r w:rsidRPr="005269E6">
        <w:rPr>
          <w:lang w:val="en"/>
        </w:rPr>
        <w:t xml:space="preserve"> </w:t>
      </w:r>
      <w:r w:rsidRPr="005269E6">
        <w:rPr>
          <w:rtl/>
          <w:lang w:bidi="ar"/>
        </w:rPr>
        <w:t>الأصول</w:t>
      </w:r>
      <w:r w:rsidRPr="005269E6">
        <w:rPr>
          <w:lang w:val="en"/>
        </w:rPr>
        <w:t xml:space="preserve"> </w:t>
      </w:r>
      <w:r w:rsidRPr="005269E6">
        <w:rPr>
          <w:rtl/>
          <w:lang w:bidi="ar"/>
        </w:rPr>
        <w:t>والتأمين</w:t>
      </w:r>
      <w:r w:rsidRPr="005269E6">
        <w:rPr>
          <w:lang w:val="en"/>
        </w:rPr>
        <w:t xml:space="preserve"> </w:t>
      </w:r>
      <w:r w:rsidRPr="005269E6">
        <w:rPr>
          <w:rtl/>
          <w:lang w:bidi="ar"/>
        </w:rPr>
        <w:t>الصحي</w:t>
      </w:r>
      <w:r w:rsidRPr="005269E6">
        <w:rPr>
          <w:lang w:val="en"/>
        </w:rPr>
        <w:t xml:space="preserve"> </w:t>
      </w:r>
      <w:r w:rsidRPr="005269E6">
        <w:rPr>
          <w:rtl/>
          <w:lang w:bidi="ar"/>
        </w:rPr>
        <w:t>بعد</w:t>
      </w:r>
      <w:r w:rsidRPr="005269E6">
        <w:rPr>
          <w:lang w:val="en"/>
        </w:rPr>
        <w:t xml:space="preserve"> </w:t>
      </w:r>
      <w:r w:rsidRPr="005269E6">
        <w:rPr>
          <w:rtl/>
          <w:lang w:bidi="ar"/>
        </w:rPr>
        <w:t>انتهاء الخدمة (</w:t>
      </w:r>
      <w:r w:rsidRPr="005269E6">
        <w:rPr>
          <w:lang w:bidi="ar"/>
        </w:rPr>
        <w:t>ASHI</w:t>
      </w:r>
      <w:r w:rsidRPr="005269E6">
        <w:rPr>
          <w:rtl/>
          <w:lang w:bidi="ar"/>
        </w:rPr>
        <w:t>)</w:t>
      </w:r>
    </w:p>
    <w:tbl>
      <w:tblPr>
        <w:tblStyle w:val="TableGrid0"/>
        <w:bidiVisual/>
        <w:tblW w:w="4516" w:type="pct"/>
        <w:jc w:val="center"/>
        <w:tblInd w:w="0" w:type="dxa"/>
        <w:tblCellMar>
          <w:right w:w="5" w:type="dxa"/>
        </w:tblCellMar>
        <w:tblLook w:val="04A0" w:firstRow="1" w:lastRow="0" w:firstColumn="1" w:lastColumn="0" w:noHBand="0" w:noVBand="1"/>
      </w:tblPr>
      <w:tblGrid>
        <w:gridCol w:w="4499"/>
        <w:gridCol w:w="1402"/>
        <w:gridCol w:w="1402"/>
        <w:gridCol w:w="1403"/>
      </w:tblGrid>
      <w:tr w:rsidR="00834B83" w:rsidRPr="005269E6" w14:paraId="7D9B1704" w14:textId="77777777" w:rsidTr="005C5B84">
        <w:trPr>
          <w:jc w:val="center"/>
        </w:trPr>
        <w:tc>
          <w:tcPr>
            <w:tcW w:w="4499" w:type="dxa"/>
            <w:tcBorders>
              <w:top w:val="nil"/>
              <w:left w:val="nil"/>
              <w:bottom w:val="nil"/>
              <w:right w:val="nil"/>
            </w:tcBorders>
            <w:shd w:val="clear" w:color="auto" w:fill="538DD5"/>
            <w:vAlign w:val="center"/>
          </w:tcPr>
          <w:p w14:paraId="41A5B599" w14:textId="77777777" w:rsidR="00834B83" w:rsidRPr="005269E6" w:rsidRDefault="00834B83" w:rsidP="00E86D20">
            <w:pPr>
              <w:pStyle w:val="TableHead"/>
              <w:jc w:val="left"/>
              <w:rPr>
                <w:sz w:val="18"/>
                <w:szCs w:val="18"/>
              </w:rPr>
            </w:pPr>
            <w:r w:rsidRPr="005269E6">
              <w:rPr>
                <w:sz w:val="18"/>
                <w:szCs w:val="18"/>
                <w:rtl/>
              </w:rPr>
              <w:t>بآلاف الفرنكات السويسرية</w:t>
            </w:r>
          </w:p>
        </w:tc>
        <w:tc>
          <w:tcPr>
            <w:tcW w:w="1402" w:type="dxa"/>
            <w:tcBorders>
              <w:top w:val="nil"/>
              <w:left w:val="nil"/>
              <w:bottom w:val="nil"/>
              <w:right w:val="nil"/>
            </w:tcBorders>
            <w:shd w:val="clear" w:color="auto" w:fill="538DD5"/>
            <w:vAlign w:val="center"/>
          </w:tcPr>
          <w:p w14:paraId="0D3473BF" w14:textId="77777777" w:rsidR="00834B83" w:rsidRPr="005269E6" w:rsidRDefault="00834B83" w:rsidP="00E86D20">
            <w:pPr>
              <w:pStyle w:val="TableHead"/>
              <w:rPr>
                <w:sz w:val="18"/>
                <w:szCs w:val="18"/>
              </w:rPr>
            </w:pPr>
            <w:r w:rsidRPr="005269E6">
              <w:rPr>
                <w:sz w:val="18"/>
                <w:szCs w:val="18"/>
              </w:rPr>
              <w:t>2022</w:t>
            </w:r>
          </w:p>
        </w:tc>
        <w:tc>
          <w:tcPr>
            <w:tcW w:w="1402" w:type="dxa"/>
            <w:tcBorders>
              <w:top w:val="nil"/>
              <w:left w:val="nil"/>
              <w:bottom w:val="nil"/>
              <w:right w:val="nil"/>
            </w:tcBorders>
            <w:shd w:val="clear" w:color="auto" w:fill="538DD5"/>
          </w:tcPr>
          <w:p w14:paraId="30491811" w14:textId="77777777" w:rsidR="00834B83" w:rsidRPr="005269E6" w:rsidRDefault="00834B83" w:rsidP="00E86D20">
            <w:pPr>
              <w:pStyle w:val="TableHead"/>
              <w:rPr>
                <w:sz w:val="18"/>
                <w:szCs w:val="18"/>
              </w:rPr>
            </w:pPr>
            <w:r w:rsidRPr="005269E6">
              <w:rPr>
                <w:sz w:val="18"/>
                <w:szCs w:val="18"/>
              </w:rPr>
              <w:t>2021</w:t>
            </w:r>
            <w:r w:rsidRPr="005269E6">
              <w:rPr>
                <w:sz w:val="18"/>
                <w:szCs w:val="18"/>
                <w:rtl/>
              </w:rPr>
              <w:br/>
              <w:t>(المعاد بيانها)</w:t>
            </w:r>
          </w:p>
        </w:tc>
        <w:tc>
          <w:tcPr>
            <w:tcW w:w="1403" w:type="dxa"/>
            <w:tcBorders>
              <w:top w:val="nil"/>
              <w:left w:val="nil"/>
              <w:bottom w:val="nil"/>
              <w:right w:val="nil"/>
            </w:tcBorders>
            <w:shd w:val="clear" w:color="auto" w:fill="538DD5"/>
            <w:vAlign w:val="center"/>
          </w:tcPr>
          <w:p w14:paraId="7F2D080F" w14:textId="77777777" w:rsidR="00834B83" w:rsidRPr="005269E6" w:rsidRDefault="00834B83" w:rsidP="00E86D20">
            <w:pPr>
              <w:pStyle w:val="TableHead"/>
              <w:rPr>
                <w:sz w:val="18"/>
                <w:szCs w:val="18"/>
              </w:rPr>
            </w:pPr>
            <w:r w:rsidRPr="005269E6">
              <w:rPr>
                <w:sz w:val="18"/>
                <w:szCs w:val="18"/>
                <w:rtl/>
              </w:rPr>
              <w:t>الاختلاف</w:t>
            </w:r>
          </w:p>
        </w:tc>
      </w:tr>
      <w:tr w:rsidR="00834B83" w:rsidRPr="005269E6" w14:paraId="32DF70F4" w14:textId="77777777" w:rsidTr="005C5B84">
        <w:trPr>
          <w:jc w:val="center"/>
        </w:trPr>
        <w:tc>
          <w:tcPr>
            <w:tcW w:w="4499" w:type="dxa"/>
            <w:tcBorders>
              <w:top w:val="nil"/>
              <w:left w:val="nil"/>
              <w:bottom w:val="nil"/>
              <w:right w:val="nil"/>
            </w:tcBorders>
            <w:vAlign w:val="bottom"/>
          </w:tcPr>
          <w:p w14:paraId="41CEE020" w14:textId="77777777" w:rsidR="00834B83" w:rsidRPr="005269E6" w:rsidRDefault="00834B83" w:rsidP="00E86D20">
            <w:pPr>
              <w:pStyle w:val="Tabletexte"/>
              <w:keepNext/>
              <w:rPr>
                <w:b/>
                <w:bCs/>
                <w:sz w:val="18"/>
                <w:szCs w:val="18"/>
              </w:rPr>
            </w:pPr>
            <w:r w:rsidRPr="005269E6">
              <w:rPr>
                <w:b/>
                <w:bCs/>
                <w:sz w:val="18"/>
                <w:szCs w:val="18"/>
                <w:rtl/>
                <w:lang w:val="fr-FR"/>
              </w:rPr>
              <w:t>الأصول</w:t>
            </w:r>
          </w:p>
        </w:tc>
        <w:tc>
          <w:tcPr>
            <w:tcW w:w="1402" w:type="dxa"/>
            <w:tcBorders>
              <w:top w:val="nil"/>
              <w:left w:val="nil"/>
              <w:bottom w:val="nil"/>
              <w:right w:val="nil"/>
            </w:tcBorders>
          </w:tcPr>
          <w:p w14:paraId="38790637" w14:textId="77777777" w:rsidR="00834B83" w:rsidRPr="005269E6" w:rsidRDefault="00834B83" w:rsidP="0031505F">
            <w:pPr>
              <w:pStyle w:val="Tabletexte"/>
              <w:keepNext/>
              <w:jc w:val="left"/>
              <w:rPr>
                <w:b/>
                <w:bCs/>
                <w:sz w:val="18"/>
                <w:szCs w:val="18"/>
              </w:rPr>
            </w:pPr>
            <w:r w:rsidRPr="005269E6">
              <w:rPr>
                <w:b/>
                <w:bCs/>
                <w:sz w:val="18"/>
                <w:szCs w:val="18"/>
              </w:rPr>
              <w:t>317 882</w:t>
            </w:r>
          </w:p>
        </w:tc>
        <w:tc>
          <w:tcPr>
            <w:tcW w:w="1402" w:type="dxa"/>
            <w:tcBorders>
              <w:top w:val="nil"/>
              <w:left w:val="nil"/>
              <w:bottom w:val="nil"/>
              <w:right w:val="nil"/>
            </w:tcBorders>
          </w:tcPr>
          <w:p w14:paraId="15F0369D" w14:textId="77777777" w:rsidR="00834B83" w:rsidRPr="005269E6" w:rsidRDefault="00834B83" w:rsidP="0031505F">
            <w:pPr>
              <w:pStyle w:val="Tabletexte"/>
              <w:keepNext/>
              <w:jc w:val="left"/>
              <w:rPr>
                <w:b/>
                <w:bCs/>
                <w:sz w:val="18"/>
                <w:szCs w:val="18"/>
              </w:rPr>
            </w:pPr>
            <w:r w:rsidRPr="005269E6">
              <w:rPr>
                <w:b/>
                <w:bCs/>
                <w:sz w:val="18"/>
                <w:szCs w:val="18"/>
              </w:rPr>
              <w:t>337 565</w:t>
            </w:r>
          </w:p>
        </w:tc>
        <w:tc>
          <w:tcPr>
            <w:tcW w:w="1403" w:type="dxa"/>
            <w:tcBorders>
              <w:top w:val="nil"/>
              <w:left w:val="nil"/>
              <w:bottom w:val="nil"/>
              <w:right w:val="nil"/>
            </w:tcBorders>
          </w:tcPr>
          <w:p w14:paraId="3B6BD537" w14:textId="77777777" w:rsidR="00834B83" w:rsidRPr="005269E6" w:rsidRDefault="00834B83" w:rsidP="0031505F">
            <w:pPr>
              <w:pStyle w:val="Tabletexte"/>
              <w:keepNext/>
              <w:jc w:val="left"/>
              <w:rPr>
                <w:b/>
                <w:bCs/>
                <w:sz w:val="18"/>
                <w:szCs w:val="18"/>
              </w:rPr>
            </w:pPr>
            <w:r w:rsidRPr="005269E6">
              <w:rPr>
                <w:b/>
                <w:bCs/>
                <w:sz w:val="18"/>
                <w:szCs w:val="18"/>
              </w:rPr>
              <w:t>(19 683)</w:t>
            </w:r>
          </w:p>
        </w:tc>
      </w:tr>
      <w:tr w:rsidR="00834B83" w:rsidRPr="005269E6" w14:paraId="51C39664" w14:textId="77777777" w:rsidTr="005C5B84">
        <w:trPr>
          <w:jc w:val="center"/>
        </w:trPr>
        <w:tc>
          <w:tcPr>
            <w:tcW w:w="4499" w:type="dxa"/>
            <w:tcBorders>
              <w:top w:val="nil"/>
              <w:left w:val="nil"/>
              <w:bottom w:val="nil"/>
              <w:right w:val="nil"/>
            </w:tcBorders>
            <w:vAlign w:val="bottom"/>
          </w:tcPr>
          <w:p w14:paraId="40FD0F8A" w14:textId="77777777" w:rsidR="00834B83" w:rsidRPr="005269E6" w:rsidRDefault="00834B83" w:rsidP="00E86D20">
            <w:pPr>
              <w:pStyle w:val="Tabletexte"/>
              <w:keepNext/>
              <w:rPr>
                <w:b/>
                <w:bCs/>
                <w:sz w:val="18"/>
                <w:szCs w:val="18"/>
              </w:rPr>
            </w:pPr>
            <w:r w:rsidRPr="005269E6">
              <w:rPr>
                <w:b/>
                <w:bCs/>
                <w:sz w:val="18"/>
                <w:szCs w:val="18"/>
                <w:rtl/>
                <w:lang w:val="fr-FR"/>
              </w:rPr>
              <w:t>الخصوم</w:t>
            </w:r>
          </w:p>
        </w:tc>
        <w:tc>
          <w:tcPr>
            <w:tcW w:w="1402" w:type="dxa"/>
            <w:tcBorders>
              <w:top w:val="nil"/>
              <w:left w:val="nil"/>
              <w:bottom w:val="nil"/>
              <w:right w:val="nil"/>
            </w:tcBorders>
          </w:tcPr>
          <w:p w14:paraId="474A053D" w14:textId="77777777" w:rsidR="00834B83" w:rsidRPr="005269E6" w:rsidRDefault="00834B83" w:rsidP="0031505F">
            <w:pPr>
              <w:pStyle w:val="Tabletexte"/>
              <w:keepNext/>
              <w:jc w:val="left"/>
              <w:rPr>
                <w:b/>
                <w:bCs/>
                <w:sz w:val="18"/>
                <w:szCs w:val="18"/>
              </w:rPr>
            </w:pPr>
            <w:r w:rsidRPr="005269E6">
              <w:rPr>
                <w:b/>
                <w:bCs/>
                <w:sz w:val="18"/>
                <w:szCs w:val="18"/>
              </w:rPr>
              <w:t>530 941</w:t>
            </w:r>
          </w:p>
        </w:tc>
        <w:tc>
          <w:tcPr>
            <w:tcW w:w="1402" w:type="dxa"/>
            <w:tcBorders>
              <w:top w:val="nil"/>
              <w:left w:val="nil"/>
              <w:bottom w:val="nil"/>
              <w:right w:val="nil"/>
            </w:tcBorders>
          </w:tcPr>
          <w:p w14:paraId="7DB7C268" w14:textId="77777777" w:rsidR="00834B83" w:rsidRPr="005269E6" w:rsidRDefault="00834B83" w:rsidP="0031505F">
            <w:pPr>
              <w:pStyle w:val="Tabletexte"/>
              <w:keepNext/>
              <w:jc w:val="left"/>
              <w:rPr>
                <w:b/>
                <w:bCs/>
                <w:sz w:val="18"/>
                <w:szCs w:val="18"/>
              </w:rPr>
            </w:pPr>
            <w:r w:rsidRPr="005269E6">
              <w:rPr>
                <w:b/>
                <w:bCs/>
                <w:sz w:val="18"/>
                <w:szCs w:val="18"/>
              </w:rPr>
              <w:t>748 351</w:t>
            </w:r>
          </w:p>
        </w:tc>
        <w:tc>
          <w:tcPr>
            <w:tcW w:w="1403" w:type="dxa"/>
            <w:tcBorders>
              <w:top w:val="nil"/>
              <w:left w:val="nil"/>
              <w:bottom w:val="nil"/>
              <w:right w:val="nil"/>
            </w:tcBorders>
          </w:tcPr>
          <w:p w14:paraId="0DAA1A67" w14:textId="77777777" w:rsidR="00834B83" w:rsidRPr="005269E6" w:rsidRDefault="00834B83" w:rsidP="0031505F">
            <w:pPr>
              <w:pStyle w:val="Tabletexte"/>
              <w:keepNext/>
              <w:jc w:val="left"/>
              <w:rPr>
                <w:b/>
                <w:bCs/>
                <w:sz w:val="18"/>
                <w:szCs w:val="18"/>
              </w:rPr>
            </w:pPr>
            <w:r w:rsidRPr="005269E6">
              <w:rPr>
                <w:b/>
                <w:bCs/>
                <w:sz w:val="18"/>
                <w:szCs w:val="18"/>
              </w:rPr>
              <w:t>(217 410)</w:t>
            </w:r>
          </w:p>
        </w:tc>
      </w:tr>
      <w:tr w:rsidR="00834B83" w:rsidRPr="005269E6" w14:paraId="31683337" w14:textId="77777777" w:rsidTr="005C5B84">
        <w:trPr>
          <w:jc w:val="center"/>
        </w:trPr>
        <w:tc>
          <w:tcPr>
            <w:tcW w:w="4499" w:type="dxa"/>
            <w:tcBorders>
              <w:top w:val="nil"/>
              <w:left w:val="nil"/>
              <w:bottom w:val="nil"/>
              <w:right w:val="nil"/>
            </w:tcBorders>
            <w:shd w:val="clear" w:color="auto" w:fill="538DD5"/>
            <w:vAlign w:val="bottom"/>
          </w:tcPr>
          <w:p w14:paraId="576D6447" w14:textId="77777777" w:rsidR="00834B83" w:rsidRPr="005269E6" w:rsidRDefault="00834B83" w:rsidP="00E86D20">
            <w:pPr>
              <w:pStyle w:val="Tabletexte"/>
              <w:keepNext/>
              <w:rPr>
                <w:b/>
                <w:bCs/>
                <w:sz w:val="18"/>
                <w:szCs w:val="18"/>
              </w:rPr>
            </w:pPr>
            <w:r w:rsidRPr="005269E6">
              <w:rPr>
                <w:b/>
                <w:bCs/>
                <w:sz w:val="18"/>
                <w:szCs w:val="18"/>
                <w:rtl/>
              </w:rPr>
              <w:t>صافي الأصول</w:t>
            </w:r>
          </w:p>
        </w:tc>
        <w:tc>
          <w:tcPr>
            <w:tcW w:w="1402" w:type="dxa"/>
            <w:tcBorders>
              <w:top w:val="nil"/>
              <w:left w:val="nil"/>
              <w:bottom w:val="nil"/>
              <w:right w:val="nil"/>
            </w:tcBorders>
            <w:shd w:val="clear" w:color="auto" w:fill="538DD5"/>
            <w:vAlign w:val="center"/>
          </w:tcPr>
          <w:p w14:paraId="1AACCB7E" w14:textId="77777777" w:rsidR="00834B83" w:rsidRPr="005269E6" w:rsidRDefault="00834B83" w:rsidP="0031505F">
            <w:pPr>
              <w:pStyle w:val="Tabletexte"/>
              <w:keepNext/>
              <w:jc w:val="left"/>
              <w:rPr>
                <w:b/>
                <w:bCs/>
                <w:sz w:val="18"/>
                <w:szCs w:val="18"/>
              </w:rPr>
            </w:pPr>
            <w:r w:rsidRPr="005269E6">
              <w:rPr>
                <w:b/>
                <w:bCs/>
                <w:sz w:val="18"/>
                <w:szCs w:val="18"/>
              </w:rPr>
              <w:t>(213 059)</w:t>
            </w:r>
          </w:p>
        </w:tc>
        <w:tc>
          <w:tcPr>
            <w:tcW w:w="1402" w:type="dxa"/>
            <w:tcBorders>
              <w:top w:val="nil"/>
              <w:left w:val="nil"/>
              <w:bottom w:val="nil"/>
              <w:right w:val="nil"/>
            </w:tcBorders>
            <w:shd w:val="clear" w:color="auto" w:fill="538DD5"/>
            <w:vAlign w:val="center"/>
          </w:tcPr>
          <w:p w14:paraId="72075020" w14:textId="77777777" w:rsidR="00834B83" w:rsidRPr="005269E6" w:rsidRDefault="00834B83" w:rsidP="0031505F">
            <w:pPr>
              <w:pStyle w:val="Tabletexte"/>
              <w:keepNext/>
              <w:jc w:val="left"/>
              <w:rPr>
                <w:b/>
                <w:bCs/>
                <w:sz w:val="18"/>
                <w:szCs w:val="18"/>
              </w:rPr>
            </w:pPr>
            <w:r w:rsidRPr="005269E6">
              <w:rPr>
                <w:b/>
                <w:bCs/>
                <w:sz w:val="18"/>
                <w:szCs w:val="18"/>
              </w:rPr>
              <w:t>(410 786)</w:t>
            </w:r>
          </w:p>
        </w:tc>
        <w:tc>
          <w:tcPr>
            <w:tcW w:w="1403" w:type="dxa"/>
            <w:tcBorders>
              <w:top w:val="nil"/>
              <w:left w:val="nil"/>
              <w:bottom w:val="nil"/>
              <w:right w:val="nil"/>
            </w:tcBorders>
            <w:shd w:val="clear" w:color="auto" w:fill="538DD5"/>
            <w:vAlign w:val="center"/>
          </w:tcPr>
          <w:p w14:paraId="1D99D40A" w14:textId="77777777" w:rsidR="00834B83" w:rsidRPr="005269E6" w:rsidRDefault="00834B83" w:rsidP="0031505F">
            <w:pPr>
              <w:pStyle w:val="Tabletexte"/>
              <w:keepNext/>
              <w:jc w:val="left"/>
              <w:rPr>
                <w:b/>
                <w:bCs/>
                <w:sz w:val="18"/>
                <w:szCs w:val="18"/>
              </w:rPr>
            </w:pPr>
            <w:r w:rsidRPr="005269E6">
              <w:rPr>
                <w:b/>
                <w:bCs/>
                <w:sz w:val="18"/>
                <w:szCs w:val="18"/>
              </w:rPr>
              <w:t>197 727</w:t>
            </w:r>
          </w:p>
        </w:tc>
      </w:tr>
      <w:tr w:rsidR="00834B83" w:rsidRPr="005269E6" w14:paraId="7F91F2CA" w14:textId="77777777" w:rsidTr="005C5B84">
        <w:trPr>
          <w:jc w:val="center"/>
        </w:trPr>
        <w:tc>
          <w:tcPr>
            <w:tcW w:w="4499" w:type="dxa"/>
            <w:tcBorders>
              <w:top w:val="nil"/>
              <w:left w:val="nil"/>
              <w:bottom w:val="nil"/>
              <w:right w:val="nil"/>
            </w:tcBorders>
            <w:shd w:val="clear" w:color="auto" w:fill="auto"/>
          </w:tcPr>
          <w:p w14:paraId="05818593" w14:textId="77777777" w:rsidR="00834B83" w:rsidRPr="005269E6" w:rsidRDefault="00834B83" w:rsidP="00E86D20">
            <w:pPr>
              <w:pStyle w:val="Tabletexte"/>
              <w:keepNext/>
              <w:rPr>
                <w:iCs/>
                <w:sz w:val="18"/>
                <w:szCs w:val="18"/>
              </w:rPr>
            </w:pPr>
            <w:r w:rsidRPr="005269E6">
              <w:rPr>
                <w:i/>
                <w:sz w:val="18"/>
                <w:szCs w:val="18"/>
              </w:rPr>
              <w:t>ASHI</w:t>
            </w:r>
            <w:r w:rsidRPr="005269E6">
              <w:rPr>
                <w:iCs/>
                <w:sz w:val="18"/>
                <w:szCs w:val="18"/>
                <w:rtl/>
              </w:rPr>
              <w:t xml:space="preserve"> - المسؤولية (طويلة الأجل)</w:t>
            </w:r>
          </w:p>
        </w:tc>
        <w:tc>
          <w:tcPr>
            <w:tcW w:w="1402" w:type="dxa"/>
            <w:tcBorders>
              <w:top w:val="nil"/>
              <w:left w:val="nil"/>
              <w:bottom w:val="nil"/>
              <w:right w:val="nil"/>
            </w:tcBorders>
            <w:shd w:val="clear" w:color="auto" w:fill="auto"/>
          </w:tcPr>
          <w:p w14:paraId="54EDFB8B" w14:textId="77777777" w:rsidR="00834B83" w:rsidRPr="005269E6" w:rsidRDefault="00834B83" w:rsidP="0031505F">
            <w:pPr>
              <w:pStyle w:val="Tabletexte"/>
              <w:keepNext/>
              <w:jc w:val="left"/>
              <w:rPr>
                <w:sz w:val="18"/>
                <w:szCs w:val="18"/>
              </w:rPr>
            </w:pPr>
            <w:r w:rsidRPr="005269E6">
              <w:rPr>
                <w:i/>
                <w:sz w:val="18"/>
                <w:szCs w:val="18"/>
              </w:rPr>
              <w:t>344 102</w:t>
            </w:r>
          </w:p>
        </w:tc>
        <w:tc>
          <w:tcPr>
            <w:tcW w:w="1402" w:type="dxa"/>
            <w:tcBorders>
              <w:top w:val="nil"/>
              <w:left w:val="nil"/>
              <w:bottom w:val="nil"/>
              <w:right w:val="nil"/>
            </w:tcBorders>
            <w:shd w:val="clear" w:color="auto" w:fill="auto"/>
          </w:tcPr>
          <w:p w14:paraId="48D7E49A" w14:textId="77777777" w:rsidR="00834B83" w:rsidRPr="005269E6" w:rsidRDefault="00834B83" w:rsidP="0031505F">
            <w:pPr>
              <w:pStyle w:val="Tabletexte"/>
              <w:keepNext/>
              <w:jc w:val="left"/>
              <w:rPr>
                <w:sz w:val="18"/>
                <w:szCs w:val="18"/>
              </w:rPr>
            </w:pPr>
            <w:r w:rsidRPr="005269E6">
              <w:rPr>
                <w:i/>
                <w:sz w:val="18"/>
                <w:szCs w:val="18"/>
              </w:rPr>
              <w:t>545 636</w:t>
            </w:r>
          </w:p>
        </w:tc>
        <w:tc>
          <w:tcPr>
            <w:tcW w:w="1403" w:type="dxa"/>
            <w:tcBorders>
              <w:top w:val="nil"/>
              <w:left w:val="nil"/>
              <w:bottom w:val="nil"/>
              <w:right w:val="nil"/>
            </w:tcBorders>
            <w:shd w:val="clear" w:color="auto" w:fill="auto"/>
          </w:tcPr>
          <w:p w14:paraId="1D69D15F" w14:textId="77777777" w:rsidR="00834B83" w:rsidRPr="005269E6" w:rsidRDefault="00834B83" w:rsidP="0031505F">
            <w:pPr>
              <w:pStyle w:val="Tabletexte"/>
              <w:keepNext/>
              <w:jc w:val="left"/>
              <w:rPr>
                <w:i/>
                <w:sz w:val="18"/>
                <w:szCs w:val="18"/>
              </w:rPr>
            </w:pPr>
            <w:r w:rsidRPr="005269E6">
              <w:rPr>
                <w:i/>
                <w:sz w:val="18"/>
                <w:szCs w:val="18"/>
              </w:rPr>
              <w:t>(201 534)</w:t>
            </w:r>
          </w:p>
        </w:tc>
      </w:tr>
    </w:tbl>
    <w:p w14:paraId="1D1C21F3" w14:textId="77777777" w:rsidR="00834B83" w:rsidRPr="005269E6" w:rsidRDefault="00834B83" w:rsidP="00834B83">
      <w:pPr>
        <w:pStyle w:val="Headingb"/>
        <w:rPr>
          <w:lang w:bidi="ar-SY"/>
        </w:rPr>
      </w:pPr>
      <w:r w:rsidRPr="005269E6">
        <w:rPr>
          <w:rtl/>
          <w:lang w:bidi="ar-SY"/>
        </w:rPr>
        <w:t>الأصول</w:t>
      </w:r>
    </w:p>
    <w:p w14:paraId="5B4F36C6" w14:textId="77777777" w:rsidR="00834B83" w:rsidRPr="005269E6" w:rsidRDefault="00834B83" w:rsidP="00834B83">
      <w:pPr>
        <w:rPr>
          <w:lang w:bidi="ar-SY"/>
        </w:rPr>
      </w:pPr>
      <w:r w:rsidRPr="005269E6">
        <w:rPr>
          <w:rtl/>
          <w:lang w:bidi="ar-SY"/>
        </w:rPr>
        <w:t>17</w:t>
      </w:r>
      <w:r w:rsidRPr="005269E6">
        <w:rPr>
          <w:lang w:bidi="ar-SY"/>
        </w:rPr>
        <w:tab/>
      </w:r>
      <w:r w:rsidRPr="005269E6">
        <w:rPr>
          <w:rtl/>
          <w:lang w:bidi="ar-SY"/>
        </w:rPr>
        <w:t>بلغت الأصول الجارية مطروحاً منها الخصوم الجارية 153,8 مليون فرنك سويسري (2021: 171,8 مليون فرنك سويسري)، وهو ما يعزى إلى المبلغ الكبير من النقد وما يعادله. وفي 31 ديسمبر 2022، بلغ المبلغ النقدي وما يعادله 193,9 مليون فرنك سويسري مقابل 203,8 مليون فرنك سويسري عام 2021.</w:t>
      </w:r>
    </w:p>
    <w:p w14:paraId="08F53F6C" w14:textId="77777777" w:rsidR="00834B83" w:rsidRPr="005269E6" w:rsidRDefault="00834B83" w:rsidP="00834B83">
      <w:pPr>
        <w:pStyle w:val="Headingb"/>
        <w:rPr>
          <w:lang w:bidi="ar-SY"/>
        </w:rPr>
      </w:pPr>
      <w:r w:rsidRPr="005269E6">
        <w:rPr>
          <w:rtl/>
          <w:lang w:bidi="ar-SY"/>
        </w:rPr>
        <w:t>المساهمات</w:t>
      </w:r>
      <w:r w:rsidRPr="005269E6">
        <w:rPr>
          <w:rtl/>
        </w:rPr>
        <w:t xml:space="preserve"> </w:t>
      </w:r>
      <w:r w:rsidRPr="005269E6">
        <w:rPr>
          <w:rtl/>
          <w:lang w:bidi="ar-SY"/>
        </w:rPr>
        <w:t>المقررة - المبالغ المستحَقة القبض</w:t>
      </w:r>
    </w:p>
    <w:p w14:paraId="438EBE84" w14:textId="77777777" w:rsidR="00834B83" w:rsidRPr="005269E6" w:rsidRDefault="00834B83" w:rsidP="00834B83">
      <w:pPr>
        <w:rPr>
          <w:lang w:bidi="ar-SY"/>
        </w:rPr>
      </w:pPr>
      <w:r w:rsidRPr="005269E6">
        <w:rPr>
          <w:rtl/>
          <w:lang w:bidi="ar-SY"/>
        </w:rPr>
        <w:t>18</w:t>
      </w:r>
      <w:r w:rsidRPr="005269E6">
        <w:rPr>
          <w:lang w:bidi="ar-SY"/>
        </w:rPr>
        <w:tab/>
      </w:r>
      <w:r w:rsidRPr="005269E6">
        <w:rPr>
          <w:rtl/>
        </w:rPr>
        <w:t>يؤثر تحصيل المساهمات المقررة تأثيراً مباشراً على حالة السيولة، ومن ثم فهو بالغ الأهمية للتنفيذ السلس للميزانية البرنامجية العادية المعتمَدة للمنظمة.</w:t>
      </w:r>
      <w:r w:rsidRPr="005269E6">
        <w:rPr>
          <w:rtl/>
          <w:lang w:bidi="ar"/>
        </w:rPr>
        <w:t xml:space="preserve"> وفي</w:t>
      </w:r>
      <w:r w:rsidRPr="005269E6">
        <w:rPr>
          <w:lang w:val="en"/>
        </w:rPr>
        <w:t xml:space="preserve"> </w:t>
      </w:r>
      <w:r w:rsidRPr="005269E6">
        <w:rPr>
          <w:rtl/>
          <w:lang w:bidi="ar"/>
        </w:rPr>
        <w:t>حين</w:t>
      </w:r>
      <w:r w:rsidRPr="005269E6">
        <w:rPr>
          <w:lang w:val="en"/>
        </w:rPr>
        <w:t xml:space="preserve"> </w:t>
      </w:r>
      <w:r w:rsidRPr="005269E6">
        <w:rPr>
          <w:rtl/>
          <w:lang w:bidi="ar"/>
        </w:rPr>
        <w:t>يوافق</w:t>
      </w:r>
      <w:r w:rsidRPr="005269E6">
        <w:rPr>
          <w:lang w:val="en"/>
        </w:rPr>
        <w:t xml:space="preserve"> </w:t>
      </w:r>
      <w:r w:rsidRPr="005269E6">
        <w:rPr>
          <w:rtl/>
          <w:lang w:bidi="ar"/>
        </w:rPr>
        <w:t>مؤتمر</w:t>
      </w:r>
      <w:r w:rsidRPr="005269E6">
        <w:rPr>
          <w:lang w:val="en"/>
        </w:rPr>
        <w:t xml:space="preserve"> </w:t>
      </w:r>
      <w:r w:rsidRPr="005269E6">
        <w:rPr>
          <w:rtl/>
          <w:lang w:bidi="ar"/>
        </w:rPr>
        <w:t>المندوبين</w:t>
      </w:r>
      <w:r w:rsidRPr="005269E6">
        <w:rPr>
          <w:lang w:val="en"/>
        </w:rPr>
        <w:t xml:space="preserve"> </w:t>
      </w:r>
      <w:r w:rsidRPr="005269E6">
        <w:rPr>
          <w:rtl/>
          <w:lang w:bidi="ar"/>
        </w:rPr>
        <w:t>المفوضين</w:t>
      </w:r>
      <w:r w:rsidRPr="005269E6">
        <w:rPr>
          <w:lang w:val="en"/>
        </w:rPr>
        <w:t xml:space="preserve"> </w:t>
      </w:r>
      <w:r w:rsidRPr="005269E6">
        <w:rPr>
          <w:rtl/>
          <w:lang w:bidi="ar"/>
        </w:rPr>
        <w:t>على</w:t>
      </w:r>
      <w:r w:rsidRPr="005269E6">
        <w:rPr>
          <w:lang w:val="en"/>
        </w:rPr>
        <w:t xml:space="preserve"> </w:t>
      </w:r>
      <w:r w:rsidRPr="005269E6">
        <w:rPr>
          <w:rtl/>
          <w:lang w:bidi="ar"/>
        </w:rPr>
        <w:t>تشغيل</w:t>
      </w:r>
      <w:r w:rsidRPr="005269E6">
        <w:rPr>
          <w:lang w:val="en"/>
        </w:rPr>
        <w:t xml:space="preserve"> </w:t>
      </w:r>
      <w:r w:rsidRPr="005269E6">
        <w:rPr>
          <w:rtl/>
          <w:lang w:bidi="ar"/>
        </w:rPr>
        <w:t>الصندوق</w:t>
      </w:r>
      <w:r w:rsidRPr="005269E6">
        <w:rPr>
          <w:lang w:val="en"/>
        </w:rPr>
        <w:t xml:space="preserve"> </w:t>
      </w:r>
      <w:r w:rsidRPr="005269E6">
        <w:rPr>
          <w:rtl/>
          <w:lang w:bidi="ar"/>
        </w:rPr>
        <w:t>الاحتياطي</w:t>
      </w:r>
      <w:r w:rsidRPr="005269E6">
        <w:rPr>
          <w:lang w:val="en"/>
        </w:rPr>
        <w:t xml:space="preserve"> </w:t>
      </w:r>
      <w:r w:rsidRPr="005269E6">
        <w:rPr>
          <w:rtl/>
        </w:rPr>
        <w:t>ب</w:t>
      </w:r>
      <w:r w:rsidRPr="005269E6">
        <w:rPr>
          <w:rtl/>
          <w:lang w:bidi="ar"/>
        </w:rPr>
        <w:t>مستوى</w:t>
      </w:r>
      <w:r w:rsidRPr="005269E6">
        <w:rPr>
          <w:lang w:val="en"/>
        </w:rPr>
        <w:t xml:space="preserve"> </w:t>
      </w:r>
      <w:r w:rsidRPr="005269E6">
        <w:rPr>
          <w:rtl/>
          <w:lang w:bidi="ar"/>
        </w:rPr>
        <w:t>لا</w:t>
      </w:r>
      <w:r w:rsidRPr="005269E6">
        <w:rPr>
          <w:lang w:val="en"/>
        </w:rPr>
        <w:t xml:space="preserve"> </w:t>
      </w:r>
      <w:r w:rsidRPr="005269E6">
        <w:rPr>
          <w:rtl/>
          <w:lang w:bidi="ar"/>
        </w:rPr>
        <w:t>يقل</w:t>
      </w:r>
      <w:r w:rsidRPr="005269E6">
        <w:rPr>
          <w:lang w:val="en"/>
        </w:rPr>
        <w:t xml:space="preserve"> </w:t>
      </w:r>
      <w:r w:rsidRPr="005269E6">
        <w:rPr>
          <w:rtl/>
          <w:lang w:bidi="ar"/>
        </w:rPr>
        <w:t xml:space="preserve">عن </w:t>
      </w:r>
      <w:r w:rsidRPr="005269E6">
        <w:rPr>
          <w:lang w:val="en"/>
        </w:rPr>
        <w:t>6</w:t>
      </w:r>
      <w:r w:rsidRPr="005269E6">
        <w:rPr>
          <w:rtl/>
          <w:lang w:bidi="ar"/>
        </w:rPr>
        <w:t>% (</w:t>
      </w:r>
      <w:r w:rsidRPr="005269E6">
        <w:rPr>
          <w:rtl/>
        </w:rPr>
        <w:t>10 ملايين فرنك سويسري)، فإن ذلك لا يمثل سوى 3 أسابيع من النفقات (إذ يبلغ صندوق الاحتياطي حالياً 28,4 مليون فرنك سويسري، وهو ما يمثل حالياً 7 أسابيع من النفقات لعام 2022).</w:t>
      </w:r>
      <w:r w:rsidRPr="005269E6">
        <w:rPr>
          <w:rtl/>
          <w:lang w:bidi="ar"/>
        </w:rPr>
        <w:t xml:space="preserve"> وهذا</w:t>
      </w:r>
      <w:r w:rsidRPr="005269E6">
        <w:rPr>
          <w:lang w:val="en"/>
        </w:rPr>
        <w:t xml:space="preserve"> </w:t>
      </w:r>
      <w:r w:rsidRPr="005269E6">
        <w:rPr>
          <w:rtl/>
          <w:lang w:bidi="ar"/>
        </w:rPr>
        <w:t>المبلغ</w:t>
      </w:r>
      <w:r w:rsidRPr="005269E6">
        <w:rPr>
          <w:lang w:val="en"/>
        </w:rPr>
        <w:t xml:space="preserve"> </w:t>
      </w:r>
      <w:r w:rsidRPr="005269E6">
        <w:rPr>
          <w:rtl/>
          <w:lang w:bidi="ar"/>
        </w:rPr>
        <w:t>ضروري</w:t>
      </w:r>
      <w:r w:rsidRPr="005269E6">
        <w:rPr>
          <w:lang w:val="en"/>
        </w:rPr>
        <w:t xml:space="preserve"> </w:t>
      </w:r>
      <w:r w:rsidRPr="005269E6">
        <w:rPr>
          <w:rtl/>
          <w:lang w:bidi="ar"/>
        </w:rPr>
        <w:t>للحفاظ</w:t>
      </w:r>
      <w:r w:rsidRPr="005269E6">
        <w:rPr>
          <w:lang w:val="en"/>
        </w:rPr>
        <w:t xml:space="preserve"> </w:t>
      </w:r>
      <w:r w:rsidRPr="005269E6">
        <w:rPr>
          <w:rtl/>
          <w:lang w:bidi="ar"/>
        </w:rPr>
        <w:t>على</w:t>
      </w:r>
      <w:r w:rsidRPr="005269E6">
        <w:rPr>
          <w:lang w:val="en"/>
        </w:rPr>
        <w:t xml:space="preserve"> </w:t>
      </w:r>
      <w:r w:rsidRPr="005269E6">
        <w:rPr>
          <w:rtl/>
          <w:lang w:bidi="ar"/>
        </w:rPr>
        <w:t>قدرة</w:t>
      </w:r>
      <w:r w:rsidRPr="005269E6">
        <w:rPr>
          <w:lang w:val="en"/>
        </w:rPr>
        <w:t xml:space="preserve"> </w:t>
      </w:r>
      <w:r w:rsidRPr="005269E6">
        <w:rPr>
          <w:rtl/>
          <w:lang w:bidi="ar"/>
        </w:rPr>
        <w:t>المنظمة</w:t>
      </w:r>
      <w:r w:rsidRPr="005269E6">
        <w:rPr>
          <w:lang w:val="en"/>
        </w:rPr>
        <w:t xml:space="preserve"> </w:t>
      </w:r>
      <w:r w:rsidRPr="005269E6">
        <w:rPr>
          <w:rtl/>
          <w:lang w:bidi="ar"/>
        </w:rPr>
        <w:t>على العمل.</w:t>
      </w:r>
      <w:r w:rsidRPr="005269E6">
        <w:rPr>
          <w:rtl/>
          <w:lang w:val="en"/>
        </w:rPr>
        <w:t xml:space="preserve"> </w:t>
      </w:r>
      <w:r w:rsidRPr="005269E6">
        <w:rPr>
          <w:rtl/>
        </w:rPr>
        <w:t>و</w:t>
      </w:r>
      <w:r w:rsidRPr="005269E6">
        <w:rPr>
          <w:rtl/>
          <w:lang w:val="en" w:bidi="ar"/>
        </w:rPr>
        <w:t>بلغ</w:t>
      </w:r>
      <w:r w:rsidRPr="005269E6">
        <w:rPr>
          <w:lang w:val="en" w:bidi="ar"/>
        </w:rPr>
        <w:t xml:space="preserve"> </w:t>
      </w:r>
      <w:r w:rsidRPr="005269E6">
        <w:rPr>
          <w:rtl/>
          <w:lang w:bidi="ar"/>
        </w:rPr>
        <w:t>معدل</w:t>
      </w:r>
      <w:r w:rsidRPr="005269E6">
        <w:rPr>
          <w:lang w:val="en" w:bidi="ar"/>
        </w:rPr>
        <w:t xml:space="preserve"> </w:t>
      </w:r>
      <w:r w:rsidRPr="005269E6">
        <w:rPr>
          <w:rtl/>
          <w:lang w:bidi="ar"/>
        </w:rPr>
        <w:t>التحصيل</w:t>
      </w:r>
      <w:r w:rsidRPr="005269E6">
        <w:rPr>
          <w:lang w:val="en" w:bidi="ar"/>
        </w:rPr>
        <w:t xml:space="preserve"> </w:t>
      </w:r>
      <w:r w:rsidRPr="005269E6">
        <w:rPr>
          <w:rtl/>
          <w:lang w:bidi="ar"/>
        </w:rPr>
        <w:t>للسنة</w:t>
      </w:r>
      <w:r w:rsidRPr="005269E6">
        <w:rPr>
          <w:lang w:val="en" w:bidi="ar"/>
        </w:rPr>
        <w:t xml:space="preserve"> </w:t>
      </w:r>
      <w:r w:rsidRPr="005269E6">
        <w:rPr>
          <w:rtl/>
          <w:lang w:bidi="ar"/>
        </w:rPr>
        <w:t>المنتهية</w:t>
      </w:r>
      <w:r w:rsidRPr="005269E6">
        <w:rPr>
          <w:lang w:val="en" w:bidi="ar"/>
        </w:rPr>
        <w:t xml:space="preserve"> </w:t>
      </w:r>
      <w:r w:rsidRPr="005269E6">
        <w:rPr>
          <w:rtl/>
          <w:lang w:bidi="ar"/>
        </w:rPr>
        <w:t>في</w:t>
      </w:r>
      <w:r w:rsidRPr="005269E6">
        <w:rPr>
          <w:lang w:val="en" w:bidi="ar"/>
        </w:rPr>
        <w:t xml:space="preserve"> 31 </w:t>
      </w:r>
      <w:r w:rsidRPr="005269E6">
        <w:rPr>
          <w:rtl/>
          <w:lang w:bidi="ar"/>
        </w:rPr>
        <w:t>ديسمبر</w:t>
      </w:r>
      <w:r w:rsidRPr="005269E6">
        <w:rPr>
          <w:lang w:val="en" w:bidi="ar"/>
        </w:rPr>
        <w:t xml:space="preserve"> 2022 </w:t>
      </w:r>
      <w:r w:rsidRPr="005269E6">
        <w:rPr>
          <w:rtl/>
          <w:lang w:bidi="ar"/>
        </w:rPr>
        <w:t xml:space="preserve">حوالي </w:t>
      </w:r>
      <w:r w:rsidRPr="005269E6">
        <w:rPr>
          <w:lang w:val="en" w:bidi="ar"/>
        </w:rPr>
        <w:t>93</w:t>
      </w:r>
      <w:r w:rsidRPr="005269E6">
        <w:rPr>
          <w:rtl/>
          <w:lang w:bidi="ar"/>
        </w:rPr>
        <w:t>%مقارنة</w:t>
      </w:r>
      <w:r w:rsidRPr="005269E6">
        <w:rPr>
          <w:lang w:val="en" w:bidi="ar"/>
        </w:rPr>
        <w:t xml:space="preserve"> </w:t>
      </w:r>
      <w:r w:rsidRPr="005269E6">
        <w:rPr>
          <w:rtl/>
          <w:lang w:bidi="ar"/>
        </w:rPr>
        <w:t xml:space="preserve">بنسبة </w:t>
      </w:r>
      <w:r w:rsidRPr="005269E6">
        <w:rPr>
          <w:lang w:val="en" w:bidi="ar"/>
        </w:rPr>
        <w:t>96</w:t>
      </w:r>
      <w:r w:rsidRPr="005269E6">
        <w:rPr>
          <w:rtl/>
          <w:lang w:bidi="ar"/>
        </w:rPr>
        <w:t>%</w:t>
      </w:r>
      <w:r w:rsidRPr="005269E6">
        <w:rPr>
          <w:lang w:val="en" w:bidi="ar"/>
        </w:rPr>
        <w:t xml:space="preserve"> </w:t>
      </w:r>
      <w:r w:rsidRPr="005269E6">
        <w:rPr>
          <w:rtl/>
          <w:lang w:bidi="ar"/>
        </w:rPr>
        <w:t>في</w:t>
      </w:r>
      <w:r w:rsidRPr="005269E6">
        <w:rPr>
          <w:lang w:val="en" w:bidi="ar"/>
        </w:rPr>
        <w:t xml:space="preserve"> </w:t>
      </w:r>
      <w:r w:rsidRPr="005269E6">
        <w:rPr>
          <w:rtl/>
          <w:lang w:bidi="ar"/>
        </w:rPr>
        <w:t xml:space="preserve">ديسمبر </w:t>
      </w:r>
      <w:r w:rsidRPr="005269E6">
        <w:rPr>
          <w:lang w:val="en" w:bidi="ar"/>
        </w:rPr>
        <w:t>2021</w:t>
      </w:r>
      <w:r w:rsidRPr="005269E6">
        <w:rPr>
          <w:rtl/>
          <w:lang w:val="en" w:bidi="ar"/>
        </w:rPr>
        <w:t>.</w:t>
      </w:r>
    </w:p>
    <w:p w14:paraId="562FB534" w14:textId="77777777" w:rsidR="00834B83" w:rsidRPr="005269E6" w:rsidRDefault="00834B83" w:rsidP="00834B83">
      <w:pPr>
        <w:rPr>
          <w:lang w:bidi="ar-SY"/>
        </w:rPr>
      </w:pPr>
      <w:r w:rsidRPr="005269E6">
        <w:rPr>
          <w:rtl/>
        </w:rPr>
        <w:t>19</w:t>
      </w:r>
      <w:r w:rsidRPr="005269E6">
        <w:rPr>
          <w:rtl/>
        </w:rPr>
        <w:tab/>
        <w:t xml:space="preserve">وتُستحق المساهمات الإجمالية المقررة وتُسدَد للمنظمة </w:t>
      </w:r>
      <w:r w:rsidRPr="005269E6">
        <w:rPr>
          <w:rtl/>
          <w:lang w:bidi="ar"/>
        </w:rPr>
        <w:t>وفقاً</w:t>
      </w:r>
      <w:r w:rsidRPr="005269E6">
        <w:rPr>
          <w:lang w:val="en" w:bidi="ar-SY"/>
        </w:rPr>
        <w:t xml:space="preserve"> </w:t>
      </w:r>
      <w:r w:rsidRPr="005269E6">
        <w:rPr>
          <w:rtl/>
          <w:lang w:bidi="ar"/>
        </w:rPr>
        <w:t>لدستور</w:t>
      </w:r>
      <w:r w:rsidRPr="005269E6">
        <w:rPr>
          <w:lang w:val="en" w:bidi="ar-SY"/>
        </w:rPr>
        <w:t xml:space="preserve"> </w:t>
      </w:r>
      <w:r w:rsidRPr="005269E6">
        <w:rPr>
          <w:rtl/>
          <w:lang w:bidi="ar"/>
        </w:rPr>
        <w:t>المنظمة</w:t>
      </w:r>
      <w:r w:rsidRPr="005269E6">
        <w:rPr>
          <w:lang w:val="en" w:bidi="ar-SY"/>
        </w:rPr>
        <w:t xml:space="preserve"> </w:t>
      </w:r>
      <w:r w:rsidRPr="005269E6">
        <w:rPr>
          <w:rtl/>
          <w:lang w:bidi="ar"/>
        </w:rPr>
        <w:t>ولوائحها</w:t>
      </w:r>
      <w:r w:rsidRPr="005269E6">
        <w:rPr>
          <w:lang w:val="en" w:bidi="ar-SY"/>
        </w:rPr>
        <w:t xml:space="preserve"> </w:t>
      </w:r>
      <w:r w:rsidRPr="005269E6">
        <w:rPr>
          <w:rtl/>
          <w:lang w:bidi="ar"/>
        </w:rPr>
        <w:t>المالية</w:t>
      </w:r>
      <w:r w:rsidRPr="005269E6">
        <w:rPr>
          <w:rtl/>
        </w:rPr>
        <w:t>.</w:t>
      </w:r>
      <w:r w:rsidRPr="005269E6">
        <w:rPr>
          <w:rtl/>
          <w:lang w:bidi="ar"/>
        </w:rPr>
        <w:t xml:space="preserve"> ولكن</w:t>
      </w:r>
      <w:r w:rsidRPr="005269E6">
        <w:rPr>
          <w:lang w:val="en"/>
        </w:rPr>
        <w:t xml:space="preserve"> </w:t>
      </w:r>
      <w:r w:rsidRPr="005269E6">
        <w:rPr>
          <w:rtl/>
          <w:lang w:bidi="ar"/>
        </w:rPr>
        <w:t>عملاً</w:t>
      </w:r>
      <w:r w:rsidRPr="005269E6">
        <w:rPr>
          <w:lang w:val="en"/>
        </w:rPr>
        <w:t xml:space="preserve"> </w:t>
      </w:r>
      <w:r w:rsidRPr="005269E6">
        <w:rPr>
          <w:rtl/>
        </w:rPr>
        <w:t>ب</w:t>
      </w:r>
      <w:r w:rsidRPr="005269E6">
        <w:rPr>
          <w:rtl/>
          <w:lang w:bidi="ar"/>
        </w:rPr>
        <w:t>ما</w:t>
      </w:r>
      <w:r w:rsidRPr="005269E6">
        <w:rPr>
          <w:lang w:val="en"/>
        </w:rPr>
        <w:t xml:space="preserve"> </w:t>
      </w:r>
      <w:r w:rsidRPr="005269E6">
        <w:rPr>
          <w:rtl/>
          <w:lang w:bidi="ar"/>
        </w:rPr>
        <w:t>تقتضيه</w:t>
      </w:r>
      <w:r w:rsidRPr="005269E6">
        <w:rPr>
          <w:lang w:val="en"/>
        </w:rPr>
        <w:t xml:space="preserve"> </w:t>
      </w:r>
      <w:r w:rsidRPr="005269E6">
        <w:rPr>
          <w:rtl/>
          <w:lang w:bidi="ar"/>
        </w:rPr>
        <w:t>المعايير</w:t>
      </w:r>
      <w:r w:rsidRPr="005269E6">
        <w:rPr>
          <w:lang w:val="en"/>
        </w:rPr>
        <w:t xml:space="preserve"> </w:t>
      </w:r>
      <w:r w:rsidRPr="005269E6">
        <w:rPr>
          <w:rtl/>
          <w:lang w:bidi="ar"/>
        </w:rPr>
        <w:t>المحاسبية الدولية للقطاع العام،</w:t>
      </w:r>
      <w:r w:rsidRPr="005269E6">
        <w:rPr>
          <w:lang w:val="en"/>
        </w:rPr>
        <w:t xml:space="preserve"> </w:t>
      </w:r>
      <w:r w:rsidRPr="005269E6">
        <w:rPr>
          <w:rtl/>
          <w:lang w:bidi="ar"/>
        </w:rPr>
        <w:t>يخصَص</w:t>
      </w:r>
      <w:r w:rsidRPr="005269E6">
        <w:rPr>
          <w:lang w:val="en"/>
        </w:rPr>
        <w:t xml:space="preserve"> </w:t>
      </w:r>
      <w:r w:rsidRPr="005269E6">
        <w:rPr>
          <w:rtl/>
          <w:lang w:bidi="ar"/>
        </w:rPr>
        <w:t>بدل</w:t>
      </w:r>
      <w:r w:rsidRPr="005269E6">
        <w:rPr>
          <w:lang w:val="en"/>
        </w:rPr>
        <w:t xml:space="preserve"> </w:t>
      </w:r>
      <w:r w:rsidRPr="005269E6">
        <w:rPr>
          <w:rtl/>
          <w:lang w:bidi="ar"/>
        </w:rPr>
        <w:t>عندما</w:t>
      </w:r>
      <w:r w:rsidRPr="005269E6">
        <w:rPr>
          <w:lang w:val="en"/>
        </w:rPr>
        <w:t xml:space="preserve"> </w:t>
      </w:r>
      <w:r w:rsidRPr="005269E6">
        <w:rPr>
          <w:rtl/>
          <w:lang w:bidi="ar"/>
        </w:rPr>
        <w:t>لا</w:t>
      </w:r>
      <w:r w:rsidRPr="005269E6">
        <w:rPr>
          <w:lang w:val="en"/>
        </w:rPr>
        <w:t xml:space="preserve"> </w:t>
      </w:r>
      <w:r w:rsidRPr="005269E6">
        <w:rPr>
          <w:rtl/>
          <w:lang w:bidi="ar"/>
        </w:rPr>
        <w:t>يُتوقع</w:t>
      </w:r>
      <w:r w:rsidRPr="005269E6">
        <w:rPr>
          <w:lang w:val="en"/>
        </w:rPr>
        <w:t xml:space="preserve"> </w:t>
      </w:r>
      <w:r w:rsidRPr="005269E6">
        <w:rPr>
          <w:rtl/>
          <w:lang w:bidi="ar"/>
        </w:rPr>
        <w:t>دفع</w:t>
      </w:r>
      <w:r w:rsidRPr="005269E6">
        <w:rPr>
          <w:lang w:val="en"/>
        </w:rPr>
        <w:t xml:space="preserve"> </w:t>
      </w:r>
      <w:r w:rsidRPr="005269E6">
        <w:rPr>
          <w:rtl/>
          <w:lang w:bidi="ar"/>
        </w:rPr>
        <w:t>المساهمات</w:t>
      </w:r>
      <w:r w:rsidRPr="005269E6">
        <w:rPr>
          <w:lang w:val="en"/>
        </w:rPr>
        <w:t>.</w:t>
      </w:r>
    </w:p>
    <w:p w14:paraId="7F477144" w14:textId="77777777" w:rsidR="00834B83" w:rsidRPr="005269E6" w:rsidRDefault="00834B83" w:rsidP="00834B83">
      <w:pPr>
        <w:pStyle w:val="Headingb"/>
        <w:rPr>
          <w:lang w:bidi="ar-SY"/>
        </w:rPr>
      </w:pPr>
      <w:r w:rsidRPr="005269E6">
        <w:rPr>
          <w:rtl/>
        </w:rPr>
        <w:t>الخصوم</w:t>
      </w:r>
    </w:p>
    <w:p w14:paraId="72D134B0" w14:textId="77777777" w:rsidR="00834B83" w:rsidRPr="005269E6" w:rsidRDefault="00834B83" w:rsidP="00834B83">
      <w:pPr>
        <w:rPr>
          <w:lang w:bidi="ar-SY"/>
        </w:rPr>
      </w:pPr>
      <w:r w:rsidRPr="005269E6">
        <w:rPr>
          <w:rtl/>
          <w:lang w:bidi="ar-SY"/>
        </w:rPr>
        <w:t>20</w:t>
      </w:r>
      <w:r w:rsidRPr="005269E6">
        <w:rPr>
          <w:lang w:bidi="ar-SY"/>
        </w:rPr>
        <w:tab/>
      </w:r>
      <w:r w:rsidRPr="005269E6">
        <w:rPr>
          <w:rtl/>
          <w:lang w:bidi="ar-SY"/>
        </w:rPr>
        <w:t>بلغ مجموع الخصوم في 31 ديسمبر 2022 530,9 مليون فرنك سويسري (748,4 مليون فرنك سويسري في 31 ديسمبر 2021).</w:t>
      </w:r>
    </w:p>
    <w:p w14:paraId="5EDF2EDC" w14:textId="77777777" w:rsidR="00834B83" w:rsidRPr="005269E6" w:rsidRDefault="00834B83" w:rsidP="00834B83">
      <w:pPr>
        <w:pStyle w:val="Headingb"/>
        <w:rPr>
          <w:lang w:bidi="ar-SY"/>
        </w:rPr>
      </w:pPr>
      <w:r w:rsidRPr="005269E6">
        <w:rPr>
          <w:rtl/>
        </w:rPr>
        <w:t>الاستحقاقات المستحَقة للموظفين</w:t>
      </w:r>
    </w:p>
    <w:p w14:paraId="33158F8E" w14:textId="77777777" w:rsidR="00834B83" w:rsidRPr="005269E6" w:rsidRDefault="00834B83" w:rsidP="00834B83">
      <w:pPr>
        <w:rPr>
          <w:rtl/>
          <w:lang w:bidi="ar-SY"/>
        </w:rPr>
      </w:pPr>
      <w:r w:rsidRPr="005269E6">
        <w:rPr>
          <w:rtl/>
          <w:lang w:bidi="ar-SY"/>
        </w:rPr>
        <w:t>21</w:t>
      </w:r>
      <w:r w:rsidRPr="005269E6">
        <w:rPr>
          <w:lang w:bidi="ar-SY"/>
        </w:rPr>
        <w:tab/>
      </w:r>
      <w:r w:rsidRPr="005269E6">
        <w:rPr>
          <w:rtl/>
        </w:rPr>
        <w:t xml:space="preserve">تمثلت أهم الخصوم في الاستحقاقات المستحقة للموظفين والمتقاعدين في المستقبل. </w:t>
      </w:r>
      <w:r w:rsidRPr="005269E6">
        <w:rPr>
          <w:rtl/>
          <w:lang w:bidi="ar-SY"/>
        </w:rPr>
        <w:t>ومثلت خصوم التأمين الصحي بعد انتهاء الخدمة (</w:t>
      </w:r>
      <w:r w:rsidRPr="005269E6">
        <w:rPr>
          <w:lang w:bidi="ar-SY"/>
        </w:rPr>
        <w:t>ASHI</w:t>
      </w:r>
      <w:r w:rsidRPr="005269E6">
        <w:rPr>
          <w:rtl/>
          <w:lang w:bidi="ar-SY"/>
        </w:rPr>
        <w:t xml:space="preserve">) وحدها 68% من إجمالي خصوم الاتحاد في 31 ديسمبر 2022. ولكن خصوم التأمين الصحي بعد انتهاء الخدمة انخفضت في عام 2022 بمقدار </w:t>
      </w:r>
      <w:r w:rsidRPr="005269E6">
        <w:rPr>
          <w:lang w:bidi="ar-SY"/>
        </w:rPr>
        <w:t>201,6</w:t>
      </w:r>
      <w:r w:rsidRPr="005269E6">
        <w:rPr>
          <w:rtl/>
          <w:lang w:bidi="ar-SY"/>
        </w:rPr>
        <w:t xml:space="preserve"> مليون فرنك سويسري مقارنة بعام 2021. ويعزى ذلك في الغالب إلى زيادة سعر الخصم بسبب زيادة أسعار الفائدة العالمية.</w:t>
      </w:r>
    </w:p>
    <w:p w14:paraId="5D31080F" w14:textId="77777777" w:rsidR="00834B83" w:rsidRPr="005269E6" w:rsidRDefault="00834B83" w:rsidP="00834B83">
      <w:pPr>
        <w:rPr>
          <w:rtl/>
          <w:lang w:bidi="ar-SY"/>
        </w:rPr>
      </w:pPr>
      <w:r w:rsidRPr="005269E6">
        <w:rPr>
          <w:rtl/>
          <w:lang w:bidi="ar-SY"/>
        </w:rPr>
        <w:t>22</w:t>
      </w:r>
      <w:r w:rsidRPr="005269E6">
        <w:rPr>
          <w:lang w:bidi="ar-SY"/>
        </w:rPr>
        <w:tab/>
      </w:r>
      <w:r w:rsidRPr="005269E6">
        <w:rPr>
          <w:rtl/>
          <w:lang w:bidi="ar-SY"/>
        </w:rPr>
        <w:t>ويمول الاتحاد المدفوعات المستحَقة بموجب التزاماته المتعلقة بالتأمين الصحي بعد انتهاء الخدمة على أساس الدفع أولاً بأول.</w:t>
      </w:r>
      <w:r w:rsidRPr="005269E6">
        <w:rPr>
          <w:rtl/>
        </w:rPr>
        <w:t xml:space="preserve"> و</w:t>
      </w:r>
      <w:r w:rsidRPr="005269E6">
        <w:rPr>
          <w:rtl/>
          <w:lang w:bidi="ar-SY"/>
        </w:rPr>
        <w:t xml:space="preserve">يتضمن القرار 1405 بشأن ميزانية 2022-2023 سحب مليون فرنك سويسري كل عام من حساب الاحتياطي لتمويل الخصوم طويلة الأجل. ووفقاً لمعيار المحاسبية </w:t>
      </w:r>
      <w:r w:rsidRPr="005269E6">
        <w:rPr>
          <w:lang w:bidi="ar-SY"/>
        </w:rPr>
        <w:t>IPSAS-39</w:t>
      </w:r>
      <w:r w:rsidRPr="005269E6">
        <w:rPr>
          <w:rtl/>
          <w:lang w:bidi="ar-SY"/>
        </w:rPr>
        <w:t>، لم تُجرَ مقاصة لأصول الخطة مقابل الخصوم، بل تجمَّع مبلغ 14 مليون فرنك سويسري في الحساب الخاص للتأمين الصحي بعد نهاية الخدمة (</w:t>
      </w:r>
      <w:r w:rsidRPr="005269E6">
        <w:rPr>
          <w:lang w:bidi="ar-SY"/>
        </w:rPr>
        <w:t>ASHI</w:t>
      </w:r>
      <w:r w:rsidRPr="005269E6">
        <w:rPr>
          <w:rtl/>
          <w:lang w:bidi="ar-SY"/>
        </w:rPr>
        <w:t xml:space="preserve">) حتى 31 ديسمبر 2022 لتغطية </w:t>
      </w:r>
      <w:bookmarkStart w:id="4" w:name="_Hlk160361056"/>
      <w:r w:rsidRPr="005269E6">
        <w:rPr>
          <w:rtl/>
          <w:lang w:bidi="ar-SY"/>
        </w:rPr>
        <w:t xml:space="preserve">الخصوم </w:t>
      </w:r>
      <w:bookmarkEnd w:id="4"/>
      <w:r w:rsidRPr="005269E6">
        <w:rPr>
          <w:rtl/>
          <w:lang w:bidi="ar-SY"/>
        </w:rPr>
        <w:t>المستقبلية.</w:t>
      </w:r>
    </w:p>
    <w:p w14:paraId="3D0F209C" w14:textId="77777777" w:rsidR="00834B83" w:rsidRPr="005269E6" w:rsidRDefault="00834B83" w:rsidP="00834B83">
      <w:pPr>
        <w:pStyle w:val="Headingb"/>
        <w:rPr>
          <w:lang w:bidi="ar-SY"/>
        </w:rPr>
      </w:pPr>
      <w:r w:rsidRPr="005269E6">
        <w:rPr>
          <w:rtl/>
          <w:lang w:bidi="ar-SY"/>
        </w:rPr>
        <w:t>القروض طويلة الأجل</w:t>
      </w:r>
    </w:p>
    <w:p w14:paraId="0862CF80" w14:textId="77777777" w:rsidR="00834B83" w:rsidRPr="005269E6" w:rsidRDefault="00834B83" w:rsidP="00834B83">
      <w:pPr>
        <w:rPr>
          <w:spacing w:val="-2"/>
          <w:lang w:bidi="ar-SY"/>
        </w:rPr>
      </w:pPr>
      <w:r w:rsidRPr="005269E6">
        <w:rPr>
          <w:spacing w:val="-2"/>
          <w:rtl/>
          <w:lang w:bidi="ar-SY"/>
        </w:rPr>
        <w:t>23</w:t>
      </w:r>
      <w:r w:rsidRPr="005269E6">
        <w:rPr>
          <w:spacing w:val="-2"/>
          <w:lang w:bidi="ar-SY"/>
        </w:rPr>
        <w:tab/>
      </w:r>
      <w:r w:rsidRPr="005269E6">
        <w:rPr>
          <w:spacing w:val="-2"/>
          <w:rtl/>
          <w:lang w:bidi="ar-SY"/>
        </w:rPr>
        <w:t xml:space="preserve">لدى الاتحاد حالياً أربعة </w:t>
      </w:r>
      <w:bookmarkStart w:id="5" w:name="_Hlk160382493"/>
      <w:r w:rsidRPr="005269E6">
        <w:rPr>
          <w:spacing w:val="-2"/>
          <w:rtl/>
          <w:lang w:bidi="ar-SY"/>
        </w:rPr>
        <w:t xml:space="preserve">قروض </w:t>
      </w:r>
      <w:bookmarkEnd w:id="5"/>
      <w:r w:rsidRPr="005269E6">
        <w:rPr>
          <w:spacing w:val="-2"/>
          <w:rtl/>
          <w:lang w:bidi="ar-SY"/>
        </w:rPr>
        <w:t>بدون فوائد مع مؤسسة مباني المنظمات الدولية (</w:t>
      </w:r>
      <w:r w:rsidRPr="005269E6">
        <w:rPr>
          <w:spacing w:val="-2"/>
          <w:lang w:bidi="ar-SY"/>
        </w:rPr>
        <w:t>FIPOI</w:t>
      </w:r>
      <w:r w:rsidRPr="005269E6">
        <w:rPr>
          <w:spacing w:val="-2"/>
          <w:rtl/>
          <w:lang w:bidi="ar-SY"/>
        </w:rPr>
        <w:t xml:space="preserve">). وحتى 31 ديسمبر 2022، يرد بيان ثلاثة من هذه القروض في البيانات المالية بالقيمة العادلة. وليس للقرض الرابع جدول سداد بعد، وبالتالي تقدر قيمته بتكاليف مهتَلكة إلى أن تبدأ عمليات السداد بموجب هذا القرض. وتبلغ القيمة الاسمية الإجمالية للمبلغ المستحَق 54,5 مليون فرنك سويسري (صافي القيمة الحالية 48,3 مليون فرنك سويسري كما ورد في البيان الأول) 3 قروض منها لسداد المباني القائمة </w:t>
      </w:r>
      <w:r w:rsidRPr="005269E6">
        <w:rPr>
          <w:spacing w:val="-2"/>
          <w:rtl/>
          <w:lang w:bidi="ar-SY"/>
        </w:rPr>
        <w:lastRenderedPageBreak/>
        <w:t>ولها مبلغ مستحق في 31 ديسمبر 2022 يبلغ 35 مليون فرنك سويسري (صافي القيمة الحالية 28,9 مليون فرنك سويسري) (67 مليون فرنك سويسري أصلاً).</w:t>
      </w:r>
      <w:r w:rsidRPr="005269E6">
        <w:rPr>
          <w:spacing w:val="-2"/>
          <w:rtl/>
        </w:rPr>
        <w:t xml:space="preserve"> </w:t>
      </w:r>
      <w:r w:rsidRPr="005269E6">
        <w:rPr>
          <w:spacing w:val="-2"/>
          <w:rtl/>
          <w:lang w:bidi="ar-SY"/>
        </w:rPr>
        <w:t xml:space="preserve">وتكون مبالغ سدادها سنوية على أن تكون الأقساط النهائية المستحَقة حتى عام 2039 للقرض الأول (المبلغ المستَحق </w:t>
      </w:r>
      <w:r w:rsidRPr="005269E6">
        <w:rPr>
          <w:spacing w:val="-2"/>
          <w:lang w:bidi="ar-SY"/>
        </w:rPr>
        <w:t>7,5</w:t>
      </w:r>
      <w:r w:rsidRPr="005269E6">
        <w:rPr>
          <w:spacing w:val="-2"/>
          <w:rtl/>
          <w:lang w:bidi="ar-SY"/>
        </w:rPr>
        <w:t xml:space="preserve"> مليون فرنك سويسري) (صافي القيمة الحالية </w:t>
      </w:r>
      <w:r w:rsidRPr="005269E6">
        <w:rPr>
          <w:spacing w:val="-2"/>
          <w:lang w:bidi="ar-SY"/>
        </w:rPr>
        <w:t>6,6</w:t>
      </w:r>
      <w:r w:rsidRPr="005269E6">
        <w:rPr>
          <w:spacing w:val="-2"/>
          <w:rtl/>
          <w:lang w:bidi="ar-SY"/>
        </w:rPr>
        <w:t xml:space="preserve"> مليون فرنك سويسري) وللقرضين الثاني والثالث (المبلغ المستحق </w:t>
      </w:r>
      <w:r w:rsidRPr="005269E6">
        <w:rPr>
          <w:spacing w:val="-2"/>
          <w:lang w:bidi="ar-SY"/>
        </w:rPr>
        <w:t>27,5</w:t>
      </w:r>
      <w:r w:rsidRPr="005269E6">
        <w:rPr>
          <w:spacing w:val="-2"/>
          <w:rtl/>
          <w:lang w:bidi="ar-SY"/>
        </w:rPr>
        <w:t xml:space="preserve"> مليون فرنك سويسري) (صافي القيمة الحالية </w:t>
      </w:r>
      <w:r w:rsidRPr="005269E6">
        <w:rPr>
          <w:spacing w:val="-2"/>
          <w:lang w:bidi="ar-SY"/>
        </w:rPr>
        <w:t>22,2</w:t>
      </w:r>
      <w:r w:rsidRPr="005269E6">
        <w:rPr>
          <w:spacing w:val="-2"/>
          <w:rtl/>
          <w:lang w:bidi="ar-SY"/>
        </w:rPr>
        <w:t xml:space="preserve"> مليون فرنك سويسري) مستحَق حتى عام 2051. أما مبلغ القرض الرابع فهو لمشروع المبنى الجديد ويبلغ مبلغ القرض غير المسدَد 19,5 مليون فرنك سويسري.</w:t>
      </w:r>
    </w:p>
    <w:p w14:paraId="51BF1846" w14:textId="77777777" w:rsidR="00834B83" w:rsidRPr="005269E6" w:rsidRDefault="00834B83" w:rsidP="00834B83">
      <w:pPr>
        <w:rPr>
          <w:rtl/>
          <w:lang w:bidi="ar-SY"/>
        </w:rPr>
      </w:pPr>
      <w:r w:rsidRPr="005269E6">
        <w:rPr>
          <w:rtl/>
          <w:lang w:bidi="ar-SY"/>
        </w:rPr>
        <w:t>24</w:t>
      </w:r>
      <w:r w:rsidRPr="005269E6">
        <w:rPr>
          <w:lang w:bidi="ar-SY"/>
        </w:rPr>
        <w:tab/>
      </w:r>
      <w:r w:rsidRPr="005269E6">
        <w:rPr>
          <w:rtl/>
          <w:lang w:bidi="ar"/>
        </w:rPr>
        <w:t>وقد خُصم</w:t>
      </w:r>
      <w:r w:rsidRPr="005269E6">
        <w:rPr>
          <w:lang w:val="en" w:bidi="ar-SY"/>
        </w:rPr>
        <w:t xml:space="preserve"> </w:t>
      </w:r>
      <w:r w:rsidRPr="005269E6">
        <w:rPr>
          <w:rtl/>
          <w:lang w:bidi="ar"/>
        </w:rPr>
        <w:t>المبلغ</w:t>
      </w:r>
      <w:r w:rsidRPr="005269E6">
        <w:rPr>
          <w:lang w:val="en" w:bidi="ar-SY"/>
        </w:rPr>
        <w:t xml:space="preserve"> </w:t>
      </w:r>
      <w:r w:rsidRPr="005269E6">
        <w:rPr>
          <w:rtl/>
          <w:lang w:bidi="ar"/>
        </w:rPr>
        <w:t>المستحق</w:t>
      </w:r>
      <w:r w:rsidRPr="005269E6">
        <w:rPr>
          <w:lang w:val="en" w:bidi="ar-SY"/>
        </w:rPr>
        <w:t xml:space="preserve"> </w:t>
      </w:r>
      <w:r w:rsidRPr="005269E6">
        <w:rPr>
          <w:rtl/>
          <w:lang w:bidi="ar"/>
        </w:rPr>
        <w:t>لأول</w:t>
      </w:r>
      <w:r w:rsidRPr="005269E6">
        <w:rPr>
          <w:lang w:val="en" w:bidi="ar-SY"/>
        </w:rPr>
        <w:t xml:space="preserve"> 3 </w:t>
      </w:r>
      <w:r w:rsidRPr="005269E6">
        <w:rPr>
          <w:rtl/>
          <w:lang w:bidi="ar"/>
        </w:rPr>
        <w:t>قروض</w:t>
      </w:r>
      <w:r w:rsidRPr="005269E6">
        <w:rPr>
          <w:lang w:val="en" w:bidi="ar-SY"/>
        </w:rPr>
        <w:t xml:space="preserve"> </w:t>
      </w:r>
      <w:r w:rsidRPr="005269E6">
        <w:rPr>
          <w:rtl/>
          <w:lang w:bidi="ar"/>
        </w:rPr>
        <w:t>باستخدام</w:t>
      </w:r>
      <w:r w:rsidRPr="005269E6">
        <w:rPr>
          <w:lang w:val="en" w:bidi="ar-SY"/>
        </w:rPr>
        <w:t xml:space="preserve"> </w:t>
      </w:r>
      <w:r w:rsidRPr="005269E6">
        <w:rPr>
          <w:rtl/>
          <w:lang w:bidi="ar"/>
        </w:rPr>
        <w:t>معدل فائدة</w:t>
      </w:r>
      <w:r w:rsidRPr="005269E6">
        <w:rPr>
          <w:lang w:val="en" w:bidi="ar-SY"/>
        </w:rPr>
        <w:t xml:space="preserve"> </w:t>
      </w:r>
      <w:r w:rsidRPr="005269E6">
        <w:rPr>
          <w:rtl/>
          <w:lang w:bidi="ar"/>
        </w:rPr>
        <w:t>سندات</w:t>
      </w:r>
      <w:r w:rsidRPr="005269E6">
        <w:rPr>
          <w:lang w:val="en" w:bidi="ar-SY"/>
        </w:rPr>
        <w:t xml:space="preserve"> </w:t>
      </w:r>
      <w:r w:rsidRPr="005269E6">
        <w:rPr>
          <w:rtl/>
          <w:lang w:bidi="ar"/>
        </w:rPr>
        <w:t>الاتحاد</w:t>
      </w:r>
      <w:r w:rsidRPr="005269E6">
        <w:rPr>
          <w:lang w:val="en" w:bidi="ar-SY"/>
        </w:rPr>
        <w:t xml:space="preserve"> </w:t>
      </w:r>
      <w:r w:rsidRPr="005269E6">
        <w:rPr>
          <w:rtl/>
          <w:lang w:bidi="ar"/>
        </w:rPr>
        <w:t>السويسري</w:t>
      </w:r>
      <w:r w:rsidRPr="005269E6">
        <w:rPr>
          <w:lang w:val="en" w:bidi="ar-SY"/>
        </w:rPr>
        <w:t xml:space="preserve"> </w:t>
      </w:r>
      <w:r w:rsidRPr="005269E6">
        <w:rPr>
          <w:rtl/>
          <w:lang w:bidi="ar"/>
        </w:rPr>
        <w:t>لمدة</w:t>
      </w:r>
      <w:r w:rsidRPr="005269E6">
        <w:rPr>
          <w:lang w:val="en" w:bidi="ar-SY"/>
        </w:rPr>
        <w:t xml:space="preserve"> 30 </w:t>
      </w:r>
      <w:r w:rsidRPr="005269E6">
        <w:rPr>
          <w:rtl/>
          <w:lang w:bidi="ar"/>
        </w:rPr>
        <w:t>عاماً</w:t>
      </w:r>
      <w:r w:rsidRPr="005269E6">
        <w:rPr>
          <w:rtl/>
          <w:lang w:val="en" w:bidi="ar-SY"/>
        </w:rPr>
        <w:t xml:space="preserve"> </w:t>
      </w:r>
      <w:r w:rsidRPr="005269E6">
        <w:rPr>
          <w:rtl/>
          <w:lang w:bidi="ar"/>
        </w:rPr>
        <w:t xml:space="preserve">البالغ </w:t>
      </w:r>
      <w:r w:rsidRPr="005269E6">
        <w:rPr>
          <w:lang w:val="en" w:bidi="ar-SY"/>
        </w:rPr>
        <w:t>1,476</w:t>
      </w:r>
      <w:r w:rsidRPr="005269E6">
        <w:rPr>
          <w:rtl/>
          <w:lang w:bidi="ar"/>
        </w:rPr>
        <w:t xml:space="preserve">% </w:t>
      </w:r>
      <w:r w:rsidRPr="005269E6">
        <w:rPr>
          <w:rtl/>
          <w:lang w:bidi="ar-SY"/>
        </w:rPr>
        <w:t>في ديسمبر 2022 (-0,095% لعام 2021).</w:t>
      </w:r>
    </w:p>
    <w:p w14:paraId="2B1306CE" w14:textId="77777777" w:rsidR="00834B83" w:rsidRPr="005269E6" w:rsidRDefault="00834B83" w:rsidP="00834B83">
      <w:pPr>
        <w:pStyle w:val="Headingb"/>
        <w:rPr>
          <w:lang w:bidi="ar-SY"/>
        </w:rPr>
      </w:pPr>
      <w:r w:rsidRPr="005269E6">
        <w:rPr>
          <w:rtl/>
          <w:lang w:bidi="ar-SY"/>
        </w:rPr>
        <w:t>نتيجة الميزانية مقابل نتيجة المعايير المحاسبية الدولية للقطاع العام (</w:t>
      </w:r>
      <w:r w:rsidRPr="005269E6">
        <w:rPr>
          <w:lang w:bidi="ar-SY"/>
        </w:rPr>
        <w:t>IPSAS</w:t>
      </w:r>
      <w:r w:rsidRPr="005269E6">
        <w:rPr>
          <w:rtl/>
          <w:lang w:bidi="ar-SY"/>
        </w:rPr>
        <w:t>)</w:t>
      </w:r>
    </w:p>
    <w:p w14:paraId="13F8CA5B" w14:textId="77777777" w:rsidR="00834B83" w:rsidRPr="005269E6" w:rsidRDefault="00834B83" w:rsidP="00834B83">
      <w:pPr>
        <w:rPr>
          <w:lang w:bidi="ar-SY"/>
        </w:rPr>
      </w:pPr>
      <w:r w:rsidRPr="005269E6">
        <w:rPr>
          <w:rtl/>
          <w:lang w:bidi="ar-SY"/>
        </w:rPr>
        <w:t>25</w:t>
      </w:r>
      <w:r w:rsidRPr="005269E6">
        <w:rPr>
          <w:lang w:bidi="ar-SY"/>
        </w:rPr>
        <w:tab/>
      </w:r>
      <w:r w:rsidRPr="005269E6">
        <w:rPr>
          <w:rtl/>
          <w:lang w:bidi="ar-SY"/>
        </w:rPr>
        <w:t xml:space="preserve">يُعَد البيان الخامس من البيانات المالية استناداً إلى الميزانية العادية لإطار ميزانية الاتحاد ويقدم عرضاً لاستخدام الميزانية العادية المعتمَدة على أساس نقدي معدَّل. وعلى هذا الأساس، تجاوزت المنظمة الإنفاق من الميزانية العادية المعتمدة بمقدار </w:t>
      </w:r>
      <w:r w:rsidRPr="005269E6">
        <w:rPr>
          <w:lang w:bidi="ar-SY"/>
        </w:rPr>
        <w:t>4,8</w:t>
      </w:r>
      <w:r w:rsidRPr="005269E6">
        <w:rPr>
          <w:rtl/>
          <w:lang w:bidi="ar-SY"/>
        </w:rPr>
        <w:t xml:space="preserve"> مليون فرنك سويسري، بتمويل وفقاً للجدول 2 أعلاه.</w:t>
      </w:r>
    </w:p>
    <w:p w14:paraId="4A77BD68" w14:textId="77777777" w:rsidR="00834B83" w:rsidRPr="005269E6" w:rsidRDefault="00834B83" w:rsidP="00834B83">
      <w:pPr>
        <w:rPr>
          <w:lang w:val="en" w:bidi="ar-SY"/>
        </w:rPr>
      </w:pPr>
      <w:r w:rsidRPr="005269E6">
        <w:rPr>
          <w:rtl/>
          <w:lang w:bidi="ar-SY"/>
        </w:rPr>
        <w:t>26</w:t>
      </w:r>
      <w:r w:rsidRPr="005269E6">
        <w:rPr>
          <w:lang w:bidi="ar-SY"/>
        </w:rPr>
        <w:tab/>
      </w:r>
      <w:r w:rsidRPr="005269E6">
        <w:rPr>
          <w:rtl/>
          <w:lang w:bidi="ar"/>
        </w:rPr>
        <w:t>وترد</w:t>
      </w:r>
      <w:r w:rsidRPr="005269E6">
        <w:rPr>
          <w:lang w:val="en" w:bidi="ar-SY"/>
        </w:rPr>
        <w:t xml:space="preserve"> </w:t>
      </w:r>
      <w:r w:rsidRPr="005269E6">
        <w:rPr>
          <w:rtl/>
          <w:lang w:bidi="ar"/>
        </w:rPr>
        <w:t>في</w:t>
      </w:r>
      <w:r w:rsidRPr="005269E6">
        <w:rPr>
          <w:lang w:val="en" w:bidi="ar-SY"/>
        </w:rPr>
        <w:t xml:space="preserve"> </w:t>
      </w:r>
      <w:r w:rsidRPr="005269E6">
        <w:rPr>
          <w:rtl/>
          <w:lang w:bidi="ar"/>
        </w:rPr>
        <w:t>البيانات</w:t>
      </w:r>
      <w:r w:rsidRPr="005269E6">
        <w:rPr>
          <w:lang w:val="en" w:bidi="ar-SY"/>
        </w:rPr>
        <w:t xml:space="preserve"> </w:t>
      </w:r>
      <w:r w:rsidRPr="005269E6">
        <w:rPr>
          <w:rtl/>
          <w:lang w:bidi="ar"/>
        </w:rPr>
        <w:t>المالية</w:t>
      </w:r>
      <w:r w:rsidRPr="005269E6">
        <w:rPr>
          <w:lang w:val="en" w:bidi="ar-SY"/>
        </w:rPr>
        <w:t xml:space="preserve"> </w:t>
      </w:r>
      <w:r w:rsidRPr="005269E6">
        <w:rPr>
          <w:rtl/>
          <w:lang w:bidi="ar"/>
        </w:rPr>
        <w:t>تسوية</w:t>
      </w:r>
      <w:r w:rsidRPr="005269E6">
        <w:rPr>
          <w:lang w:val="en" w:bidi="ar-SY"/>
        </w:rPr>
        <w:t xml:space="preserve"> </w:t>
      </w:r>
      <w:r w:rsidRPr="005269E6">
        <w:rPr>
          <w:rtl/>
          <w:lang w:bidi="ar"/>
        </w:rPr>
        <w:t>بين</w:t>
      </w:r>
      <w:r w:rsidRPr="005269E6">
        <w:rPr>
          <w:lang w:val="en" w:bidi="ar-SY"/>
        </w:rPr>
        <w:t xml:space="preserve"> </w:t>
      </w:r>
      <w:r w:rsidRPr="005269E6">
        <w:rPr>
          <w:rtl/>
          <w:lang w:bidi="ar"/>
        </w:rPr>
        <w:t>النتيجة</w:t>
      </w:r>
      <w:r w:rsidRPr="005269E6">
        <w:rPr>
          <w:lang w:val="en" w:bidi="ar-SY"/>
        </w:rPr>
        <w:t xml:space="preserve"> </w:t>
      </w:r>
      <w:r w:rsidRPr="005269E6">
        <w:rPr>
          <w:rtl/>
          <w:lang w:bidi="ar"/>
        </w:rPr>
        <w:t>المدرجة</w:t>
      </w:r>
      <w:r w:rsidRPr="005269E6">
        <w:rPr>
          <w:lang w:val="en" w:bidi="ar-SY"/>
        </w:rPr>
        <w:t xml:space="preserve"> </w:t>
      </w:r>
      <w:r w:rsidRPr="005269E6">
        <w:rPr>
          <w:rtl/>
          <w:lang w:bidi="ar"/>
        </w:rPr>
        <w:t>في</w:t>
      </w:r>
      <w:r w:rsidRPr="005269E6">
        <w:rPr>
          <w:lang w:val="en" w:bidi="ar-SY"/>
        </w:rPr>
        <w:t xml:space="preserve"> </w:t>
      </w:r>
      <w:r w:rsidRPr="005269E6">
        <w:rPr>
          <w:rtl/>
          <w:lang w:bidi="ar"/>
        </w:rPr>
        <w:t>الميزانية</w:t>
      </w:r>
      <w:r w:rsidRPr="005269E6">
        <w:rPr>
          <w:lang w:val="en" w:bidi="ar-SY"/>
        </w:rPr>
        <w:t xml:space="preserve"> </w:t>
      </w:r>
      <w:r w:rsidRPr="005269E6">
        <w:rPr>
          <w:rtl/>
          <w:lang w:bidi="ar"/>
        </w:rPr>
        <w:t>والنتيجة</w:t>
      </w:r>
      <w:r w:rsidRPr="005269E6">
        <w:rPr>
          <w:lang w:val="en" w:bidi="ar-SY"/>
        </w:rPr>
        <w:t xml:space="preserve"> </w:t>
      </w:r>
      <w:r w:rsidRPr="005269E6">
        <w:rPr>
          <w:rtl/>
          <w:lang w:bidi="ar"/>
        </w:rPr>
        <w:t>المدرجة</w:t>
      </w:r>
      <w:r w:rsidRPr="005269E6">
        <w:rPr>
          <w:lang w:val="en" w:bidi="ar-SY"/>
        </w:rPr>
        <w:t xml:space="preserve"> </w:t>
      </w:r>
      <w:r w:rsidRPr="005269E6">
        <w:rPr>
          <w:rtl/>
          <w:lang w:bidi="ar"/>
        </w:rPr>
        <w:t>في</w:t>
      </w:r>
      <w:r w:rsidRPr="005269E6">
        <w:rPr>
          <w:lang w:val="en" w:bidi="ar-SY"/>
        </w:rPr>
        <w:t xml:space="preserve"> </w:t>
      </w:r>
      <w:r w:rsidRPr="005269E6">
        <w:rPr>
          <w:rtl/>
          <w:lang w:bidi="ar"/>
        </w:rPr>
        <w:t xml:space="preserve">المعايير المحاسبية الدولية للقطاع العام </w:t>
      </w:r>
      <w:r w:rsidRPr="005269E6">
        <w:rPr>
          <w:rtl/>
          <w:lang w:bidi="ar-SY"/>
        </w:rPr>
        <w:t>(البيان الخامس). ومن المهم الإشارة إلى أن بيان الأداء المالي (البيان الثاني) يشمل مجالات أخرى مثل المساهمات الطوعية والاستهلاك والاختلافات الأخرى في الكيانات غير المدرجة في الميزانية.</w:t>
      </w:r>
      <w:r w:rsidRPr="005269E6">
        <w:rPr>
          <w:rtl/>
          <w:lang w:bidi="ar"/>
        </w:rPr>
        <w:t xml:space="preserve"> ويبرز</w:t>
      </w:r>
      <w:r w:rsidRPr="005269E6">
        <w:rPr>
          <w:lang w:val="en" w:bidi="ar-SY"/>
        </w:rPr>
        <w:t xml:space="preserve"> </w:t>
      </w:r>
      <w:r w:rsidRPr="005269E6">
        <w:rPr>
          <w:rtl/>
          <w:lang w:bidi="ar"/>
        </w:rPr>
        <w:t>البيان</w:t>
      </w:r>
      <w:r w:rsidRPr="005269E6">
        <w:rPr>
          <w:lang w:val="en" w:bidi="ar-SY"/>
        </w:rPr>
        <w:t xml:space="preserve"> </w:t>
      </w:r>
      <w:r w:rsidRPr="005269E6">
        <w:rPr>
          <w:rtl/>
          <w:lang w:bidi="ar"/>
        </w:rPr>
        <w:t>الخامس</w:t>
      </w:r>
      <w:r w:rsidRPr="005269E6">
        <w:rPr>
          <w:lang w:val="en" w:bidi="ar-SY"/>
        </w:rPr>
        <w:t xml:space="preserve"> </w:t>
      </w:r>
      <w:r w:rsidRPr="005269E6">
        <w:rPr>
          <w:rtl/>
          <w:lang w:bidi="ar"/>
        </w:rPr>
        <w:t>الاختلافات</w:t>
      </w:r>
      <w:r w:rsidRPr="005269E6">
        <w:rPr>
          <w:lang w:val="en" w:bidi="ar-SY"/>
        </w:rPr>
        <w:t xml:space="preserve"> </w:t>
      </w:r>
      <w:r w:rsidRPr="005269E6">
        <w:rPr>
          <w:rtl/>
          <w:lang w:bidi="ar"/>
        </w:rPr>
        <w:t>الرئيسية</w:t>
      </w:r>
      <w:r w:rsidRPr="005269E6">
        <w:rPr>
          <w:lang w:val="en" w:bidi="ar-SY"/>
        </w:rPr>
        <w:t xml:space="preserve"> </w:t>
      </w:r>
      <w:r w:rsidRPr="005269E6">
        <w:rPr>
          <w:rtl/>
          <w:lang w:bidi="ar"/>
        </w:rPr>
        <w:t>في</w:t>
      </w:r>
      <w:r w:rsidRPr="005269E6">
        <w:rPr>
          <w:rtl/>
          <w:lang w:val="en" w:bidi="ar-SY"/>
        </w:rPr>
        <w:t> </w:t>
      </w:r>
      <w:r w:rsidRPr="005269E6">
        <w:rPr>
          <w:rtl/>
          <w:lang w:bidi="ar"/>
        </w:rPr>
        <w:t>ميزانية</w:t>
      </w:r>
      <w:r w:rsidRPr="005269E6">
        <w:rPr>
          <w:lang w:val="en" w:bidi="ar-SY"/>
        </w:rPr>
        <w:t xml:space="preserve"> </w:t>
      </w:r>
      <w:r w:rsidRPr="005269E6">
        <w:rPr>
          <w:rtl/>
          <w:lang w:bidi="ar"/>
        </w:rPr>
        <w:t>المنظمة</w:t>
      </w:r>
      <w:r w:rsidRPr="005269E6">
        <w:rPr>
          <w:lang w:val="en" w:bidi="ar-SY"/>
        </w:rPr>
        <w:t xml:space="preserve"> </w:t>
      </w:r>
      <w:r w:rsidRPr="005269E6">
        <w:rPr>
          <w:rtl/>
          <w:lang w:bidi="ar"/>
        </w:rPr>
        <w:t>بالنسبة</w:t>
      </w:r>
      <w:r w:rsidRPr="005269E6">
        <w:rPr>
          <w:lang w:val="en" w:bidi="ar-SY"/>
        </w:rPr>
        <w:t xml:space="preserve"> </w:t>
      </w:r>
      <w:r w:rsidRPr="005269E6">
        <w:rPr>
          <w:rtl/>
          <w:lang w:bidi="ar"/>
        </w:rPr>
        <w:t>للإيرادات</w:t>
      </w:r>
      <w:r w:rsidRPr="005269E6">
        <w:rPr>
          <w:lang w:val="en" w:bidi="ar-SY"/>
        </w:rPr>
        <w:t xml:space="preserve"> </w:t>
      </w:r>
      <w:r w:rsidRPr="005269E6">
        <w:rPr>
          <w:rtl/>
          <w:lang w:bidi="ar"/>
        </w:rPr>
        <w:t>والمصروفات</w:t>
      </w:r>
      <w:r w:rsidRPr="005269E6">
        <w:rPr>
          <w:lang w:val="en" w:bidi="ar-SY"/>
        </w:rPr>
        <w:t xml:space="preserve"> </w:t>
      </w:r>
      <w:r w:rsidRPr="005269E6">
        <w:rPr>
          <w:rtl/>
          <w:lang w:bidi="ar"/>
        </w:rPr>
        <w:t>الإجمالية</w:t>
      </w:r>
      <w:r w:rsidRPr="005269E6">
        <w:rPr>
          <w:lang w:val="en" w:bidi="ar-SY"/>
        </w:rPr>
        <w:t>.</w:t>
      </w:r>
    </w:p>
    <w:p w14:paraId="6EAA0908" w14:textId="77777777" w:rsidR="00834B83" w:rsidRPr="005269E6" w:rsidRDefault="00834B83" w:rsidP="00834B83">
      <w:pPr>
        <w:pStyle w:val="Headingb"/>
        <w:rPr>
          <w:lang w:bidi="ar-SY"/>
        </w:rPr>
      </w:pPr>
      <w:bookmarkStart w:id="6" w:name="_Toc452156580"/>
      <w:r w:rsidRPr="005269E6">
        <w:rPr>
          <w:rtl/>
        </w:rPr>
        <w:t>المسؤولية</w:t>
      </w:r>
      <w:bookmarkEnd w:id="6"/>
    </w:p>
    <w:p w14:paraId="0C297856" w14:textId="77777777" w:rsidR="00834B83" w:rsidRPr="005269E6" w:rsidRDefault="00834B83" w:rsidP="00834B83">
      <w:pPr>
        <w:rPr>
          <w:lang w:bidi="ar-SY"/>
        </w:rPr>
      </w:pPr>
      <w:r w:rsidRPr="005269E6">
        <w:rPr>
          <w:rtl/>
          <w:lang w:bidi="ar-SY"/>
        </w:rPr>
        <w:t>27</w:t>
      </w:r>
      <w:r w:rsidRPr="005269E6">
        <w:rPr>
          <w:lang w:bidi="ar-SY"/>
        </w:rPr>
        <w:tab/>
      </w:r>
      <w:r w:rsidRPr="005269E6">
        <w:rPr>
          <w:rtl/>
          <w:lang w:bidi="ar-SY"/>
        </w:rPr>
        <w:t xml:space="preserve">وفقاً للمادة </w:t>
      </w:r>
      <w:r w:rsidRPr="005269E6">
        <w:t>30</w:t>
      </w:r>
      <w:r w:rsidRPr="005269E6">
        <w:rPr>
          <w:rtl/>
          <w:lang w:bidi="ar-SY"/>
        </w:rPr>
        <w:t xml:space="preserve"> من اللوائح المالية للاتحاد، ترد البيانات المالية فيما يلي وفق معايير </w:t>
      </w:r>
      <w:r w:rsidRPr="005269E6">
        <w:t>IPSAS</w:t>
      </w:r>
      <w:r w:rsidRPr="005269E6">
        <w:rPr>
          <w:rtl/>
          <w:lang w:bidi="ar-SY"/>
        </w:rPr>
        <w:t>. وتعرض البيانات المالية والملاحظات المتصلة بها والتي تشكل جزءاً لا يتجزأ من هذه الوثيقة، صورة دقيقة للوضع المالي للاتحاد في </w:t>
      </w:r>
      <w:r w:rsidRPr="005269E6">
        <w:t>31</w:t>
      </w:r>
      <w:r w:rsidRPr="005269E6">
        <w:rPr>
          <w:rtl/>
          <w:lang w:bidi="ar-SY"/>
        </w:rPr>
        <w:t xml:space="preserve"> ديسمبر </w:t>
      </w:r>
      <w:r w:rsidRPr="005269E6">
        <w:rPr>
          <w:rtl/>
        </w:rPr>
        <w:t>2022</w:t>
      </w:r>
      <w:r w:rsidRPr="005269E6">
        <w:rPr>
          <w:rtl/>
          <w:lang w:bidi="ar-SY"/>
        </w:rPr>
        <w:t>.</w:t>
      </w:r>
    </w:p>
    <w:p w14:paraId="2DFA3B9B" w14:textId="77777777" w:rsidR="00834B83" w:rsidRPr="005269E6" w:rsidRDefault="00834B83" w:rsidP="00834B83">
      <w:pPr>
        <w:keepNext/>
        <w:keepLines/>
        <w:rPr>
          <w:rtl/>
        </w:rPr>
      </w:pPr>
      <w:bookmarkStart w:id="7" w:name="_Toc520365393"/>
      <w:r w:rsidRPr="005269E6">
        <w:rPr>
          <w:rtl/>
        </w:rPr>
        <w:t>أولاً</w:t>
      </w:r>
      <w:r w:rsidRPr="005269E6">
        <w:rPr>
          <w:rtl/>
        </w:rPr>
        <w:tab/>
        <w:t>بيان الوضع المالي – الرصيد في </w:t>
      </w:r>
      <w:r w:rsidRPr="005269E6">
        <w:t>31</w:t>
      </w:r>
      <w:r w:rsidRPr="005269E6">
        <w:rPr>
          <w:rtl/>
        </w:rPr>
        <w:t xml:space="preserve"> ديسمبر </w:t>
      </w:r>
      <w:bookmarkEnd w:id="7"/>
      <w:r w:rsidRPr="005269E6">
        <w:rPr>
          <w:rtl/>
        </w:rPr>
        <w:t>2022</w:t>
      </w:r>
    </w:p>
    <w:p w14:paraId="73CD8445" w14:textId="77777777" w:rsidR="00834B83" w:rsidRPr="005269E6" w:rsidRDefault="00834B83" w:rsidP="00834B83">
      <w:pPr>
        <w:keepNext/>
        <w:keepLines/>
        <w:rPr>
          <w:rtl/>
        </w:rPr>
      </w:pPr>
      <w:bookmarkStart w:id="8" w:name="_Toc520365394"/>
      <w:r w:rsidRPr="005269E6">
        <w:rPr>
          <w:rtl/>
        </w:rPr>
        <w:t>ثانياً</w:t>
      </w:r>
      <w:r w:rsidRPr="005269E6">
        <w:rPr>
          <w:rtl/>
        </w:rPr>
        <w:tab/>
        <w:t xml:space="preserve">بيان الأداء المالي </w:t>
      </w:r>
      <w:bookmarkStart w:id="9" w:name="_Hlk160390474"/>
      <w:r w:rsidRPr="005269E6">
        <w:rPr>
          <w:rtl/>
        </w:rPr>
        <w:t xml:space="preserve">للسنة </w:t>
      </w:r>
      <w:bookmarkEnd w:id="9"/>
      <w:r w:rsidRPr="005269E6">
        <w:rPr>
          <w:rtl/>
        </w:rPr>
        <w:t>المنتهية في </w:t>
      </w:r>
      <w:r w:rsidRPr="005269E6">
        <w:t>31</w:t>
      </w:r>
      <w:r w:rsidRPr="005269E6">
        <w:rPr>
          <w:rtl/>
        </w:rPr>
        <w:t xml:space="preserve"> ديسمبر </w:t>
      </w:r>
      <w:bookmarkEnd w:id="8"/>
      <w:r w:rsidRPr="005269E6">
        <w:rPr>
          <w:rtl/>
        </w:rPr>
        <w:t>2022</w:t>
      </w:r>
    </w:p>
    <w:p w14:paraId="2E58388A" w14:textId="77777777" w:rsidR="00834B83" w:rsidRPr="005269E6" w:rsidRDefault="00834B83" w:rsidP="00834B83">
      <w:pPr>
        <w:keepNext/>
        <w:keepLines/>
        <w:rPr>
          <w:rtl/>
        </w:rPr>
      </w:pPr>
      <w:bookmarkStart w:id="10" w:name="_Toc520365395"/>
      <w:r w:rsidRPr="005269E6">
        <w:rPr>
          <w:rtl/>
        </w:rPr>
        <w:t>ثالثاً</w:t>
      </w:r>
      <w:r w:rsidRPr="005269E6">
        <w:rPr>
          <w:rtl/>
        </w:rPr>
        <w:tab/>
        <w:t>بيان الاختلافات في صافي الأصول للسنة المنتهية في </w:t>
      </w:r>
      <w:r w:rsidRPr="005269E6">
        <w:t>31</w:t>
      </w:r>
      <w:r w:rsidRPr="005269E6">
        <w:rPr>
          <w:rtl/>
        </w:rPr>
        <w:t xml:space="preserve"> ديسمبر </w:t>
      </w:r>
      <w:bookmarkEnd w:id="10"/>
      <w:r w:rsidRPr="005269E6">
        <w:rPr>
          <w:rtl/>
        </w:rPr>
        <w:t>2022</w:t>
      </w:r>
    </w:p>
    <w:p w14:paraId="097DC826" w14:textId="77777777" w:rsidR="00834B83" w:rsidRPr="005269E6" w:rsidRDefault="00834B83" w:rsidP="00834B83">
      <w:pPr>
        <w:keepNext/>
        <w:keepLines/>
        <w:rPr>
          <w:rtl/>
        </w:rPr>
      </w:pPr>
      <w:bookmarkStart w:id="11" w:name="_Toc520365396"/>
      <w:r w:rsidRPr="005269E6">
        <w:rPr>
          <w:rtl/>
        </w:rPr>
        <w:t>رابعاً</w:t>
      </w:r>
      <w:r w:rsidRPr="005269E6">
        <w:rPr>
          <w:rtl/>
        </w:rPr>
        <w:tab/>
        <w:t>بيان التدفقات النقدية للسنة المنتهية في </w:t>
      </w:r>
      <w:r w:rsidRPr="005269E6">
        <w:t>31</w:t>
      </w:r>
      <w:r w:rsidRPr="005269E6">
        <w:rPr>
          <w:rtl/>
        </w:rPr>
        <w:t xml:space="preserve"> ديسمبر </w:t>
      </w:r>
      <w:bookmarkEnd w:id="11"/>
      <w:r w:rsidRPr="005269E6">
        <w:rPr>
          <w:rtl/>
        </w:rPr>
        <w:t>2022</w:t>
      </w:r>
    </w:p>
    <w:p w14:paraId="39740E41" w14:textId="77777777" w:rsidR="00834B83" w:rsidRPr="005269E6" w:rsidRDefault="00834B83" w:rsidP="00834B83">
      <w:pPr>
        <w:keepNext/>
        <w:keepLines/>
        <w:rPr>
          <w:rtl/>
        </w:rPr>
      </w:pPr>
      <w:bookmarkStart w:id="12" w:name="_Toc520365397"/>
      <w:r w:rsidRPr="005269E6">
        <w:rPr>
          <w:rtl/>
        </w:rPr>
        <w:t>خامساً</w:t>
      </w:r>
      <w:r w:rsidRPr="005269E6">
        <w:rPr>
          <w:rtl/>
        </w:rPr>
        <w:tab/>
        <w:t xml:space="preserve">بيان مقارنة المبالغ المدرجة في الميزانية والمبالغ الفعلية </w:t>
      </w:r>
      <w:bookmarkEnd w:id="12"/>
      <w:r w:rsidRPr="005269E6">
        <w:rPr>
          <w:rtl/>
        </w:rPr>
        <w:t>للسنة المنتهية في 31 ديسمبر 2022</w:t>
      </w:r>
    </w:p>
    <w:p w14:paraId="3453B326" w14:textId="77777777" w:rsidR="00834B83" w:rsidRPr="005269E6" w:rsidRDefault="00834B83" w:rsidP="00834B83">
      <w:pPr>
        <w:pStyle w:val="Headingb"/>
        <w:rPr>
          <w:color w:val="538DD5"/>
        </w:rPr>
      </w:pPr>
      <w:r w:rsidRPr="005269E6">
        <w:rPr>
          <w:color w:val="538DD5"/>
          <w:rtl/>
        </w:rPr>
        <w:t>المراجعة الخارجية لحسابات الاتحاد</w:t>
      </w:r>
    </w:p>
    <w:p w14:paraId="0A0C82FD" w14:textId="59F13617" w:rsidR="00834B83" w:rsidRPr="005269E6" w:rsidRDefault="00834B83" w:rsidP="00086B63">
      <w:r w:rsidRPr="005269E6">
        <w:t>28</w:t>
      </w:r>
      <w:r w:rsidRPr="005269E6">
        <w:tab/>
      </w:r>
      <w:r w:rsidR="00086B63" w:rsidRPr="00086B63">
        <w:rPr>
          <w:rtl/>
        </w:rPr>
        <w:t>عملاً بالمادة 28 من اللوائح المالية والقواعد المالية، وعملاً بالمقرر 621 الصادر عن المجلس في دورته لعام 2020</w:t>
      </w:r>
      <w:r w:rsidR="00086B63" w:rsidRPr="00086B63">
        <w:rPr>
          <w:rFonts w:hint="cs"/>
          <w:rtl/>
        </w:rPr>
        <w:t xml:space="preserve"> خلال جلسته التشاورية الافتراضية الثانية</w:t>
      </w:r>
      <w:r w:rsidR="00086B63" w:rsidRPr="00086B63">
        <w:rPr>
          <w:rtl/>
        </w:rPr>
        <w:t>، عُيِّن المكتب الوطني لمراجعة الحسابات في المملكة المتحدة لبريطانيا العظمى وأيرلندا الشمالية، كمراجع خارجي لحسابات الاتحاد، على نحو ما قرره مؤتمر المندوبين المفوضين ولمدة أربع سنوات</w:t>
      </w:r>
    </w:p>
    <w:p w14:paraId="1D09D0A5" w14:textId="77777777" w:rsidR="00834B83" w:rsidRPr="005269E6" w:rsidRDefault="00834B83" w:rsidP="00834B83">
      <w:pPr>
        <w:tabs>
          <w:tab w:val="clear" w:pos="794"/>
        </w:tabs>
        <w:spacing w:before="0" w:after="160" w:line="259" w:lineRule="auto"/>
        <w:jc w:val="left"/>
        <w:rPr>
          <w:rtl/>
        </w:rPr>
      </w:pPr>
      <w:r w:rsidRPr="005269E6">
        <w:rPr>
          <w:rtl/>
        </w:rPr>
        <w:br w:type="page"/>
      </w:r>
    </w:p>
    <w:p w14:paraId="1C960E47" w14:textId="77777777" w:rsidR="00834B83" w:rsidRPr="005269E6" w:rsidRDefault="00834B83" w:rsidP="00834B83">
      <w:pPr>
        <w:pStyle w:val="Figure"/>
      </w:pPr>
      <w:r w:rsidRPr="005269E6">
        <w:rPr>
          <w:noProof/>
        </w:rPr>
        <w:lastRenderedPageBreak/>
        <w:drawing>
          <wp:inline distT="0" distB="0" distL="0" distR="0" wp14:anchorId="56812D1C" wp14:editId="34AC5D85">
            <wp:extent cx="682402" cy="720000"/>
            <wp:effectExtent l="0" t="0" r="3810" b="444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p w14:paraId="43AE8672" w14:textId="77777777" w:rsidR="00834B83" w:rsidRPr="005269E6" w:rsidRDefault="00834B83" w:rsidP="00834B83">
      <w:pPr>
        <w:pStyle w:val="Title1"/>
        <w:rPr>
          <w:b/>
          <w:bCs/>
          <w:rtl/>
        </w:rPr>
      </w:pPr>
      <w:bookmarkStart w:id="13" w:name="_Toc397499182"/>
      <w:bookmarkStart w:id="14" w:name="_Toc397499890"/>
      <w:bookmarkStart w:id="15" w:name="_Toc419483224"/>
      <w:bookmarkStart w:id="16" w:name="_Toc452156138"/>
      <w:bookmarkStart w:id="17" w:name="_Toc452156583"/>
      <w:bookmarkStart w:id="18" w:name="_Toc511402196"/>
      <w:bookmarkStart w:id="19" w:name="_Toc520370545"/>
      <w:bookmarkStart w:id="20" w:name="_Toc9599201"/>
      <w:bookmarkStart w:id="21" w:name="_Toc9614681"/>
      <w:bookmarkStart w:id="22" w:name="_Toc9614753"/>
      <w:bookmarkStart w:id="23" w:name="_Toc42013340"/>
      <w:bookmarkStart w:id="24" w:name="_Toc42013513"/>
      <w:bookmarkStart w:id="25" w:name="_Toc42013893"/>
      <w:bookmarkStart w:id="26" w:name="_Toc42014509"/>
      <w:bookmarkStart w:id="27" w:name="_Toc74060889"/>
      <w:bookmarkStart w:id="28" w:name="_Toc74061030"/>
      <w:bookmarkStart w:id="29" w:name="_Toc74061152"/>
      <w:bookmarkStart w:id="30" w:name="_Toc74061266"/>
      <w:bookmarkStart w:id="31" w:name="_Toc74061541"/>
      <w:bookmarkStart w:id="32" w:name="_Toc112250624"/>
      <w:bookmarkStart w:id="33" w:name="_Toc112318079"/>
      <w:bookmarkStart w:id="34" w:name="_Toc112318649"/>
      <w:r w:rsidRPr="005269E6">
        <w:rPr>
          <w:b/>
          <w:bCs/>
          <w:rtl/>
        </w:rPr>
        <w:t xml:space="preserve">بيان عن الرقابة الداخلية لعام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5269E6">
        <w:rPr>
          <w:b/>
          <w:bCs/>
        </w:rPr>
        <w:t>2022</w:t>
      </w:r>
    </w:p>
    <w:p w14:paraId="1968964A" w14:textId="77777777" w:rsidR="00834B83" w:rsidRPr="005269E6" w:rsidRDefault="00834B83" w:rsidP="00834B83">
      <w:pPr>
        <w:pStyle w:val="Title2"/>
        <w:rPr>
          <w:lang w:bidi="ar-SY"/>
        </w:rPr>
      </w:pPr>
      <w:r w:rsidRPr="005269E6">
        <w:rPr>
          <w:rtl/>
          <w:lang w:bidi="ar-SY"/>
        </w:rPr>
        <w:t>الاتحاد الدولي للاتصالات، جنيف</w:t>
      </w:r>
    </w:p>
    <w:p w14:paraId="5C5A4450" w14:textId="77777777" w:rsidR="00834B83" w:rsidRPr="005269E6" w:rsidRDefault="00834B83" w:rsidP="00834B83">
      <w:pPr>
        <w:tabs>
          <w:tab w:val="clear" w:pos="794"/>
        </w:tabs>
        <w:spacing w:before="0" w:after="160" w:line="259" w:lineRule="auto"/>
        <w:jc w:val="left"/>
        <w:rPr>
          <w:rtl/>
        </w:rPr>
      </w:pPr>
      <w:r w:rsidRPr="005269E6">
        <w:rPr>
          <w:rtl/>
        </w:rPr>
        <w:br w:type="page"/>
      </w:r>
    </w:p>
    <w:p w14:paraId="0DFB8A15" w14:textId="77777777" w:rsidR="00834B83" w:rsidRPr="005269E6" w:rsidRDefault="00834B83" w:rsidP="00834B83">
      <w:pPr>
        <w:pStyle w:val="Heading1"/>
        <w:jc w:val="center"/>
      </w:pPr>
      <w:bookmarkStart w:id="35" w:name="_Toc162520610"/>
      <w:r w:rsidRPr="005269E6">
        <w:rPr>
          <w:rtl/>
        </w:rPr>
        <w:lastRenderedPageBreak/>
        <w:t xml:space="preserve">بيان عملية الرقابة الداخلية لعام </w:t>
      </w:r>
      <w:r w:rsidRPr="005269E6">
        <w:t>2022</w:t>
      </w:r>
      <w:bookmarkEnd w:id="35"/>
    </w:p>
    <w:p w14:paraId="05ECF304" w14:textId="77777777" w:rsidR="00834B83" w:rsidRPr="005269E6" w:rsidRDefault="00834B83" w:rsidP="00834B83">
      <w:pPr>
        <w:pStyle w:val="Headingb"/>
        <w:rPr>
          <w:rtl/>
          <w:lang w:bidi="ar-SY"/>
        </w:rPr>
      </w:pPr>
      <w:bookmarkStart w:id="36" w:name="_Toc358646811"/>
      <w:bookmarkStart w:id="37" w:name="_Toc358647123"/>
      <w:bookmarkStart w:id="38" w:name="_Toc358647182"/>
      <w:bookmarkStart w:id="39" w:name="_Toc358648391"/>
      <w:bookmarkStart w:id="40" w:name="_Toc358648590"/>
      <w:bookmarkStart w:id="41" w:name="_Toc452156584"/>
      <w:r w:rsidRPr="005269E6">
        <w:rPr>
          <w:rtl/>
        </w:rPr>
        <w:t>نطاق المسؤولية</w:t>
      </w:r>
      <w:bookmarkEnd w:id="36"/>
      <w:bookmarkEnd w:id="37"/>
      <w:bookmarkEnd w:id="38"/>
      <w:bookmarkEnd w:id="39"/>
      <w:bookmarkEnd w:id="40"/>
      <w:bookmarkEnd w:id="41"/>
    </w:p>
    <w:p w14:paraId="6E339A72" w14:textId="77777777" w:rsidR="00834B83" w:rsidRPr="005269E6" w:rsidRDefault="00834B83" w:rsidP="00834B83">
      <w:pPr>
        <w:rPr>
          <w:lang w:eastAsia="en-US" w:bidi="ar-SY"/>
        </w:rPr>
      </w:pPr>
      <w:r w:rsidRPr="005269E6">
        <w:rPr>
          <w:rtl/>
          <w:lang w:eastAsia="en-US"/>
        </w:rPr>
        <w:t xml:space="preserve">أتولى، بصفتي الأمينة العامة، عهدة إدارة الاتحاد الدولي للاتصالات؛ لتنفيذ ولايته وبرامجه وأنشطته الأخرى. </w:t>
      </w:r>
      <w:r w:rsidRPr="005269E6">
        <w:rPr>
          <w:rtl/>
        </w:rPr>
        <w:t>وفقاً للمسؤوليات المسندة إلي، ولا سيما في أحكام الرقمين 73 مكرراً و75 من الدستور (المادة 11)، وفي المواد 1 و10 و16 و28 و29 و30 من اللوائح المالية والقواعد المالية التي تنطوي على الحفاظ على نظام من الضوابط الداخلية السليمة المصممة لتوفير ضمانات معقولة لتحقيق الأهداف فضلاً عن المساعدة على ضمان الإبلاغ المالي وغير المالي الموثوق، وفعالية وكفاءة العمليات والالتزام باللوائح والقواعد والأوامر الإدارية والسياسات المرعية، بما في ذلك ما يتعلق بمنع الأنشطة الاحتيالية واكتشافها.</w:t>
      </w:r>
    </w:p>
    <w:p w14:paraId="4CB8F7E2" w14:textId="77777777" w:rsidR="00834B83" w:rsidRPr="005269E6" w:rsidRDefault="00834B83" w:rsidP="00834B83">
      <w:pPr>
        <w:pStyle w:val="Headingb"/>
      </w:pPr>
      <w:bookmarkStart w:id="42" w:name="_Toc358646812"/>
      <w:bookmarkStart w:id="43" w:name="_Toc358647124"/>
      <w:bookmarkStart w:id="44" w:name="_Toc358647183"/>
      <w:bookmarkStart w:id="45" w:name="_Toc358648392"/>
      <w:bookmarkStart w:id="46" w:name="_Toc358648591"/>
      <w:bookmarkStart w:id="47" w:name="_Toc452156585"/>
      <w:r w:rsidRPr="005269E6">
        <w:rPr>
          <w:rtl/>
        </w:rPr>
        <w:t>الغرض من نظام الضوابط الداخلية</w:t>
      </w:r>
      <w:bookmarkEnd w:id="42"/>
      <w:bookmarkEnd w:id="43"/>
      <w:bookmarkEnd w:id="44"/>
      <w:bookmarkEnd w:id="45"/>
      <w:bookmarkEnd w:id="46"/>
      <w:bookmarkEnd w:id="47"/>
    </w:p>
    <w:p w14:paraId="6F0A654D" w14:textId="77777777" w:rsidR="00834B83" w:rsidRPr="005269E6" w:rsidRDefault="00834B83" w:rsidP="00834B83">
      <w:pPr>
        <w:rPr>
          <w:lang w:bidi="ar-EG"/>
        </w:rPr>
      </w:pPr>
      <w:r w:rsidRPr="005269E6">
        <w:rPr>
          <w:rtl/>
          <w:lang w:bidi="ar-EG"/>
        </w:rPr>
        <w:t>إن نظام الرقابة الداخلية مصمم للحد من خطر الفشل والتحكم فيه، بدلاً من إزالته، في سبيل تحقيق أهداف وغايات الاتحاد. ولذلك، فإنه لا يمكن أن يوفر سوى ضماناً معقولاً وليس ضماناً مطلقاً للفعالية. وهو يقوم على عملية مستمرة تهدف إلى تحديد المخاطر الرئيسية، وإلى تقييم طبيعة ومدى هذه المخاطر وإدارتها بكفاءة وفعالية وبشكل اقتصادي.</w:t>
      </w:r>
    </w:p>
    <w:p w14:paraId="7CDD30C2" w14:textId="77777777" w:rsidR="00834B83" w:rsidRPr="005269E6" w:rsidRDefault="00834B83" w:rsidP="00834B83">
      <w:pPr>
        <w:rPr>
          <w:lang w:eastAsia="en-US" w:bidi="ar-EG"/>
        </w:rPr>
      </w:pPr>
      <w:r w:rsidRPr="005269E6">
        <w:rPr>
          <w:rtl/>
          <w:lang w:eastAsia="en-US"/>
        </w:rPr>
        <w:t>ويلتزم مجلس الاتحاد والأمينة العامة والإدارة العليا وغيرهم من الموظفين، كجزء أساسي من نظام الرقابة الداخلية، بتنفيذ ضوابط داخلية تهدف إلى توفير ضمانات معقولة بشأن الأهداف التالية:</w:t>
      </w:r>
    </w:p>
    <w:p w14:paraId="4CA470FF" w14:textId="77777777" w:rsidR="00834B83" w:rsidRPr="005269E6" w:rsidRDefault="00834B83" w:rsidP="00834B83">
      <w:pPr>
        <w:pStyle w:val="enumlev1"/>
        <w:rPr>
          <w:rtl/>
          <w:lang w:bidi="ar-SA"/>
        </w:rPr>
      </w:pPr>
      <w:r w:rsidRPr="005269E6">
        <w:rPr>
          <w:rtl/>
        </w:rPr>
        <w:t xml:space="preserve"> أ )</w:t>
      </w:r>
      <w:r w:rsidRPr="005269E6">
        <w:rPr>
          <w:rtl/>
        </w:rPr>
        <w:tab/>
      </w:r>
      <w:r w:rsidRPr="005269E6">
        <w:rPr>
          <w:rtl/>
          <w:lang w:bidi="ar-SA"/>
        </w:rPr>
        <w:t>فعالية وكفاءة العمليات وصون الأصول؛</w:t>
      </w:r>
    </w:p>
    <w:p w14:paraId="5B8FBD7A" w14:textId="77777777" w:rsidR="00834B83" w:rsidRPr="005269E6" w:rsidRDefault="00834B83" w:rsidP="00834B83">
      <w:pPr>
        <w:pStyle w:val="enumlev1"/>
        <w:rPr>
          <w:rtl/>
          <w:lang w:bidi="ar-EG"/>
        </w:rPr>
      </w:pPr>
      <w:r w:rsidRPr="005269E6">
        <w:rPr>
          <w:rtl/>
        </w:rPr>
        <w:t>ب)</w:t>
      </w:r>
      <w:r w:rsidRPr="005269E6">
        <w:rPr>
          <w:rtl/>
        </w:rPr>
        <w:tab/>
      </w:r>
      <w:r w:rsidRPr="005269E6">
        <w:rPr>
          <w:rtl/>
          <w:lang w:bidi="ar-SA"/>
        </w:rPr>
        <w:t>موثوقية المعلومات المالية وحسن توقيتها؛</w:t>
      </w:r>
    </w:p>
    <w:p w14:paraId="3464DF2B" w14:textId="77777777" w:rsidR="00834B83" w:rsidRPr="005269E6" w:rsidRDefault="00834B83" w:rsidP="00834B83">
      <w:pPr>
        <w:pStyle w:val="enumlev1"/>
        <w:rPr>
          <w:rtl/>
          <w:lang w:bidi="ar-EG"/>
        </w:rPr>
      </w:pPr>
      <w:r w:rsidRPr="005269E6">
        <w:rPr>
          <w:rtl/>
        </w:rPr>
        <w:t>ج)</w:t>
      </w:r>
      <w:r w:rsidRPr="005269E6">
        <w:rPr>
          <w:rtl/>
        </w:rPr>
        <w:tab/>
      </w:r>
      <w:r w:rsidRPr="005269E6">
        <w:rPr>
          <w:rtl/>
          <w:lang w:bidi="ar-SA"/>
        </w:rPr>
        <w:t>الالتزام باللوائح والقواعد المعمول بها في الاتحاد.</w:t>
      </w:r>
    </w:p>
    <w:p w14:paraId="1CD2330A" w14:textId="77777777" w:rsidR="00834B83" w:rsidRPr="005269E6" w:rsidRDefault="00834B83" w:rsidP="00834B83">
      <w:r w:rsidRPr="005269E6">
        <w:rPr>
          <w:rtl/>
        </w:rPr>
        <w:t>وينطبق بياني الحالي بشأن عمليات الرقابة الداخلية للاتحاد، كما ذكر أعلاه، على السنة المنتهية في 31 ديسمبر 2022 وحتى تاريخ الموافقة على البيانات المالية للاتحاد لعام 2022.</w:t>
      </w:r>
    </w:p>
    <w:p w14:paraId="46FCC5DF" w14:textId="77777777" w:rsidR="00834B83" w:rsidRPr="005269E6" w:rsidRDefault="00834B83" w:rsidP="00834B83">
      <w:pPr>
        <w:pStyle w:val="Headingb"/>
        <w:rPr>
          <w:lang w:bidi="ar-SY"/>
        </w:rPr>
      </w:pPr>
      <w:r w:rsidRPr="005269E6">
        <w:rPr>
          <w:rtl/>
          <w:lang w:bidi="ar-SY"/>
        </w:rPr>
        <w:t>إطار إدارة المخاطر والتحكم فيها</w:t>
      </w:r>
    </w:p>
    <w:p w14:paraId="6A3FE18A" w14:textId="77777777" w:rsidR="00834B83" w:rsidRPr="005269E6" w:rsidRDefault="00834B83" w:rsidP="00834B83">
      <w:r w:rsidRPr="005269E6">
        <w:rPr>
          <w:rtl/>
        </w:rPr>
        <w:t>منذ تولي منصب الأمينة العامة في 1 يناير 2023، عملت على ضمان أن يلبي نظام الضوابط الداخلية احتياجات الاتحاد على نحو أفضل في المستقبل. وسيستمر هذا العمل مع تطور احتياجات المنظمة. وعلى وجه الخصوص، وضعت خارطة طريق للتحول لضمان تحسين الوظائف الإدارية ووظائف الدعم والعمليات ذات الصلة والضوابط الداخلية تحسيناً ذا شأن خلال فترة ولايتي.</w:t>
      </w:r>
    </w:p>
    <w:p w14:paraId="2FBC49B2" w14:textId="77777777" w:rsidR="00834B83" w:rsidRPr="005269E6" w:rsidRDefault="00834B83" w:rsidP="00834B83">
      <w:r w:rsidRPr="005269E6">
        <w:rPr>
          <w:rtl/>
        </w:rPr>
        <w:t>وبالتوازي مع ذلك، وبعد موافقة مجلس الاتحاد في يوليو 2023، أقوم بإنشاء وحدة إشراف تشمل وظائف المراجعة الداخلية والتحقيقات والتقييم لمواصلة تحسين الضوابط وتعزيز الشفافية والمساءلة وتعزيز ثقافة التعلم والتطوير المستمرين للمنظمة.</w:t>
      </w:r>
    </w:p>
    <w:p w14:paraId="6563EDFB" w14:textId="77777777" w:rsidR="00834B83" w:rsidRPr="005269E6" w:rsidRDefault="00834B83" w:rsidP="00834B83">
      <w:pPr>
        <w:rPr>
          <w:spacing w:val="-2"/>
        </w:rPr>
      </w:pPr>
      <w:r w:rsidRPr="005269E6">
        <w:rPr>
          <w:spacing w:val="-2"/>
          <w:rtl/>
        </w:rPr>
        <w:t>وفقاً للوائح المالية (المادة 1)، في النظام الأساسي والنظام الإداري للموظفين، فوضتُ السلطة والمساءلة إلى المسؤولين المنتخبين ورؤساء الدوائر ورؤساء الشعب أو الوحدات. ولكل فرد في الاتحاد، بدرجات متفاوتة من المسؤولية، دور يؤديه في الرقابة الداخلية.</w:t>
      </w:r>
    </w:p>
    <w:p w14:paraId="45AD987D" w14:textId="77777777" w:rsidR="00834B83" w:rsidRPr="005269E6" w:rsidRDefault="00834B83" w:rsidP="00834B83">
      <w:pPr>
        <w:rPr>
          <w:spacing w:val="-2"/>
        </w:rPr>
      </w:pPr>
      <w:r w:rsidRPr="005269E6">
        <w:rPr>
          <w:spacing w:val="-2"/>
          <w:rtl/>
        </w:rPr>
        <w:t>ويضطلع المديرون التنفيذيون بالمسؤولية عن الاستعمال الفعال للضوابط الداخلية للأنشطة الخاضعة لسلطتهم وتحسينها. وأستمد تأكيداً من المسؤولين المنتخبين ورؤساء الدوائر ورؤساء الشعب والوحدات الذين يؤكدون، من خلال توقيع خطابات تمثيل داخلية، أنهم مارسوا على النحو الواجب السلطات والمسؤوليات المالية المفوَّضة إليهم وفقاً لإطار الرقابة الداخلية بالاتحاد، بما في ذلك إطاره التنظيمي. وعلاوةً على ذلك، أعقب هذه العملية استبيان تقييم ذاتي يركز على أهداف الرقابة الداخلية المذكورة أعلاه.</w:t>
      </w:r>
    </w:p>
    <w:p w14:paraId="2FBFD93D" w14:textId="77777777" w:rsidR="00834B83" w:rsidRPr="005269E6" w:rsidRDefault="00834B83" w:rsidP="00834B83">
      <w:pPr>
        <w:rPr>
          <w:spacing w:val="-2"/>
        </w:rPr>
      </w:pPr>
      <w:r w:rsidRPr="005269E6">
        <w:rPr>
          <w:spacing w:val="-2"/>
          <w:rtl/>
        </w:rPr>
        <w:t>ووافق المجلس في دورته في مارس 2022 على نموذج جديد لإطار المساءلة. ويجري تحسين لوحات إدارة المعلومات لتوفير بيانات الأعمال في الوقت الفعلي من تخطيط موارد المؤسسة (</w:t>
      </w:r>
      <w:r w:rsidRPr="005269E6">
        <w:rPr>
          <w:spacing w:val="-2"/>
        </w:rPr>
        <w:t>ERP</w:t>
      </w:r>
      <w:r w:rsidRPr="005269E6">
        <w:rPr>
          <w:spacing w:val="-2"/>
          <w:rtl/>
        </w:rPr>
        <w:t>) وتقارير أخرى، إلى جانب تحليلات الاتجاهات وتقارير أخرى. وسيجري تبادل هذه التقارير ومناقشتها بانتظام مع لجنة التنسيق (</w:t>
      </w:r>
      <w:r w:rsidRPr="005269E6">
        <w:rPr>
          <w:spacing w:val="-2"/>
        </w:rPr>
        <w:t>CoCo</w:t>
      </w:r>
      <w:r w:rsidRPr="005269E6">
        <w:rPr>
          <w:spacing w:val="-2"/>
          <w:rtl/>
        </w:rPr>
        <w:t>) وفريق تنسيق الإدارة (</w:t>
      </w:r>
      <w:r w:rsidRPr="005269E6">
        <w:rPr>
          <w:spacing w:val="-2"/>
        </w:rPr>
        <w:t>MCG</w:t>
      </w:r>
      <w:r w:rsidRPr="005269E6">
        <w:rPr>
          <w:spacing w:val="-2"/>
          <w:rtl/>
        </w:rPr>
        <w:t>) وهيئات الإشراف بالاتحاد.</w:t>
      </w:r>
    </w:p>
    <w:p w14:paraId="6DFDCD3A" w14:textId="77777777" w:rsidR="00834B83" w:rsidRPr="005269E6" w:rsidRDefault="00834B83" w:rsidP="00834B83">
      <w:r w:rsidRPr="005269E6">
        <w:rPr>
          <w:rtl/>
        </w:rPr>
        <w:t xml:space="preserve">وقد أصدرت وحدة المراجعة الداخلية ووحدة التفتيش المشتركة </w:t>
      </w:r>
      <w:r w:rsidRPr="005269E6">
        <w:rPr>
          <w:lang w:val="en-GB"/>
        </w:rPr>
        <w:t>(JIU)</w:t>
      </w:r>
      <w:r w:rsidRPr="005269E6">
        <w:rPr>
          <w:rtl/>
        </w:rPr>
        <w:t xml:space="preserve"> واللجنة الاستشارية المستقلة للإدارة (</w:t>
      </w:r>
      <w:r w:rsidRPr="005269E6">
        <w:t>IMAC</w:t>
      </w:r>
      <w:r w:rsidRPr="005269E6">
        <w:rPr>
          <w:rtl/>
        </w:rPr>
        <w:t>) والمراجعون الخارجيون التوصيات. وتنبع هذه التوصيات من استعراضات ومراجعات مستقلة بشأن الالتزام وفعالية المراقبة. وتشير الأمينة العامة إلى الحاجة لتعزيز الإشراف على ضمان تنفيذ هذه التوصيات في الوقت المناسب.</w:t>
      </w:r>
    </w:p>
    <w:p w14:paraId="3CB722A1" w14:textId="77777777" w:rsidR="00834B83" w:rsidRPr="005269E6" w:rsidRDefault="00834B83" w:rsidP="00834B83">
      <w:pPr>
        <w:pStyle w:val="Headingb"/>
        <w:rPr>
          <w:rtl/>
        </w:rPr>
      </w:pPr>
      <w:bookmarkStart w:id="48" w:name="_Toc358646814"/>
      <w:bookmarkStart w:id="49" w:name="_Toc358647126"/>
      <w:bookmarkStart w:id="50" w:name="_Toc358647185"/>
      <w:bookmarkStart w:id="51" w:name="_Toc358648394"/>
      <w:bookmarkStart w:id="52" w:name="_Toc358648593"/>
      <w:bookmarkStart w:id="53" w:name="_Toc452156587"/>
      <w:r w:rsidRPr="005269E6">
        <w:rPr>
          <w:rtl/>
        </w:rPr>
        <w:lastRenderedPageBreak/>
        <w:t>استعراض الفعالية</w:t>
      </w:r>
      <w:bookmarkEnd w:id="48"/>
      <w:bookmarkEnd w:id="49"/>
      <w:bookmarkEnd w:id="50"/>
      <w:bookmarkEnd w:id="51"/>
      <w:bookmarkEnd w:id="52"/>
      <w:bookmarkEnd w:id="53"/>
    </w:p>
    <w:p w14:paraId="58B85E5E" w14:textId="77777777" w:rsidR="00834B83" w:rsidRPr="005269E6" w:rsidRDefault="00834B83" w:rsidP="00834B83">
      <w:pPr>
        <w:rPr>
          <w:lang w:bidi="ar-SY"/>
        </w:rPr>
      </w:pPr>
      <w:r w:rsidRPr="005269E6">
        <w:rPr>
          <w:rtl/>
        </w:rPr>
        <w:t xml:space="preserve">في نوفمبر 2020، أنشأت إدارة الاتحاد لوحة </w:t>
      </w:r>
      <w:r w:rsidRPr="005269E6">
        <w:rPr>
          <w:rtl/>
          <w:lang w:bidi="ar"/>
        </w:rPr>
        <w:t>معلومات</w:t>
      </w:r>
      <w:r w:rsidRPr="005269E6">
        <w:rPr>
          <w:lang w:val="en" w:bidi="ar-SY"/>
        </w:rPr>
        <w:t xml:space="preserve"> </w:t>
      </w:r>
      <w:r w:rsidRPr="005269E6">
        <w:rPr>
          <w:rtl/>
          <w:lang w:bidi="ar"/>
        </w:rPr>
        <w:t>الالتزام</w:t>
      </w:r>
      <w:r w:rsidRPr="005269E6">
        <w:rPr>
          <w:lang w:val="en" w:bidi="ar-SY"/>
        </w:rPr>
        <w:t xml:space="preserve"> </w:t>
      </w:r>
      <w:r w:rsidRPr="005269E6">
        <w:rPr>
          <w:rtl/>
          <w:lang w:bidi="ar"/>
        </w:rPr>
        <w:t>المؤسسي</w:t>
      </w:r>
      <w:r w:rsidRPr="005269E6">
        <w:rPr>
          <w:lang w:val="en" w:bidi="ar-SY"/>
        </w:rPr>
        <w:t xml:space="preserve"> </w:t>
      </w:r>
      <w:r w:rsidRPr="005269E6">
        <w:rPr>
          <w:rtl/>
        </w:rPr>
        <w:t>لتتبع توصيات الإشراف المقدمة من المراجع الخارجي واللجنة الاستشارية المستقلة للإدارة ووحدة التفتيش المشتركة ووحدة المراجعة الداخلية. وتمكِّن هذه الأداة هيئات الإدارة والإشراف في الاتحاد من الحصول على معلومات مقارنة عن المخاطر المتعلقة بكل توصية، وامتلاك رؤية واضحة آنياً عن حالة التوصيات والتقدم المحرز في تنفيذها أو التدابير الرامية إلى التخفيف من المخاطر المتبقية. وفي نهاية عام 2022، بلغ معدل تنفيذ جميع التوصيات ذات الصلة الصادرة عن وحدة المراجعة الداخلية والمراجع الخارجي واللجنة الاستشارية المستقلة للإدارة 70 في المائة، بما في ذلك توصيات التدقيق الجنائي.</w:t>
      </w:r>
    </w:p>
    <w:p w14:paraId="34091ADC" w14:textId="77777777" w:rsidR="00834B83" w:rsidRPr="005269E6" w:rsidRDefault="00834B83" w:rsidP="00834B83">
      <w:pPr>
        <w:rPr>
          <w:rtl/>
        </w:rPr>
      </w:pPr>
      <w:r w:rsidRPr="005269E6">
        <w:rPr>
          <w:rtl/>
        </w:rPr>
        <w:t>وقد وُضع إطار لإدارة المخاطر بهدف التنبه للمخاطر التنظيمية الرئيسية. ولكن لم تُستكمل بعد عمليات إدارة المخاطر وتطوير الأنظمة ذات الصلة. وستتعين مواصلة هذا العمل خلال عام 2023 وما بعده كي يتسنى تحديد المخاطر والتحليل ذي الصلة وعمليات التخفيف من المخاطر.</w:t>
      </w:r>
    </w:p>
    <w:p w14:paraId="5C58342D" w14:textId="77777777" w:rsidR="00834B83" w:rsidRPr="005269E6" w:rsidRDefault="00834B83" w:rsidP="00834B83">
      <w:pPr>
        <w:rPr>
          <w:rtl/>
          <w:lang w:bidi="ar-SY"/>
        </w:rPr>
      </w:pPr>
      <w:r w:rsidRPr="005269E6">
        <w:rPr>
          <w:rtl/>
        </w:rPr>
        <w:t xml:space="preserve">وصدر في </w:t>
      </w:r>
      <w:r w:rsidRPr="005269E6">
        <w:t>2</w:t>
      </w:r>
      <w:r w:rsidRPr="005269E6">
        <w:rPr>
          <w:rtl/>
          <w:lang w:bidi="ar-EG"/>
        </w:rPr>
        <w:t xml:space="preserve"> مايو </w:t>
      </w:r>
      <w:r w:rsidRPr="005269E6">
        <w:rPr>
          <w:lang w:bidi="ar-EG"/>
        </w:rPr>
        <w:t>2019</w:t>
      </w:r>
      <w:r w:rsidRPr="005269E6">
        <w:rPr>
          <w:rtl/>
          <w:lang w:bidi="ar-EG"/>
        </w:rPr>
        <w:t xml:space="preserve"> أمر إداري (رقم </w:t>
      </w:r>
      <w:r w:rsidRPr="005269E6">
        <w:rPr>
          <w:lang w:bidi="ar-EG"/>
        </w:rPr>
        <w:t>19/09</w:t>
      </w:r>
      <w:r w:rsidRPr="005269E6">
        <w:rPr>
          <w:rtl/>
          <w:lang w:bidi="ar-EG"/>
        </w:rPr>
        <w:t xml:space="preserve">) بشأن السياسة العامة للاتحاد لمكافحة الممارسات الاحتيالية وغيرها من الممارسات المحظورة ("السياسة العامة")، وهو يعرض بشكل عام المبادئ والإجراءات الرامية لمنع الممارسات الاحتيالية وغيرها من الممارسات المحظورة وكشفها والتصدي لها. </w:t>
      </w:r>
      <w:r w:rsidRPr="005269E6">
        <w:rPr>
          <w:rtl/>
          <w:lang w:bidi="ar-SY"/>
        </w:rPr>
        <w:t>وتعبِّر هذه السياسة عن التزام الاتحاد بدعم أعلى معايير الأخلاقيات والشفافية والمساءلة، مبيِّنةً أن على موظفي الاتحاد واجب الإبلاغ عن المعلومات أو الأدلة لدعم أي اشتباه معقول في الاحتيال والفساد والممارسات المحظورة الأخرى، وحمايتهم من الانتقام عند القيام بذلك.</w:t>
      </w:r>
    </w:p>
    <w:p w14:paraId="3ED67C69" w14:textId="77777777" w:rsidR="00834B83" w:rsidRPr="005269E6" w:rsidRDefault="00834B83" w:rsidP="00834B83">
      <w:pPr>
        <w:rPr>
          <w:rtl/>
          <w:lang w:bidi="ar-EG"/>
        </w:rPr>
      </w:pPr>
      <w:r w:rsidRPr="005269E6">
        <w:rPr>
          <w:rtl/>
          <w:lang w:bidi="ar-SY"/>
        </w:rPr>
        <w:t xml:space="preserve">ويتضمن أمر الخدمة (رقم </w:t>
      </w:r>
      <w:r w:rsidRPr="005269E6">
        <w:rPr>
          <w:lang w:bidi="ar-SY"/>
        </w:rPr>
        <w:t>19/10</w:t>
      </w:r>
      <w:r w:rsidRPr="005269E6">
        <w:rPr>
          <w:rtl/>
          <w:lang w:bidi="ar-SY"/>
        </w:rPr>
        <w:t>) الصادر في 2 مايو 2019 بشأن المبادئ التوجيهية للتحقيق في الاتحاد، إجراءات لإجراء تحقيق، بما في ذلك خطوات لمنع الكشف غير المجاز عن معلومات مكتومة وضمان التصدي الفوري لحالات الاحتيال المزعومة. ولكن تدعو الحاجة لمراجعة هذه المبادئ التوجيهية لأن عمليات التحقيق ستعدَّل لدى إنشاء وحدة الإشراف.</w:t>
      </w:r>
    </w:p>
    <w:p w14:paraId="456FAEB9" w14:textId="260CC1A2" w:rsidR="00834B83" w:rsidRPr="005269E6" w:rsidRDefault="00834B83" w:rsidP="00834B83">
      <w:pPr>
        <w:rPr>
          <w:rtl/>
          <w:lang w:bidi="ar-EG"/>
        </w:rPr>
      </w:pPr>
      <w:r w:rsidRPr="005269E6">
        <w:rPr>
          <w:rtl/>
        </w:rPr>
        <w:t>وفي عام 2022، واصل فريق العمل المعني بعمليات الرقابة الداخلية</w:t>
      </w:r>
      <w:r w:rsidRPr="005269E6">
        <w:rPr>
          <w:rtl/>
          <w:lang w:bidi="ar-EG"/>
        </w:rPr>
        <w:t>، المُنشأ عام 2019،</w:t>
      </w:r>
      <w:r w:rsidRPr="005269E6">
        <w:rPr>
          <w:rtl/>
        </w:rPr>
        <w:t xml:space="preserve"> أعماله من أجل تعزيز الرقابة الداخلية لمكتب تنمية الاتصالات (في المقر والمكاتب الإقليمية/مكاتب المناطق) بمشاركة جميع أصحاب المصلحة المعنيين من مكتب تنمية الاتصالات ودوائر الأمانة العامة. </w:t>
      </w:r>
      <w:r w:rsidRPr="005269E6">
        <w:rPr>
          <w:rtl/>
          <w:lang w:bidi="ar-SY"/>
        </w:rPr>
        <w:t>وتمثلت ولاية الفريق في تنسيق وضع وتنفيذ خطة عمل لمكتب تنمية الاتصالات والخدمات الأخرى ذات الصلة في الأمانة العامة، ومعالجة جميع النتائج/التوصيات الأولية الصادرة عن المراجعة الداخلية والخارجية. وكجزء من التوصيات، نُفِّذت الأنظمة والتدابير التالية:</w:t>
      </w:r>
    </w:p>
    <w:p w14:paraId="688EBC3B" w14:textId="77777777" w:rsidR="00834B83" w:rsidRPr="005269E6" w:rsidRDefault="00834B83" w:rsidP="00834B83">
      <w:pPr>
        <w:pStyle w:val="enumlev1"/>
        <w:rPr>
          <w:rtl/>
        </w:rPr>
      </w:pPr>
      <w:r w:rsidRPr="005269E6">
        <w:sym w:font="Symbol" w:char="F0B7"/>
      </w:r>
      <w:r w:rsidRPr="005269E6">
        <w:rPr>
          <w:rtl/>
        </w:rPr>
        <w:tab/>
        <w:t>نظام التوظيف الإلكتروني الجديد والإجراءات التنافسية لاختيار الاستشاريين؛</w:t>
      </w:r>
    </w:p>
    <w:p w14:paraId="46D81925" w14:textId="77777777" w:rsidR="00834B83" w:rsidRPr="005269E6" w:rsidRDefault="00834B83" w:rsidP="00834B83">
      <w:pPr>
        <w:pStyle w:val="enumlev1"/>
        <w:rPr>
          <w:rtl/>
        </w:rPr>
      </w:pPr>
      <w:r w:rsidRPr="005269E6">
        <w:sym w:font="Symbol" w:char="F0B7"/>
      </w:r>
      <w:r w:rsidRPr="005269E6">
        <w:rPr>
          <w:rtl/>
        </w:rPr>
        <w:tab/>
        <w:t>تحسين إدارة ومراقبة استخدام الاستشاريين؛</w:t>
      </w:r>
    </w:p>
    <w:p w14:paraId="6B4987FD" w14:textId="77777777" w:rsidR="00834B83" w:rsidRPr="005269E6" w:rsidRDefault="00834B83" w:rsidP="00834B83">
      <w:pPr>
        <w:pStyle w:val="enumlev1"/>
        <w:rPr>
          <w:rtl/>
        </w:rPr>
      </w:pPr>
      <w:r w:rsidRPr="005269E6">
        <w:sym w:font="Symbol" w:char="F0B7"/>
      </w:r>
      <w:r w:rsidRPr="005269E6">
        <w:rPr>
          <w:rtl/>
        </w:rPr>
        <w:tab/>
        <w:t>الأنظمة المشتركة لتكنولوجيا المعلومات في مكتب تنمية الاتصالات؛</w:t>
      </w:r>
    </w:p>
    <w:p w14:paraId="7EF2F628" w14:textId="77777777" w:rsidR="00834B83" w:rsidRPr="005269E6" w:rsidRDefault="00834B83" w:rsidP="00834B83">
      <w:pPr>
        <w:pStyle w:val="enumlev1"/>
        <w:rPr>
          <w:rtl/>
        </w:rPr>
      </w:pPr>
      <w:r w:rsidRPr="005269E6">
        <w:sym w:font="Symbol" w:char="F0B7"/>
      </w:r>
      <w:r w:rsidRPr="005269E6">
        <w:rPr>
          <w:rtl/>
        </w:rPr>
        <w:tab/>
        <w:t>إطار المساءلة.</w:t>
      </w:r>
    </w:p>
    <w:p w14:paraId="49DA6979" w14:textId="77777777" w:rsidR="00834B83" w:rsidRPr="005269E6" w:rsidRDefault="00834B83" w:rsidP="00834B83">
      <w:r w:rsidRPr="005269E6">
        <w:rPr>
          <w:rtl/>
          <w:lang w:bidi="ar-SY"/>
        </w:rPr>
        <w:t>وخلال عام 2022، اضطلعت وحدة التحقيق بالأنشطة التالية:</w:t>
      </w:r>
    </w:p>
    <w:p w14:paraId="5B0D140F" w14:textId="77777777" w:rsidR="00834B83" w:rsidRPr="005269E6" w:rsidRDefault="00834B83" w:rsidP="00834B83">
      <w:pPr>
        <w:pStyle w:val="enumlev1"/>
        <w:rPr>
          <w:rtl/>
        </w:rPr>
      </w:pPr>
      <w:r w:rsidRPr="005269E6">
        <w:rPr>
          <w:rtl/>
        </w:rPr>
        <w:t xml:space="preserve"> أ )</w:t>
      </w:r>
      <w:r w:rsidRPr="005269E6">
        <w:rPr>
          <w:rtl/>
        </w:rPr>
        <w:tab/>
        <w:t xml:space="preserve">أُسنِدت إلى وحدة التحقيق تسع حالات معلقة مُرحّلة من عام </w:t>
      </w:r>
      <w:r w:rsidRPr="005269E6">
        <w:t>2021</w:t>
      </w:r>
      <w:r w:rsidRPr="005269E6">
        <w:rPr>
          <w:rtl/>
        </w:rPr>
        <w:t xml:space="preserve"> وأربع حالات جديدة. ومن بين الحالات التسع التي أُغلقت، كانت سبع حالات غير مثبتة بأدلة وأحيلت الحالتان المتبقيتان إلى الأمينة العامة لاتخاذ إجراءات تأديبية.</w:t>
      </w:r>
    </w:p>
    <w:p w14:paraId="1FC759C5" w14:textId="77777777" w:rsidR="00834B83" w:rsidRPr="005269E6" w:rsidRDefault="00834B83" w:rsidP="00834B83">
      <w:pPr>
        <w:pStyle w:val="enumlev1"/>
      </w:pPr>
      <w:r w:rsidRPr="005269E6">
        <w:rPr>
          <w:rtl/>
        </w:rPr>
        <w:t>ب)</w:t>
      </w:r>
      <w:r w:rsidRPr="005269E6">
        <w:rPr>
          <w:rtl/>
        </w:rPr>
        <w:tab/>
        <w:t xml:space="preserve">ولم يكن في أي من الحالات التي تم التحقيق فيها أي احتيال مالي مثبت بأدلة ويمس الاتحاد، مما كان سيتطلب من وحدة التحقيق إبلاغ مراجع الحسابات الخارجي به (وفقاً للمادة </w:t>
      </w:r>
      <w:r w:rsidRPr="005269E6">
        <w:t>9.28</w:t>
      </w:r>
      <w:r w:rsidRPr="005269E6">
        <w:rPr>
          <w:rtl/>
        </w:rPr>
        <w:t xml:space="preserve"> من اللوائح المالية للاتحاد). ولم تُلاحَظ أي خسارة مالية في أي من الحالات التي تم البت فيها.</w:t>
      </w:r>
    </w:p>
    <w:p w14:paraId="3DCB97A2" w14:textId="77777777" w:rsidR="00834B83" w:rsidRPr="005269E6" w:rsidRDefault="00834B83" w:rsidP="00834B83">
      <w:r w:rsidRPr="005269E6">
        <w:rPr>
          <w:rtl/>
        </w:rPr>
        <w:t>وقدم المراجعون الخارجيون عدة توصيات تتعلق بالضوابط الداخلية. وجميع التوصيات التي قدمها المراجعون الخارجيون للحسابات في الاتحاد مسجلة في لوحات معلومات الالتزام في الاتحاد ويعاد تقييمها، في حين يجري استعراض خطط العمل حسب الاقتضاء لمعالجة أي مواطن ضعف محددة لضمان التحسين المستمر. وسيقوم فريق العمل التابع للمجلس والمعني بالموارد المالية والبشرية (</w:t>
      </w:r>
      <w:r w:rsidRPr="005269E6">
        <w:rPr>
          <w:lang w:bidi="ar-SY"/>
        </w:rPr>
        <w:t>CWG-FHR</w:t>
      </w:r>
      <w:r w:rsidRPr="005269E6">
        <w:rPr>
          <w:rtl/>
        </w:rPr>
        <w:t>) بمتابعة ردود الإدارة على هذه التوصيات.</w:t>
      </w:r>
    </w:p>
    <w:p w14:paraId="4684FD1D" w14:textId="77777777" w:rsidR="00834B83" w:rsidRPr="005269E6" w:rsidRDefault="00834B83" w:rsidP="00834B83">
      <w:r w:rsidRPr="005269E6">
        <w:rPr>
          <w:rtl/>
        </w:rPr>
        <w:t>وأخذت علماً بالنتائج التي توصل إليها المراجع الداخلي فيما يتعلق بالحاجة إلى تحسين الإدارة وإدارة المخاطر وفعالية عدة ضوابط في عدد من المجالات المشمولة بالمراجعة. وقد اتُخذت إجراءات وسيستمر اتخاذها لتعزيز الضوابط الداخلية والحد من المخاطر في المقر الرئيسي والمكاتب الميدانية.</w:t>
      </w:r>
    </w:p>
    <w:p w14:paraId="76EF2483" w14:textId="77777777" w:rsidR="00834B83" w:rsidRPr="005269E6" w:rsidRDefault="00834B83" w:rsidP="00834B83">
      <w:r w:rsidRPr="005269E6">
        <w:rPr>
          <w:rtl/>
          <w:lang w:bidi="ar-EG"/>
        </w:rPr>
        <w:lastRenderedPageBreak/>
        <w:t xml:space="preserve">كما أنني أُحاط علماً من جانب اللجنة الاستشارية المستقلة للإدارة </w:t>
      </w:r>
      <w:r w:rsidRPr="005269E6">
        <w:rPr>
          <w:lang w:bidi="ar-EG"/>
        </w:rPr>
        <w:t>(IMAC)</w:t>
      </w:r>
      <w:r w:rsidRPr="005269E6">
        <w:rPr>
          <w:rtl/>
          <w:lang w:bidi="ar-EG"/>
        </w:rPr>
        <w:t xml:space="preserve"> التي تعمل بصفة هيئة خبراء استشارية وتساعد الأمينة العامة والمجلس في النهوض بمسؤولياتهما في مجال الإشراف الإداري، بما في ذلك ضمان فعالية أنظمة الرقابة الداخلية في الاتحاد، وعمليات إدارة المخاطر والإشراف الإداري.</w:t>
      </w:r>
    </w:p>
    <w:p w14:paraId="4F58B3C5" w14:textId="77777777" w:rsidR="00834B83" w:rsidRPr="005269E6" w:rsidRDefault="00834B83" w:rsidP="00834B83">
      <w:r w:rsidRPr="005269E6">
        <w:rPr>
          <w:rtl/>
        </w:rPr>
        <w:t>وتحت إشراف نائب الأمينة العامة، في عام 2023، يعاد تقييم الوظائف المؤسسية الرئيسية، بما في ذلك إدارة مخاطر الأعمال وذكاء الأعمال والقدرات التحليلية، بغية إنشاء وظيفة موحدة لإدارة المخاطر والرقابة الداخلية والالتزام، وتوسيع نطاق عمل فريق العمل المعني بالضوابط الداخلية (</w:t>
      </w:r>
      <w:r w:rsidRPr="005269E6">
        <w:t>WGIC</w:t>
      </w:r>
      <w:r w:rsidRPr="005269E6">
        <w:rPr>
          <w:rtl/>
        </w:rPr>
        <w:t>) في المنظمة بأكملها.</w:t>
      </w:r>
    </w:p>
    <w:p w14:paraId="18F561EA" w14:textId="77777777" w:rsidR="00834B83" w:rsidRPr="005269E6" w:rsidRDefault="00834B83" w:rsidP="00834B83">
      <w:pPr>
        <w:pStyle w:val="Headingb"/>
      </w:pPr>
      <w:r w:rsidRPr="005269E6">
        <w:rPr>
          <w:rtl/>
          <w:lang w:bidi="ar-SY"/>
        </w:rPr>
        <w:t>قضايا الرقابة الداخلية الناشئة خلال السنة</w:t>
      </w:r>
    </w:p>
    <w:p w14:paraId="18B9FD37" w14:textId="77777777" w:rsidR="00834B83" w:rsidRPr="005269E6" w:rsidRDefault="00834B83" w:rsidP="00834B83">
      <w:r w:rsidRPr="005269E6">
        <w:rPr>
          <w:rtl/>
          <w:lang w:bidi="ar-SY"/>
        </w:rPr>
        <w:t>اعتبرت الردود التي قدمها المسؤولون المنتخبون ورؤساء الدوائر ورؤساء الشعب والوحدات أن استبيان التقييم الذاتي لعام 2022 الذي يدعم خطاب التمثيل أثبت قيمته في تحديد فرص التحسين. وتجدر الإشارة إلى ما يلي:</w:t>
      </w:r>
    </w:p>
    <w:p w14:paraId="3233EB17" w14:textId="77777777" w:rsidR="00834B83" w:rsidRPr="005269E6" w:rsidRDefault="00834B83" w:rsidP="00834B83">
      <w:pPr>
        <w:pStyle w:val="enumlev1"/>
        <w:rPr>
          <w:rtl/>
        </w:rPr>
      </w:pPr>
      <w:r w:rsidRPr="005269E6">
        <w:rPr>
          <w:rtl/>
        </w:rPr>
        <w:t>أ )</w:t>
      </w:r>
      <w:r w:rsidRPr="005269E6">
        <w:rPr>
          <w:rtl/>
        </w:rPr>
        <w:tab/>
        <w:t xml:space="preserve">في عام 2014، قرر الأمين العام في ذلك الوقت أنه وفقاً للمادة </w:t>
      </w:r>
      <w:r w:rsidRPr="005269E6">
        <w:t>4.10</w:t>
      </w:r>
      <w:r w:rsidRPr="005269E6">
        <w:rPr>
          <w:rtl/>
        </w:rPr>
        <w:t xml:space="preserve"> من اللائحة المالية ("يجوز للأمين العام أن يدفع الإكراميات التي يرى أن مصلحة الاتحاد تقتضيها. ويجب تقديم بيان بهذه المدفوعات في تقرير الإدارة المالية.")، سيتم دفع مبلغ تقديري يعادل شهرين من الراتب الأساسي لكل فترة خدم فيها إلى أي مسؤول منتخب عند انتهاء خدمته. وفي حالة الأمين العام المنتهية ولايته، تحدد هذا المبلغ التقديري بحد أقصى ستة أشهر من الراتب الأساسي. وقد استمرت هذه الممارسة في عامَي 2018 و2022. ونتيجةً لذلك، تم دفع المبالغ التقديرية التالية للمسؤولين المنتخبين المنتهية ولايتهم منذ عام 2014:</w:t>
      </w:r>
    </w:p>
    <w:p w14:paraId="0CCEAF78" w14:textId="77777777" w:rsidR="00834B83" w:rsidRPr="005269E6" w:rsidRDefault="00834B83" w:rsidP="00834B83">
      <w:pPr>
        <w:pStyle w:val="enumlev2"/>
        <w:rPr>
          <w:spacing w:val="-4"/>
          <w:lang w:bidi="ar-EG"/>
        </w:rPr>
      </w:pPr>
      <w:r w:rsidRPr="005269E6">
        <w:rPr>
          <w:spacing w:val="-4"/>
          <w:lang w:bidi="ar-EG"/>
        </w:rPr>
        <w:sym w:font="Symbol" w:char="F0B7"/>
      </w:r>
      <w:r w:rsidRPr="005269E6">
        <w:rPr>
          <w:spacing w:val="-4"/>
          <w:lang w:bidi="ar-EG"/>
        </w:rPr>
        <w:tab/>
      </w:r>
      <w:r w:rsidRPr="005269E6">
        <w:rPr>
          <w:spacing w:val="-4"/>
          <w:rtl/>
          <w:lang w:bidi="ar-EG"/>
        </w:rPr>
        <w:t xml:space="preserve">في عام 2014: تلقى الأمين العام إكرامية تعادل ستة أشهر من آخر راتب أساسي له أو </w:t>
      </w:r>
      <w:r w:rsidRPr="005269E6">
        <w:rPr>
          <w:spacing w:val="-4"/>
          <w:lang w:bidi="ar-EG"/>
        </w:rPr>
        <w:t>79 698</w:t>
      </w:r>
      <w:r w:rsidRPr="005269E6">
        <w:rPr>
          <w:spacing w:val="-4"/>
          <w:rtl/>
          <w:lang w:bidi="ar-EG"/>
        </w:rPr>
        <w:t xml:space="preserve"> فرنكاً سويسرياً؛</w:t>
      </w:r>
    </w:p>
    <w:p w14:paraId="702E4776" w14:textId="77777777" w:rsidR="00834B83" w:rsidRPr="005269E6" w:rsidRDefault="00834B83" w:rsidP="00834B83">
      <w:pPr>
        <w:pStyle w:val="enumlev2"/>
        <w:rPr>
          <w:lang w:bidi="ar-EG"/>
        </w:rPr>
      </w:pPr>
      <w:r w:rsidRPr="005269E6">
        <w:rPr>
          <w:lang w:bidi="ar-EG"/>
        </w:rPr>
        <w:sym w:font="Symbol" w:char="F0B7"/>
      </w:r>
      <w:r w:rsidRPr="005269E6">
        <w:rPr>
          <w:lang w:bidi="ar-EG"/>
        </w:rPr>
        <w:tab/>
      </w:r>
      <w:r w:rsidRPr="005269E6">
        <w:rPr>
          <w:rtl/>
          <w:lang w:bidi="ar-EG"/>
        </w:rPr>
        <w:t xml:space="preserve">في عام 2018: تلقى كل من مديري مكتبي الاتصالات الراديوية وتنمية الاتصالات مبلغاً يعادل أربعة أشهر من آخر راتب أساسي له أو </w:t>
      </w:r>
      <w:r w:rsidRPr="005269E6">
        <w:rPr>
          <w:lang w:bidi="ar-EG"/>
        </w:rPr>
        <w:t>52 092</w:t>
      </w:r>
      <w:r w:rsidRPr="005269E6">
        <w:rPr>
          <w:rtl/>
          <w:lang w:bidi="ar-EG"/>
        </w:rPr>
        <w:t xml:space="preserve"> فرنكاً سويسرياً لكل منهما؛</w:t>
      </w:r>
    </w:p>
    <w:p w14:paraId="3A7874E6" w14:textId="63590AE1" w:rsidR="00834B83" w:rsidRPr="005269E6" w:rsidRDefault="00834B83" w:rsidP="00A00F80">
      <w:pPr>
        <w:pStyle w:val="enumlev2"/>
        <w:rPr>
          <w:rtl/>
          <w:lang w:bidi="ar-EG"/>
        </w:rPr>
      </w:pPr>
      <w:r w:rsidRPr="005269E6">
        <w:rPr>
          <w:lang w:bidi="ar-EG"/>
        </w:rPr>
        <w:sym w:font="Symbol" w:char="F0B7"/>
      </w:r>
      <w:r w:rsidRPr="005269E6">
        <w:rPr>
          <w:lang w:bidi="ar-EG"/>
        </w:rPr>
        <w:tab/>
      </w:r>
      <w:r w:rsidRPr="005269E6">
        <w:rPr>
          <w:rtl/>
          <w:lang w:bidi="ar-EG"/>
        </w:rPr>
        <w:t xml:space="preserve">في عام 2022: تلقى الأمين العام مبلغاً يعادل ستة أشهر من آخر راتب أساسي له أو 701 83 فرنك سويسري؛ وحصل نائب الأمين العام على مبلغ يعادل ستة أشهر من آخر راتب أساسي له أو 830 76 فرنكاً سويسرياً </w:t>
      </w:r>
      <w:r w:rsidR="00A00F80" w:rsidRPr="005269E6">
        <w:rPr>
          <w:rFonts w:hint="cs"/>
          <w:rtl/>
        </w:rPr>
        <w:t xml:space="preserve">(خُصم منه مبلغٌ مجموعه </w:t>
      </w:r>
      <w:r w:rsidR="00A00F80" w:rsidRPr="005269E6">
        <w:t>3 528</w:t>
      </w:r>
      <w:r w:rsidR="00A00F80" w:rsidRPr="005269E6">
        <w:rPr>
          <w:rFonts w:hint="cs"/>
          <w:rtl/>
        </w:rPr>
        <w:t xml:space="preserve"> فرنكاً سويسرياً لقاء</w:t>
      </w:r>
      <w:r w:rsidR="00A00F80" w:rsidRPr="005269E6">
        <w:rPr>
          <w:rtl/>
        </w:rPr>
        <w:t xml:space="preserve"> شراء معدات تكنولوجيا المعلومات</w:t>
      </w:r>
      <w:r w:rsidR="00A00F80" w:rsidRPr="005269E6">
        <w:rPr>
          <w:rFonts w:hint="cs"/>
          <w:rtl/>
        </w:rPr>
        <w:t>)</w:t>
      </w:r>
      <w:r w:rsidRPr="005269E6">
        <w:rPr>
          <w:rtl/>
          <w:lang w:bidi="ar-EG"/>
        </w:rPr>
        <w:t xml:space="preserve">؛ وتلقى مدير مكتب تقييس الاتصالات مبلغاً يعادل أربعة أشهر من آخر راتب أساسي له أو </w:t>
      </w:r>
      <w:r w:rsidRPr="005269E6">
        <w:rPr>
          <w:lang w:bidi="ar-EG"/>
        </w:rPr>
        <w:t>51 220</w:t>
      </w:r>
      <w:r w:rsidRPr="005269E6">
        <w:rPr>
          <w:rtl/>
          <w:lang w:bidi="ar-EG"/>
        </w:rPr>
        <w:t xml:space="preserve"> فرنكاً سويسرياً.</w:t>
      </w:r>
    </w:p>
    <w:p w14:paraId="3A297F49" w14:textId="77777777" w:rsidR="00834B83" w:rsidRPr="005269E6" w:rsidRDefault="00834B83" w:rsidP="00834B83">
      <w:pPr>
        <w:rPr>
          <w:rtl/>
          <w:lang w:bidi="ar-EG"/>
        </w:rPr>
      </w:pPr>
      <w:r w:rsidRPr="005269E6">
        <w:rPr>
          <w:rtl/>
          <w:lang w:bidi="ar-EG"/>
        </w:rPr>
        <w:t xml:space="preserve">وفي فبراير 2023، لفت أحد المُبلغين عن المخالفات الانتباه حول هذه القضية، ورفعها إلى عناية الأمينة العامة، ومكتب الأخلاقيات والهيئات الرقابية الأخرى إليها. وبعد التشاور مع المستشار القانوني للاتحاد، لتحديد ما إذا كان هناك أساس قانوني لهذه المدفوعات بموجب اللوائح المالية والنظام الساسي للموظفين في الاتحاد، تم التأكيد على أن هذه المدفوعات لا تتماشى مع تعريف الإكراميات المنصوص عليه في اللوائح المالية للاتحاد، لأنها لم تكن ضرورية ولا مفيدة للاتحاد. وقررت الأمينة العامة، عقب مشاورات مع اللجنة الاستشارية المستقلة للإدارة والمراجعين الخارجيين للحسابات، إلغاء عملية الدفع هذه على الفور. </w:t>
      </w:r>
      <w:r w:rsidRPr="005269E6">
        <w:rPr>
          <w:rtl/>
          <w:lang w:bidi="ar-SY"/>
        </w:rPr>
        <w:t>وقد أخذت علماً بتوصيف المراجع الخارجي فيما يتعلق بهذه المعاملات.</w:t>
      </w:r>
    </w:p>
    <w:p w14:paraId="6504E44A" w14:textId="77777777" w:rsidR="00834B83" w:rsidRPr="005269E6" w:rsidRDefault="00834B83" w:rsidP="00834B83">
      <w:pPr>
        <w:rPr>
          <w:rtl/>
          <w:lang w:bidi="ar-EG"/>
        </w:rPr>
      </w:pPr>
      <w:r w:rsidRPr="005269E6">
        <w:rPr>
          <w:rtl/>
        </w:rPr>
        <w:t>وقد عرضت الأمينة العامة هذه المسألة على المجلس كي يعلم بها ويقدم توجيهاته بشأنها. وعلاوةً على ذلك، وبغية تعزيز الإدارة الرشيدة وآليات الرقابة ضمن الاتحاد، استنسبت الأمينة العامة أن يُقترح على المجلس إلغاء المادة 4.10 المتعلقة بهذه المدفوعات، بأثر فوري، وتمت الموافقة على ذلك؛</w:t>
      </w:r>
    </w:p>
    <w:p w14:paraId="07B6E3BF" w14:textId="77777777" w:rsidR="00834B83" w:rsidRPr="005269E6" w:rsidRDefault="00834B83" w:rsidP="00834B83">
      <w:pPr>
        <w:pStyle w:val="enumlev1"/>
        <w:rPr>
          <w:rtl/>
        </w:rPr>
      </w:pPr>
      <w:r w:rsidRPr="005269E6">
        <w:rPr>
          <w:rtl/>
        </w:rPr>
        <w:t>ب)</w:t>
      </w:r>
      <w:r w:rsidRPr="005269E6">
        <w:rPr>
          <w:rtl/>
        </w:rPr>
        <w:tab/>
        <w:t>وقد نوقش مشروع المبنى الجديد في دورة المجلس في يوليو 2023 وفي الدورة الإضافية للمجلس في أكتوبر. واضطلعت الأمانة بالتدابير اللازمة لإعادة تقييم خطط التصميم والخطط التقنية القائمة للمبنى الجديد، في حدود المعلمات العامة التي مُنح بموجبها تصريح المبنى، وذلك بهدف مواءمة تكاليف المشروع قدر الإمكان مع الميزانية المعتمدة حالياً.</w:t>
      </w:r>
      <w:r w:rsidRPr="005269E6">
        <w:rPr>
          <w:rFonts w:ascii="Arial" w:hAnsi="Arial" w:cs="Arial" w:hint="cs"/>
          <w:rtl/>
        </w:rPr>
        <w:t>‬</w:t>
      </w:r>
      <w:r w:rsidRPr="005269E6">
        <w:rPr>
          <w:rtl/>
        </w:rPr>
        <w:t xml:space="preserve"> وأكدت هذه العملية أن تقليص النطاق في إطار التصميم الحالي للمشروع لن يؤدي إلى تحقيق كفاءة كبيرة في المشاريع. ودعت الدورة الإضافية للمجلس التي عقدت في أكتوبر 2023 الأمانة إلى اتخاذ إجراءات في الوقت المناسب بشأن سيناريوهين: أ ) </w:t>
      </w:r>
      <w:r w:rsidRPr="005269E6">
        <w:rPr>
          <w:rtl/>
          <w:lang w:bidi="ar-SA"/>
        </w:rPr>
        <w:t>استقصاء</w:t>
      </w:r>
      <w:r w:rsidRPr="005269E6">
        <w:rPr>
          <w:rtl/>
        </w:rPr>
        <w:t xml:space="preserve"> كيفية تأمين التمويل اللازم لتجاوز الميزانية، وب) استقصاء كيفية إعادة توجيه التصميم ليناسب الميزانية</w:t>
      </w:r>
      <w:r w:rsidRPr="005269E6">
        <w:rPr>
          <w:rtl/>
          <w:lang w:bidi="ar-SA"/>
        </w:rPr>
        <w:t xml:space="preserve"> </w:t>
      </w:r>
      <w:r w:rsidRPr="005269E6">
        <w:rPr>
          <w:rtl/>
        </w:rPr>
        <w:t xml:space="preserve">المعتمدة المتبقية. </w:t>
      </w:r>
      <w:r w:rsidRPr="005269E6">
        <w:rPr>
          <w:rtl/>
          <w:lang w:bidi="ar-SA"/>
        </w:rPr>
        <w:t>وستراقَب</w:t>
      </w:r>
      <w:r w:rsidRPr="005269E6">
        <w:rPr>
          <w:rtl/>
        </w:rPr>
        <w:t xml:space="preserve"> الأنشطة الجارية وفقاً لتوصيات المجلس لضمان إمكانية تنفيذ حل </w:t>
      </w:r>
      <w:r w:rsidRPr="005269E6">
        <w:rPr>
          <w:rtl/>
          <w:lang w:bidi="ar-SA"/>
        </w:rPr>
        <w:t>ذي</w:t>
      </w:r>
      <w:r w:rsidRPr="005269E6">
        <w:rPr>
          <w:rtl/>
        </w:rPr>
        <w:t xml:space="preserve"> تكلفة</w:t>
      </w:r>
      <w:r w:rsidRPr="005269E6">
        <w:rPr>
          <w:rtl/>
          <w:lang w:bidi="ar-SA"/>
        </w:rPr>
        <w:t xml:space="preserve"> مجزية</w:t>
      </w:r>
      <w:r w:rsidRPr="005269E6">
        <w:rPr>
          <w:rtl/>
        </w:rPr>
        <w:t xml:space="preserve"> في الوقت المناسب؛</w:t>
      </w:r>
    </w:p>
    <w:p w14:paraId="0E4BC957" w14:textId="77777777" w:rsidR="00834B83" w:rsidRPr="005269E6" w:rsidRDefault="00834B83" w:rsidP="00834B83">
      <w:pPr>
        <w:pStyle w:val="enumlev1"/>
        <w:rPr>
          <w:rtl/>
          <w:lang w:bidi="ar-EG"/>
        </w:rPr>
      </w:pPr>
      <w:r w:rsidRPr="005269E6">
        <w:rPr>
          <w:rtl/>
          <w:lang w:bidi="ar-EG"/>
        </w:rPr>
        <w:lastRenderedPageBreak/>
        <w:t>ج)</w:t>
      </w:r>
      <w:r w:rsidRPr="005269E6">
        <w:rPr>
          <w:rtl/>
          <w:lang w:bidi="ar-EG"/>
        </w:rPr>
        <w:tab/>
      </w:r>
      <w:r w:rsidRPr="005269E6">
        <w:rPr>
          <w:rtl/>
          <w:lang w:bidi="ar-SA"/>
        </w:rPr>
        <w:t>يُتطلب</w:t>
      </w:r>
      <w:r w:rsidRPr="005269E6">
        <w:rPr>
          <w:rtl/>
        </w:rPr>
        <w:t xml:space="preserve"> استكمال تطوير عمليات إدارة المخاطر وصيانة سجلات المخاطر في المنظمة</w:t>
      </w:r>
      <w:r w:rsidRPr="005269E6">
        <w:rPr>
          <w:rtl/>
          <w:lang w:bidi="ar-SA"/>
        </w:rPr>
        <w:t xml:space="preserve"> ككل</w:t>
      </w:r>
      <w:r w:rsidRPr="005269E6">
        <w:rPr>
          <w:rtl/>
        </w:rPr>
        <w:t xml:space="preserve"> من أجل </w:t>
      </w:r>
      <w:r w:rsidRPr="005269E6">
        <w:rPr>
          <w:rtl/>
          <w:lang w:bidi="ar-SA"/>
        </w:rPr>
        <w:t>التنبه</w:t>
      </w:r>
      <w:r w:rsidRPr="005269E6">
        <w:rPr>
          <w:rtl/>
        </w:rPr>
        <w:t xml:space="preserve"> </w:t>
      </w:r>
      <w:r w:rsidRPr="005269E6">
        <w:rPr>
          <w:rtl/>
          <w:lang w:bidi="ar-SA"/>
        </w:rPr>
        <w:t>ل</w:t>
      </w:r>
      <w:r w:rsidRPr="005269E6">
        <w:rPr>
          <w:rtl/>
        </w:rPr>
        <w:t xml:space="preserve">لمخاطر بفعالية. ولا يزال تنفيذ إدارة </w:t>
      </w:r>
      <w:r w:rsidRPr="005269E6">
        <w:rPr>
          <w:rtl/>
          <w:lang w:bidi="ar-SA"/>
        </w:rPr>
        <w:t>ال</w:t>
      </w:r>
      <w:r w:rsidRPr="005269E6">
        <w:rPr>
          <w:rtl/>
        </w:rPr>
        <w:t xml:space="preserve">مخاطر </w:t>
      </w:r>
      <w:r w:rsidRPr="005269E6">
        <w:rPr>
          <w:rtl/>
          <w:lang w:bidi="ar-SA"/>
        </w:rPr>
        <w:t>المؤسسية</w:t>
      </w:r>
      <w:r w:rsidRPr="005269E6">
        <w:rPr>
          <w:rtl/>
        </w:rPr>
        <w:t xml:space="preserve"> على جميع مستويات الاتحاد عنصراً حاسماً في رؤية الأمينة العامة </w:t>
      </w:r>
      <w:r w:rsidRPr="005269E6">
        <w:rPr>
          <w:rtl/>
          <w:lang w:bidi="ar-SA"/>
        </w:rPr>
        <w:t>ل</w:t>
      </w:r>
      <w:r w:rsidRPr="005269E6">
        <w:rPr>
          <w:rtl/>
        </w:rPr>
        <w:t xml:space="preserve">منظمة أكثر كفاءة وفعالية وشفافية وخضوعاً للمساءلة. </w:t>
      </w:r>
      <w:r w:rsidRPr="005269E6">
        <w:rPr>
          <w:rtl/>
          <w:lang w:bidi="ar-SA"/>
        </w:rPr>
        <w:t>ويُتطلب</w:t>
      </w:r>
      <w:r w:rsidRPr="005269E6">
        <w:rPr>
          <w:rtl/>
        </w:rPr>
        <w:t xml:space="preserve"> مزيد من العمل ال</w:t>
      </w:r>
      <w:r w:rsidRPr="005269E6">
        <w:rPr>
          <w:rtl/>
          <w:lang w:bidi="ar-SA"/>
        </w:rPr>
        <w:t>م</w:t>
      </w:r>
      <w:r w:rsidRPr="005269E6">
        <w:rPr>
          <w:rtl/>
        </w:rPr>
        <w:t>هم لضمان إنجاز</w:t>
      </w:r>
      <w:r w:rsidRPr="005269E6">
        <w:rPr>
          <w:rtl/>
          <w:lang w:bidi="ar-SA"/>
        </w:rPr>
        <w:t xml:space="preserve"> </w:t>
      </w:r>
      <w:r w:rsidRPr="005269E6">
        <w:rPr>
          <w:rtl/>
        </w:rPr>
        <w:t>هذه المهمة؛</w:t>
      </w:r>
    </w:p>
    <w:p w14:paraId="0C77D5DE" w14:textId="77777777" w:rsidR="00834B83" w:rsidRPr="005269E6" w:rsidRDefault="00834B83" w:rsidP="00834B83">
      <w:pPr>
        <w:pStyle w:val="enumlev1"/>
        <w:rPr>
          <w:rtl/>
          <w:lang w:bidi="ar-EG"/>
        </w:rPr>
      </w:pPr>
      <w:r w:rsidRPr="005269E6">
        <w:rPr>
          <w:rtl/>
          <w:lang w:bidi="ar-EG"/>
        </w:rPr>
        <w:t>د )</w:t>
      </w:r>
      <w:r w:rsidRPr="005269E6">
        <w:rPr>
          <w:rtl/>
          <w:lang w:bidi="ar-EG"/>
        </w:rPr>
        <w:tab/>
      </w:r>
      <w:r w:rsidRPr="005269E6">
        <w:rPr>
          <w:rtl/>
        </w:rPr>
        <w:t>الالتزام بسياسة شراء التذاكر مسبقاً. و</w:t>
      </w:r>
      <w:r w:rsidRPr="005269E6">
        <w:rPr>
          <w:rtl/>
          <w:lang w:bidi="ar-SA"/>
        </w:rPr>
        <w:t>ت</w:t>
      </w:r>
      <w:r w:rsidRPr="005269E6">
        <w:rPr>
          <w:rtl/>
        </w:rPr>
        <w:t xml:space="preserve">واصل الأمينة العامة الاستفادة من الجهود التي بذلتها الإدارة السابقة لضمان إدارة السفر بطريقة أكثر كفاءة وفعالية من حيث التكلفة. وقد وضعت خطط سفر وتكاليف لجميع الوحدات في الاتحاد </w:t>
      </w:r>
      <w:r w:rsidRPr="005269E6">
        <w:rPr>
          <w:rtl/>
          <w:lang w:bidi="ar-SA"/>
        </w:rPr>
        <w:t xml:space="preserve">ككل </w:t>
      </w:r>
      <w:r w:rsidRPr="005269E6">
        <w:rPr>
          <w:rtl/>
        </w:rPr>
        <w:t>وستجري عمليات مراقبة منتظمة؛</w:t>
      </w:r>
    </w:p>
    <w:p w14:paraId="6C544F28" w14:textId="77777777" w:rsidR="00834B83" w:rsidRPr="005269E6" w:rsidRDefault="00834B83" w:rsidP="00834B83">
      <w:pPr>
        <w:pStyle w:val="enumlev1"/>
        <w:rPr>
          <w:rtl/>
          <w:lang w:bidi="ar-EG"/>
        </w:rPr>
      </w:pPr>
      <w:r w:rsidRPr="005269E6">
        <w:rPr>
          <w:rtl/>
          <w:lang w:bidi="ar-EG"/>
        </w:rPr>
        <w:t>هـ )</w:t>
      </w:r>
      <w:r w:rsidRPr="005269E6">
        <w:rPr>
          <w:rtl/>
          <w:lang w:bidi="ar-EG"/>
        </w:rPr>
        <w:tab/>
      </w:r>
      <w:r w:rsidRPr="005269E6">
        <w:rPr>
          <w:rtl/>
        </w:rPr>
        <w:t>تنفيذ عمليات الموارد البشرية المتعلقة باكتساب المواهب و</w:t>
      </w:r>
      <w:r w:rsidRPr="005269E6">
        <w:rPr>
          <w:rtl/>
          <w:lang w:bidi="ar-SA"/>
        </w:rPr>
        <w:t>ال</w:t>
      </w:r>
      <w:r w:rsidRPr="005269E6">
        <w:rPr>
          <w:rtl/>
        </w:rPr>
        <w:t xml:space="preserve">تعلم وتنمية المهارات. </w:t>
      </w:r>
      <w:r w:rsidRPr="005269E6">
        <w:rPr>
          <w:rtl/>
          <w:lang w:bidi="ar-SA"/>
        </w:rPr>
        <w:t>ت</w:t>
      </w:r>
      <w:r w:rsidRPr="005269E6">
        <w:rPr>
          <w:rtl/>
        </w:rPr>
        <w:t xml:space="preserve">لتزم الأمينة العامة بمواصلة تعزيز إطار التوظيف الذي يمكِّن المنظمة من تحديد المواهب المتنوعة واجتذابها واكتسابها على أساس جغرافي واسع بطريقة سريعة وكفؤة وعادلة ومهنية من أجل الاضطلاع بفعالية بالأنشطة </w:t>
      </w:r>
      <w:r w:rsidRPr="005269E6">
        <w:rPr>
          <w:rtl/>
          <w:lang w:bidi="ar-SA"/>
        </w:rPr>
        <w:t>المنوطة بها</w:t>
      </w:r>
      <w:r w:rsidRPr="005269E6">
        <w:rPr>
          <w:rtl/>
        </w:rPr>
        <w:t>؛</w:t>
      </w:r>
    </w:p>
    <w:p w14:paraId="796DA37E" w14:textId="77777777" w:rsidR="00834B83" w:rsidRPr="005269E6" w:rsidRDefault="00834B83" w:rsidP="00834B83">
      <w:pPr>
        <w:pStyle w:val="enumlev1"/>
        <w:rPr>
          <w:rtl/>
          <w:lang w:bidi="ar-EG"/>
        </w:rPr>
      </w:pPr>
      <w:r w:rsidRPr="005269E6">
        <w:rPr>
          <w:rtl/>
          <w:lang w:bidi="ar-EG"/>
        </w:rPr>
        <w:t>و )</w:t>
      </w:r>
      <w:r w:rsidRPr="005269E6">
        <w:rPr>
          <w:rtl/>
          <w:lang w:bidi="ar-EG"/>
        </w:rPr>
        <w:tab/>
      </w:r>
      <w:r w:rsidRPr="005269E6">
        <w:rPr>
          <w:rtl/>
        </w:rPr>
        <w:t>تنفيذ مبادئ حماية البيانات الشخصية وحرمتها. وقد وضعت المنظمة الصيغة النهائية</w:t>
      </w:r>
      <w:r w:rsidRPr="005269E6">
        <w:rPr>
          <w:rtl/>
          <w:lang w:bidi="ar-SA"/>
        </w:rPr>
        <w:t xml:space="preserve"> ل</w:t>
      </w:r>
      <w:r w:rsidRPr="005269E6">
        <w:rPr>
          <w:rtl/>
        </w:rPr>
        <w:t xml:space="preserve">سياستها بشأن </w:t>
      </w:r>
      <w:r w:rsidRPr="005269E6">
        <w:rPr>
          <w:rtl/>
          <w:lang w:bidi="ar-SA"/>
        </w:rPr>
        <w:t>حرمة</w:t>
      </w:r>
      <w:r w:rsidRPr="005269E6">
        <w:rPr>
          <w:rtl/>
        </w:rPr>
        <w:t xml:space="preserve"> البيانات وحمايتها، وسيتبعها برنامج شامل للخصوصي</w:t>
      </w:r>
      <w:r w:rsidRPr="005269E6">
        <w:rPr>
          <w:rtl/>
          <w:lang w:bidi="ar-SA"/>
        </w:rPr>
        <w:t>ات</w:t>
      </w:r>
      <w:r w:rsidRPr="005269E6">
        <w:rPr>
          <w:rtl/>
        </w:rPr>
        <w:t xml:space="preserve"> والحماية. </w:t>
      </w:r>
      <w:r w:rsidRPr="005269E6">
        <w:rPr>
          <w:rtl/>
          <w:lang w:bidi="ar-SA"/>
        </w:rPr>
        <w:t>وسيتولى</w:t>
      </w:r>
      <w:r w:rsidRPr="005269E6">
        <w:rPr>
          <w:rtl/>
        </w:rPr>
        <w:t xml:space="preserve"> مراقب (مراقبو) البيانات المعنيون مسؤولي</w:t>
      </w:r>
      <w:r w:rsidRPr="005269E6">
        <w:rPr>
          <w:rtl/>
          <w:lang w:bidi="ar-SA"/>
        </w:rPr>
        <w:t>ة</w:t>
      </w:r>
      <w:r w:rsidRPr="005269E6">
        <w:rPr>
          <w:rtl/>
        </w:rPr>
        <w:t xml:space="preserve"> دمج ضوابط حماية البيانات وحرمتها المعتمدة </w:t>
      </w:r>
      <w:r w:rsidRPr="005269E6">
        <w:rPr>
          <w:rtl/>
          <w:lang w:bidi="ar-SA"/>
        </w:rPr>
        <w:t>ضمن</w:t>
      </w:r>
      <w:r w:rsidRPr="005269E6">
        <w:rPr>
          <w:rtl/>
        </w:rPr>
        <w:t xml:space="preserve"> الأنظمة المقابلة؛</w:t>
      </w:r>
    </w:p>
    <w:p w14:paraId="7E26239D" w14:textId="77777777" w:rsidR="00834B83" w:rsidRPr="005269E6" w:rsidRDefault="00834B83" w:rsidP="00834B83">
      <w:pPr>
        <w:pStyle w:val="enumlev1"/>
        <w:rPr>
          <w:rtl/>
        </w:rPr>
      </w:pPr>
      <w:r w:rsidRPr="005269E6">
        <w:rPr>
          <w:rtl/>
        </w:rPr>
        <w:t>ز )</w:t>
      </w:r>
      <w:r w:rsidRPr="005269E6">
        <w:rPr>
          <w:rtl/>
        </w:rPr>
        <w:tab/>
        <w:t xml:space="preserve">تُقر إدارة الاتحاد بالأهمية الحيوية للبيانات المالية الرئيسية فضلاً عن الخبرة المالية والعمليات </w:t>
      </w:r>
      <w:r w:rsidRPr="005269E6">
        <w:rPr>
          <w:rtl/>
          <w:lang w:bidi="ar-SA"/>
        </w:rPr>
        <w:t>السديدة</w:t>
      </w:r>
      <w:r w:rsidRPr="005269E6">
        <w:rPr>
          <w:rtl/>
        </w:rPr>
        <w:t xml:space="preserve"> في إعداد بيانات مالية صحيحة </w:t>
      </w:r>
      <w:r w:rsidRPr="005269E6">
        <w:rPr>
          <w:rtl/>
          <w:lang w:bidi="ar-SA"/>
        </w:rPr>
        <w:t>وشاملة</w:t>
      </w:r>
      <w:r w:rsidRPr="005269E6">
        <w:rPr>
          <w:rtl/>
        </w:rPr>
        <w:t xml:space="preserve">، مع التركيز على </w:t>
      </w:r>
      <w:r w:rsidRPr="005269E6">
        <w:rPr>
          <w:rtl/>
          <w:lang w:bidi="ar-SA"/>
        </w:rPr>
        <w:t>تحسين</w:t>
      </w:r>
      <w:r w:rsidRPr="005269E6">
        <w:rPr>
          <w:rtl/>
        </w:rPr>
        <w:t xml:space="preserve"> التقارير المالية وضمان </w:t>
      </w:r>
      <w:r w:rsidRPr="005269E6">
        <w:rPr>
          <w:rtl/>
          <w:lang w:bidi="ar-SA"/>
        </w:rPr>
        <w:t>الالتزام</w:t>
      </w:r>
      <w:r w:rsidRPr="005269E6">
        <w:rPr>
          <w:rtl/>
        </w:rPr>
        <w:t xml:space="preserve"> </w:t>
      </w:r>
      <w:r w:rsidRPr="005269E6">
        <w:rPr>
          <w:rtl/>
          <w:lang w:bidi="ar-SA"/>
        </w:rPr>
        <w:t>بال</w:t>
      </w:r>
      <w:r w:rsidRPr="005269E6">
        <w:rPr>
          <w:rtl/>
        </w:rPr>
        <w:t>معايير</w:t>
      </w:r>
      <w:r w:rsidRPr="005269E6">
        <w:rPr>
          <w:rtl/>
          <w:lang w:bidi="ar-SA"/>
        </w:rPr>
        <w:t xml:space="preserve"> </w:t>
      </w:r>
      <w:r w:rsidRPr="005269E6">
        <w:rPr>
          <w:rtl/>
        </w:rPr>
        <w:t xml:space="preserve">المحاسبية الدولية للقطاع العام </w:t>
      </w:r>
      <w:r w:rsidRPr="005269E6">
        <w:rPr>
          <w:rtl/>
          <w:lang w:bidi="ar-SA"/>
        </w:rPr>
        <w:t>(</w:t>
      </w:r>
      <w:r w:rsidRPr="005269E6">
        <w:t>IPSAS</w:t>
      </w:r>
      <w:r w:rsidRPr="005269E6">
        <w:rPr>
          <w:rtl/>
          <w:lang w:bidi="ar-SA"/>
        </w:rPr>
        <w:t>)</w:t>
      </w:r>
      <w:r w:rsidRPr="005269E6">
        <w:rPr>
          <w:rtl/>
        </w:rPr>
        <w:t xml:space="preserve">. وفي عام 2023، وفي ضوء أوجه القصور الملحوظة في بياناتنا المالية لعام 2022، كما لاحظت المراجعة الخارجية، والثغرات في أوراق العمل المالية الأساسية، </w:t>
      </w:r>
      <w:r w:rsidRPr="005269E6">
        <w:rPr>
          <w:rtl/>
          <w:lang w:bidi="ar-SA"/>
        </w:rPr>
        <w:t>تعاقدنا مع</w:t>
      </w:r>
      <w:r w:rsidRPr="005269E6">
        <w:rPr>
          <w:rtl/>
        </w:rPr>
        <w:t xml:space="preserve"> خبراء استشاريين خارجيين </w:t>
      </w:r>
      <w:r w:rsidRPr="005269E6">
        <w:rPr>
          <w:rtl/>
          <w:lang w:bidi="ar-SA"/>
        </w:rPr>
        <w:t>واستندنا</w:t>
      </w:r>
      <w:r w:rsidRPr="005269E6">
        <w:rPr>
          <w:rtl/>
        </w:rPr>
        <w:t xml:space="preserve"> بشدة إلى تفاني فريقنا المالي في تصحيح هذه الاختلافات </w:t>
      </w:r>
      <w:r w:rsidRPr="005269E6">
        <w:rPr>
          <w:rtl/>
          <w:lang w:bidi="ar-SA"/>
        </w:rPr>
        <w:t>والارتقاء</w:t>
      </w:r>
      <w:r w:rsidRPr="005269E6">
        <w:rPr>
          <w:rtl/>
        </w:rPr>
        <w:t xml:space="preserve"> </w:t>
      </w:r>
      <w:r w:rsidRPr="005269E6">
        <w:rPr>
          <w:rtl/>
          <w:lang w:bidi="ar-SA"/>
        </w:rPr>
        <w:t>ب</w:t>
      </w:r>
      <w:r w:rsidRPr="005269E6">
        <w:rPr>
          <w:rtl/>
        </w:rPr>
        <w:t>سجلاتنا</w:t>
      </w:r>
      <w:r w:rsidRPr="005269E6">
        <w:rPr>
          <w:rtl/>
          <w:lang w:bidi="ar-SA"/>
        </w:rPr>
        <w:t xml:space="preserve"> إلى المستوى المطلوب</w:t>
      </w:r>
      <w:r w:rsidRPr="005269E6">
        <w:rPr>
          <w:rtl/>
        </w:rPr>
        <w:t>. وكان ذلك ضرورياً، بالنظر إلى المخاوف التي أثارتها المراجعة الخارجية، والتأخير</w:t>
      </w:r>
      <w:r w:rsidRPr="005269E6">
        <w:rPr>
          <w:rtl/>
          <w:lang w:bidi="ar-SA"/>
        </w:rPr>
        <w:t>ات</w:t>
      </w:r>
      <w:r w:rsidRPr="005269E6">
        <w:rPr>
          <w:rtl/>
        </w:rPr>
        <w:t xml:space="preserve"> في إعداد البيانات المالية القابلة </w:t>
      </w:r>
      <w:bookmarkStart w:id="54" w:name="_Hlk160453813"/>
      <w:r w:rsidRPr="005269E6">
        <w:rPr>
          <w:rtl/>
        </w:rPr>
        <w:t>للمراجعة</w:t>
      </w:r>
      <w:bookmarkEnd w:id="54"/>
      <w:r w:rsidRPr="005269E6">
        <w:rPr>
          <w:rtl/>
        </w:rPr>
        <w:t>، ومخاطر</w:t>
      </w:r>
      <w:r w:rsidRPr="005269E6">
        <w:rPr>
          <w:rtl/>
          <w:lang w:bidi="ar-SA"/>
        </w:rPr>
        <w:t xml:space="preserve"> الإضرار</w:t>
      </w:r>
      <w:r w:rsidRPr="005269E6">
        <w:rPr>
          <w:rtl/>
        </w:rPr>
        <w:t xml:space="preserve"> </w:t>
      </w:r>
      <w:r w:rsidRPr="005269E6">
        <w:rPr>
          <w:rtl/>
          <w:lang w:bidi="ar-SA"/>
        </w:rPr>
        <w:t>ب</w:t>
      </w:r>
      <w:r w:rsidRPr="005269E6">
        <w:rPr>
          <w:rtl/>
        </w:rPr>
        <w:t xml:space="preserve">السمعة التي يواجهها الاتحاد. وقد مكنت الجهود المتضافرة لتحديث جميع السجلات المالية ومواءمتها مع أرصدة الحسابات الجارية من ضمان كون البيانات المالية ذات جودة قابلة للمراجعة. وسينصب التركيز المستمر على الصيانة الدقيقة لجميع الحسابات، ولا سيما لضمان التقييم الدقيق للمبالغ المستحَقة الدفع والحسابات المستحَقة القبض والأموال الخارجة عن الميزانية. وهذا </w:t>
      </w:r>
      <w:r w:rsidRPr="005269E6">
        <w:rPr>
          <w:rtl/>
          <w:lang w:bidi="ar-SA"/>
        </w:rPr>
        <w:t>الحرص</w:t>
      </w:r>
      <w:r w:rsidRPr="005269E6">
        <w:rPr>
          <w:rtl/>
        </w:rPr>
        <w:t xml:space="preserve"> بالغ الأهمية ليس ل</w:t>
      </w:r>
      <w:r w:rsidRPr="005269E6">
        <w:rPr>
          <w:rtl/>
          <w:lang w:bidi="ar-SA"/>
        </w:rPr>
        <w:t>مجرد ا</w:t>
      </w:r>
      <w:r w:rsidRPr="005269E6">
        <w:rPr>
          <w:rtl/>
        </w:rPr>
        <w:t xml:space="preserve">لتمثيل الدقيق للأصول والخصوم </w:t>
      </w:r>
      <w:r w:rsidRPr="005269E6">
        <w:rPr>
          <w:rtl/>
          <w:lang w:bidi="ar-SA"/>
        </w:rPr>
        <w:t>بل</w:t>
      </w:r>
      <w:r w:rsidRPr="005269E6">
        <w:rPr>
          <w:rtl/>
        </w:rPr>
        <w:t xml:space="preserve"> أيضاً لتعزيز عملياتنا المالية الأساسية وأطرنا المحاسبية. وعلاوةً على ذلك، وعلى الرغم من أن الجهود المبذولة قد حسنت </w:t>
      </w:r>
      <w:r w:rsidRPr="005269E6">
        <w:rPr>
          <w:rtl/>
          <w:lang w:bidi="ar-SA"/>
        </w:rPr>
        <w:t>كثيراً</w:t>
      </w:r>
      <w:r w:rsidRPr="005269E6">
        <w:rPr>
          <w:rtl/>
        </w:rPr>
        <w:t xml:space="preserve"> </w:t>
      </w:r>
      <w:r w:rsidRPr="005269E6">
        <w:rPr>
          <w:rtl/>
          <w:lang w:bidi="ar-SA"/>
        </w:rPr>
        <w:t>من جودة</w:t>
      </w:r>
      <w:r w:rsidRPr="005269E6">
        <w:rPr>
          <w:rtl/>
        </w:rPr>
        <w:t xml:space="preserve"> حساباتنا، تدعو الحاجة إلى مواصلة بذل جهود كبيرة لضمان إدماج الممارسات المناسبة بشكل مستدام في الإدارة المالية للاتحاد وإعداد حسابات عام 2023 وما بعده بمستوى الجودة المطلوب. وسيتعين أيضاً تعزيز قدرات وخبر</w:t>
      </w:r>
      <w:r w:rsidRPr="005269E6">
        <w:rPr>
          <w:rtl/>
          <w:lang w:bidi="ar-SA"/>
        </w:rPr>
        <w:t>ات</w:t>
      </w:r>
      <w:r w:rsidRPr="005269E6">
        <w:rPr>
          <w:rtl/>
        </w:rPr>
        <w:t xml:space="preserve"> الإدارة المالية إلى حد كبير.</w:t>
      </w:r>
    </w:p>
    <w:p w14:paraId="18312E35" w14:textId="77777777" w:rsidR="00834B83" w:rsidRPr="005269E6" w:rsidRDefault="00834B83" w:rsidP="00834B83">
      <w:pPr>
        <w:pStyle w:val="Headingb"/>
        <w:rPr>
          <w:rtl/>
          <w:lang w:bidi="ar-SY"/>
        </w:rPr>
      </w:pPr>
      <w:r w:rsidRPr="005269E6">
        <w:rPr>
          <w:rtl/>
          <w:lang w:bidi="ar-SY"/>
        </w:rPr>
        <w:t>خلاصة</w:t>
      </w:r>
    </w:p>
    <w:p w14:paraId="31C65795" w14:textId="77777777" w:rsidR="00834B83" w:rsidRPr="005269E6" w:rsidRDefault="00834B83" w:rsidP="00834B83">
      <w:pPr>
        <w:rPr>
          <w:lang w:bidi="ar-SY"/>
        </w:rPr>
      </w:pPr>
      <w:r w:rsidRPr="005269E6">
        <w:rPr>
          <w:rtl/>
          <w:lang w:bidi="ar-SY"/>
        </w:rPr>
        <w:t>إنني ملتزمة ببناء منظمة متميزة، ليس في مجرد التنفيذ خارجياً بل داخلياً</w:t>
      </w:r>
      <w:r w:rsidRPr="005269E6">
        <w:rPr>
          <w:rtl/>
        </w:rPr>
        <w:t xml:space="preserve"> </w:t>
      </w:r>
      <w:r w:rsidRPr="005269E6">
        <w:rPr>
          <w:rtl/>
          <w:lang w:bidi="ar-SY"/>
        </w:rPr>
        <w:t>أيضاً، منظمة يمكن لأعضائنا وموظفينا أن يثقوا بها.</w:t>
      </w:r>
    </w:p>
    <w:p w14:paraId="211ACF0A" w14:textId="77777777" w:rsidR="00834B83" w:rsidRPr="005269E6" w:rsidRDefault="00834B83" w:rsidP="00834B83">
      <w:pPr>
        <w:rPr>
          <w:rtl/>
          <w:lang w:bidi="ar-SY"/>
        </w:rPr>
      </w:pPr>
      <w:r w:rsidRPr="005269E6">
        <w:rPr>
          <w:rtl/>
          <w:lang w:bidi="ar-SY"/>
        </w:rPr>
        <w:t>وكما ذكر أعلاه، توليت منصبي في يناير 2023، ولذلك، فإني أعتمد على إطار الرقابة الداخلية الموجود مسبقاً والذي كان قائماً حتى ذلك الحين، فضلاً عن القرارات التي اتخذتها الإدارة السابقة. ومن المهم منذ بداية فترة ولايتي "</w:t>
      </w:r>
      <w:r w:rsidRPr="005269E6">
        <w:rPr>
          <w:rtl/>
          <w:lang w:bidi="ar-EG"/>
        </w:rPr>
        <w:t>ضبط الإيقاع</w:t>
      </w:r>
      <w:r w:rsidRPr="005269E6">
        <w:rPr>
          <w:rtl/>
          <w:lang w:bidi="ar-SY"/>
        </w:rPr>
        <w:t xml:space="preserve"> من قمة الهرم" وضمان معالجة مواطن الضعف المتعلقة بالضوابط الداخلية. وستكرس الإدارة العليا</w:t>
      </w:r>
      <w:r w:rsidRPr="005269E6">
        <w:rPr>
          <w:rtl/>
        </w:rPr>
        <w:t xml:space="preserve"> </w:t>
      </w:r>
      <w:r w:rsidRPr="005269E6">
        <w:rPr>
          <w:rtl/>
          <w:lang w:bidi="ar-SY"/>
        </w:rPr>
        <w:t>جهودها لاستعراض إطار الرقابة الداخلية</w:t>
      </w:r>
      <w:r w:rsidRPr="005269E6">
        <w:rPr>
          <w:rtl/>
        </w:rPr>
        <w:t xml:space="preserve"> </w:t>
      </w:r>
      <w:r w:rsidRPr="005269E6">
        <w:rPr>
          <w:rtl/>
          <w:lang w:bidi="ar-SY"/>
        </w:rPr>
        <w:t>لدينا وتعزيزه لضمان تنفيذه ومواءمته مع الاحتياجات المتطورة للاتحاد.</w:t>
      </w:r>
    </w:p>
    <w:p w14:paraId="1C85794B" w14:textId="77777777" w:rsidR="00834B83" w:rsidRPr="005269E6" w:rsidRDefault="00834B83" w:rsidP="00834B83">
      <w:pPr>
        <w:rPr>
          <w:rtl/>
          <w:lang w:bidi="ar-SY"/>
        </w:rPr>
      </w:pPr>
      <w:r w:rsidRPr="005269E6">
        <w:rPr>
          <w:rtl/>
          <w:lang w:bidi="ar-SY"/>
        </w:rPr>
        <w:t>وسيتواصل تعزيز هذا العمل من خلال فريق التحول الداخلي الذي تمت الموافقة عليه خلال دورة المجلس في يوليو 2023. وسيقوم هذا الفريق بتحديد مجالات التحسين، وتحديد المخاطر الرئيسية، وتقديم تقرير إلى المجلس، مع تنفيذ التغييرات اللازمة لتعزيز رقابتنا الداخلية وتحسين العمليات ذات الصلة خاصة ضمن الوظائف المالية.</w:t>
      </w:r>
    </w:p>
    <w:p w14:paraId="478AF0BC" w14:textId="77777777" w:rsidR="00834B83" w:rsidRPr="005269E6" w:rsidRDefault="00834B83" w:rsidP="00834B83">
      <w:pPr>
        <w:rPr>
          <w:rtl/>
          <w:lang w:bidi="ar-SY"/>
        </w:rPr>
      </w:pPr>
      <w:r w:rsidRPr="005269E6">
        <w:rPr>
          <w:rtl/>
          <w:lang w:bidi="ar-SY"/>
        </w:rPr>
        <w:t>وإني أتطلع إلى التعاون مع أصحاب المصلحة المعنيين، بما في ذلك المجلس، والمراجعة الخارجية، واللجنة الاستشارية المستقلة للإدارة، وغيرهم من المسؤولين المنتخبين، ورؤساء الدوائر، ورؤساء الشعب أو الوحدات، لضمان اتساق إطار الرقابة الداخلية مع الاتجاه الاستراتيجي للاتحاد ودعم أهدافنا المتمثلة في تقديم تقارير مالية وغير مالية موثوقة، وفي الفعالية التشغيلية، والمساءلة والالتزام ومنع الأنشطة الاحتيالية وكشفها.</w:t>
      </w:r>
    </w:p>
    <w:p w14:paraId="384248DE" w14:textId="77777777" w:rsidR="00834B83" w:rsidRPr="005269E6" w:rsidRDefault="00834B83" w:rsidP="00834B83">
      <w:pPr>
        <w:rPr>
          <w:rtl/>
          <w:lang w:bidi="ar-SY"/>
        </w:rPr>
      </w:pPr>
      <w:r w:rsidRPr="005269E6">
        <w:rPr>
          <w:rtl/>
          <w:lang w:bidi="ar-SY"/>
        </w:rPr>
        <w:t>وعلاوةً على ذلك، أؤكد أنني سأضمن إجراء عملية انتقال وتسليم رسمية وشاملة وسليمة لجميع أعضاء فريق القيادة المستقبلي للاتحاد الدولي للاتصالات.</w:t>
      </w:r>
    </w:p>
    <w:p w14:paraId="61F24E0E" w14:textId="77777777" w:rsidR="00834B83" w:rsidRPr="005269E6" w:rsidRDefault="00834B83" w:rsidP="00834B83">
      <w:pPr>
        <w:rPr>
          <w:rtl/>
          <w:lang w:bidi="ar-SY"/>
        </w:rPr>
      </w:pPr>
      <w:r w:rsidRPr="005269E6">
        <w:rPr>
          <w:rtl/>
          <w:lang w:bidi="ar-SY"/>
        </w:rPr>
        <w:lastRenderedPageBreak/>
        <w:t>وبناءً على ما سبق، يجب على الاتحاد أن يواصل تحسين عمليات الرقابة الداخلية خلال السنوات المقبلة. واستناداً إلى المعرفة والمعلومات المتاحة، فإن نظام الرقابة الداخلية في الاتحاد بشأن العمليات الرئيسية للسنة المنتهية في 31 ديسمبر 2022 ينطوي على ثغرات كبيرة تحتاج إلى معالجة. وبما أن الأعمال المتعلقة بتصحيح البيانات المالية قد انتهت في نوفمبر 2023، أخلص إلى أن لدى الاتحاد في تاريخ الموافقة على البيانات المالية نظام فعال نسبياً للرقابة الداخلية على العمليات الرئيسية. ولكن ستظل الجهود الرامية إلى ضمان تحسينه المستمر ضرورية.</w:t>
      </w:r>
    </w:p>
    <w:p w14:paraId="27A94E06" w14:textId="77777777" w:rsidR="00834B83" w:rsidRPr="005269E6" w:rsidRDefault="00834B83" w:rsidP="000C7DFF">
      <w:pPr>
        <w:spacing w:before="720" w:after="720"/>
        <w:rPr>
          <w:i/>
          <w:iCs/>
          <w:rtl/>
          <w:lang w:bidi="ar-SY"/>
        </w:rPr>
      </w:pPr>
      <w:r w:rsidRPr="005269E6">
        <w:rPr>
          <w:i/>
          <w:iCs/>
          <w:rtl/>
          <w:lang w:bidi="ar-SY"/>
        </w:rPr>
        <w:t>(</w:t>
      </w:r>
      <w:r w:rsidRPr="005269E6">
        <w:rPr>
          <w:i/>
          <w:iCs/>
          <w:rtl/>
          <w:lang w:bidi="ar-EG"/>
        </w:rPr>
        <w:t>التوقيع</w:t>
      </w:r>
      <w:r w:rsidRPr="005269E6">
        <w:rPr>
          <w:i/>
          <w:iCs/>
          <w:rtl/>
          <w:lang w:bidi="ar-SY"/>
        </w:rPr>
        <w:t>)</w:t>
      </w:r>
    </w:p>
    <w:p w14:paraId="491CE885" w14:textId="4E6AD791" w:rsidR="00834B83" w:rsidRPr="005269E6" w:rsidRDefault="00834B83" w:rsidP="000C7DFF">
      <w:pPr>
        <w:jc w:val="left"/>
        <w:rPr>
          <w:lang w:bidi="ar-SY"/>
        </w:rPr>
      </w:pPr>
      <w:r w:rsidRPr="005269E6">
        <w:rPr>
          <w:rtl/>
          <w:lang w:bidi="ar-SY"/>
        </w:rPr>
        <w:t>دورين بوغدان</w:t>
      </w:r>
      <w:r w:rsidR="000C7DFF" w:rsidRPr="005269E6">
        <w:rPr>
          <w:rFonts w:hint="cs"/>
          <w:rtl/>
          <w:lang w:bidi="ar-SY"/>
        </w:rPr>
        <w:t>-</w:t>
      </w:r>
      <w:r w:rsidRPr="005269E6">
        <w:rPr>
          <w:rtl/>
          <w:lang w:bidi="ar-SY"/>
        </w:rPr>
        <w:t>مارتن</w:t>
      </w:r>
      <w:r w:rsidR="000C7DFF" w:rsidRPr="005269E6">
        <w:rPr>
          <w:rtl/>
          <w:lang w:bidi="ar-SY"/>
        </w:rPr>
        <w:br/>
      </w:r>
      <w:r w:rsidRPr="005269E6">
        <w:rPr>
          <w:rtl/>
          <w:lang w:bidi="ar-SY"/>
        </w:rPr>
        <w:t>الأمينة العامة</w:t>
      </w:r>
    </w:p>
    <w:p w14:paraId="75111E04" w14:textId="77777777" w:rsidR="00834B83" w:rsidRPr="005269E6" w:rsidRDefault="00834B83" w:rsidP="00834B83">
      <w:pPr>
        <w:spacing w:before="480"/>
        <w:rPr>
          <w:rtl/>
          <w:lang w:bidi="ar-EG"/>
        </w:rPr>
      </w:pPr>
      <w:r w:rsidRPr="005269E6">
        <w:rPr>
          <w:rtl/>
          <w:lang w:bidi="ar-EG"/>
        </w:rPr>
        <w:t>جنيف، 24 يناير 2024</w:t>
      </w:r>
    </w:p>
    <w:p w14:paraId="2CB96848" w14:textId="77777777" w:rsidR="00834B83" w:rsidRPr="005269E6" w:rsidRDefault="00834B83" w:rsidP="00834B83">
      <w:pPr>
        <w:tabs>
          <w:tab w:val="clear" w:pos="794"/>
        </w:tabs>
        <w:spacing w:before="0" w:after="160" w:line="259" w:lineRule="auto"/>
        <w:jc w:val="left"/>
        <w:rPr>
          <w:rtl/>
        </w:rPr>
      </w:pPr>
      <w:r w:rsidRPr="005269E6">
        <w:rPr>
          <w:rtl/>
        </w:rPr>
        <w:br w:type="page"/>
      </w:r>
    </w:p>
    <w:p w14:paraId="5FE24A20" w14:textId="77777777" w:rsidR="00834B83" w:rsidRPr="005269E6" w:rsidRDefault="00834B83" w:rsidP="00834B83">
      <w:pPr>
        <w:pStyle w:val="Heading1"/>
        <w:rPr>
          <w:color w:val="000000" w:themeColor="text1"/>
          <w:lang w:val="en"/>
        </w:rPr>
      </w:pPr>
      <w:bookmarkStart w:id="55" w:name="_Toc162520611"/>
      <w:r w:rsidRPr="005269E6">
        <w:rPr>
          <w:color w:val="000000" w:themeColor="text1"/>
          <w:rtl/>
          <w:lang w:bidi="ar"/>
        </w:rPr>
        <w:lastRenderedPageBreak/>
        <w:t>تقرير</w:t>
      </w:r>
      <w:r w:rsidRPr="005269E6">
        <w:rPr>
          <w:color w:val="000000" w:themeColor="text1"/>
          <w:lang w:val="en"/>
        </w:rPr>
        <w:t xml:space="preserve"> </w:t>
      </w:r>
      <w:r w:rsidRPr="005269E6">
        <w:rPr>
          <w:color w:val="000000" w:themeColor="text1"/>
          <w:rtl/>
          <w:lang w:bidi="ar"/>
        </w:rPr>
        <w:t>مراجع</w:t>
      </w:r>
      <w:r w:rsidRPr="005269E6">
        <w:rPr>
          <w:color w:val="000000" w:themeColor="text1"/>
          <w:lang w:val="en"/>
        </w:rPr>
        <w:t xml:space="preserve"> </w:t>
      </w:r>
      <w:r w:rsidRPr="005269E6">
        <w:rPr>
          <w:color w:val="000000" w:themeColor="text1"/>
          <w:rtl/>
          <w:lang w:bidi="ar"/>
        </w:rPr>
        <w:t>الحسابات</w:t>
      </w:r>
      <w:r w:rsidRPr="005269E6">
        <w:rPr>
          <w:color w:val="000000" w:themeColor="text1"/>
          <w:lang w:val="en"/>
        </w:rPr>
        <w:t xml:space="preserve"> </w:t>
      </w:r>
      <w:r w:rsidRPr="005269E6">
        <w:rPr>
          <w:color w:val="000000" w:themeColor="text1"/>
          <w:rtl/>
          <w:lang w:bidi="ar"/>
        </w:rPr>
        <w:t>المستقل</w:t>
      </w:r>
      <w:r w:rsidRPr="005269E6">
        <w:rPr>
          <w:color w:val="000000" w:themeColor="text1"/>
          <w:lang w:val="en"/>
        </w:rPr>
        <w:t xml:space="preserve"> </w:t>
      </w:r>
      <w:r w:rsidRPr="005269E6">
        <w:rPr>
          <w:color w:val="000000" w:themeColor="text1"/>
          <w:rtl/>
          <w:lang w:bidi="ar"/>
        </w:rPr>
        <w:t>المقدَّم</w:t>
      </w:r>
      <w:r w:rsidRPr="005269E6">
        <w:rPr>
          <w:color w:val="000000" w:themeColor="text1"/>
          <w:lang w:val="en"/>
        </w:rPr>
        <w:t xml:space="preserve"> </w:t>
      </w:r>
      <w:r w:rsidRPr="005269E6">
        <w:rPr>
          <w:color w:val="000000" w:themeColor="text1"/>
          <w:rtl/>
          <w:lang w:bidi="ar"/>
        </w:rPr>
        <w:t>إلى</w:t>
      </w:r>
      <w:r w:rsidRPr="005269E6">
        <w:rPr>
          <w:color w:val="000000" w:themeColor="text1"/>
          <w:lang w:val="en"/>
        </w:rPr>
        <w:t xml:space="preserve"> </w:t>
      </w:r>
      <w:r w:rsidRPr="005269E6">
        <w:rPr>
          <w:color w:val="000000" w:themeColor="text1"/>
          <w:rtl/>
          <w:lang w:bidi="ar"/>
        </w:rPr>
        <w:t>الاتحاد</w:t>
      </w:r>
      <w:r w:rsidRPr="005269E6">
        <w:rPr>
          <w:color w:val="000000" w:themeColor="text1"/>
          <w:lang w:val="en"/>
        </w:rPr>
        <w:t xml:space="preserve"> </w:t>
      </w:r>
      <w:r w:rsidRPr="005269E6">
        <w:rPr>
          <w:color w:val="000000" w:themeColor="text1"/>
          <w:rtl/>
          <w:lang w:bidi="ar"/>
        </w:rPr>
        <w:t>الدولي</w:t>
      </w:r>
      <w:r w:rsidRPr="005269E6">
        <w:rPr>
          <w:color w:val="000000" w:themeColor="text1"/>
          <w:lang w:val="en"/>
        </w:rPr>
        <w:t xml:space="preserve"> </w:t>
      </w:r>
      <w:r w:rsidRPr="005269E6">
        <w:rPr>
          <w:color w:val="000000" w:themeColor="text1"/>
          <w:rtl/>
          <w:lang w:bidi="ar"/>
        </w:rPr>
        <w:t>للاتصالات</w:t>
      </w:r>
      <w:bookmarkEnd w:id="55"/>
    </w:p>
    <w:p w14:paraId="0742A1C5" w14:textId="77777777" w:rsidR="00834B83" w:rsidRPr="005269E6" w:rsidRDefault="00834B83" w:rsidP="00834B83">
      <w:pPr>
        <w:pStyle w:val="Headingb"/>
      </w:pPr>
      <w:r w:rsidRPr="005269E6">
        <w:rPr>
          <w:rtl/>
          <w:lang w:bidi="ar-SY"/>
        </w:rPr>
        <w:t>رأي بشأن البيانات المالية</w:t>
      </w:r>
    </w:p>
    <w:p w14:paraId="2244A483" w14:textId="77777777" w:rsidR="00834B83" w:rsidRPr="005269E6" w:rsidRDefault="00834B83" w:rsidP="00834B83">
      <w:r w:rsidRPr="005269E6">
        <w:rPr>
          <w:rtl/>
        </w:rPr>
        <w:t>قمت بمراجعة البيانات المالية للاتحاد الدولي للاتصالات للسنة المنتهية في 31 ديسمبر 2022، وهي تشمل بيان الوضع المالي حتى 31 ديسمبر 2022؛ وبيان الأداء المالي، وبيان التغيرات في صافي الأصول، وبيان التدفقات النقدية، وبيان المقارنة - بين الميزانية والمبالغ الفعلية للسنة المنتهية ذلك التاريخ؛ والملاحظات ذات الصلة، بما في ذلك السياسات المحاسبية المهمة.</w:t>
      </w:r>
    </w:p>
    <w:p w14:paraId="3E67F3EE" w14:textId="77777777" w:rsidR="00834B83" w:rsidRPr="005269E6" w:rsidRDefault="00834B83" w:rsidP="00834B83">
      <w:r w:rsidRPr="005269E6">
        <w:rPr>
          <w:rtl/>
        </w:rPr>
        <w:t>وإطار الإبلاغ المالي الذي طُبق عند إعدادها هو القانون المرعي والمعايير المحاسبية الدولية للقطاع العام على النحو الذي وضعه ووافق عليه المجلس الدولي للمعايير المحاسبية للقطاع العام.</w:t>
      </w:r>
    </w:p>
    <w:p w14:paraId="3505D019" w14:textId="77777777" w:rsidR="00834B83" w:rsidRPr="005269E6" w:rsidRDefault="00834B83" w:rsidP="00834B83">
      <w:pPr>
        <w:rPr>
          <w:rtl/>
          <w:lang w:val="en"/>
        </w:rPr>
      </w:pPr>
      <w:r w:rsidRPr="005269E6">
        <w:rPr>
          <w:rtl/>
          <w:lang w:val="en"/>
        </w:rPr>
        <w:t>وفي رأيي، تَعرض البيانات المالية المرفقة بشكل عادل، من جميع النواحي الجوهرية، الوضع المالي للاتحاد الدولي للاتصالات حتى 31 ديسمبر 2022 وأدائه المالي وتدفقاته النقدية للسنة المنتهية في ذلك التاريخ وفقاً للمعايير المحاسبية الدولية للقطاع العام.</w:t>
      </w:r>
    </w:p>
    <w:p w14:paraId="3B0D125E" w14:textId="77777777" w:rsidR="00834B83" w:rsidRPr="005269E6" w:rsidRDefault="00834B83" w:rsidP="00834B83">
      <w:pPr>
        <w:pStyle w:val="Headingb"/>
        <w:rPr>
          <w:rtl/>
          <w:lang w:val="en" w:bidi="ar-EG"/>
        </w:rPr>
      </w:pPr>
      <w:r w:rsidRPr="005269E6">
        <w:rPr>
          <w:rtl/>
          <w:lang w:bidi="ar"/>
        </w:rPr>
        <w:t>رأي</w:t>
      </w:r>
      <w:r w:rsidRPr="005269E6">
        <w:rPr>
          <w:lang w:val="en" w:bidi="ar-SY"/>
        </w:rPr>
        <w:t xml:space="preserve"> </w:t>
      </w:r>
      <w:r w:rsidRPr="005269E6">
        <w:rPr>
          <w:rtl/>
          <w:lang w:bidi="ar"/>
        </w:rPr>
        <w:t>متحفظ</w:t>
      </w:r>
      <w:r w:rsidRPr="005269E6">
        <w:rPr>
          <w:lang w:val="en" w:bidi="ar-SY"/>
        </w:rPr>
        <w:t xml:space="preserve"> </w:t>
      </w:r>
      <w:r w:rsidRPr="005269E6">
        <w:rPr>
          <w:rtl/>
          <w:lang w:bidi="ar"/>
        </w:rPr>
        <w:t>بشأن</w:t>
      </w:r>
      <w:r w:rsidRPr="005269E6">
        <w:rPr>
          <w:lang w:val="en" w:bidi="ar-SY"/>
        </w:rPr>
        <w:t xml:space="preserve"> </w:t>
      </w:r>
      <w:r w:rsidRPr="005269E6">
        <w:rPr>
          <w:rtl/>
          <w:lang w:bidi="ar"/>
        </w:rPr>
        <w:t>التصرف حسب الأصول</w:t>
      </w:r>
    </w:p>
    <w:p w14:paraId="7F867E54" w14:textId="77777777" w:rsidR="00834B83" w:rsidRPr="005269E6" w:rsidRDefault="00834B83" w:rsidP="00834B83">
      <w:pPr>
        <w:rPr>
          <w:rtl/>
          <w:lang w:bidi="ar"/>
        </w:rPr>
      </w:pPr>
      <w:r w:rsidRPr="005269E6">
        <w:rPr>
          <w:rtl/>
          <w:lang w:bidi="ar"/>
        </w:rPr>
        <w:t xml:space="preserve">في رأيي، وباستثناء مؤثرات المسائل الموصوفة في </w:t>
      </w:r>
      <w:r w:rsidRPr="005269E6">
        <w:rPr>
          <w:i/>
          <w:iCs/>
          <w:rtl/>
          <w:lang w:bidi="ar"/>
        </w:rPr>
        <w:t>أساس الرأي المتحفظ بشأن التصرف حسب الأصول</w:t>
      </w:r>
      <w:r w:rsidRPr="005269E6">
        <w:rPr>
          <w:rtl/>
          <w:lang w:bidi="ar"/>
        </w:rPr>
        <w:t xml:space="preserve"> في تقريري، طُبقت الإيرادات والنفقات على الأغراض التي يتوخاها مجلس الاتحاد الدولي للاتصالات، والمعاملات المالية مطابقة للوائح المالية للاتحاد الدولي للاتصالات. ويرد وصف للظروف المؤدية لتحفظي في تقريري الطويل المرفق، وقد سُلط الضوء عليها في المجلس في يوليو 2023.</w:t>
      </w:r>
    </w:p>
    <w:p w14:paraId="65A96914" w14:textId="77777777" w:rsidR="00834B83" w:rsidRPr="005269E6" w:rsidRDefault="00834B83" w:rsidP="00834B83">
      <w:pPr>
        <w:pStyle w:val="Headingb"/>
      </w:pPr>
      <w:r w:rsidRPr="005269E6">
        <w:rPr>
          <w:rtl/>
          <w:lang w:bidi="ar-SY"/>
        </w:rPr>
        <w:t>أساس الرأي المتحفظ بشأن التصرف حسب الأصول</w:t>
      </w:r>
    </w:p>
    <w:p w14:paraId="2F311B2E" w14:textId="03536B64" w:rsidR="00834B83" w:rsidRPr="005269E6" w:rsidRDefault="00834B83" w:rsidP="00834B83">
      <w:pPr>
        <w:rPr>
          <w:rtl/>
          <w:lang w:bidi="ar-EG"/>
        </w:rPr>
      </w:pPr>
      <w:r w:rsidRPr="005269E6">
        <w:rPr>
          <w:rtl/>
          <w:lang w:bidi="ar"/>
        </w:rPr>
        <w:t>في</w:t>
      </w:r>
      <w:r w:rsidRPr="005269E6">
        <w:rPr>
          <w:lang w:val="en" w:bidi="ar-SY"/>
        </w:rPr>
        <w:t xml:space="preserve"> </w:t>
      </w:r>
      <w:r w:rsidRPr="005269E6">
        <w:rPr>
          <w:rtl/>
          <w:lang w:bidi="ar"/>
        </w:rPr>
        <w:t xml:space="preserve">عام </w:t>
      </w:r>
      <w:r w:rsidRPr="005269E6">
        <w:rPr>
          <w:lang w:val="en" w:bidi="ar-SY"/>
        </w:rPr>
        <w:t>2022</w:t>
      </w:r>
      <w:r w:rsidRPr="005269E6">
        <w:rPr>
          <w:rtl/>
          <w:lang w:bidi="ar"/>
        </w:rPr>
        <w:t>،</w:t>
      </w:r>
      <w:r w:rsidRPr="005269E6">
        <w:rPr>
          <w:lang w:val="en" w:bidi="ar-SY"/>
        </w:rPr>
        <w:t xml:space="preserve"> </w:t>
      </w:r>
      <w:r w:rsidRPr="005269E6">
        <w:rPr>
          <w:rtl/>
          <w:lang w:bidi="ar"/>
        </w:rPr>
        <w:t>تكبد</w:t>
      </w:r>
      <w:r w:rsidRPr="005269E6">
        <w:rPr>
          <w:lang w:val="en" w:bidi="ar-SY"/>
        </w:rPr>
        <w:t xml:space="preserve"> </w:t>
      </w:r>
      <w:r w:rsidRPr="005269E6">
        <w:rPr>
          <w:rtl/>
          <w:lang w:bidi="ar"/>
        </w:rPr>
        <w:t>الاتحاد</w:t>
      </w:r>
      <w:r w:rsidRPr="005269E6">
        <w:rPr>
          <w:lang w:val="en" w:bidi="ar-SY"/>
        </w:rPr>
        <w:t xml:space="preserve"> </w:t>
      </w:r>
      <w:r w:rsidRPr="005269E6">
        <w:rPr>
          <w:rtl/>
          <w:lang w:bidi="ar"/>
        </w:rPr>
        <w:t>الدولي</w:t>
      </w:r>
      <w:r w:rsidRPr="005269E6">
        <w:rPr>
          <w:lang w:val="en" w:bidi="ar-SY"/>
        </w:rPr>
        <w:t xml:space="preserve"> </w:t>
      </w:r>
      <w:r w:rsidRPr="005269E6">
        <w:rPr>
          <w:rtl/>
          <w:lang w:bidi="ar"/>
        </w:rPr>
        <w:t>للاتصالات</w:t>
      </w:r>
      <w:r w:rsidRPr="005269E6">
        <w:rPr>
          <w:lang w:val="en" w:bidi="ar-SY"/>
        </w:rPr>
        <w:t xml:space="preserve"> 211,751 </w:t>
      </w:r>
      <w:r w:rsidRPr="005269E6">
        <w:rPr>
          <w:rtl/>
          <w:lang w:bidi="ar"/>
        </w:rPr>
        <w:t>فرنكاً سويسرياً</w:t>
      </w:r>
      <w:r w:rsidRPr="005269E6">
        <w:rPr>
          <w:rtl/>
          <w:lang w:val="en" w:bidi="ar-SY"/>
        </w:rPr>
        <w:t xml:space="preserve"> </w:t>
      </w:r>
      <w:r w:rsidRPr="005269E6">
        <w:rPr>
          <w:rtl/>
          <w:lang w:bidi="ar"/>
        </w:rPr>
        <w:t>من</w:t>
      </w:r>
      <w:r w:rsidRPr="005269E6">
        <w:rPr>
          <w:lang w:val="en" w:bidi="ar-SY"/>
        </w:rPr>
        <w:t xml:space="preserve"> </w:t>
      </w:r>
      <w:r w:rsidRPr="005269E6">
        <w:rPr>
          <w:rtl/>
          <w:lang w:bidi="ar"/>
        </w:rPr>
        <w:t>النفقات</w:t>
      </w:r>
      <w:r w:rsidRPr="005269E6">
        <w:rPr>
          <w:lang w:val="en" w:bidi="ar-SY"/>
        </w:rPr>
        <w:t xml:space="preserve"> </w:t>
      </w:r>
      <w:r w:rsidRPr="005269E6">
        <w:rPr>
          <w:rtl/>
          <w:lang w:bidi="ar"/>
        </w:rPr>
        <w:t>المتعلقة</w:t>
      </w:r>
      <w:r w:rsidRPr="005269E6">
        <w:rPr>
          <w:lang w:val="en" w:bidi="ar-SY"/>
        </w:rPr>
        <w:t xml:space="preserve"> </w:t>
      </w:r>
      <w:r w:rsidRPr="005269E6">
        <w:rPr>
          <w:rtl/>
          <w:lang w:bidi="ar"/>
        </w:rPr>
        <w:t>بالمدفوعات</w:t>
      </w:r>
      <w:r w:rsidRPr="005269E6">
        <w:rPr>
          <w:lang w:val="en" w:bidi="ar-SY"/>
        </w:rPr>
        <w:t xml:space="preserve"> </w:t>
      </w:r>
      <w:r w:rsidRPr="005269E6">
        <w:rPr>
          <w:rtl/>
          <w:lang w:bidi="ar"/>
        </w:rPr>
        <w:t>للمسؤولين</w:t>
      </w:r>
      <w:r w:rsidR="001B69C8" w:rsidRPr="005269E6">
        <w:rPr>
          <w:rFonts w:hint="cs"/>
          <w:rtl/>
          <w:lang w:bidi="ar"/>
        </w:rPr>
        <w:t xml:space="preserve"> </w:t>
      </w:r>
      <w:r w:rsidRPr="005269E6">
        <w:rPr>
          <w:rtl/>
          <w:lang w:bidi="ar"/>
        </w:rPr>
        <w:t>المنتخبين</w:t>
      </w:r>
      <w:r w:rsidRPr="005269E6">
        <w:rPr>
          <w:lang w:val="en" w:bidi="ar-SY"/>
        </w:rPr>
        <w:t xml:space="preserve"> </w:t>
      </w:r>
      <w:r w:rsidRPr="005269E6">
        <w:rPr>
          <w:rtl/>
          <w:lang w:bidi="ar"/>
        </w:rPr>
        <w:t>السابقين،</w:t>
      </w:r>
      <w:r w:rsidRPr="005269E6">
        <w:rPr>
          <w:lang w:val="en" w:bidi="ar-SY"/>
        </w:rPr>
        <w:t xml:space="preserve"> </w:t>
      </w:r>
      <w:r w:rsidRPr="005269E6">
        <w:rPr>
          <w:rtl/>
          <w:lang w:bidi="ar"/>
        </w:rPr>
        <w:t>وهو</w:t>
      </w:r>
      <w:r w:rsidRPr="005269E6">
        <w:rPr>
          <w:lang w:val="en" w:bidi="ar-SY"/>
        </w:rPr>
        <w:t xml:space="preserve"> </w:t>
      </w:r>
      <w:r w:rsidRPr="005269E6">
        <w:rPr>
          <w:rtl/>
          <w:lang w:bidi="ar"/>
        </w:rPr>
        <w:t>ما</w:t>
      </w:r>
      <w:r w:rsidRPr="005269E6">
        <w:rPr>
          <w:lang w:val="en" w:bidi="ar-SY"/>
        </w:rPr>
        <w:t xml:space="preserve"> </w:t>
      </w:r>
      <w:r w:rsidRPr="005269E6">
        <w:rPr>
          <w:rtl/>
          <w:lang w:bidi="ar"/>
        </w:rPr>
        <w:t>لم</w:t>
      </w:r>
      <w:r w:rsidRPr="005269E6">
        <w:rPr>
          <w:lang w:val="en" w:bidi="ar-SY"/>
        </w:rPr>
        <w:t xml:space="preserve"> </w:t>
      </w:r>
      <w:r w:rsidRPr="005269E6">
        <w:rPr>
          <w:rtl/>
          <w:lang w:bidi="ar"/>
        </w:rPr>
        <w:t>يلتزم بتعريف</w:t>
      </w:r>
      <w:r w:rsidRPr="005269E6">
        <w:rPr>
          <w:lang w:val="en" w:bidi="ar-SY"/>
        </w:rPr>
        <w:t xml:space="preserve"> </w:t>
      </w:r>
      <w:r w:rsidRPr="005269E6">
        <w:rPr>
          <w:rtl/>
          <w:lang w:bidi="ar"/>
        </w:rPr>
        <w:t>الإكراميات</w:t>
      </w:r>
      <w:r w:rsidRPr="005269E6">
        <w:rPr>
          <w:lang w:val="en" w:bidi="ar-SY"/>
        </w:rPr>
        <w:t xml:space="preserve"> </w:t>
      </w:r>
      <w:r w:rsidRPr="005269E6">
        <w:rPr>
          <w:rtl/>
          <w:lang w:bidi="ar"/>
        </w:rPr>
        <w:t>بموجب</w:t>
      </w:r>
      <w:r w:rsidRPr="005269E6">
        <w:rPr>
          <w:lang w:val="en" w:bidi="ar-SY"/>
        </w:rPr>
        <w:t xml:space="preserve"> </w:t>
      </w:r>
      <w:r w:rsidRPr="005269E6">
        <w:rPr>
          <w:rtl/>
          <w:lang w:bidi="ar"/>
        </w:rPr>
        <w:t>المادة</w:t>
      </w:r>
      <w:r w:rsidRPr="005269E6">
        <w:rPr>
          <w:lang w:val="en" w:bidi="ar-SY"/>
        </w:rPr>
        <w:t xml:space="preserve"> 4.10 </w:t>
      </w:r>
      <w:r w:rsidRPr="005269E6">
        <w:rPr>
          <w:rtl/>
          <w:lang w:bidi="ar"/>
        </w:rPr>
        <w:t>من</w:t>
      </w:r>
      <w:r w:rsidRPr="005269E6">
        <w:rPr>
          <w:lang w:val="en" w:bidi="ar-SY"/>
        </w:rPr>
        <w:t xml:space="preserve"> </w:t>
      </w:r>
      <w:r w:rsidRPr="005269E6">
        <w:rPr>
          <w:rtl/>
          <w:lang w:bidi="ar"/>
        </w:rPr>
        <w:t>النظام</w:t>
      </w:r>
      <w:r w:rsidRPr="005269E6">
        <w:rPr>
          <w:lang w:val="en" w:bidi="ar-SY"/>
        </w:rPr>
        <w:t xml:space="preserve"> </w:t>
      </w:r>
      <w:r w:rsidRPr="005269E6">
        <w:rPr>
          <w:rtl/>
          <w:lang w:bidi="ar"/>
        </w:rPr>
        <w:t>المالي</w:t>
      </w:r>
      <w:r w:rsidRPr="005269E6">
        <w:rPr>
          <w:lang w:val="en" w:bidi="ar-SY"/>
        </w:rPr>
        <w:t xml:space="preserve"> </w:t>
      </w:r>
      <w:r w:rsidRPr="005269E6">
        <w:rPr>
          <w:rtl/>
          <w:lang w:bidi="ar"/>
        </w:rPr>
        <w:t>للاتحاد</w:t>
      </w:r>
      <w:r w:rsidRPr="005269E6">
        <w:rPr>
          <w:lang w:val="en" w:bidi="ar-SY"/>
        </w:rPr>
        <w:t xml:space="preserve"> </w:t>
      </w:r>
      <w:r w:rsidRPr="005269E6">
        <w:rPr>
          <w:rtl/>
          <w:lang w:bidi="ar"/>
        </w:rPr>
        <w:t>الدولي</w:t>
      </w:r>
      <w:r w:rsidRPr="005269E6">
        <w:rPr>
          <w:lang w:val="en" w:bidi="ar-SY"/>
        </w:rPr>
        <w:t xml:space="preserve"> </w:t>
      </w:r>
      <w:r w:rsidRPr="005269E6">
        <w:rPr>
          <w:rtl/>
          <w:lang w:bidi="ar"/>
        </w:rPr>
        <w:t>للاتصالات.</w:t>
      </w:r>
      <w:r w:rsidRPr="005269E6">
        <w:rPr>
          <w:rtl/>
          <w:lang w:val="en" w:bidi="ar-SY"/>
        </w:rPr>
        <w:t xml:space="preserve"> وبرأيي </w:t>
      </w:r>
      <w:r w:rsidRPr="005269E6">
        <w:rPr>
          <w:rtl/>
          <w:lang w:bidi="ar"/>
        </w:rPr>
        <w:t>أعتبر</w:t>
      </w:r>
      <w:r w:rsidRPr="005269E6">
        <w:rPr>
          <w:lang w:val="en" w:bidi="ar-SY"/>
        </w:rPr>
        <w:t xml:space="preserve"> </w:t>
      </w:r>
      <w:r w:rsidRPr="005269E6">
        <w:rPr>
          <w:rtl/>
          <w:lang w:bidi="ar"/>
        </w:rPr>
        <w:t>هذه</w:t>
      </w:r>
      <w:r w:rsidRPr="005269E6">
        <w:rPr>
          <w:lang w:val="en" w:bidi="ar-SY"/>
        </w:rPr>
        <w:t xml:space="preserve"> </w:t>
      </w:r>
      <w:r w:rsidRPr="005269E6">
        <w:rPr>
          <w:rtl/>
          <w:lang w:bidi="ar"/>
        </w:rPr>
        <w:t>المبالغ</w:t>
      </w:r>
      <w:r w:rsidRPr="005269E6">
        <w:rPr>
          <w:lang w:val="en" w:bidi="ar-SY"/>
        </w:rPr>
        <w:t xml:space="preserve"> </w:t>
      </w:r>
      <w:r w:rsidRPr="005269E6">
        <w:rPr>
          <w:rtl/>
          <w:lang w:bidi="ar"/>
        </w:rPr>
        <w:t>وثيقة الصلة بشأن</w:t>
      </w:r>
      <w:r w:rsidRPr="005269E6">
        <w:rPr>
          <w:lang w:val="en" w:bidi="ar-SY"/>
        </w:rPr>
        <w:t xml:space="preserve"> </w:t>
      </w:r>
      <w:r w:rsidRPr="005269E6">
        <w:rPr>
          <w:rtl/>
          <w:lang w:bidi="ar"/>
        </w:rPr>
        <w:t>التصرف حسب الأصول</w:t>
      </w:r>
      <w:r w:rsidRPr="005269E6">
        <w:rPr>
          <w:lang w:val="en" w:bidi="ar-SY"/>
        </w:rPr>
        <w:t>.</w:t>
      </w:r>
      <w:r w:rsidRPr="005269E6">
        <w:rPr>
          <w:rtl/>
          <w:lang w:val="en" w:bidi="ar-SY"/>
        </w:rPr>
        <w:t xml:space="preserve"> </w:t>
      </w:r>
      <w:r w:rsidRPr="005269E6">
        <w:rPr>
          <w:rtl/>
          <w:lang w:bidi="ar-EG"/>
        </w:rPr>
        <w:t>ففي نظري، لم تستوف هذه المدفوعات تعريف الإكراميات على النحو المنصوص عليه في اللوائح المالية للاتحاد لأنها لم تكن ضرورية، أو لمصلحة الاتحاد، وبالتالي ليس لها أساس للدفع بموجب اللوائح المالية أو النظام الأساسي للموظفين في الاتحاد.</w:t>
      </w:r>
    </w:p>
    <w:p w14:paraId="09EC714E" w14:textId="77777777" w:rsidR="00834B83" w:rsidRPr="005269E6" w:rsidRDefault="00834B83" w:rsidP="00834B83">
      <w:pPr>
        <w:pStyle w:val="Headingb"/>
      </w:pPr>
      <w:r w:rsidRPr="005269E6">
        <w:rPr>
          <w:rtl/>
          <w:lang w:bidi="ar-SY"/>
        </w:rPr>
        <w:t>أساس الآراء</w:t>
      </w:r>
    </w:p>
    <w:p w14:paraId="4EC37CA6" w14:textId="77777777" w:rsidR="00834B83" w:rsidRPr="005269E6" w:rsidRDefault="00834B83" w:rsidP="00834B83">
      <w:pPr>
        <w:rPr>
          <w:lang w:val="en"/>
        </w:rPr>
      </w:pPr>
      <w:r w:rsidRPr="005269E6">
        <w:rPr>
          <w:rtl/>
          <w:lang w:bidi="ar-SY"/>
        </w:rPr>
        <w:t>أجريتُ المراجعة وفقاً للمعايير الدولية لمراجعة الحسابات (</w:t>
      </w:r>
      <w:r w:rsidRPr="005269E6">
        <w:rPr>
          <w:lang w:bidi="ar-SY"/>
        </w:rPr>
        <w:t>ISA</w:t>
      </w:r>
      <w:r w:rsidRPr="005269E6">
        <w:rPr>
          <w:rtl/>
          <w:lang w:bidi="ar-SY"/>
        </w:rPr>
        <w:t>) واللوائح المالية والقواعد المالية للاتحاد الدولي للاتصالات.</w:t>
      </w:r>
      <w:r w:rsidRPr="005269E6">
        <w:rPr>
          <w:rtl/>
        </w:rPr>
        <w:t xml:space="preserve"> وقد أجريتُ مراجعة للتصرف حسب الأصول باستخدام المبادئ الواردة في المعايير الدولية لمراجعة الحسابات.</w:t>
      </w:r>
      <w:r w:rsidRPr="005269E6">
        <w:rPr>
          <w:rtl/>
          <w:lang w:bidi="ar"/>
        </w:rPr>
        <w:t xml:space="preserve"> ويرد مزيد</w:t>
      </w:r>
      <w:r w:rsidRPr="005269E6">
        <w:rPr>
          <w:lang w:val="en"/>
        </w:rPr>
        <w:t xml:space="preserve"> </w:t>
      </w:r>
      <w:r w:rsidRPr="005269E6">
        <w:rPr>
          <w:rtl/>
          <w:lang w:bidi="ar"/>
        </w:rPr>
        <w:t>من</w:t>
      </w:r>
      <w:r w:rsidRPr="005269E6">
        <w:rPr>
          <w:rtl/>
          <w:lang w:val="en"/>
        </w:rPr>
        <w:t> </w:t>
      </w:r>
      <w:r w:rsidRPr="005269E6">
        <w:rPr>
          <w:rtl/>
          <w:lang w:bidi="ar"/>
        </w:rPr>
        <w:t>الوصف</w:t>
      </w:r>
      <w:r w:rsidRPr="005269E6">
        <w:rPr>
          <w:lang w:val="en"/>
        </w:rPr>
        <w:t xml:space="preserve"> </w:t>
      </w:r>
      <w:r w:rsidRPr="005269E6">
        <w:rPr>
          <w:rtl/>
          <w:lang w:bidi="ar"/>
        </w:rPr>
        <w:t>لمسؤولياتي</w:t>
      </w:r>
      <w:r w:rsidRPr="005269E6">
        <w:rPr>
          <w:lang w:val="en"/>
        </w:rPr>
        <w:t xml:space="preserve"> </w:t>
      </w:r>
      <w:r w:rsidRPr="005269E6">
        <w:rPr>
          <w:rtl/>
          <w:lang w:bidi="ar"/>
        </w:rPr>
        <w:t>بموجب</w:t>
      </w:r>
      <w:r w:rsidRPr="005269E6">
        <w:rPr>
          <w:lang w:val="en"/>
        </w:rPr>
        <w:t xml:space="preserve"> </w:t>
      </w:r>
      <w:r w:rsidRPr="005269E6">
        <w:rPr>
          <w:rtl/>
          <w:lang w:bidi="ar"/>
        </w:rPr>
        <w:t>هذه</w:t>
      </w:r>
      <w:r w:rsidRPr="005269E6">
        <w:rPr>
          <w:lang w:val="en"/>
        </w:rPr>
        <w:t xml:space="preserve"> </w:t>
      </w:r>
      <w:r w:rsidRPr="005269E6">
        <w:rPr>
          <w:rtl/>
          <w:lang w:bidi="ar"/>
        </w:rPr>
        <w:t>المعايير</w:t>
      </w:r>
      <w:r w:rsidRPr="005269E6">
        <w:rPr>
          <w:lang w:val="en"/>
        </w:rPr>
        <w:t xml:space="preserve"> </w:t>
      </w:r>
      <w:r w:rsidRPr="005269E6">
        <w:rPr>
          <w:rtl/>
          <w:lang w:bidi="ar"/>
        </w:rPr>
        <w:t>في</w:t>
      </w:r>
      <w:r w:rsidRPr="005269E6">
        <w:rPr>
          <w:lang w:val="en"/>
        </w:rPr>
        <w:t xml:space="preserve"> </w:t>
      </w:r>
      <w:r w:rsidRPr="005269E6">
        <w:rPr>
          <w:rtl/>
          <w:lang w:bidi="ar"/>
        </w:rPr>
        <w:t>القسم المعنون</w:t>
      </w:r>
      <w:r w:rsidRPr="005269E6">
        <w:rPr>
          <w:lang w:val="en"/>
        </w:rPr>
        <w:t xml:space="preserve"> </w:t>
      </w:r>
      <w:r w:rsidRPr="005269E6">
        <w:rPr>
          <w:i/>
          <w:iCs/>
          <w:rtl/>
          <w:lang w:bidi="ar"/>
        </w:rPr>
        <w:t>مسؤوليات</w:t>
      </w:r>
      <w:r w:rsidRPr="005269E6">
        <w:rPr>
          <w:i/>
          <w:iCs/>
          <w:lang w:val="en"/>
        </w:rPr>
        <w:t xml:space="preserve"> </w:t>
      </w:r>
      <w:r w:rsidRPr="005269E6">
        <w:rPr>
          <w:i/>
          <w:iCs/>
          <w:rtl/>
          <w:lang w:bidi="ar"/>
        </w:rPr>
        <w:t>مراجع</w:t>
      </w:r>
      <w:r w:rsidRPr="005269E6">
        <w:rPr>
          <w:i/>
          <w:iCs/>
          <w:lang w:val="en"/>
        </w:rPr>
        <w:t xml:space="preserve"> </w:t>
      </w:r>
      <w:r w:rsidRPr="005269E6">
        <w:rPr>
          <w:i/>
          <w:iCs/>
          <w:rtl/>
          <w:lang w:bidi="ar"/>
        </w:rPr>
        <w:t>الحسابات</w:t>
      </w:r>
      <w:r w:rsidRPr="005269E6">
        <w:rPr>
          <w:i/>
          <w:iCs/>
          <w:lang w:val="en"/>
        </w:rPr>
        <w:t xml:space="preserve"> </w:t>
      </w:r>
      <w:r w:rsidRPr="005269E6">
        <w:rPr>
          <w:i/>
          <w:iCs/>
          <w:rtl/>
          <w:lang w:bidi="ar"/>
        </w:rPr>
        <w:t>عن</w:t>
      </w:r>
      <w:r w:rsidRPr="005269E6">
        <w:rPr>
          <w:i/>
          <w:iCs/>
          <w:lang w:val="en"/>
        </w:rPr>
        <w:t xml:space="preserve"> </w:t>
      </w:r>
      <w:r w:rsidRPr="005269E6">
        <w:rPr>
          <w:i/>
          <w:iCs/>
          <w:rtl/>
          <w:lang w:bidi="ar"/>
        </w:rPr>
        <w:t>مراجعة</w:t>
      </w:r>
      <w:r w:rsidRPr="005269E6">
        <w:rPr>
          <w:i/>
          <w:iCs/>
          <w:lang w:val="en"/>
        </w:rPr>
        <w:t xml:space="preserve"> </w:t>
      </w:r>
      <w:r w:rsidRPr="005269E6">
        <w:rPr>
          <w:i/>
          <w:iCs/>
          <w:rtl/>
          <w:lang w:bidi="ar"/>
        </w:rPr>
        <w:t>البيانات</w:t>
      </w:r>
      <w:r w:rsidRPr="005269E6">
        <w:rPr>
          <w:i/>
          <w:iCs/>
          <w:lang w:val="en"/>
        </w:rPr>
        <w:t xml:space="preserve"> </w:t>
      </w:r>
      <w:r w:rsidRPr="005269E6">
        <w:rPr>
          <w:i/>
          <w:iCs/>
          <w:rtl/>
          <w:lang w:bidi="ar"/>
        </w:rPr>
        <w:t>المالية</w:t>
      </w:r>
      <w:r w:rsidRPr="005269E6">
        <w:rPr>
          <w:lang w:val="en"/>
        </w:rPr>
        <w:t xml:space="preserve"> </w:t>
      </w:r>
      <w:r w:rsidRPr="005269E6">
        <w:rPr>
          <w:rtl/>
          <w:lang w:bidi="ar"/>
        </w:rPr>
        <w:t>في</w:t>
      </w:r>
      <w:r w:rsidRPr="005269E6">
        <w:rPr>
          <w:lang w:val="en"/>
        </w:rPr>
        <w:t xml:space="preserve"> </w:t>
      </w:r>
      <w:r w:rsidRPr="005269E6">
        <w:rPr>
          <w:rtl/>
          <w:lang w:bidi="ar"/>
        </w:rPr>
        <w:t>تقريري</w:t>
      </w:r>
      <w:r w:rsidRPr="005269E6">
        <w:rPr>
          <w:lang w:val="en"/>
        </w:rPr>
        <w:t>.</w:t>
      </w:r>
    </w:p>
    <w:p w14:paraId="3C91D8CD" w14:textId="77777777" w:rsidR="00834B83" w:rsidRPr="005269E6" w:rsidRDefault="00834B83" w:rsidP="00834B83">
      <w:pPr>
        <w:rPr>
          <w:rtl/>
          <w:lang w:bidi="ar-SY"/>
        </w:rPr>
      </w:pPr>
      <w:r w:rsidRPr="005269E6">
        <w:rPr>
          <w:rtl/>
        </w:rPr>
        <w:t>وأنا مستقل عن الاتحاد الدولي للاتصالات وفقاً لمجلس معايير الأخلاقيات الدولية لمدونة أخلاقيات المحاسبين المهنيين (مدونة </w:t>
      </w:r>
      <w:r w:rsidRPr="005269E6">
        <w:rPr>
          <w:lang w:bidi="ar-SY"/>
        </w:rPr>
        <w:t>IESBA</w:t>
      </w:r>
      <w:r w:rsidRPr="005269E6">
        <w:rPr>
          <w:rtl/>
        </w:rPr>
        <w:t xml:space="preserve">) وقد أوفيت بمسؤولياتي الأخلاقية الأخرى وفقاً لهذه المتطلبات ومدونة </w:t>
      </w:r>
      <w:r w:rsidRPr="005269E6">
        <w:rPr>
          <w:lang w:bidi="ar-SY"/>
        </w:rPr>
        <w:t>IESBA</w:t>
      </w:r>
      <w:r w:rsidRPr="005269E6">
        <w:rPr>
          <w:rtl/>
        </w:rPr>
        <w:t>. وأعتقد أن أدلة المراجعة التي حصلت عليها كافية ومناسبة لتشكل أساساً لآرائي.</w:t>
      </w:r>
    </w:p>
    <w:p w14:paraId="42370AE9" w14:textId="77777777" w:rsidR="00834B83" w:rsidRPr="005269E6" w:rsidRDefault="00834B83" w:rsidP="00834B83">
      <w:pPr>
        <w:pStyle w:val="Headingb"/>
      </w:pPr>
      <w:r w:rsidRPr="005269E6">
        <w:rPr>
          <w:rtl/>
          <w:lang w:bidi="ar-SY"/>
        </w:rPr>
        <w:t>معلومات أخرى</w:t>
      </w:r>
    </w:p>
    <w:p w14:paraId="54AA6FB3" w14:textId="77777777" w:rsidR="00834B83" w:rsidRPr="005269E6" w:rsidRDefault="00834B83" w:rsidP="00834B83">
      <w:r w:rsidRPr="005269E6">
        <w:rPr>
          <w:rtl/>
        </w:rPr>
        <w:t>الإدارة مسؤولة عن المعلومات الأخرى. وتشمل المعلومات الأخرى المعلومات الواردة في تقرير الإدارة المالية السنوي، ولكنها لا تتضمن البيانات المالية وتقريري عن مراجعة الحسابات بشأنها.</w:t>
      </w:r>
    </w:p>
    <w:p w14:paraId="298C04D0" w14:textId="77777777" w:rsidR="00834B83" w:rsidRPr="005269E6" w:rsidRDefault="00834B83" w:rsidP="00834B83">
      <w:pPr>
        <w:rPr>
          <w:lang w:val="en" w:bidi="ar-SY"/>
        </w:rPr>
      </w:pPr>
      <w:r w:rsidRPr="005269E6">
        <w:rPr>
          <w:rtl/>
          <w:lang w:bidi="ar"/>
        </w:rPr>
        <w:t>ولا</w:t>
      </w:r>
      <w:r w:rsidRPr="005269E6">
        <w:rPr>
          <w:lang w:val="en" w:bidi="ar-SY"/>
        </w:rPr>
        <w:t xml:space="preserve"> </w:t>
      </w:r>
      <w:r w:rsidRPr="005269E6">
        <w:rPr>
          <w:rtl/>
          <w:lang w:bidi="ar"/>
        </w:rPr>
        <w:t>يشمل</w:t>
      </w:r>
      <w:r w:rsidRPr="005269E6">
        <w:rPr>
          <w:lang w:val="en" w:bidi="ar-SY"/>
        </w:rPr>
        <w:t xml:space="preserve"> </w:t>
      </w:r>
      <w:r w:rsidRPr="005269E6">
        <w:rPr>
          <w:rtl/>
          <w:lang w:bidi="ar"/>
        </w:rPr>
        <w:t>رأيي</w:t>
      </w:r>
      <w:r w:rsidRPr="005269E6">
        <w:rPr>
          <w:lang w:val="en" w:bidi="ar-SY"/>
        </w:rPr>
        <w:t xml:space="preserve"> </w:t>
      </w:r>
      <w:r w:rsidRPr="005269E6">
        <w:rPr>
          <w:rtl/>
          <w:lang w:bidi="ar"/>
        </w:rPr>
        <w:t>في</w:t>
      </w:r>
      <w:r w:rsidRPr="005269E6">
        <w:rPr>
          <w:lang w:val="en" w:bidi="ar-SY"/>
        </w:rPr>
        <w:t xml:space="preserve"> </w:t>
      </w:r>
      <w:r w:rsidRPr="005269E6">
        <w:rPr>
          <w:rtl/>
          <w:lang w:bidi="ar"/>
        </w:rPr>
        <w:t>البيانات</w:t>
      </w:r>
      <w:r w:rsidRPr="005269E6">
        <w:rPr>
          <w:lang w:val="en" w:bidi="ar-SY"/>
        </w:rPr>
        <w:t xml:space="preserve"> </w:t>
      </w:r>
      <w:r w:rsidRPr="005269E6">
        <w:rPr>
          <w:rtl/>
          <w:lang w:bidi="ar"/>
        </w:rPr>
        <w:t>المالية</w:t>
      </w:r>
      <w:r w:rsidRPr="005269E6">
        <w:rPr>
          <w:lang w:val="en" w:bidi="ar-SY"/>
        </w:rPr>
        <w:t xml:space="preserve"> </w:t>
      </w:r>
      <w:r w:rsidRPr="005269E6">
        <w:rPr>
          <w:rtl/>
          <w:lang w:bidi="ar"/>
        </w:rPr>
        <w:t>المعلومات</w:t>
      </w:r>
      <w:r w:rsidRPr="005269E6">
        <w:rPr>
          <w:lang w:val="en" w:bidi="ar-SY"/>
        </w:rPr>
        <w:t xml:space="preserve"> </w:t>
      </w:r>
      <w:r w:rsidRPr="005269E6">
        <w:rPr>
          <w:rtl/>
          <w:lang w:bidi="ar"/>
        </w:rPr>
        <w:t>الأخرى،</w:t>
      </w:r>
      <w:r w:rsidRPr="005269E6">
        <w:rPr>
          <w:lang w:val="en" w:bidi="ar-SY"/>
        </w:rPr>
        <w:t xml:space="preserve"> </w:t>
      </w:r>
      <w:r w:rsidRPr="005269E6">
        <w:rPr>
          <w:rtl/>
          <w:lang w:bidi="ar"/>
        </w:rPr>
        <w:t>وإنني،</w:t>
      </w:r>
      <w:r w:rsidRPr="005269E6">
        <w:rPr>
          <w:lang w:val="en" w:bidi="ar-SY"/>
        </w:rPr>
        <w:t xml:space="preserve"> </w:t>
      </w:r>
      <w:r w:rsidRPr="005269E6">
        <w:rPr>
          <w:rtl/>
          <w:lang w:bidi="ar"/>
        </w:rPr>
        <w:t>باستثناء</w:t>
      </w:r>
      <w:r w:rsidRPr="005269E6">
        <w:rPr>
          <w:lang w:val="en" w:bidi="ar-SY"/>
        </w:rPr>
        <w:t xml:space="preserve"> </w:t>
      </w:r>
      <w:r w:rsidRPr="005269E6">
        <w:rPr>
          <w:rtl/>
          <w:lang w:bidi="ar"/>
        </w:rPr>
        <w:t>ما</w:t>
      </w:r>
      <w:r w:rsidRPr="005269E6">
        <w:rPr>
          <w:lang w:val="en" w:bidi="ar-SY"/>
        </w:rPr>
        <w:t xml:space="preserve"> </w:t>
      </w:r>
      <w:r w:rsidRPr="005269E6">
        <w:rPr>
          <w:rtl/>
          <w:lang w:bidi="ar"/>
        </w:rPr>
        <w:t>ورد</w:t>
      </w:r>
      <w:r w:rsidRPr="005269E6">
        <w:rPr>
          <w:lang w:val="en" w:bidi="ar-SY"/>
        </w:rPr>
        <w:t xml:space="preserve"> </w:t>
      </w:r>
      <w:r w:rsidRPr="005269E6">
        <w:rPr>
          <w:rtl/>
          <w:lang w:bidi="ar"/>
        </w:rPr>
        <w:t>صراحة</w:t>
      </w:r>
      <w:r w:rsidRPr="005269E6">
        <w:rPr>
          <w:lang w:val="en" w:bidi="ar-SY"/>
        </w:rPr>
        <w:t xml:space="preserve"> </w:t>
      </w:r>
      <w:r w:rsidRPr="005269E6">
        <w:rPr>
          <w:rtl/>
          <w:lang w:bidi="ar"/>
        </w:rPr>
        <w:t>في</w:t>
      </w:r>
      <w:r w:rsidRPr="005269E6">
        <w:rPr>
          <w:lang w:val="en" w:bidi="ar-SY"/>
        </w:rPr>
        <w:t xml:space="preserve"> </w:t>
      </w:r>
      <w:r w:rsidRPr="005269E6">
        <w:rPr>
          <w:rtl/>
          <w:lang w:bidi="ar"/>
        </w:rPr>
        <w:t>تقريري،</w:t>
      </w:r>
      <w:r w:rsidRPr="005269E6">
        <w:rPr>
          <w:lang w:val="en" w:bidi="ar-SY"/>
        </w:rPr>
        <w:t xml:space="preserve"> </w:t>
      </w:r>
      <w:r w:rsidRPr="005269E6">
        <w:rPr>
          <w:rtl/>
          <w:lang w:bidi="ar"/>
        </w:rPr>
        <w:t>لا</w:t>
      </w:r>
      <w:r w:rsidRPr="005269E6">
        <w:rPr>
          <w:lang w:val="en" w:bidi="ar-SY"/>
        </w:rPr>
        <w:t xml:space="preserve"> </w:t>
      </w:r>
      <w:r w:rsidRPr="005269E6">
        <w:rPr>
          <w:rtl/>
          <w:lang w:bidi="ar"/>
        </w:rPr>
        <w:t>أعرب</w:t>
      </w:r>
      <w:r w:rsidRPr="005269E6">
        <w:rPr>
          <w:lang w:val="en" w:bidi="ar-SY"/>
        </w:rPr>
        <w:t xml:space="preserve"> </w:t>
      </w:r>
      <w:r w:rsidRPr="005269E6">
        <w:rPr>
          <w:rtl/>
          <w:lang w:bidi="ar"/>
        </w:rPr>
        <w:t>عن</w:t>
      </w:r>
      <w:r w:rsidRPr="005269E6">
        <w:rPr>
          <w:lang w:val="en" w:bidi="ar-SY"/>
        </w:rPr>
        <w:t xml:space="preserve"> </w:t>
      </w:r>
      <w:r w:rsidRPr="005269E6">
        <w:rPr>
          <w:rtl/>
          <w:lang w:bidi="ar"/>
        </w:rPr>
        <w:t>أي</w:t>
      </w:r>
      <w:r w:rsidRPr="005269E6">
        <w:rPr>
          <w:lang w:val="en" w:bidi="ar-SY"/>
        </w:rPr>
        <w:t xml:space="preserve"> </w:t>
      </w:r>
      <w:r w:rsidRPr="005269E6">
        <w:rPr>
          <w:rtl/>
          <w:lang w:bidi="ar"/>
        </w:rPr>
        <w:t>شكل</w:t>
      </w:r>
      <w:r w:rsidRPr="005269E6">
        <w:rPr>
          <w:lang w:val="en" w:bidi="ar-SY"/>
        </w:rPr>
        <w:t xml:space="preserve"> </w:t>
      </w:r>
      <w:r w:rsidRPr="005269E6">
        <w:rPr>
          <w:rtl/>
          <w:lang w:bidi="ar"/>
        </w:rPr>
        <w:t>من</w:t>
      </w:r>
      <w:r w:rsidRPr="005269E6">
        <w:rPr>
          <w:rtl/>
          <w:lang w:val="en" w:bidi="ar-SY"/>
        </w:rPr>
        <w:t> </w:t>
      </w:r>
      <w:r w:rsidRPr="005269E6">
        <w:rPr>
          <w:rtl/>
          <w:lang w:bidi="ar"/>
        </w:rPr>
        <w:t>أشكال</w:t>
      </w:r>
      <w:r w:rsidRPr="005269E6">
        <w:rPr>
          <w:lang w:val="en" w:bidi="ar-SY"/>
        </w:rPr>
        <w:t xml:space="preserve"> </w:t>
      </w:r>
      <w:r w:rsidRPr="005269E6">
        <w:rPr>
          <w:rtl/>
          <w:lang w:bidi="ar"/>
        </w:rPr>
        <w:t>الاستنتاج</w:t>
      </w:r>
      <w:r w:rsidRPr="005269E6">
        <w:rPr>
          <w:lang w:val="en" w:bidi="ar-SY"/>
        </w:rPr>
        <w:t xml:space="preserve"> </w:t>
      </w:r>
      <w:r w:rsidRPr="005269E6">
        <w:rPr>
          <w:rtl/>
          <w:lang w:bidi="ar"/>
        </w:rPr>
        <w:t>التأكيدي</w:t>
      </w:r>
      <w:r w:rsidRPr="005269E6">
        <w:rPr>
          <w:lang w:val="en" w:bidi="ar-SY"/>
        </w:rPr>
        <w:t xml:space="preserve"> </w:t>
      </w:r>
      <w:r w:rsidRPr="005269E6">
        <w:rPr>
          <w:rtl/>
          <w:lang w:bidi="ar"/>
        </w:rPr>
        <w:t>بشأنها</w:t>
      </w:r>
      <w:r w:rsidRPr="005269E6">
        <w:rPr>
          <w:lang w:val="en" w:bidi="ar-SY"/>
        </w:rPr>
        <w:t>.</w:t>
      </w:r>
    </w:p>
    <w:p w14:paraId="7BA170C8" w14:textId="77777777" w:rsidR="00834B83" w:rsidRPr="005269E6" w:rsidRDefault="00834B83" w:rsidP="00834B83">
      <w:r w:rsidRPr="005269E6">
        <w:rPr>
          <w:spacing w:val="-2"/>
          <w:rtl/>
          <w:lang w:bidi="ar-EG"/>
        </w:rPr>
        <w:t>وتتمثل مسؤوليتنا في قراءة المعلومات الأخرى، والنظر، عند القيام بذلك، فيما إذا كانت المعلومات غير متسقة مادياً مع البيانات المالية أو مع المعرفة المكتسبة من المراجَعة التي قمنا بها، أو فيما إذا كانت تبدو غير صحيحة مادياً.</w:t>
      </w:r>
    </w:p>
    <w:p w14:paraId="7B70A4F6" w14:textId="77777777" w:rsidR="00834B83" w:rsidRPr="005269E6" w:rsidRDefault="00834B83" w:rsidP="00834B83">
      <w:r w:rsidRPr="005269E6">
        <w:rPr>
          <w:rtl/>
        </w:rPr>
        <w:lastRenderedPageBreak/>
        <w:t xml:space="preserve">وإذا ما تبينت أوجه عدم الاتساق المادية أو </w:t>
      </w:r>
      <w:r w:rsidRPr="005269E6">
        <w:rPr>
          <w:rtl/>
          <w:lang w:bidi="ar-EG"/>
        </w:rPr>
        <w:t>ال</w:t>
      </w:r>
      <w:r w:rsidRPr="005269E6">
        <w:rPr>
          <w:rtl/>
        </w:rPr>
        <w:t>أخطاء المادية الظاهرة هذه، يُتطلب مني أن أقرر ما إذا كان ذلك يؤدي إلى أخطاء مادية في البيانات المالية ذاتها. وإذا خلصت، استناداً إلى العمل الذي قمت به، إلى أن هناك خطأ مادياً في هذه المعلومات الأخرى، يُتطلب مني الإبلاغ عن ذلك الواقع.</w:t>
      </w:r>
    </w:p>
    <w:p w14:paraId="2B755865" w14:textId="77777777" w:rsidR="00834B83" w:rsidRPr="005269E6" w:rsidRDefault="00834B83" w:rsidP="00834B83">
      <w:r w:rsidRPr="005269E6">
        <w:rPr>
          <w:rtl/>
        </w:rPr>
        <w:t>وليس لدي ما أبلغ عنه في هذا الصدد.</w:t>
      </w:r>
    </w:p>
    <w:p w14:paraId="4FCCEB3D" w14:textId="77777777" w:rsidR="00834B83" w:rsidRPr="005269E6" w:rsidRDefault="00834B83" w:rsidP="00834B83">
      <w:pPr>
        <w:rPr>
          <w:b/>
          <w:bCs/>
          <w:sz w:val="24"/>
          <w:szCs w:val="24"/>
          <w:rtl/>
          <w:lang w:bidi="ar-SY"/>
        </w:rPr>
      </w:pPr>
      <w:r w:rsidRPr="005269E6">
        <w:rPr>
          <w:b/>
          <w:bCs/>
          <w:sz w:val="24"/>
          <w:szCs w:val="24"/>
          <w:rtl/>
          <w:lang w:bidi="ar-SY"/>
        </w:rPr>
        <w:t>المسائل التي أبلِّغ عنها من باب الانتفاء</w:t>
      </w:r>
    </w:p>
    <w:p w14:paraId="0369671E" w14:textId="77777777" w:rsidR="00834B83" w:rsidRPr="005269E6" w:rsidRDefault="00834B83" w:rsidP="00834B83">
      <w:r w:rsidRPr="005269E6">
        <w:rPr>
          <w:rtl/>
          <w:lang w:bidi="ar"/>
        </w:rPr>
        <w:t>ليس</w:t>
      </w:r>
      <w:r w:rsidRPr="005269E6">
        <w:rPr>
          <w:lang w:val="en" w:bidi="ar-SY"/>
        </w:rPr>
        <w:t xml:space="preserve"> </w:t>
      </w:r>
      <w:r w:rsidRPr="005269E6">
        <w:rPr>
          <w:rtl/>
          <w:lang w:bidi="ar"/>
        </w:rPr>
        <w:t>لدي</w:t>
      </w:r>
      <w:r w:rsidRPr="005269E6">
        <w:rPr>
          <w:rtl/>
        </w:rPr>
        <w:t xml:space="preserve">، </w:t>
      </w:r>
      <w:r w:rsidRPr="005269E6">
        <w:rPr>
          <w:rtl/>
          <w:lang w:bidi="ar"/>
        </w:rPr>
        <w:t>في رأيي</w:t>
      </w:r>
      <w:r w:rsidRPr="005269E6">
        <w:rPr>
          <w:rtl/>
        </w:rPr>
        <w:t>،</w:t>
      </w:r>
      <w:r w:rsidRPr="005269E6">
        <w:rPr>
          <w:lang w:val="en" w:bidi="ar-SY"/>
        </w:rPr>
        <w:t xml:space="preserve"> </w:t>
      </w:r>
      <w:r w:rsidRPr="005269E6">
        <w:rPr>
          <w:rtl/>
          <w:lang w:bidi="ar"/>
        </w:rPr>
        <w:t>ما</w:t>
      </w:r>
      <w:r w:rsidRPr="005269E6">
        <w:rPr>
          <w:lang w:val="en" w:bidi="ar-SY"/>
        </w:rPr>
        <w:t xml:space="preserve"> </w:t>
      </w:r>
      <w:r w:rsidRPr="005269E6">
        <w:rPr>
          <w:rtl/>
          <w:lang w:bidi="ar"/>
        </w:rPr>
        <w:t>أبلغ</w:t>
      </w:r>
      <w:r w:rsidRPr="005269E6">
        <w:rPr>
          <w:lang w:val="en" w:bidi="ar-SY"/>
        </w:rPr>
        <w:t xml:space="preserve"> </w:t>
      </w:r>
      <w:r w:rsidRPr="005269E6">
        <w:rPr>
          <w:rtl/>
          <w:lang w:bidi="ar"/>
        </w:rPr>
        <w:t>فيما</w:t>
      </w:r>
      <w:r w:rsidRPr="005269E6">
        <w:rPr>
          <w:lang w:val="en" w:bidi="ar-SY"/>
        </w:rPr>
        <w:t xml:space="preserve"> </w:t>
      </w:r>
      <w:r w:rsidRPr="005269E6">
        <w:rPr>
          <w:rtl/>
          <w:lang w:bidi="ar"/>
        </w:rPr>
        <w:t>أبلغكم</w:t>
      </w:r>
      <w:r w:rsidRPr="005269E6">
        <w:rPr>
          <w:lang w:val="en" w:bidi="ar-SY"/>
        </w:rPr>
        <w:t xml:space="preserve"> </w:t>
      </w:r>
      <w:r w:rsidRPr="005269E6">
        <w:rPr>
          <w:rtl/>
          <w:lang w:bidi="ar"/>
        </w:rPr>
        <w:t>به</w:t>
      </w:r>
      <w:r w:rsidRPr="005269E6">
        <w:rPr>
          <w:rtl/>
        </w:rPr>
        <w:t xml:space="preserve"> من ا</w:t>
      </w:r>
      <w:r w:rsidRPr="005269E6">
        <w:rPr>
          <w:rtl/>
          <w:lang w:bidi="ar"/>
        </w:rPr>
        <w:t>لأمور</w:t>
      </w:r>
      <w:r w:rsidRPr="005269E6">
        <w:rPr>
          <w:lang w:val="en" w:bidi="ar-SY"/>
        </w:rPr>
        <w:t xml:space="preserve"> </w:t>
      </w:r>
      <w:r w:rsidRPr="005269E6">
        <w:rPr>
          <w:rtl/>
          <w:lang w:bidi="ar"/>
        </w:rPr>
        <w:t>التالية</w:t>
      </w:r>
      <w:r w:rsidRPr="005269E6">
        <w:rPr>
          <w:lang w:val="en" w:bidi="ar-SY"/>
        </w:rPr>
        <w:t>:</w:t>
      </w:r>
    </w:p>
    <w:p w14:paraId="7DA5A936" w14:textId="77777777" w:rsidR="00834B83" w:rsidRPr="005269E6" w:rsidRDefault="00834B83" w:rsidP="00834B83">
      <w:pPr>
        <w:pStyle w:val="enumlev1"/>
        <w:rPr>
          <w:spacing w:val="-4"/>
        </w:rPr>
      </w:pPr>
      <w:r w:rsidRPr="005269E6">
        <w:rPr>
          <w:spacing w:val="-4"/>
        </w:rPr>
        <w:sym w:font="Symbol" w:char="F0B7"/>
      </w:r>
      <w:r w:rsidRPr="005269E6">
        <w:rPr>
          <w:spacing w:val="-4"/>
          <w:rtl/>
        </w:rPr>
        <w:tab/>
        <w:t xml:space="preserve">لم يحتفظ الاتحاد الدولي للاتصالات بسجلات محاسبية سليمة، أو لم ترد </w:t>
      </w:r>
      <w:r w:rsidRPr="005269E6">
        <w:rPr>
          <w:spacing w:val="-4"/>
          <w:rtl/>
          <w:lang w:bidi="ar-SA"/>
        </w:rPr>
        <w:t>إقرارات</w:t>
      </w:r>
      <w:r w:rsidRPr="005269E6">
        <w:rPr>
          <w:spacing w:val="-4"/>
          <w:rtl/>
        </w:rPr>
        <w:t xml:space="preserve"> </w:t>
      </w:r>
      <w:r w:rsidRPr="005269E6">
        <w:rPr>
          <w:spacing w:val="-4"/>
          <w:rtl/>
          <w:lang w:bidi="ar-SA"/>
        </w:rPr>
        <w:t>سليمة</w:t>
      </w:r>
      <w:r w:rsidRPr="005269E6">
        <w:rPr>
          <w:spacing w:val="-4"/>
          <w:rtl/>
        </w:rPr>
        <w:t xml:space="preserve"> كافية للتدقيق من أي أطراف ثالثة؛</w:t>
      </w:r>
    </w:p>
    <w:p w14:paraId="5759691D" w14:textId="77777777" w:rsidR="00834B83" w:rsidRPr="005269E6" w:rsidRDefault="00834B83" w:rsidP="00834B83">
      <w:pPr>
        <w:pStyle w:val="enumlev1"/>
        <w:rPr>
          <w:lang w:val="en"/>
        </w:rPr>
      </w:pPr>
      <w:r w:rsidRPr="005269E6">
        <w:sym w:font="Symbol" w:char="F0B7"/>
      </w:r>
      <w:r w:rsidRPr="005269E6">
        <w:rPr>
          <w:rtl/>
        </w:rPr>
        <w:tab/>
      </w:r>
      <w:r w:rsidRPr="005269E6">
        <w:rPr>
          <w:rtl/>
          <w:lang w:bidi="ar"/>
        </w:rPr>
        <w:t>لم</w:t>
      </w:r>
      <w:r w:rsidRPr="005269E6">
        <w:rPr>
          <w:lang w:val="en"/>
        </w:rPr>
        <w:t xml:space="preserve"> </w:t>
      </w:r>
      <w:r w:rsidRPr="005269E6">
        <w:rPr>
          <w:rtl/>
          <w:lang w:bidi="ar"/>
        </w:rPr>
        <w:t>أحصل</w:t>
      </w:r>
      <w:r w:rsidRPr="005269E6">
        <w:rPr>
          <w:lang w:val="en"/>
        </w:rPr>
        <w:t xml:space="preserve"> </w:t>
      </w:r>
      <w:r w:rsidRPr="005269E6">
        <w:rPr>
          <w:rtl/>
          <w:lang w:bidi="ar"/>
        </w:rPr>
        <w:t>على</w:t>
      </w:r>
      <w:r w:rsidRPr="005269E6">
        <w:rPr>
          <w:lang w:val="en"/>
        </w:rPr>
        <w:t xml:space="preserve"> </w:t>
      </w:r>
      <w:r w:rsidRPr="005269E6">
        <w:rPr>
          <w:rtl/>
          <w:lang w:bidi="ar"/>
        </w:rPr>
        <w:t>جميع</w:t>
      </w:r>
      <w:r w:rsidRPr="005269E6">
        <w:rPr>
          <w:lang w:val="en"/>
        </w:rPr>
        <w:t xml:space="preserve"> </w:t>
      </w:r>
      <w:r w:rsidRPr="005269E6">
        <w:rPr>
          <w:rtl/>
          <w:lang w:bidi="ar"/>
        </w:rPr>
        <w:t>المعلومات</w:t>
      </w:r>
      <w:r w:rsidRPr="005269E6">
        <w:rPr>
          <w:lang w:val="en"/>
        </w:rPr>
        <w:t xml:space="preserve"> </w:t>
      </w:r>
      <w:r w:rsidRPr="005269E6">
        <w:rPr>
          <w:rtl/>
          <w:lang w:bidi="ar"/>
        </w:rPr>
        <w:t>والتفسيرات</w:t>
      </w:r>
      <w:r w:rsidRPr="005269E6">
        <w:rPr>
          <w:lang w:val="en"/>
        </w:rPr>
        <w:t xml:space="preserve"> </w:t>
      </w:r>
      <w:r w:rsidRPr="005269E6">
        <w:rPr>
          <w:rtl/>
          <w:lang w:bidi="ar"/>
        </w:rPr>
        <w:t>التي</w:t>
      </w:r>
      <w:r w:rsidRPr="005269E6">
        <w:rPr>
          <w:lang w:val="en"/>
        </w:rPr>
        <w:t xml:space="preserve"> </w:t>
      </w:r>
      <w:r w:rsidRPr="005269E6">
        <w:rPr>
          <w:rtl/>
          <w:lang w:bidi="ar"/>
        </w:rPr>
        <w:t>أعتبرها</w:t>
      </w:r>
      <w:r w:rsidRPr="005269E6">
        <w:rPr>
          <w:lang w:val="en"/>
        </w:rPr>
        <w:t xml:space="preserve"> </w:t>
      </w:r>
      <w:r w:rsidRPr="005269E6">
        <w:rPr>
          <w:rtl/>
          <w:lang w:bidi="ar"/>
        </w:rPr>
        <w:t>ضرورية</w:t>
      </w:r>
      <w:r w:rsidRPr="005269E6">
        <w:rPr>
          <w:lang w:val="en"/>
        </w:rPr>
        <w:t xml:space="preserve"> </w:t>
      </w:r>
      <w:r w:rsidRPr="005269E6">
        <w:rPr>
          <w:rtl/>
          <w:lang w:bidi="ar"/>
        </w:rPr>
        <w:t>لأغراض</w:t>
      </w:r>
      <w:r w:rsidRPr="005269E6">
        <w:rPr>
          <w:lang w:val="en"/>
        </w:rPr>
        <w:t xml:space="preserve"> </w:t>
      </w:r>
      <w:r w:rsidRPr="005269E6">
        <w:rPr>
          <w:rtl/>
          <w:lang w:bidi="ar"/>
        </w:rPr>
        <w:t>مراجعتي</w:t>
      </w:r>
      <w:r w:rsidRPr="005269E6">
        <w:rPr>
          <w:lang w:val="en"/>
        </w:rPr>
        <w:t xml:space="preserve"> </w:t>
      </w:r>
      <w:r w:rsidRPr="005269E6">
        <w:rPr>
          <w:rtl/>
          <w:lang w:bidi="ar"/>
        </w:rPr>
        <w:t>للحسابات؛</w:t>
      </w:r>
    </w:p>
    <w:p w14:paraId="1C2257FA" w14:textId="77777777" w:rsidR="00834B83" w:rsidRPr="005269E6" w:rsidRDefault="00834B83" w:rsidP="00834B83">
      <w:pPr>
        <w:pStyle w:val="enumlev1"/>
      </w:pPr>
      <w:r w:rsidRPr="005269E6">
        <w:sym w:font="Symbol" w:char="F0B7"/>
      </w:r>
      <w:r w:rsidRPr="005269E6">
        <w:rPr>
          <w:rtl/>
        </w:rPr>
        <w:tab/>
        <w:t>المعلومات الواردة في تقرير الإدارة المالية السنوي لا تتسق مع البيانات المالية والمعلومات التي تم الحصول عليها أثناء عملية المراجعة؛</w:t>
      </w:r>
    </w:p>
    <w:p w14:paraId="6C95CE83" w14:textId="77777777" w:rsidR="00834B83" w:rsidRPr="005269E6" w:rsidRDefault="00834B83" w:rsidP="00834B83">
      <w:pPr>
        <w:pStyle w:val="enumlev1"/>
        <w:rPr>
          <w:lang w:val="en"/>
        </w:rPr>
      </w:pPr>
      <w:r w:rsidRPr="005269E6">
        <w:sym w:font="Symbol" w:char="F0B7"/>
      </w:r>
      <w:r w:rsidRPr="005269E6">
        <w:rPr>
          <w:rtl/>
        </w:rPr>
        <w:tab/>
      </w:r>
      <w:r w:rsidRPr="005269E6">
        <w:rPr>
          <w:rtl/>
          <w:lang w:bidi="ar-EG"/>
        </w:rPr>
        <w:t>يُتطلب</w:t>
      </w:r>
      <w:r w:rsidRPr="005269E6">
        <w:rPr>
          <w:lang w:val="en"/>
        </w:rPr>
        <w:t xml:space="preserve"> </w:t>
      </w:r>
      <w:r w:rsidRPr="005269E6">
        <w:rPr>
          <w:rtl/>
          <w:lang w:bidi="ar"/>
        </w:rPr>
        <w:t>مني</w:t>
      </w:r>
      <w:r w:rsidRPr="005269E6">
        <w:rPr>
          <w:lang w:val="en"/>
        </w:rPr>
        <w:t xml:space="preserve"> </w:t>
      </w:r>
      <w:r w:rsidRPr="005269E6">
        <w:rPr>
          <w:rtl/>
          <w:lang w:bidi="ar"/>
        </w:rPr>
        <w:t>تقديم</w:t>
      </w:r>
      <w:r w:rsidRPr="005269E6">
        <w:rPr>
          <w:lang w:val="en"/>
        </w:rPr>
        <w:t xml:space="preserve"> </w:t>
      </w:r>
      <w:r w:rsidRPr="005269E6">
        <w:rPr>
          <w:rtl/>
          <w:lang w:bidi="ar"/>
        </w:rPr>
        <w:t>تقرير</w:t>
      </w:r>
      <w:r w:rsidRPr="005269E6">
        <w:rPr>
          <w:lang w:val="en"/>
        </w:rPr>
        <w:t xml:space="preserve"> </w:t>
      </w:r>
      <w:r w:rsidRPr="005269E6">
        <w:rPr>
          <w:rtl/>
          <w:lang w:bidi="ar"/>
        </w:rPr>
        <w:t>عن</w:t>
      </w:r>
      <w:r w:rsidRPr="005269E6">
        <w:rPr>
          <w:lang w:val="en"/>
        </w:rPr>
        <w:t xml:space="preserve"> </w:t>
      </w:r>
      <w:r w:rsidRPr="005269E6">
        <w:rPr>
          <w:rtl/>
          <w:lang w:bidi="ar"/>
        </w:rPr>
        <w:t>المسائل</w:t>
      </w:r>
      <w:r w:rsidRPr="005269E6">
        <w:rPr>
          <w:lang w:val="en"/>
        </w:rPr>
        <w:t xml:space="preserve"> </w:t>
      </w:r>
      <w:r w:rsidRPr="005269E6">
        <w:rPr>
          <w:rtl/>
          <w:lang w:bidi="ar"/>
        </w:rPr>
        <w:t>الأخرى</w:t>
      </w:r>
      <w:r w:rsidRPr="005269E6">
        <w:rPr>
          <w:lang w:val="en"/>
        </w:rPr>
        <w:t xml:space="preserve"> </w:t>
      </w:r>
      <w:r w:rsidRPr="005269E6">
        <w:rPr>
          <w:rtl/>
          <w:lang w:bidi="ar"/>
        </w:rPr>
        <w:t>المبينة</w:t>
      </w:r>
      <w:r w:rsidRPr="005269E6">
        <w:rPr>
          <w:lang w:val="en"/>
        </w:rPr>
        <w:t xml:space="preserve"> </w:t>
      </w:r>
      <w:r w:rsidRPr="005269E6">
        <w:rPr>
          <w:rtl/>
          <w:lang w:bidi="ar"/>
        </w:rPr>
        <w:t>في</w:t>
      </w:r>
      <w:r w:rsidRPr="005269E6">
        <w:rPr>
          <w:lang w:val="en"/>
        </w:rPr>
        <w:t xml:space="preserve"> </w:t>
      </w:r>
      <w:r w:rsidRPr="005269E6">
        <w:rPr>
          <w:rtl/>
          <w:lang w:bidi="ar"/>
        </w:rPr>
        <w:t>اللوائح</w:t>
      </w:r>
      <w:r w:rsidRPr="005269E6">
        <w:rPr>
          <w:lang w:val="en"/>
        </w:rPr>
        <w:t xml:space="preserve"> </w:t>
      </w:r>
      <w:r w:rsidRPr="005269E6">
        <w:rPr>
          <w:rtl/>
          <w:lang w:bidi="ar"/>
        </w:rPr>
        <w:t>المالية</w:t>
      </w:r>
      <w:r w:rsidRPr="005269E6">
        <w:rPr>
          <w:lang w:val="en"/>
        </w:rPr>
        <w:t xml:space="preserve"> </w:t>
      </w:r>
      <w:r w:rsidRPr="005269E6">
        <w:rPr>
          <w:rtl/>
          <w:lang w:bidi="ar"/>
        </w:rPr>
        <w:t>للاتحاد</w:t>
      </w:r>
      <w:r w:rsidRPr="005269E6">
        <w:rPr>
          <w:lang w:val="en"/>
        </w:rPr>
        <w:t xml:space="preserve"> </w:t>
      </w:r>
      <w:r w:rsidRPr="005269E6">
        <w:rPr>
          <w:rtl/>
          <w:lang w:bidi="ar"/>
        </w:rPr>
        <w:t>الدولي للاتصالات</w:t>
      </w:r>
      <w:r w:rsidRPr="005269E6">
        <w:rPr>
          <w:lang w:val="en"/>
        </w:rPr>
        <w:t xml:space="preserve"> </w:t>
      </w:r>
      <w:r w:rsidRPr="005269E6">
        <w:rPr>
          <w:rtl/>
          <w:lang w:bidi="ar"/>
        </w:rPr>
        <w:t>بشأن الاختصاصات</w:t>
      </w:r>
      <w:r w:rsidRPr="005269E6">
        <w:rPr>
          <w:lang w:val="en"/>
        </w:rPr>
        <w:t xml:space="preserve"> </w:t>
      </w:r>
      <w:r w:rsidRPr="005269E6">
        <w:rPr>
          <w:rtl/>
          <w:lang w:bidi="ar"/>
        </w:rPr>
        <w:t>الإضافية</w:t>
      </w:r>
      <w:r w:rsidRPr="005269E6">
        <w:rPr>
          <w:lang w:val="en"/>
        </w:rPr>
        <w:t xml:space="preserve"> </w:t>
      </w:r>
      <w:r w:rsidRPr="005269E6">
        <w:rPr>
          <w:rtl/>
          <w:lang w:bidi="ar"/>
        </w:rPr>
        <w:t>الناظمة للمراجعة</w:t>
      </w:r>
      <w:r w:rsidRPr="005269E6">
        <w:rPr>
          <w:lang w:val="en"/>
        </w:rPr>
        <w:t xml:space="preserve"> </w:t>
      </w:r>
      <w:r w:rsidRPr="005269E6">
        <w:rPr>
          <w:rtl/>
          <w:lang w:bidi="ar"/>
        </w:rPr>
        <w:t>الخارجية</w:t>
      </w:r>
      <w:r w:rsidRPr="005269E6">
        <w:rPr>
          <w:lang w:val="en"/>
        </w:rPr>
        <w:t xml:space="preserve"> </w:t>
      </w:r>
      <w:r w:rsidRPr="005269E6">
        <w:rPr>
          <w:rtl/>
          <w:lang w:bidi="ar"/>
        </w:rPr>
        <w:t>للحسابات.</w:t>
      </w:r>
    </w:p>
    <w:p w14:paraId="4A205660" w14:textId="77777777" w:rsidR="00834B83" w:rsidRPr="005269E6" w:rsidRDefault="00834B83" w:rsidP="00834B83">
      <w:pPr>
        <w:pStyle w:val="Headingb"/>
        <w:rPr>
          <w:rtl/>
        </w:rPr>
      </w:pPr>
      <w:r w:rsidRPr="005269E6">
        <w:rPr>
          <w:rtl/>
        </w:rPr>
        <w:t>مسؤوليات الأمينة العامة للاتحاد والمكلفين بإدارة البيانات المالية</w:t>
      </w:r>
    </w:p>
    <w:p w14:paraId="559E722C" w14:textId="77777777" w:rsidR="00834B83" w:rsidRPr="005269E6" w:rsidRDefault="00834B83" w:rsidP="00834B83">
      <w:pPr>
        <w:rPr>
          <w:spacing w:val="-2"/>
          <w:rtl/>
          <w:lang w:bidi="ar-SY"/>
        </w:rPr>
      </w:pPr>
      <w:r w:rsidRPr="005269E6">
        <w:rPr>
          <w:spacing w:val="-2"/>
          <w:rtl/>
        </w:rPr>
        <w:t xml:space="preserve">الأمينة العامة هي المسؤولة عن إعداد البيانات المالية وتقديمها بأمانة طبقاً للمعايير </w:t>
      </w:r>
      <w:bookmarkStart w:id="56" w:name="_Hlk160384829"/>
      <w:r w:rsidRPr="005269E6">
        <w:rPr>
          <w:spacing w:val="-2"/>
          <w:rtl/>
        </w:rPr>
        <w:t>المحاسبية الدولية للقطاع العام</w:t>
      </w:r>
      <w:r w:rsidRPr="005269E6">
        <w:rPr>
          <w:spacing w:val="-2"/>
          <w:rtl/>
          <w:lang w:bidi="ar-SY"/>
        </w:rPr>
        <w:t xml:space="preserve"> </w:t>
      </w:r>
      <w:bookmarkEnd w:id="56"/>
      <w:r w:rsidRPr="005269E6">
        <w:rPr>
          <w:spacing w:val="-2"/>
          <w:rtl/>
          <w:lang w:bidi="ar-SY"/>
        </w:rPr>
        <w:t xml:space="preserve">وعن نظام </w:t>
      </w:r>
      <w:r w:rsidRPr="005269E6">
        <w:rPr>
          <w:spacing w:val="-2"/>
          <w:rtl/>
          <w:lang w:bidi="ar-EG"/>
        </w:rPr>
        <w:t>ال</w:t>
      </w:r>
      <w:r w:rsidRPr="005269E6">
        <w:rPr>
          <w:spacing w:val="-2"/>
          <w:rtl/>
          <w:lang w:bidi="ar-SY"/>
        </w:rPr>
        <w:t xml:space="preserve">رقابة الداخلية حسبما تراه ضرورياً لتمكين إعداد بيانات مالية لا تشوبها أي أخطاء مادية، </w:t>
      </w:r>
      <w:r w:rsidRPr="005269E6">
        <w:rPr>
          <w:spacing w:val="-2"/>
          <w:rtl/>
        </w:rPr>
        <w:t>سواء كانت ناشئة عن احتيال أم عن خطأ</w:t>
      </w:r>
      <w:r w:rsidRPr="005269E6">
        <w:rPr>
          <w:spacing w:val="-2"/>
          <w:rtl/>
          <w:lang w:bidi="ar-SY"/>
        </w:rPr>
        <w:t>.</w:t>
      </w:r>
    </w:p>
    <w:p w14:paraId="3A8EDEE5" w14:textId="77777777" w:rsidR="00834B83" w:rsidRPr="005269E6" w:rsidRDefault="00834B83" w:rsidP="00834B83">
      <w:pPr>
        <w:rPr>
          <w:rtl/>
          <w:lang w:bidi="ar-EG"/>
        </w:rPr>
      </w:pPr>
      <w:r w:rsidRPr="005269E6">
        <w:rPr>
          <w:rtl/>
          <w:lang w:bidi="ar-SY"/>
        </w:rPr>
        <w:t xml:space="preserve">وعند إعداد البيانات المالية، تتولى الأمينة العامة مسؤولية تقييم قدرة الاتحاد على </w:t>
      </w:r>
      <w:r w:rsidRPr="005269E6">
        <w:rPr>
          <w:rtl/>
          <w:lang w:bidi="ar-EG"/>
        </w:rPr>
        <w:t xml:space="preserve">الاستمرار في عمله، والإفصاح، حسب الاقتضاء، عن المسائل المتصلة بالاستمرارية واستعمال </w:t>
      </w:r>
      <w:r w:rsidRPr="005269E6">
        <w:rPr>
          <w:rtl/>
        </w:rPr>
        <w:t>مبدأ الاستمرارية كأساس للمحاسبة إلا إذا كانت الأمينة العامة تنوي تصفية المنظمة أو وقف الأنشطة أو إذا كانت لا تملك بديلاً واقعياً سوى القيام بذلك.</w:t>
      </w:r>
    </w:p>
    <w:p w14:paraId="1609DA06" w14:textId="357A8575" w:rsidR="00834B83" w:rsidRPr="005269E6" w:rsidRDefault="00086B63" w:rsidP="00086B63">
      <w:pPr>
        <w:rPr>
          <w:rtl/>
          <w:lang w:bidi="ar-EG"/>
        </w:rPr>
      </w:pPr>
      <w:r w:rsidRPr="00086B63">
        <w:rPr>
          <w:rFonts w:hint="cs"/>
          <w:rtl/>
        </w:rPr>
        <w:t>وتتولى الأمينة العامة</w:t>
      </w:r>
      <w:r w:rsidRPr="00086B63">
        <w:rPr>
          <w:rtl/>
        </w:rPr>
        <w:t xml:space="preserve"> مسؤولية الإشراف على عملية إعداد التقارير المالية للاتحاد.</w:t>
      </w:r>
    </w:p>
    <w:p w14:paraId="12FDE210" w14:textId="77777777" w:rsidR="00834B83" w:rsidRPr="005269E6" w:rsidRDefault="00834B83" w:rsidP="00834B83">
      <w:pPr>
        <w:pStyle w:val="Headingb"/>
        <w:rPr>
          <w:rtl/>
        </w:rPr>
      </w:pPr>
      <w:r w:rsidRPr="005269E6">
        <w:rPr>
          <w:rtl/>
        </w:rPr>
        <w:t>مسؤوليات المراجع فيما يتعلق بمراجَعة البيانات المالية</w:t>
      </w:r>
    </w:p>
    <w:p w14:paraId="30D63709" w14:textId="77777777" w:rsidR="00834B83" w:rsidRPr="005269E6" w:rsidRDefault="00834B83" w:rsidP="00834B83">
      <w:pPr>
        <w:rPr>
          <w:rtl/>
          <w:lang w:bidi="ar-EG"/>
        </w:rPr>
      </w:pPr>
      <w:r w:rsidRPr="005269E6">
        <w:rPr>
          <w:spacing w:val="-4"/>
          <w:rtl/>
          <w:lang w:bidi="ar-EG"/>
        </w:rPr>
        <w:t xml:space="preserve">تتمثل مسؤولياتنا في التوصل إلى </w:t>
      </w:r>
      <w:r w:rsidRPr="005269E6">
        <w:rPr>
          <w:spacing w:val="-4"/>
          <w:rtl/>
        </w:rPr>
        <w:t>تأكيد معقول بأن البيانات المالية ككل خالية من أخطاء مادية، سواء كانت ناشئة عن احتيال أم عن خطأ،</w:t>
      </w:r>
      <w:r w:rsidRPr="005269E6">
        <w:rPr>
          <w:rtl/>
        </w:rPr>
        <w:t xml:space="preserve"> وإصدار تقرير المراجعة الذي يتضمن رأينا. ويمثل التأكيد المعقول درجة عالية من التأكيد ولكنه لا يضمن أن مراجعةً أجريت وفقاً للمعايير الدولية للمراجَعة ستكشف دائماً أخطاء مادية في حال وجودها. ويمكن أن تنشأ الأخطاء عن الاحتيال أو الخطأ، وتعتبر جسيمة </w:t>
      </w:r>
      <w:r w:rsidRPr="005269E6">
        <w:rPr>
          <w:rtl/>
          <w:lang w:bidi="ar-EG"/>
        </w:rPr>
        <w:t>إذا كان من الممكن أن نتوقع بشكل منطقي أنها ستؤثر، سواء منفردةً أم مجموعةً، على القرارات الاقتصادية للمستعملين المتخذة على أساس هذه البيانات المالية.</w:t>
      </w:r>
    </w:p>
    <w:p w14:paraId="250A2917" w14:textId="77777777" w:rsidR="00834B83" w:rsidRPr="005269E6" w:rsidRDefault="00834B83" w:rsidP="00834B83">
      <w:pPr>
        <w:rPr>
          <w:rtl/>
          <w:lang w:bidi="ar-EG"/>
        </w:rPr>
      </w:pPr>
      <w:r w:rsidRPr="005269E6">
        <w:rPr>
          <w:rtl/>
          <w:lang w:bidi="ar-EG"/>
        </w:rPr>
        <w:t>وكجزء من المراجَعة وفقاً للمعايير الدولية للمراجَعة، فإنني أتحلى بالاحترافية خلال كامل عملية المراجَعة سواء تعلق الأمر بالحكم على البيانات أو التشكك فيها. كما أننا نقوم بما يلي:</w:t>
      </w:r>
    </w:p>
    <w:p w14:paraId="11D72283" w14:textId="77777777" w:rsidR="00834B83" w:rsidRPr="005269E6" w:rsidRDefault="00834B83" w:rsidP="00834B83">
      <w:pPr>
        <w:pStyle w:val="enumlev1"/>
        <w:tabs>
          <w:tab w:val="clear" w:pos="794"/>
        </w:tabs>
        <w:rPr>
          <w:rtl/>
        </w:rPr>
      </w:pPr>
      <w:bookmarkStart w:id="57" w:name="_Toc56010503"/>
      <w:r w:rsidRPr="005269E6">
        <w:sym w:font="Symbol" w:char="F0B7"/>
      </w:r>
      <w:r w:rsidRPr="005269E6">
        <w:rPr>
          <w:rtl/>
        </w:rPr>
        <w:tab/>
        <w:t>تحديد وتقييم مخاطر الأخطاء المادية في البيانات المالية سواء كانت ناشئة عن احتيال أم عن خطأ، ووضع إجراءات المراجَعة وتنفيذها استجابة لتلك المخاطر، والحصول على أدلة المراجَعة الكافية والمناسبة لتوفير أساس لرأيي. وخطر عدم اكتشاف الأخطاء المادية الناتجة عن الاحتيال أعلى من خطر عدم اكتشاف تلك الناتجة عن الخطأ، إذ يمكن أن ينطوي الاحتيال على التواطؤ أو التزوير أو الإغفال المتعمد أو المغالطات التفسيرية أو تجاوز الرقابة الداخلية.</w:t>
      </w:r>
      <w:bookmarkEnd w:id="57"/>
    </w:p>
    <w:p w14:paraId="0553B630" w14:textId="77777777" w:rsidR="00834B83" w:rsidRPr="005269E6" w:rsidRDefault="00834B83" w:rsidP="00834B83">
      <w:pPr>
        <w:pStyle w:val="enumlev1"/>
        <w:tabs>
          <w:tab w:val="clear" w:pos="794"/>
        </w:tabs>
        <w:rPr>
          <w:rtl/>
        </w:rPr>
      </w:pPr>
      <w:bookmarkStart w:id="58" w:name="_Toc56010504"/>
      <w:r w:rsidRPr="005269E6">
        <w:sym w:font="Symbol" w:char="F0B7"/>
      </w:r>
      <w:r w:rsidRPr="005269E6">
        <w:rPr>
          <w:rtl/>
        </w:rPr>
        <w:tab/>
        <w:t>الحصول على فهم للرقابة الداخلية ذات الصلة بالمراجَعة من أجل وضع إجراءات مراجَعة ملائمة في ظل هذه الظروف، ولكن ليس لغرض إبداء رأي بشأن فعالية الرقابة الداخلية للاتحاد الدولي</w:t>
      </w:r>
      <w:r w:rsidRPr="005269E6">
        <w:rPr>
          <w:rtl/>
          <w:lang w:bidi="ar"/>
        </w:rPr>
        <w:t xml:space="preserve"> للاتصالات</w:t>
      </w:r>
      <w:r w:rsidRPr="005269E6">
        <w:rPr>
          <w:rtl/>
        </w:rPr>
        <w:t>.</w:t>
      </w:r>
      <w:bookmarkEnd w:id="58"/>
    </w:p>
    <w:p w14:paraId="7781048F" w14:textId="77777777" w:rsidR="00834B83" w:rsidRPr="005269E6" w:rsidRDefault="00834B83" w:rsidP="00834B83">
      <w:pPr>
        <w:pStyle w:val="enumlev1"/>
        <w:tabs>
          <w:tab w:val="clear" w:pos="794"/>
        </w:tabs>
        <w:rPr>
          <w:rtl/>
        </w:rPr>
      </w:pPr>
      <w:bookmarkStart w:id="59" w:name="_Toc56010505"/>
      <w:r w:rsidRPr="005269E6">
        <w:sym w:font="Symbol" w:char="F0B7"/>
      </w:r>
      <w:r w:rsidRPr="005269E6">
        <w:rPr>
          <w:rtl/>
        </w:rPr>
        <w:tab/>
        <w:t>تقييم مدى ملاءمة السياسات المحاسبية المتبعة ومدى معقولية التقديرات المحاسبية والإقرارات ذات الصلة التي تقدمها الإدارة.</w:t>
      </w:r>
      <w:bookmarkEnd w:id="59"/>
    </w:p>
    <w:p w14:paraId="2B98D9D6" w14:textId="77777777" w:rsidR="00834B83" w:rsidRPr="005269E6" w:rsidRDefault="00834B83" w:rsidP="00834B83">
      <w:pPr>
        <w:pStyle w:val="enumlev1"/>
        <w:keepNext/>
        <w:keepLines/>
        <w:tabs>
          <w:tab w:val="clear" w:pos="794"/>
        </w:tabs>
        <w:rPr>
          <w:rtl/>
        </w:rPr>
      </w:pPr>
      <w:bookmarkStart w:id="60" w:name="_Toc56010506"/>
      <w:r w:rsidRPr="005269E6">
        <w:lastRenderedPageBreak/>
        <w:sym w:font="Symbol" w:char="F0B7"/>
      </w:r>
      <w:r w:rsidRPr="005269E6">
        <w:rPr>
          <w:rtl/>
        </w:rPr>
        <w:tab/>
        <w:t>الخروج باستنتاج بشأن مدى ملاءمة استعمال الإدارة لمبدأ الاستمرارية كأساس للمحاسبة، واستناداً إلى أدلة المراجَعة التي يتم الحصول عليها، وتحديد ما إذا كان يوجد عدم يقين مادي بخصوص أحداث أو ظروف قد تثير شكوكاً كبيرة بشأن قدرة الاتحاد على الاستمرار في عمله. وفي حال استنتجت وجود عدم يقين مادي، يُتطلب مني استرعاء الانتباه، في تقرير مراجعتنا، إلى البيانات المبلغة ذات الصلة الواردة ضمن البيانات المالية، أو بتعديل رأيي إذا كانت هذه البيانات المبلغة غير كافية. وتستند استنتاجاتي إلى أدلة المراجَعة المتحصل عليها حتى تاريخ تقرير المراجَعة. ومع ذلك، قد تؤدي أحداث أو ظروف مستقبلية إلى توقف الاتحاد عن مزاولة أعماله.</w:t>
      </w:r>
      <w:bookmarkEnd w:id="60"/>
    </w:p>
    <w:p w14:paraId="21E9B232" w14:textId="77777777" w:rsidR="00834B83" w:rsidRPr="005269E6" w:rsidRDefault="00834B83" w:rsidP="00834B83">
      <w:pPr>
        <w:pStyle w:val="enumlev1"/>
        <w:tabs>
          <w:tab w:val="clear" w:pos="794"/>
        </w:tabs>
        <w:rPr>
          <w:rtl/>
        </w:rPr>
      </w:pPr>
      <w:bookmarkStart w:id="61" w:name="_Toc56010507"/>
      <w:r w:rsidRPr="005269E6">
        <w:sym w:font="Symbol" w:char="F0B7"/>
      </w:r>
      <w:r w:rsidRPr="005269E6">
        <w:rPr>
          <w:rtl/>
        </w:rPr>
        <w:tab/>
        <w:t>تقييم العرض الإجمالي للبيانات المالية وهيكلها ومحتواها، بما في ذلك الإقرارات، وتقييم ما إذا كانت البيانات المالية تمثل المعاملات والأحداث الأساسية على نحو يحقق عرض هذه البيانات بأمانة.</w:t>
      </w:r>
      <w:bookmarkEnd w:id="61"/>
    </w:p>
    <w:p w14:paraId="1D65FEA2" w14:textId="77777777" w:rsidR="00834B83" w:rsidRPr="005269E6" w:rsidRDefault="00834B83" w:rsidP="00834B83">
      <w:pPr>
        <w:rPr>
          <w:lang w:val="en" w:bidi="ar-SY"/>
        </w:rPr>
      </w:pPr>
      <w:r w:rsidRPr="005269E6">
        <w:rPr>
          <w:rtl/>
          <w:lang w:bidi="ar"/>
        </w:rPr>
        <w:t>وبالإضافة</w:t>
      </w:r>
      <w:r w:rsidRPr="005269E6">
        <w:rPr>
          <w:lang w:val="en" w:bidi="ar-SY"/>
        </w:rPr>
        <w:t xml:space="preserve"> </w:t>
      </w:r>
      <w:r w:rsidRPr="005269E6">
        <w:rPr>
          <w:rtl/>
          <w:lang w:bidi="ar"/>
        </w:rPr>
        <w:t>إلى</w:t>
      </w:r>
      <w:r w:rsidRPr="005269E6">
        <w:rPr>
          <w:lang w:val="en" w:bidi="ar-SY"/>
        </w:rPr>
        <w:t xml:space="preserve"> </w:t>
      </w:r>
      <w:r w:rsidRPr="005269E6">
        <w:rPr>
          <w:rtl/>
          <w:lang w:bidi="ar"/>
        </w:rPr>
        <w:t>ذلك،</w:t>
      </w:r>
      <w:r w:rsidRPr="005269E6">
        <w:rPr>
          <w:lang w:val="en" w:bidi="ar-SY"/>
        </w:rPr>
        <w:t xml:space="preserve"> </w:t>
      </w:r>
      <w:r w:rsidRPr="005269E6">
        <w:rPr>
          <w:rtl/>
          <w:lang w:bidi="ar"/>
        </w:rPr>
        <w:t>يتعين</w:t>
      </w:r>
      <w:r w:rsidRPr="005269E6">
        <w:rPr>
          <w:lang w:val="en" w:bidi="ar-SY"/>
        </w:rPr>
        <w:t xml:space="preserve"> </w:t>
      </w:r>
      <w:r w:rsidRPr="005269E6">
        <w:rPr>
          <w:rtl/>
          <w:lang w:bidi="ar"/>
        </w:rPr>
        <w:t>على</w:t>
      </w:r>
      <w:r w:rsidRPr="005269E6">
        <w:rPr>
          <w:lang w:val="en" w:bidi="ar-SY"/>
        </w:rPr>
        <w:t xml:space="preserve"> </w:t>
      </w:r>
      <w:r w:rsidRPr="005269E6">
        <w:rPr>
          <w:rtl/>
          <w:lang w:bidi="ar"/>
        </w:rPr>
        <w:t>الحصول</w:t>
      </w:r>
      <w:r w:rsidRPr="005269E6">
        <w:rPr>
          <w:lang w:val="en" w:bidi="ar-SY"/>
        </w:rPr>
        <w:t xml:space="preserve"> </w:t>
      </w:r>
      <w:r w:rsidRPr="005269E6">
        <w:rPr>
          <w:rtl/>
          <w:lang w:bidi="ar"/>
        </w:rPr>
        <w:t>على</w:t>
      </w:r>
      <w:r w:rsidRPr="005269E6">
        <w:rPr>
          <w:lang w:val="en" w:bidi="ar-SY"/>
        </w:rPr>
        <w:t xml:space="preserve"> </w:t>
      </w:r>
      <w:r w:rsidRPr="005269E6">
        <w:rPr>
          <w:rtl/>
          <w:lang w:bidi="ar"/>
        </w:rPr>
        <w:t>أدلة</w:t>
      </w:r>
      <w:r w:rsidRPr="005269E6">
        <w:rPr>
          <w:lang w:val="en" w:bidi="ar-SY"/>
        </w:rPr>
        <w:t xml:space="preserve"> </w:t>
      </w:r>
      <w:r w:rsidRPr="005269E6">
        <w:rPr>
          <w:rtl/>
          <w:lang w:bidi="ar"/>
        </w:rPr>
        <w:t>كافية</w:t>
      </w:r>
      <w:r w:rsidRPr="005269E6">
        <w:rPr>
          <w:lang w:val="en" w:bidi="ar-SY"/>
        </w:rPr>
        <w:t xml:space="preserve"> </w:t>
      </w:r>
      <w:r w:rsidRPr="005269E6">
        <w:rPr>
          <w:rtl/>
          <w:lang w:bidi="ar"/>
        </w:rPr>
        <w:t>لتأكيد</w:t>
      </w:r>
      <w:r w:rsidRPr="005269E6">
        <w:rPr>
          <w:lang w:val="en" w:bidi="ar-SY"/>
        </w:rPr>
        <w:t xml:space="preserve"> </w:t>
      </w:r>
      <w:r w:rsidRPr="005269E6">
        <w:rPr>
          <w:rtl/>
          <w:lang w:bidi="ar"/>
        </w:rPr>
        <w:t>معقول</w:t>
      </w:r>
      <w:r w:rsidRPr="005269E6">
        <w:rPr>
          <w:lang w:val="en" w:bidi="ar-SY"/>
        </w:rPr>
        <w:t xml:space="preserve"> </w:t>
      </w:r>
      <w:r w:rsidRPr="005269E6">
        <w:rPr>
          <w:rtl/>
          <w:lang w:bidi="ar"/>
        </w:rPr>
        <w:t>بأن</w:t>
      </w:r>
      <w:r w:rsidRPr="005269E6">
        <w:rPr>
          <w:lang w:val="en" w:bidi="ar-SY"/>
        </w:rPr>
        <w:t xml:space="preserve"> </w:t>
      </w:r>
      <w:r w:rsidRPr="005269E6">
        <w:rPr>
          <w:rtl/>
          <w:lang w:bidi="ar"/>
        </w:rPr>
        <w:t>الإيرادات</w:t>
      </w:r>
      <w:r w:rsidRPr="005269E6">
        <w:rPr>
          <w:lang w:val="en" w:bidi="ar-SY"/>
        </w:rPr>
        <w:t xml:space="preserve"> </w:t>
      </w:r>
      <w:r w:rsidRPr="005269E6">
        <w:rPr>
          <w:rtl/>
          <w:lang w:bidi="ar"/>
        </w:rPr>
        <w:t>والنفقات</w:t>
      </w:r>
      <w:r w:rsidRPr="005269E6">
        <w:rPr>
          <w:lang w:val="en" w:bidi="ar-SY"/>
        </w:rPr>
        <w:t xml:space="preserve"> </w:t>
      </w:r>
      <w:r w:rsidRPr="005269E6">
        <w:rPr>
          <w:rtl/>
          <w:lang w:bidi="ar"/>
        </w:rPr>
        <w:t>المبلغ</w:t>
      </w:r>
      <w:r w:rsidRPr="005269E6">
        <w:rPr>
          <w:lang w:val="en" w:bidi="ar-SY"/>
        </w:rPr>
        <w:t xml:space="preserve"> </w:t>
      </w:r>
      <w:r w:rsidRPr="005269E6">
        <w:rPr>
          <w:rtl/>
          <w:lang w:bidi="ar"/>
        </w:rPr>
        <w:t>عنها</w:t>
      </w:r>
      <w:r w:rsidRPr="005269E6">
        <w:rPr>
          <w:lang w:val="en" w:bidi="ar-SY"/>
        </w:rPr>
        <w:t xml:space="preserve"> </w:t>
      </w:r>
      <w:r w:rsidRPr="005269E6">
        <w:rPr>
          <w:rtl/>
          <w:lang w:bidi="ar"/>
        </w:rPr>
        <w:t>في</w:t>
      </w:r>
      <w:r w:rsidRPr="005269E6">
        <w:rPr>
          <w:lang w:val="en" w:bidi="ar-SY"/>
        </w:rPr>
        <w:t xml:space="preserve"> </w:t>
      </w:r>
      <w:r w:rsidRPr="005269E6">
        <w:rPr>
          <w:rtl/>
          <w:lang w:bidi="ar"/>
        </w:rPr>
        <w:t>البيانات</w:t>
      </w:r>
      <w:r w:rsidRPr="005269E6">
        <w:rPr>
          <w:lang w:val="en" w:bidi="ar-SY"/>
        </w:rPr>
        <w:t xml:space="preserve"> </w:t>
      </w:r>
      <w:r w:rsidRPr="005269E6">
        <w:rPr>
          <w:rtl/>
          <w:lang w:bidi="ar"/>
        </w:rPr>
        <w:t>المالية</w:t>
      </w:r>
      <w:r w:rsidRPr="005269E6">
        <w:rPr>
          <w:lang w:val="en" w:bidi="ar-SY"/>
        </w:rPr>
        <w:t xml:space="preserve"> </w:t>
      </w:r>
      <w:r w:rsidRPr="005269E6">
        <w:rPr>
          <w:rtl/>
          <w:lang w:bidi="ar"/>
        </w:rPr>
        <w:t>قد</w:t>
      </w:r>
      <w:r w:rsidRPr="005269E6">
        <w:rPr>
          <w:lang w:val="en" w:bidi="ar-SY"/>
        </w:rPr>
        <w:t xml:space="preserve"> </w:t>
      </w:r>
      <w:r w:rsidRPr="005269E6">
        <w:rPr>
          <w:rtl/>
          <w:lang w:bidi="ar"/>
        </w:rPr>
        <w:t>استُخدمت</w:t>
      </w:r>
      <w:r w:rsidRPr="005269E6">
        <w:rPr>
          <w:lang w:val="en" w:bidi="ar-SY"/>
        </w:rPr>
        <w:t xml:space="preserve"> </w:t>
      </w:r>
      <w:r w:rsidRPr="005269E6">
        <w:rPr>
          <w:rtl/>
          <w:lang w:bidi="ar"/>
        </w:rPr>
        <w:t>للأغراض</w:t>
      </w:r>
      <w:r w:rsidRPr="005269E6">
        <w:rPr>
          <w:lang w:val="en" w:bidi="ar-SY"/>
        </w:rPr>
        <w:t xml:space="preserve"> </w:t>
      </w:r>
      <w:r w:rsidRPr="005269E6">
        <w:rPr>
          <w:rtl/>
          <w:lang w:bidi="ar"/>
        </w:rPr>
        <w:t>التي</w:t>
      </w:r>
      <w:r w:rsidRPr="005269E6">
        <w:rPr>
          <w:lang w:val="en" w:bidi="ar-SY"/>
        </w:rPr>
        <w:t xml:space="preserve"> </w:t>
      </w:r>
      <w:r w:rsidRPr="005269E6">
        <w:rPr>
          <w:rtl/>
          <w:lang w:bidi="ar"/>
        </w:rPr>
        <w:t>قصدها</w:t>
      </w:r>
      <w:r w:rsidRPr="005269E6">
        <w:rPr>
          <w:lang w:val="en" w:bidi="ar-SY"/>
        </w:rPr>
        <w:t xml:space="preserve"> </w:t>
      </w:r>
      <w:r w:rsidRPr="005269E6">
        <w:rPr>
          <w:rtl/>
          <w:lang w:bidi="ar"/>
        </w:rPr>
        <w:t>المجلس</w:t>
      </w:r>
      <w:r w:rsidRPr="005269E6">
        <w:rPr>
          <w:lang w:val="en" w:bidi="ar-SY"/>
        </w:rPr>
        <w:t xml:space="preserve"> </w:t>
      </w:r>
      <w:r w:rsidRPr="005269E6">
        <w:rPr>
          <w:rtl/>
          <w:lang w:bidi="ar"/>
        </w:rPr>
        <w:t>وأن</w:t>
      </w:r>
      <w:r w:rsidRPr="005269E6">
        <w:rPr>
          <w:lang w:val="en" w:bidi="ar-SY"/>
        </w:rPr>
        <w:t xml:space="preserve"> </w:t>
      </w:r>
      <w:r w:rsidRPr="005269E6">
        <w:rPr>
          <w:rtl/>
          <w:lang w:bidi="ar"/>
        </w:rPr>
        <w:t>المعاملات</w:t>
      </w:r>
      <w:r w:rsidRPr="005269E6">
        <w:rPr>
          <w:lang w:val="en" w:bidi="ar-SY"/>
        </w:rPr>
        <w:t xml:space="preserve"> </w:t>
      </w:r>
      <w:r w:rsidRPr="005269E6">
        <w:rPr>
          <w:rtl/>
          <w:lang w:bidi="ar"/>
        </w:rPr>
        <w:t>المالية</w:t>
      </w:r>
      <w:r w:rsidRPr="005269E6">
        <w:rPr>
          <w:lang w:val="en" w:bidi="ar-SY"/>
        </w:rPr>
        <w:t xml:space="preserve"> </w:t>
      </w:r>
      <w:r w:rsidRPr="005269E6">
        <w:rPr>
          <w:rtl/>
          <w:lang w:bidi="ar"/>
        </w:rPr>
        <w:t>تلتزم</w:t>
      </w:r>
      <w:r w:rsidRPr="005269E6">
        <w:rPr>
          <w:lang w:val="en" w:bidi="ar-SY"/>
        </w:rPr>
        <w:t xml:space="preserve"> </w:t>
      </w:r>
      <w:r w:rsidRPr="005269E6">
        <w:rPr>
          <w:rtl/>
          <w:lang w:bidi="ar"/>
        </w:rPr>
        <w:t>باللوائح</w:t>
      </w:r>
      <w:r w:rsidRPr="005269E6">
        <w:rPr>
          <w:lang w:val="en" w:bidi="ar-SY"/>
        </w:rPr>
        <w:t xml:space="preserve"> </w:t>
      </w:r>
      <w:r w:rsidRPr="005269E6">
        <w:rPr>
          <w:rtl/>
          <w:lang w:bidi="ar"/>
        </w:rPr>
        <w:t>المالية</w:t>
      </w:r>
      <w:r w:rsidRPr="005269E6">
        <w:rPr>
          <w:lang w:val="en" w:bidi="ar-SY"/>
        </w:rPr>
        <w:t xml:space="preserve"> </w:t>
      </w:r>
      <w:r w:rsidRPr="005269E6">
        <w:rPr>
          <w:rtl/>
          <w:lang w:bidi="ar"/>
        </w:rPr>
        <w:t>الناظمة لها</w:t>
      </w:r>
      <w:r w:rsidRPr="005269E6">
        <w:rPr>
          <w:lang w:val="en" w:bidi="ar-SY"/>
        </w:rPr>
        <w:t>.</w:t>
      </w:r>
    </w:p>
    <w:p w14:paraId="6CE657DA" w14:textId="77777777" w:rsidR="00834B83" w:rsidRPr="005269E6" w:rsidRDefault="00834B83" w:rsidP="00834B83">
      <w:pPr>
        <w:rPr>
          <w:rtl/>
        </w:rPr>
      </w:pPr>
      <w:r w:rsidRPr="005269E6">
        <w:rPr>
          <w:rtl/>
        </w:rPr>
        <w:t>وأتواصل مع المكلّفين بالإشراف الإداري فيما يخص نطاق المراجَعة وتوقيتها المخطط لهما ونتائج المراجَعة المهمة، من بين عدة أمور أخرى، بما في ذلك أي أوجه قصور كبيرة في الرقابة الداخلية حدّدتها أثناء المراجَعة.</w:t>
      </w:r>
    </w:p>
    <w:p w14:paraId="5BC53F94" w14:textId="77777777" w:rsidR="00834B83" w:rsidRPr="005269E6" w:rsidRDefault="00834B83" w:rsidP="00834B83">
      <w:pPr>
        <w:pStyle w:val="Headingb"/>
      </w:pPr>
      <w:r w:rsidRPr="005269E6">
        <w:rPr>
          <w:rtl/>
          <w:lang w:bidi="ar-SY"/>
        </w:rPr>
        <w:t>التقرير</w:t>
      </w:r>
    </w:p>
    <w:p w14:paraId="3924F47F" w14:textId="77777777" w:rsidR="00834B83" w:rsidRPr="005269E6" w:rsidRDefault="00834B83" w:rsidP="00834B83">
      <w:pPr>
        <w:rPr>
          <w:lang w:val="en" w:bidi="ar-SY"/>
        </w:rPr>
      </w:pPr>
      <w:r w:rsidRPr="005269E6">
        <w:rPr>
          <w:rtl/>
          <w:lang w:bidi="ar-SY"/>
        </w:rPr>
        <w:t>أصدرت أيضاً تقرير المراجعة الطويل عن نتائج المراجعة التي أجريتها، بالإضافة إلى تقريري المؤقت السابق في يوليو 2023.</w:t>
      </w:r>
    </w:p>
    <w:p w14:paraId="59C47CE8" w14:textId="77777777" w:rsidR="00834B83" w:rsidRPr="005269E6" w:rsidRDefault="00834B83" w:rsidP="009604B6">
      <w:pPr>
        <w:spacing w:before="720" w:after="720"/>
        <w:rPr>
          <w:i/>
          <w:iCs/>
          <w:rtl/>
          <w:lang w:bidi="ar-EG"/>
        </w:rPr>
      </w:pPr>
      <w:r w:rsidRPr="005269E6">
        <w:rPr>
          <w:i/>
          <w:iCs/>
          <w:rtl/>
          <w:lang w:bidi="ar-EG"/>
        </w:rPr>
        <w:t>(التوقيع)</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4534"/>
      </w:tblGrid>
      <w:tr w:rsidR="009604B6" w:rsidRPr="005269E6" w14:paraId="35AB40F3" w14:textId="77777777" w:rsidTr="00C17CEA">
        <w:trPr>
          <w:trHeight w:val="2365"/>
          <w:jc w:val="center"/>
        </w:trPr>
        <w:tc>
          <w:tcPr>
            <w:tcW w:w="2648" w:type="pct"/>
          </w:tcPr>
          <w:p w14:paraId="51C56AAD" w14:textId="77777777" w:rsidR="009604B6" w:rsidRPr="005269E6" w:rsidRDefault="009604B6" w:rsidP="005C5B84">
            <w:pPr>
              <w:jc w:val="left"/>
              <w:rPr>
                <w:b/>
                <w:bCs/>
                <w:color w:val="000000" w:themeColor="text1"/>
              </w:rPr>
            </w:pPr>
            <w:r w:rsidRPr="005269E6">
              <w:rPr>
                <w:b/>
                <w:bCs/>
                <w:color w:val="000000" w:themeColor="text1"/>
                <w:rtl/>
                <w:lang w:bidi="ar-SY"/>
              </w:rPr>
              <w:t>غاريث ديفيز</w:t>
            </w:r>
          </w:p>
          <w:p w14:paraId="1D9A5B1F" w14:textId="77777777" w:rsidR="009604B6" w:rsidRPr="005269E6" w:rsidRDefault="009604B6" w:rsidP="009604B6">
            <w:pPr>
              <w:spacing w:before="0"/>
              <w:jc w:val="left"/>
              <w:rPr>
                <w:color w:val="000000" w:themeColor="text1"/>
                <w:lang w:val="en-GB" w:bidi="ar-SY"/>
              </w:rPr>
            </w:pPr>
            <w:r w:rsidRPr="005269E6">
              <w:rPr>
                <w:color w:val="000000" w:themeColor="text1"/>
                <w:rtl/>
                <w:lang w:val="en-GB" w:bidi="ar-SY"/>
              </w:rPr>
              <w:t>المراقب المالي والمراجع العام للحسابات</w:t>
            </w:r>
          </w:p>
          <w:p w14:paraId="45A679CC" w14:textId="77777777" w:rsidR="009604B6" w:rsidRPr="005269E6" w:rsidRDefault="009604B6" w:rsidP="009604B6">
            <w:pPr>
              <w:spacing w:before="0"/>
              <w:jc w:val="left"/>
              <w:rPr>
                <w:color w:val="000000" w:themeColor="text1"/>
                <w:lang w:val="en-GB" w:bidi="ar-SY"/>
              </w:rPr>
            </w:pPr>
            <w:r w:rsidRPr="005269E6">
              <w:rPr>
                <w:color w:val="000000" w:themeColor="text1"/>
                <w:rtl/>
                <w:lang w:val="en-GB" w:bidi="ar-SY"/>
              </w:rPr>
              <w:t>ديوان المراجعة المالية والإدارية</w:t>
            </w:r>
          </w:p>
          <w:p w14:paraId="1E9B502B" w14:textId="77777777" w:rsidR="009604B6" w:rsidRPr="005269E6" w:rsidRDefault="009604B6" w:rsidP="009604B6">
            <w:pPr>
              <w:pStyle w:val="NoSpacing"/>
              <w:bidi/>
              <w:rPr>
                <w:rFonts w:ascii="Dubai" w:hAnsi="Dubai" w:cs="Dubai"/>
                <w:color w:val="000000" w:themeColor="text1"/>
                <w:lang w:val="en-GB"/>
              </w:rPr>
            </w:pPr>
            <w:bookmarkStart w:id="62" w:name="lt_pId296"/>
            <w:r w:rsidRPr="005269E6">
              <w:rPr>
                <w:rFonts w:ascii="Dubai" w:hAnsi="Dubai" w:cs="Dubai"/>
                <w:color w:val="000000" w:themeColor="text1"/>
                <w:lang w:val="en-GB"/>
              </w:rPr>
              <w:t>157-197 Buckingham Palace Road</w:t>
            </w:r>
          </w:p>
          <w:p w14:paraId="475F38EB" w14:textId="77777777" w:rsidR="009604B6" w:rsidRPr="005269E6" w:rsidRDefault="009604B6" w:rsidP="009604B6">
            <w:pPr>
              <w:pStyle w:val="NoSpacing"/>
              <w:bidi/>
              <w:rPr>
                <w:rFonts w:ascii="Dubai" w:hAnsi="Dubai" w:cs="Dubai"/>
                <w:color w:val="000000" w:themeColor="text1"/>
                <w:lang w:val="en-GB"/>
              </w:rPr>
            </w:pPr>
            <w:bookmarkStart w:id="63" w:name="lt_pId297"/>
            <w:bookmarkEnd w:id="62"/>
            <w:r w:rsidRPr="005269E6">
              <w:rPr>
                <w:rFonts w:ascii="Dubai" w:hAnsi="Dubai" w:cs="Dubai"/>
                <w:color w:val="000000" w:themeColor="text1"/>
                <w:lang w:val="en-GB"/>
              </w:rPr>
              <w:t>Victoria, London</w:t>
            </w:r>
            <w:bookmarkStart w:id="64" w:name="lt_pId298"/>
            <w:bookmarkEnd w:id="63"/>
            <w:r w:rsidRPr="005269E6">
              <w:rPr>
                <w:rFonts w:ascii="Dubai" w:hAnsi="Dubai" w:cs="Dubai"/>
                <w:color w:val="000000" w:themeColor="text1"/>
                <w:lang w:val="en-GB"/>
              </w:rPr>
              <w:t xml:space="preserve"> SW1W 9SP</w:t>
            </w:r>
          </w:p>
          <w:p w14:paraId="61F8C924" w14:textId="2B176B29" w:rsidR="009604B6" w:rsidRPr="005269E6" w:rsidRDefault="009604B6" w:rsidP="009604B6">
            <w:pPr>
              <w:pStyle w:val="NoSpacing"/>
              <w:bidi/>
              <w:rPr>
                <w:b/>
                <w:bCs/>
                <w:color w:val="000000" w:themeColor="text1"/>
              </w:rPr>
            </w:pPr>
            <w:bookmarkStart w:id="65" w:name="lt_pId299"/>
            <w:bookmarkEnd w:id="64"/>
            <w:r w:rsidRPr="005269E6">
              <w:rPr>
                <w:rFonts w:ascii="Dubai" w:hAnsi="Dubai" w:cs="Dubai"/>
                <w:color w:val="000000" w:themeColor="text1"/>
                <w:lang w:val="en-GB"/>
              </w:rPr>
              <w:t>United Kingdom</w:t>
            </w:r>
            <w:bookmarkEnd w:id="65"/>
          </w:p>
        </w:tc>
        <w:tc>
          <w:tcPr>
            <w:tcW w:w="2352" w:type="pct"/>
          </w:tcPr>
          <w:p w14:paraId="20494365" w14:textId="77777777" w:rsidR="009604B6" w:rsidRPr="005269E6" w:rsidRDefault="009604B6" w:rsidP="005C5B84">
            <w:pPr>
              <w:rPr>
                <w:color w:val="000000" w:themeColor="text1"/>
                <w:rtl/>
              </w:rPr>
            </w:pPr>
            <w:bookmarkStart w:id="66" w:name="lt_pId293"/>
            <w:r w:rsidRPr="005269E6">
              <w:rPr>
                <w:b/>
                <w:bCs/>
                <w:color w:val="000000" w:themeColor="text1"/>
                <w:rtl/>
              </w:rPr>
              <w:t>24 يناير 2024</w:t>
            </w:r>
            <w:bookmarkEnd w:id="66"/>
          </w:p>
        </w:tc>
      </w:tr>
    </w:tbl>
    <w:p w14:paraId="4593D45E" w14:textId="77777777" w:rsidR="00834B83" w:rsidRPr="005269E6" w:rsidRDefault="00834B83" w:rsidP="00834B83">
      <w:pPr>
        <w:tabs>
          <w:tab w:val="clear" w:pos="794"/>
        </w:tabs>
        <w:spacing w:before="0" w:after="160" w:line="259" w:lineRule="auto"/>
        <w:jc w:val="left"/>
        <w:rPr>
          <w:rtl/>
          <w:lang w:val="en-GB" w:bidi="ar-SY"/>
        </w:rPr>
      </w:pPr>
      <w:r w:rsidRPr="005269E6">
        <w:rPr>
          <w:rtl/>
          <w:lang w:val="en-GB" w:bidi="ar-SY"/>
        </w:rPr>
        <w:br w:type="page"/>
      </w:r>
    </w:p>
    <w:p w14:paraId="5346FC14" w14:textId="77777777" w:rsidR="00834B83" w:rsidRPr="005269E6" w:rsidRDefault="00834B83" w:rsidP="00834B83">
      <w:pPr>
        <w:pStyle w:val="Heading1"/>
        <w:jc w:val="center"/>
        <w:rPr>
          <w:lang w:val="en-GB"/>
        </w:rPr>
      </w:pPr>
      <w:bookmarkStart w:id="67" w:name="_Toc162520612"/>
      <w:r w:rsidRPr="005269E6">
        <w:rPr>
          <w:rtl/>
          <w:lang w:val="en-GB"/>
        </w:rPr>
        <w:lastRenderedPageBreak/>
        <w:t>البيانات المالية</w:t>
      </w:r>
      <w:bookmarkEnd w:id="67"/>
    </w:p>
    <w:p w14:paraId="6541749D" w14:textId="77777777" w:rsidR="00834B83" w:rsidRPr="005269E6" w:rsidRDefault="00834B83" w:rsidP="00696AA6">
      <w:pPr>
        <w:pStyle w:val="Heading5"/>
        <w:rPr>
          <w:rtl/>
        </w:rPr>
      </w:pPr>
      <w:bookmarkStart w:id="68" w:name="_Toc162520613"/>
      <w:r w:rsidRPr="005269E6">
        <w:rPr>
          <w:rtl/>
        </w:rPr>
        <w:t>البيان الأول: بيان الوضع المالي</w:t>
      </w:r>
      <w:bookmarkEnd w:id="68"/>
    </w:p>
    <w:p w14:paraId="1B2393B6" w14:textId="77777777" w:rsidR="00834B83" w:rsidRPr="005269E6" w:rsidRDefault="00834B83" w:rsidP="00834B83">
      <w:pPr>
        <w:rPr>
          <w:lang w:bidi="ar-SY"/>
        </w:rPr>
      </w:pPr>
      <w:r w:rsidRPr="005269E6">
        <w:rPr>
          <w:rtl/>
          <w:lang w:bidi="ar-SY"/>
        </w:rPr>
        <w:t>للسنة المنتهية في 31 ديسمبر 2022</w:t>
      </w:r>
    </w:p>
    <w:p w14:paraId="3EE67D71" w14:textId="77777777" w:rsidR="00834B83" w:rsidRPr="005269E6" w:rsidRDefault="00834B83" w:rsidP="008B48C6">
      <w:pPr>
        <w:spacing w:after="120"/>
        <w:rPr>
          <w:rtl/>
          <w:lang w:bidi="ar-SY"/>
        </w:rPr>
      </w:pPr>
      <w:r w:rsidRPr="005269E6">
        <w:rPr>
          <w:rtl/>
          <w:lang w:bidi="ar-SY"/>
        </w:rPr>
        <w:t>(بآلاف الفرنكات السويسرية)</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7"/>
        <w:gridCol w:w="709"/>
        <w:gridCol w:w="1417"/>
        <w:gridCol w:w="2289"/>
        <w:gridCol w:w="2107"/>
      </w:tblGrid>
      <w:tr w:rsidR="00834B83" w:rsidRPr="005269E6" w14:paraId="67FAF28E" w14:textId="77777777" w:rsidTr="005C5B84">
        <w:trPr>
          <w:tblHeader/>
          <w:jc w:val="center"/>
        </w:trPr>
        <w:tc>
          <w:tcPr>
            <w:tcW w:w="3117" w:type="dxa"/>
            <w:shd w:val="clear" w:color="auto" w:fill="538DD5"/>
            <w:noWrap/>
            <w:hideMark/>
          </w:tcPr>
          <w:p w14:paraId="2B67271A" w14:textId="77777777" w:rsidR="00834B83" w:rsidRPr="005269E6" w:rsidRDefault="00834B83" w:rsidP="008B48C6">
            <w:pPr>
              <w:pStyle w:val="TableHead"/>
              <w:spacing w:before="40" w:after="40" w:line="280" w:lineRule="exact"/>
              <w:rPr>
                <w:color w:val="000000" w:themeColor="text1"/>
                <w:sz w:val="18"/>
                <w:szCs w:val="18"/>
                <w:lang w:val="en-GB"/>
              </w:rPr>
            </w:pPr>
            <w:r w:rsidRPr="005269E6">
              <w:rPr>
                <w:color w:val="000000" w:themeColor="text1"/>
                <w:sz w:val="18"/>
                <w:szCs w:val="18"/>
                <w:rtl/>
                <w:lang w:val="en-GB" w:bidi="ar-SY"/>
              </w:rPr>
              <w:t>وصف</w:t>
            </w:r>
          </w:p>
        </w:tc>
        <w:tc>
          <w:tcPr>
            <w:tcW w:w="709" w:type="dxa"/>
            <w:shd w:val="clear" w:color="auto" w:fill="538DD5"/>
            <w:noWrap/>
            <w:hideMark/>
          </w:tcPr>
          <w:p w14:paraId="2F53DC20" w14:textId="77777777" w:rsidR="00834B83" w:rsidRPr="005269E6" w:rsidRDefault="00834B83" w:rsidP="008B48C6">
            <w:pPr>
              <w:pStyle w:val="TableHead"/>
              <w:spacing w:before="40" w:after="40" w:line="280" w:lineRule="exact"/>
              <w:rPr>
                <w:color w:val="000000" w:themeColor="text1"/>
                <w:sz w:val="18"/>
                <w:szCs w:val="18"/>
                <w:lang w:val="en-GB"/>
              </w:rPr>
            </w:pPr>
            <w:r w:rsidRPr="005269E6">
              <w:rPr>
                <w:color w:val="000000" w:themeColor="text1"/>
                <w:sz w:val="18"/>
                <w:szCs w:val="18"/>
                <w:rtl/>
                <w:lang w:val="en-GB" w:bidi="ar-SY"/>
              </w:rPr>
              <w:t>ملاحظات</w:t>
            </w:r>
          </w:p>
        </w:tc>
        <w:tc>
          <w:tcPr>
            <w:tcW w:w="1417" w:type="dxa"/>
            <w:shd w:val="clear" w:color="auto" w:fill="538DD5"/>
            <w:noWrap/>
            <w:hideMark/>
          </w:tcPr>
          <w:p w14:paraId="3F307CA2" w14:textId="77777777" w:rsidR="00834B83" w:rsidRPr="005269E6" w:rsidRDefault="00834B83" w:rsidP="008B48C6">
            <w:pPr>
              <w:pStyle w:val="TableHead"/>
              <w:spacing w:before="40" w:after="40" w:line="280" w:lineRule="exact"/>
              <w:rPr>
                <w:color w:val="000000" w:themeColor="text1"/>
                <w:sz w:val="18"/>
                <w:szCs w:val="18"/>
                <w:lang w:val="en-GB"/>
              </w:rPr>
            </w:pPr>
            <w:r w:rsidRPr="005269E6">
              <w:rPr>
                <w:color w:val="000000" w:themeColor="text1"/>
                <w:sz w:val="18"/>
                <w:szCs w:val="18"/>
                <w:rtl/>
                <w:lang w:val="en-GB"/>
              </w:rPr>
              <w:t>31 ديسمبر 2022</w:t>
            </w:r>
          </w:p>
        </w:tc>
        <w:tc>
          <w:tcPr>
            <w:tcW w:w="2289" w:type="dxa"/>
            <w:shd w:val="clear" w:color="auto" w:fill="538DD5"/>
            <w:noWrap/>
            <w:hideMark/>
          </w:tcPr>
          <w:p w14:paraId="422A37DB" w14:textId="77777777" w:rsidR="00834B83" w:rsidRPr="005269E6" w:rsidRDefault="00834B83" w:rsidP="008B48C6">
            <w:pPr>
              <w:pStyle w:val="TableHead"/>
              <w:spacing w:before="40" w:after="40" w:line="280" w:lineRule="exact"/>
              <w:rPr>
                <w:color w:val="000000" w:themeColor="text1"/>
                <w:spacing w:val="-4"/>
                <w:sz w:val="18"/>
                <w:szCs w:val="18"/>
                <w:lang w:val="en-GB"/>
              </w:rPr>
            </w:pPr>
            <w:r w:rsidRPr="005269E6">
              <w:rPr>
                <w:color w:val="000000" w:themeColor="text1"/>
                <w:spacing w:val="-4"/>
                <w:sz w:val="18"/>
                <w:szCs w:val="18"/>
                <w:rtl/>
                <w:lang w:val="en-GB"/>
              </w:rPr>
              <w:t>31 ديسمبر 2021 (المعاد بيانه)</w:t>
            </w:r>
          </w:p>
        </w:tc>
        <w:tc>
          <w:tcPr>
            <w:tcW w:w="2107" w:type="dxa"/>
            <w:shd w:val="clear" w:color="auto" w:fill="538DD5"/>
            <w:noWrap/>
            <w:hideMark/>
          </w:tcPr>
          <w:p w14:paraId="68ADA0B3" w14:textId="77777777" w:rsidR="00834B83" w:rsidRPr="005269E6" w:rsidRDefault="00834B83" w:rsidP="008B48C6">
            <w:pPr>
              <w:pStyle w:val="TableHead"/>
              <w:spacing w:before="40" w:after="40" w:line="280" w:lineRule="exact"/>
              <w:rPr>
                <w:color w:val="000000" w:themeColor="text1"/>
                <w:sz w:val="18"/>
                <w:szCs w:val="18"/>
                <w:lang w:val="en-GB"/>
              </w:rPr>
            </w:pPr>
            <w:r w:rsidRPr="005269E6">
              <w:rPr>
                <w:color w:val="000000" w:themeColor="text1"/>
                <w:sz w:val="18"/>
                <w:szCs w:val="18"/>
                <w:rtl/>
                <w:lang w:val="en-GB"/>
              </w:rPr>
              <w:t>1 يناير 2021 (المعاد بيانه)</w:t>
            </w:r>
          </w:p>
        </w:tc>
      </w:tr>
      <w:tr w:rsidR="00834B83" w:rsidRPr="005269E6" w14:paraId="35276182" w14:textId="77777777" w:rsidTr="005C5B84">
        <w:trPr>
          <w:jc w:val="center"/>
        </w:trPr>
        <w:tc>
          <w:tcPr>
            <w:tcW w:w="3117" w:type="dxa"/>
            <w:noWrap/>
            <w:hideMark/>
          </w:tcPr>
          <w:p w14:paraId="21381146"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rPr>
              <w:t>الأصول</w:t>
            </w:r>
          </w:p>
        </w:tc>
        <w:tc>
          <w:tcPr>
            <w:tcW w:w="709" w:type="dxa"/>
            <w:noWrap/>
            <w:hideMark/>
          </w:tcPr>
          <w:p w14:paraId="7EFB5C2E" w14:textId="77777777" w:rsidR="00834B83" w:rsidRPr="005269E6" w:rsidRDefault="00834B83" w:rsidP="005C5B84">
            <w:pPr>
              <w:pStyle w:val="Tabletexte"/>
              <w:spacing w:before="40" w:after="40" w:line="240" w:lineRule="exact"/>
              <w:jc w:val="right"/>
              <w:rPr>
                <w:color w:val="000000" w:themeColor="text1"/>
                <w:sz w:val="18"/>
                <w:szCs w:val="18"/>
                <w:lang w:val="en-GB"/>
              </w:rPr>
            </w:pPr>
          </w:p>
        </w:tc>
        <w:tc>
          <w:tcPr>
            <w:tcW w:w="1417" w:type="dxa"/>
            <w:noWrap/>
            <w:hideMark/>
          </w:tcPr>
          <w:p w14:paraId="0C0C41EE" w14:textId="77777777" w:rsidR="00834B83" w:rsidRPr="005269E6" w:rsidRDefault="00834B83" w:rsidP="005C5B84">
            <w:pPr>
              <w:pStyle w:val="Tabletexte"/>
              <w:spacing w:before="40" w:after="40" w:line="240" w:lineRule="exact"/>
              <w:jc w:val="right"/>
              <w:rPr>
                <w:color w:val="000000" w:themeColor="text1"/>
                <w:sz w:val="18"/>
                <w:szCs w:val="18"/>
                <w:lang w:val="en-GB"/>
              </w:rPr>
            </w:pPr>
          </w:p>
        </w:tc>
        <w:tc>
          <w:tcPr>
            <w:tcW w:w="2289" w:type="dxa"/>
            <w:noWrap/>
            <w:hideMark/>
          </w:tcPr>
          <w:p w14:paraId="4D4A0C9F" w14:textId="77777777" w:rsidR="00834B83" w:rsidRPr="005269E6" w:rsidRDefault="00834B83" w:rsidP="005C5B84">
            <w:pPr>
              <w:pStyle w:val="Tabletexte"/>
              <w:spacing w:before="40" w:after="40" w:line="240" w:lineRule="exact"/>
              <w:jc w:val="right"/>
              <w:rPr>
                <w:color w:val="000000" w:themeColor="text1"/>
                <w:sz w:val="18"/>
                <w:szCs w:val="18"/>
                <w:lang w:val="en-GB"/>
              </w:rPr>
            </w:pPr>
          </w:p>
        </w:tc>
        <w:tc>
          <w:tcPr>
            <w:tcW w:w="2107" w:type="dxa"/>
            <w:noWrap/>
            <w:hideMark/>
          </w:tcPr>
          <w:p w14:paraId="2CD2FC57" w14:textId="77777777" w:rsidR="00834B83" w:rsidRPr="005269E6" w:rsidRDefault="00834B83" w:rsidP="005C5B84">
            <w:pPr>
              <w:pStyle w:val="Tabletexte"/>
              <w:spacing w:before="40" w:after="40" w:line="240" w:lineRule="exact"/>
              <w:jc w:val="right"/>
              <w:rPr>
                <w:color w:val="000000" w:themeColor="text1"/>
                <w:sz w:val="18"/>
                <w:szCs w:val="18"/>
                <w:lang w:val="en-GB"/>
              </w:rPr>
            </w:pPr>
          </w:p>
        </w:tc>
      </w:tr>
      <w:tr w:rsidR="00834B83" w:rsidRPr="005269E6" w14:paraId="14EFA14E" w14:textId="77777777" w:rsidTr="005C5B84">
        <w:trPr>
          <w:jc w:val="center"/>
        </w:trPr>
        <w:tc>
          <w:tcPr>
            <w:tcW w:w="3117" w:type="dxa"/>
            <w:noWrap/>
            <w:hideMark/>
          </w:tcPr>
          <w:p w14:paraId="42D49224"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bidi="ar-SA"/>
              </w:rPr>
              <w:t>الأصول الجارية</w:t>
            </w:r>
          </w:p>
        </w:tc>
        <w:tc>
          <w:tcPr>
            <w:tcW w:w="709" w:type="dxa"/>
            <w:noWrap/>
            <w:hideMark/>
          </w:tcPr>
          <w:p w14:paraId="6FF747B7" w14:textId="77777777" w:rsidR="00834B83" w:rsidRPr="005269E6" w:rsidRDefault="00834B83" w:rsidP="005C5B84">
            <w:pPr>
              <w:pStyle w:val="Tabletexte"/>
              <w:spacing w:before="40" w:after="40" w:line="240" w:lineRule="exact"/>
              <w:jc w:val="right"/>
              <w:rPr>
                <w:color w:val="000000" w:themeColor="text1"/>
                <w:sz w:val="18"/>
                <w:szCs w:val="18"/>
                <w:lang w:val="en-GB"/>
              </w:rPr>
            </w:pPr>
          </w:p>
        </w:tc>
        <w:tc>
          <w:tcPr>
            <w:tcW w:w="1417" w:type="dxa"/>
            <w:noWrap/>
            <w:hideMark/>
          </w:tcPr>
          <w:p w14:paraId="7C87331C" w14:textId="77777777" w:rsidR="00834B83" w:rsidRPr="005269E6" w:rsidRDefault="00834B83" w:rsidP="005C5B84">
            <w:pPr>
              <w:pStyle w:val="Tabletexte"/>
              <w:spacing w:before="40" w:after="40" w:line="240" w:lineRule="exact"/>
              <w:jc w:val="right"/>
              <w:rPr>
                <w:color w:val="000000" w:themeColor="text1"/>
                <w:sz w:val="18"/>
                <w:szCs w:val="18"/>
                <w:lang w:val="en-GB"/>
              </w:rPr>
            </w:pPr>
          </w:p>
        </w:tc>
        <w:tc>
          <w:tcPr>
            <w:tcW w:w="2289" w:type="dxa"/>
            <w:noWrap/>
            <w:hideMark/>
          </w:tcPr>
          <w:p w14:paraId="69C0AE48" w14:textId="77777777" w:rsidR="00834B83" w:rsidRPr="005269E6" w:rsidRDefault="00834B83" w:rsidP="005C5B84">
            <w:pPr>
              <w:pStyle w:val="Tabletexte"/>
              <w:spacing w:before="40" w:after="40" w:line="240" w:lineRule="exact"/>
              <w:jc w:val="right"/>
              <w:rPr>
                <w:color w:val="000000" w:themeColor="text1"/>
                <w:sz w:val="18"/>
                <w:szCs w:val="18"/>
                <w:lang w:val="en-GB"/>
              </w:rPr>
            </w:pPr>
          </w:p>
        </w:tc>
        <w:tc>
          <w:tcPr>
            <w:tcW w:w="2107" w:type="dxa"/>
            <w:noWrap/>
            <w:hideMark/>
          </w:tcPr>
          <w:p w14:paraId="1FEAFCC4" w14:textId="77777777" w:rsidR="00834B83" w:rsidRPr="005269E6" w:rsidRDefault="00834B83" w:rsidP="005C5B84">
            <w:pPr>
              <w:pStyle w:val="Tabletexte"/>
              <w:spacing w:before="40" w:after="40" w:line="240" w:lineRule="exact"/>
              <w:jc w:val="right"/>
              <w:rPr>
                <w:color w:val="000000" w:themeColor="text1"/>
                <w:sz w:val="18"/>
                <w:szCs w:val="18"/>
                <w:lang w:val="en-GB"/>
              </w:rPr>
            </w:pPr>
          </w:p>
        </w:tc>
      </w:tr>
      <w:tr w:rsidR="00834B83" w:rsidRPr="005269E6" w14:paraId="54632CA5" w14:textId="77777777" w:rsidTr="005C5B84">
        <w:trPr>
          <w:jc w:val="center"/>
        </w:trPr>
        <w:tc>
          <w:tcPr>
            <w:tcW w:w="3117" w:type="dxa"/>
            <w:noWrap/>
            <w:hideMark/>
          </w:tcPr>
          <w:p w14:paraId="480BE65B" w14:textId="77777777" w:rsidR="00834B83" w:rsidRPr="005269E6" w:rsidRDefault="00834B83" w:rsidP="005C5B84">
            <w:pPr>
              <w:pStyle w:val="Tabletexte"/>
              <w:spacing w:before="40" w:after="40" w:line="240" w:lineRule="exact"/>
              <w:rPr>
                <w:color w:val="000000" w:themeColor="text1"/>
                <w:sz w:val="18"/>
                <w:szCs w:val="18"/>
                <w:lang w:val="en-GB"/>
              </w:rPr>
            </w:pPr>
            <w:r w:rsidRPr="005269E6">
              <w:rPr>
                <w:color w:val="000000" w:themeColor="text1"/>
                <w:sz w:val="18"/>
                <w:szCs w:val="18"/>
                <w:rtl/>
                <w:lang w:val="en-GB" w:bidi="ar-SA"/>
              </w:rPr>
              <w:t>الأموال النقدية وما يعادلها</w:t>
            </w:r>
          </w:p>
        </w:tc>
        <w:tc>
          <w:tcPr>
            <w:tcW w:w="709" w:type="dxa"/>
            <w:noWrap/>
            <w:hideMark/>
          </w:tcPr>
          <w:p w14:paraId="0B9113AB"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7</w:t>
            </w:r>
          </w:p>
        </w:tc>
        <w:tc>
          <w:tcPr>
            <w:tcW w:w="1417" w:type="dxa"/>
            <w:noWrap/>
            <w:hideMark/>
          </w:tcPr>
          <w:p w14:paraId="57AC3C18"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193 868</w:t>
            </w:r>
          </w:p>
        </w:tc>
        <w:tc>
          <w:tcPr>
            <w:tcW w:w="2289" w:type="dxa"/>
            <w:noWrap/>
            <w:hideMark/>
          </w:tcPr>
          <w:p w14:paraId="058A4EAC"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203 811</w:t>
            </w:r>
          </w:p>
        </w:tc>
        <w:tc>
          <w:tcPr>
            <w:tcW w:w="2107" w:type="dxa"/>
            <w:noWrap/>
            <w:hideMark/>
          </w:tcPr>
          <w:p w14:paraId="25F8C9D1"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135 330</w:t>
            </w:r>
          </w:p>
        </w:tc>
      </w:tr>
      <w:tr w:rsidR="00834B83" w:rsidRPr="005269E6" w14:paraId="1C19634D" w14:textId="77777777" w:rsidTr="005C5B84">
        <w:trPr>
          <w:jc w:val="center"/>
        </w:trPr>
        <w:tc>
          <w:tcPr>
            <w:tcW w:w="3117" w:type="dxa"/>
            <w:noWrap/>
            <w:hideMark/>
          </w:tcPr>
          <w:p w14:paraId="7BB487FC" w14:textId="77777777" w:rsidR="00834B83" w:rsidRPr="005269E6" w:rsidRDefault="00834B83" w:rsidP="005C5B84">
            <w:pPr>
              <w:pStyle w:val="Tabletexte"/>
              <w:spacing w:before="40" w:after="40" w:line="240" w:lineRule="exact"/>
              <w:rPr>
                <w:color w:val="000000" w:themeColor="text1"/>
                <w:sz w:val="18"/>
                <w:szCs w:val="18"/>
                <w:lang w:val="en-GB"/>
              </w:rPr>
            </w:pPr>
            <w:r w:rsidRPr="005269E6">
              <w:rPr>
                <w:color w:val="000000" w:themeColor="text1"/>
                <w:sz w:val="18"/>
                <w:szCs w:val="18"/>
                <w:rtl/>
                <w:lang w:val="en-GB"/>
              </w:rPr>
              <w:t>الاستثمارات</w:t>
            </w:r>
          </w:p>
        </w:tc>
        <w:tc>
          <w:tcPr>
            <w:tcW w:w="709" w:type="dxa"/>
            <w:noWrap/>
            <w:hideMark/>
          </w:tcPr>
          <w:p w14:paraId="57D1CAC7"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8</w:t>
            </w:r>
          </w:p>
        </w:tc>
        <w:tc>
          <w:tcPr>
            <w:tcW w:w="1417" w:type="dxa"/>
            <w:noWrap/>
            <w:hideMark/>
          </w:tcPr>
          <w:p w14:paraId="265D146E"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13 860</w:t>
            </w:r>
          </w:p>
        </w:tc>
        <w:tc>
          <w:tcPr>
            <w:tcW w:w="2289" w:type="dxa"/>
            <w:noWrap/>
            <w:hideMark/>
          </w:tcPr>
          <w:p w14:paraId="5BE57529"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21 275</w:t>
            </w:r>
          </w:p>
        </w:tc>
        <w:tc>
          <w:tcPr>
            <w:tcW w:w="2107" w:type="dxa"/>
            <w:noWrap/>
            <w:hideMark/>
          </w:tcPr>
          <w:p w14:paraId="0CCC7E63"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59 253</w:t>
            </w:r>
          </w:p>
        </w:tc>
      </w:tr>
      <w:tr w:rsidR="00834B83" w:rsidRPr="005269E6" w14:paraId="35078336" w14:textId="77777777" w:rsidTr="005C5B84">
        <w:trPr>
          <w:jc w:val="center"/>
        </w:trPr>
        <w:tc>
          <w:tcPr>
            <w:tcW w:w="3117" w:type="dxa"/>
            <w:noWrap/>
            <w:hideMark/>
          </w:tcPr>
          <w:p w14:paraId="15033174" w14:textId="77777777"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الذمم المدينة - المعاملات التبادلية</w:t>
            </w:r>
          </w:p>
        </w:tc>
        <w:tc>
          <w:tcPr>
            <w:tcW w:w="709" w:type="dxa"/>
            <w:noWrap/>
            <w:hideMark/>
          </w:tcPr>
          <w:p w14:paraId="368CF6A0"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9</w:t>
            </w:r>
          </w:p>
        </w:tc>
        <w:tc>
          <w:tcPr>
            <w:tcW w:w="1417" w:type="dxa"/>
            <w:noWrap/>
            <w:hideMark/>
          </w:tcPr>
          <w:p w14:paraId="58DE168A"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5 333</w:t>
            </w:r>
          </w:p>
        </w:tc>
        <w:tc>
          <w:tcPr>
            <w:tcW w:w="2289" w:type="dxa"/>
            <w:noWrap/>
            <w:hideMark/>
          </w:tcPr>
          <w:p w14:paraId="5B1391BC"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10 989</w:t>
            </w:r>
          </w:p>
        </w:tc>
        <w:tc>
          <w:tcPr>
            <w:tcW w:w="2107" w:type="dxa"/>
            <w:noWrap/>
            <w:hideMark/>
          </w:tcPr>
          <w:p w14:paraId="18CABED4"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8 481</w:t>
            </w:r>
          </w:p>
        </w:tc>
      </w:tr>
      <w:tr w:rsidR="00834B83" w:rsidRPr="005269E6" w14:paraId="482C7652" w14:textId="77777777" w:rsidTr="005C5B84">
        <w:trPr>
          <w:jc w:val="center"/>
        </w:trPr>
        <w:tc>
          <w:tcPr>
            <w:tcW w:w="3117" w:type="dxa"/>
            <w:noWrap/>
            <w:hideMark/>
          </w:tcPr>
          <w:p w14:paraId="7C41914B" w14:textId="77777777" w:rsidR="00834B83" w:rsidRPr="005269E6" w:rsidRDefault="00834B83" w:rsidP="005C5B84">
            <w:pPr>
              <w:pStyle w:val="Tabletexte"/>
              <w:spacing w:before="40" w:after="40" w:line="240" w:lineRule="exact"/>
              <w:rPr>
                <w:color w:val="000000" w:themeColor="text1"/>
                <w:sz w:val="18"/>
                <w:szCs w:val="18"/>
                <w:lang w:val="en-GB"/>
              </w:rPr>
            </w:pPr>
            <w:r w:rsidRPr="005269E6">
              <w:rPr>
                <w:color w:val="000000" w:themeColor="text1"/>
                <w:sz w:val="18"/>
                <w:szCs w:val="18"/>
                <w:rtl/>
                <w:lang w:val="en-GB"/>
              </w:rPr>
              <w:t>الذمم المدينة – المعاملات غير التبادلية</w:t>
            </w:r>
          </w:p>
        </w:tc>
        <w:tc>
          <w:tcPr>
            <w:tcW w:w="709" w:type="dxa"/>
            <w:noWrap/>
            <w:hideMark/>
          </w:tcPr>
          <w:p w14:paraId="7A6FF2E9"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9</w:t>
            </w:r>
          </w:p>
        </w:tc>
        <w:tc>
          <w:tcPr>
            <w:tcW w:w="1417" w:type="dxa"/>
            <w:noWrap/>
            <w:hideMark/>
          </w:tcPr>
          <w:p w14:paraId="33C6E0D6"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12 461</w:t>
            </w:r>
          </w:p>
        </w:tc>
        <w:tc>
          <w:tcPr>
            <w:tcW w:w="2289" w:type="dxa"/>
            <w:noWrap/>
            <w:hideMark/>
          </w:tcPr>
          <w:p w14:paraId="6FAC45E2"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8 502</w:t>
            </w:r>
          </w:p>
        </w:tc>
        <w:tc>
          <w:tcPr>
            <w:tcW w:w="2107" w:type="dxa"/>
            <w:noWrap/>
            <w:hideMark/>
          </w:tcPr>
          <w:p w14:paraId="3F01EEA1"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7 396</w:t>
            </w:r>
          </w:p>
        </w:tc>
      </w:tr>
      <w:tr w:rsidR="00834B83" w:rsidRPr="005269E6" w14:paraId="18DA9D03" w14:textId="77777777" w:rsidTr="005C5B84">
        <w:trPr>
          <w:jc w:val="center"/>
        </w:trPr>
        <w:tc>
          <w:tcPr>
            <w:tcW w:w="3117" w:type="dxa"/>
            <w:noWrap/>
            <w:hideMark/>
          </w:tcPr>
          <w:p w14:paraId="6CC40DD7" w14:textId="77777777" w:rsidR="00834B83" w:rsidRPr="005269E6" w:rsidRDefault="00834B83" w:rsidP="005C5B84">
            <w:pPr>
              <w:pStyle w:val="Tabletexte"/>
              <w:spacing w:before="40" w:after="40" w:line="240" w:lineRule="exact"/>
              <w:rPr>
                <w:color w:val="000000" w:themeColor="text1"/>
                <w:sz w:val="18"/>
                <w:szCs w:val="18"/>
                <w:lang w:val="en-GB"/>
              </w:rPr>
            </w:pPr>
            <w:r w:rsidRPr="005269E6">
              <w:rPr>
                <w:color w:val="000000" w:themeColor="text1"/>
                <w:sz w:val="18"/>
                <w:szCs w:val="18"/>
                <w:rtl/>
                <w:lang w:val="en-GB"/>
              </w:rPr>
              <w:t>المخزونات</w:t>
            </w:r>
          </w:p>
        </w:tc>
        <w:tc>
          <w:tcPr>
            <w:tcW w:w="709" w:type="dxa"/>
            <w:noWrap/>
            <w:hideMark/>
          </w:tcPr>
          <w:p w14:paraId="3853DA15"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10</w:t>
            </w:r>
          </w:p>
        </w:tc>
        <w:tc>
          <w:tcPr>
            <w:tcW w:w="1417" w:type="dxa"/>
            <w:noWrap/>
            <w:hideMark/>
          </w:tcPr>
          <w:p w14:paraId="03E21D8A"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307</w:t>
            </w:r>
          </w:p>
        </w:tc>
        <w:tc>
          <w:tcPr>
            <w:tcW w:w="2289" w:type="dxa"/>
            <w:noWrap/>
            <w:hideMark/>
          </w:tcPr>
          <w:p w14:paraId="1493FCAB"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467</w:t>
            </w:r>
          </w:p>
        </w:tc>
        <w:tc>
          <w:tcPr>
            <w:tcW w:w="2107" w:type="dxa"/>
            <w:noWrap/>
            <w:hideMark/>
          </w:tcPr>
          <w:p w14:paraId="0C50F52E"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459</w:t>
            </w:r>
          </w:p>
        </w:tc>
      </w:tr>
      <w:tr w:rsidR="00834B83" w:rsidRPr="005269E6" w14:paraId="7EFBAFD9" w14:textId="77777777" w:rsidTr="005C5B84">
        <w:trPr>
          <w:jc w:val="center"/>
        </w:trPr>
        <w:tc>
          <w:tcPr>
            <w:tcW w:w="3117" w:type="dxa"/>
            <w:noWrap/>
            <w:hideMark/>
          </w:tcPr>
          <w:p w14:paraId="15C63184" w14:textId="77777777" w:rsidR="00834B83" w:rsidRPr="005269E6" w:rsidRDefault="00834B83" w:rsidP="005C5B84">
            <w:pPr>
              <w:pStyle w:val="Tabletexte"/>
              <w:spacing w:before="40" w:after="40" w:line="240" w:lineRule="exact"/>
              <w:rPr>
                <w:color w:val="000000" w:themeColor="text1"/>
                <w:sz w:val="18"/>
                <w:szCs w:val="18"/>
                <w:lang w:val="en-GB"/>
              </w:rPr>
            </w:pPr>
            <w:r w:rsidRPr="005269E6">
              <w:rPr>
                <w:color w:val="000000" w:themeColor="text1"/>
                <w:sz w:val="18"/>
                <w:szCs w:val="18"/>
                <w:rtl/>
                <w:lang w:val="en-GB"/>
              </w:rPr>
              <w:t>الذمم المدينة الأخرى</w:t>
            </w:r>
          </w:p>
        </w:tc>
        <w:tc>
          <w:tcPr>
            <w:tcW w:w="709" w:type="dxa"/>
            <w:noWrap/>
            <w:hideMark/>
          </w:tcPr>
          <w:p w14:paraId="6F665BFC"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11</w:t>
            </w:r>
          </w:p>
        </w:tc>
        <w:tc>
          <w:tcPr>
            <w:tcW w:w="1417" w:type="dxa"/>
            <w:noWrap/>
            <w:hideMark/>
          </w:tcPr>
          <w:p w14:paraId="44E3B3E1"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5 441</w:t>
            </w:r>
          </w:p>
        </w:tc>
        <w:tc>
          <w:tcPr>
            <w:tcW w:w="2289" w:type="dxa"/>
            <w:noWrap/>
            <w:hideMark/>
          </w:tcPr>
          <w:p w14:paraId="6E7896C7"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6 325</w:t>
            </w:r>
          </w:p>
        </w:tc>
        <w:tc>
          <w:tcPr>
            <w:tcW w:w="2107" w:type="dxa"/>
            <w:noWrap/>
            <w:hideMark/>
          </w:tcPr>
          <w:p w14:paraId="233D3A8B"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8 113</w:t>
            </w:r>
          </w:p>
        </w:tc>
      </w:tr>
      <w:tr w:rsidR="00834B83" w:rsidRPr="005269E6" w14:paraId="5AC93D66" w14:textId="77777777" w:rsidTr="005C5B84">
        <w:trPr>
          <w:jc w:val="center"/>
        </w:trPr>
        <w:tc>
          <w:tcPr>
            <w:tcW w:w="3117" w:type="dxa"/>
            <w:noWrap/>
            <w:hideMark/>
          </w:tcPr>
          <w:p w14:paraId="1896115E"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rPr>
              <w:t>مجموع</w:t>
            </w:r>
            <w:r w:rsidRPr="005269E6">
              <w:rPr>
                <w:sz w:val="18"/>
                <w:szCs w:val="18"/>
                <w:rtl/>
              </w:rPr>
              <w:t xml:space="preserve"> </w:t>
            </w:r>
            <w:r w:rsidRPr="005269E6">
              <w:rPr>
                <w:b/>
                <w:bCs/>
                <w:color w:val="000000" w:themeColor="text1"/>
                <w:sz w:val="18"/>
                <w:szCs w:val="18"/>
                <w:rtl/>
                <w:lang w:val="en-GB"/>
              </w:rPr>
              <w:t xml:space="preserve">الأصول الجارية </w:t>
            </w:r>
          </w:p>
        </w:tc>
        <w:tc>
          <w:tcPr>
            <w:tcW w:w="709" w:type="dxa"/>
            <w:noWrap/>
            <w:hideMark/>
          </w:tcPr>
          <w:p w14:paraId="50250E9A"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1417" w:type="dxa"/>
            <w:noWrap/>
            <w:hideMark/>
          </w:tcPr>
          <w:p w14:paraId="38AE006A"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231 270</w:t>
            </w:r>
          </w:p>
        </w:tc>
        <w:tc>
          <w:tcPr>
            <w:tcW w:w="2289" w:type="dxa"/>
            <w:noWrap/>
            <w:hideMark/>
          </w:tcPr>
          <w:p w14:paraId="0652AD84"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251 369</w:t>
            </w:r>
          </w:p>
        </w:tc>
        <w:tc>
          <w:tcPr>
            <w:tcW w:w="2107" w:type="dxa"/>
            <w:noWrap/>
            <w:hideMark/>
          </w:tcPr>
          <w:p w14:paraId="2CD74D9D"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219 032</w:t>
            </w:r>
          </w:p>
        </w:tc>
      </w:tr>
      <w:tr w:rsidR="00834B83" w:rsidRPr="005269E6" w14:paraId="27D45CEE" w14:textId="77777777" w:rsidTr="005C5B84">
        <w:trPr>
          <w:jc w:val="center"/>
        </w:trPr>
        <w:tc>
          <w:tcPr>
            <w:tcW w:w="3117" w:type="dxa"/>
            <w:noWrap/>
            <w:hideMark/>
          </w:tcPr>
          <w:p w14:paraId="75456930" w14:textId="77777777" w:rsidR="00834B83" w:rsidRPr="005269E6" w:rsidRDefault="00834B83" w:rsidP="005C5B84">
            <w:pPr>
              <w:pStyle w:val="Tabletexte"/>
              <w:spacing w:before="40" w:after="40" w:line="240" w:lineRule="exact"/>
              <w:rPr>
                <w:color w:val="000000" w:themeColor="text1"/>
                <w:sz w:val="18"/>
                <w:szCs w:val="18"/>
                <w:lang w:val="en-GB"/>
              </w:rPr>
            </w:pPr>
          </w:p>
        </w:tc>
        <w:tc>
          <w:tcPr>
            <w:tcW w:w="709" w:type="dxa"/>
            <w:noWrap/>
            <w:hideMark/>
          </w:tcPr>
          <w:p w14:paraId="02E14F4D"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1417" w:type="dxa"/>
            <w:noWrap/>
            <w:hideMark/>
          </w:tcPr>
          <w:p w14:paraId="18ABF000"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289" w:type="dxa"/>
            <w:noWrap/>
            <w:hideMark/>
          </w:tcPr>
          <w:p w14:paraId="1722FE3B"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107" w:type="dxa"/>
            <w:noWrap/>
            <w:hideMark/>
          </w:tcPr>
          <w:p w14:paraId="347FD9D4" w14:textId="77777777" w:rsidR="00834B83" w:rsidRPr="005269E6" w:rsidRDefault="00834B83" w:rsidP="0031505F">
            <w:pPr>
              <w:pStyle w:val="Tabletexte"/>
              <w:spacing w:before="40" w:after="40" w:line="240" w:lineRule="exact"/>
              <w:jc w:val="left"/>
              <w:rPr>
                <w:color w:val="000000" w:themeColor="text1"/>
                <w:sz w:val="18"/>
                <w:szCs w:val="18"/>
                <w:lang w:val="en-GB"/>
              </w:rPr>
            </w:pPr>
          </w:p>
        </w:tc>
      </w:tr>
      <w:tr w:rsidR="00834B83" w:rsidRPr="005269E6" w14:paraId="43AD995E" w14:textId="77777777" w:rsidTr="005C5B84">
        <w:trPr>
          <w:jc w:val="center"/>
        </w:trPr>
        <w:tc>
          <w:tcPr>
            <w:tcW w:w="3117" w:type="dxa"/>
            <w:noWrap/>
            <w:hideMark/>
          </w:tcPr>
          <w:p w14:paraId="18FDD1CF"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bidi="ar-SA"/>
              </w:rPr>
              <w:t>الأصول غير الجارية</w:t>
            </w:r>
          </w:p>
        </w:tc>
        <w:tc>
          <w:tcPr>
            <w:tcW w:w="709" w:type="dxa"/>
            <w:noWrap/>
            <w:hideMark/>
          </w:tcPr>
          <w:p w14:paraId="5C66A047"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1417" w:type="dxa"/>
            <w:noWrap/>
            <w:hideMark/>
          </w:tcPr>
          <w:p w14:paraId="681FB8D4"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289" w:type="dxa"/>
            <w:noWrap/>
            <w:hideMark/>
          </w:tcPr>
          <w:p w14:paraId="24029295"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107" w:type="dxa"/>
            <w:noWrap/>
            <w:hideMark/>
          </w:tcPr>
          <w:p w14:paraId="11BE1162" w14:textId="77777777" w:rsidR="00834B83" w:rsidRPr="005269E6" w:rsidRDefault="00834B83" w:rsidP="0031505F">
            <w:pPr>
              <w:pStyle w:val="Tabletexte"/>
              <w:spacing w:before="40" w:after="40" w:line="240" w:lineRule="exact"/>
              <w:jc w:val="left"/>
              <w:rPr>
                <w:color w:val="000000" w:themeColor="text1"/>
                <w:sz w:val="18"/>
                <w:szCs w:val="18"/>
                <w:lang w:val="en-GB"/>
              </w:rPr>
            </w:pPr>
          </w:p>
        </w:tc>
      </w:tr>
      <w:tr w:rsidR="00834B83" w:rsidRPr="005269E6" w14:paraId="3893BD8E" w14:textId="77777777" w:rsidTr="005C5B84">
        <w:trPr>
          <w:jc w:val="center"/>
        </w:trPr>
        <w:tc>
          <w:tcPr>
            <w:tcW w:w="3117" w:type="dxa"/>
            <w:noWrap/>
            <w:hideMark/>
          </w:tcPr>
          <w:p w14:paraId="75E190E6" w14:textId="77777777"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الممتلكات والمنشآت والمعدات</w:t>
            </w:r>
          </w:p>
        </w:tc>
        <w:tc>
          <w:tcPr>
            <w:tcW w:w="709" w:type="dxa"/>
            <w:noWrap/>
            <w:hideMark/>
          </w:tcPr>
          <w:p w14:paraId="6980BB04"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12</w:t>
            </w:r>
          </w:p>
        </w:tc>
        <w:tc>
          <w:tcPr>
            <w:tcW w:w="1417" w:type="dxa"/>
            <w:noWrap/>
            <w:hideMark/>
          </w:tcPr>
          <w:p w14:paraId="0A938536"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63 412</w:t>
            </w:r>
          </w:p>
        </w:tc>
        <w:tc>
          <w:tcPr>
            <w:tcW w:w="2289" w:type="dxa"/>
            <w:noWrap/>
            <w:hideMark/>
          </w:tcPr>
          <w:p w14:paraId="586A2CA7"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71 671</w:t>
            </w:r>
          </w:p>
        </w:tc>
        <w:tc>
          <w:tcPr>
            <w:tcW w:w="2107" w:type="dxa"/>
            <w:noWrap/>
            <w:hideMark/>
          </w:tcPr>
          <w:p w14:paraId="7C3FD9CE"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78 040</w:t>
            </w:r>
          </w:p>
        </w:tc>
      </w:tr>
      <w:tr w:rsidR="00834B83" w:rsidRPr="005269E6" w14:paraId="55D196A6" w14:textId="77777777" w:rsidTr="005C5B84">
        <w:trPr>
          <w:jc w:val="center"/>
        </w:trPr>
        <w:tc>
          <w:tcPr>
            <w:tcW w:w="3117" w:type="dxa"/>
            <w:noWrap/>
            <w:hideMark/>
          </w:tcPr>
          <w:p w14:paraId="16DBC508" w14:textId="77777777"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الأصول غير المادية</w:t>
            </w:r>
          </w:p>
        </w:tc>
        <w:tc>
          <w:tcPr>
            <w:tcW w:w="709" w:type="dxa"/>
            <w:noWrap/>
            <w:hideMark/>
          </w:tcPr>
          <w:p w14:paraId="08229296"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13</w:t>
            </w:r>
          </w:p>
        </w:tc>
        <w:tc>
          <w:tcPr>
            <w:tcW w:w="1417" w:type="dxa"/>
            <w:noWrap/>
            <w:hideMark/>
          </w:tcPr>
          <w:p w14:paraId="315E2D54"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3 431</w:t>
            </w:r>
          </w:p>
        </w:tc>
        <w:tc>
          <w:tcPr>
            <w:tcW w:w="2289" w:type="dxa"/>
            <w:noWrap/>
            <w:hideMark/>
          </w:tcPr>
          <w:p w14:paraId="04FDC922"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793</w:t>
            </w:r>
          </w:p>
        </w:tc>
        <w:tc>
          <w:tcPr>
            <w:tcW w:w="2107" w:type="dxa"/>
            <w:noWrap/>
            <w:hideMark/>
          </w:tcPr>
          <w:p w14:paraId="1719DA1F"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1 443</w:t>
            </w:r>
          </w:p>
        </w:tc>
      </w:tr>
      <w:tr w:rsidR="00834B83" w:rsidRPr="005269E6" w14:paraId="701D3D00" w14:textId="77777777" w:rsidTr="005C5B84">
        <w:trPr>
          <w:jc w:val="center"/>
        </w:trPr>
        <w:tc>
          <w:tcPr>
            <w:tcW w:w="3117" w:type="dxa"/>
            <w:noWrap/>
            <w:hideMark/>
          </w:tcPr>
          <w:p w14:paraId="648D51C4" w14:textId="77777777"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الأصول قيد الإنشاء</w:t>
            </w:r>
          </w:p>
        </w:tc>
        <w:tc>
          <w:tcPr>
            <w:tcW w:w="709" w:type="dxa"/>
            <w:noWrap/>
            <w:hideMark/>
          </w:tcPr>
          <w:p w14:paraId="1C86C8E3"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14</w:t>
            </w:r>
          </w:p>
        </w:tc>
        <w:tc>
          <w:tcPr>
            <w:tcW w:w="1417" w:type="dxa"/>
            <w:noWrap/>
            <w:hideMark/>
          </w:tcPr>
          <w:p w14:paraId="79D56987"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19 769</w:t>
            </w:r>
          </w:p>
        </w:tc>
        <w:tc>
          <w:tcPr>
            <w:tcW w:w="2289" w:type="dxa"/>
            <w:noWrap/>
            <w:hideMark/>
          </w:tcPr>
          <w:p w14:paraId="0B3E61AC"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13 732</w:t>
            </w:r>
          </w:p>
        </w:tc>
        <w:tc>
          <w:tcPr>
            <w:tcW w:w="2107" w:type="dxa"/>
            <w:noWrap/>
            <w:hideMark/>
          </w:tcPr>
          <w:p w14:paraId="7335C040"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9 443</w:t>
            </w:r>
          </w:p>
        </w:tc>
      </w:tr>
      <w:tr w:rsidR="00834B83" w:rsidRPr="005269E6" w14:paraId="11600D04" w14:textId="77777777" w:rsidTr="005C5B84">
        <w:trPr>
          <w:jc w:val="center"/>
        </w:trPr>
        <w:tc>
          <w:tcPr>
            <w:tcW w:w="3117" w:type="dxa"/>
            <w:noWrap/>
            <w:hideMark/>
          </w:tcPr>
          <w:p w14:paraId="2CBA1C9E"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rPr>
              <w:t>مجموع الأصول</w:t>
            </w:r>
            <w:r w:rsidRPr="005269E6">
              <w:rPr>
                <w:b/>
                <w:bCs/>
                <w:color w:val="000000" w:themeColor="text1"/>
                <w:sz w:val="18"/>
                <w:szCs w:val="18"/>
                <w:rtl/>
                <w:lang w:val="en-GB" w:bidi="ar-SA"/>
              </w:rPr>
              <w:t xml:space="preserve"> غير الجارية</w:t>
            </w:r>
          </w:p>
        </w:tc>
        <w:tc>
          <w:tcPr>
            <w:tcW w:w="709" w:type="dxa"/>
            <w:noWrap/>
            <w:hideMark/>
          </w:tcPr>
          <w:p w14:paraId="7AE8975C"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1417" w:type="dxa"/>
            <w:noWrap/>
            <w:hideMark/>
          </w:tcPr>
          <w:p w14:paraId="4803ACF1"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86 612</w:t>
            </w:r>
          </w:p>
        </w:tc>
        <w:tc>
          <w:tcPr>
            <w:tcW w:w="2289" w:type="dxa"/>
            <w:noWrap/>
            <w:hideMark/>
          </w:tcPr>
          <w:p w14:paraId="500E7197"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86 196</w:t>
            </w:r>
          </w:p>
        </w:tc>
        <w:tc>
          <w:tcPr>
            <w:tcW w:w="2107" w:type="dxa"/>
            <w:noWrap/>
            <w:hideMark/>
          </w:tcPr>
          <w:p w14:paraId="5528981A"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88 926</w:t>
            </w:r>
          </w:p>
        </w:tc>
      </w:tr>
      <w:tr w:rsidR="00834B83" w:rsidRPr="005269E6" w14:paraId="698C2B2A" w14:textId="77777777" w:rsidTr="005C5B84">
        <w:trPr>
          <w:jc w:val="center"/>
        </w:trPr>
        <w:tc>
          <w:tcPr>
            <w:tcW w:w="3117" w:type="dxa"/>
            <w:noWrap/>
            <w:hideMark/>
          </w:tcPr>
          <w:p w14:paraId="2CE017B0" w14:textId="77777777" w:rsidR="00834B83" w:rsidRPr="005269E6" w:rsidRDefault="00834B83" w:rsidP="005C5B84">
            <w:pPr>
              <w:pStyle w:val="Tabletexte"/>
              <w:spacing w:before="40" w:after="40" w:line="240" w:lineRule="exact"/>
              <w:rPr>
                <w:color w:val="000000" w:themeColor="text1"/>
                <w:sz w:val="18"/>
                <w:szCs w:val="18"/>
                <w:lang w:val="en-GB"/>
              </w:rPr>
            </w:pPr>
          </w:p>
        </w:tc>
        <w:tc>
          <w:tcPr>
            <w:tcW w:w="709" w:type="dxa"/>
            <w:noWrap/>
            <w:hideMark/>
          </w:tcPr>
          <w:p w14:paraId="2BF98E7C"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1417" w:type="dxa"/>
            <w:noWrap/>
            <w:hideMark/>
          </w:tcPr>
          <w:p w14:paraId="1FDBF2D5"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289" w:type="dxa"/>
            <w:noWrap/>
            <w:hideMark/>
          </w:tcPr>
          <w:p w14:paraId="53FF894E"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107" w:type="dxa"/>
            <w:noWrap/>
            <w:hideMark/>
          </w:tcPr>
          <w:p w14:paraId="0D434A75" w14:textId="77777777" w:rsidR="00834B83" w:rsidRPr="005269E6" w:rsidRDefault="00834B83" w:rsidP="0031505F">
            <w:pPr>
              <w:pStyle w:val="Tabletexte"/>
              <w:spacing w:before="40" w:after="40" w:line="240" w:lineRule="exact"/>
              <w:jc w:val="left"/>
              <w:rPr>
                <w:color w:val="000000" w:themeColor="text1"/>
                <w:sz w:val="18"/>
                <w:szCs w:val="18"/>
                <w:lang w:val="en-GB"/>
              </w:rPr>
            </w:pPr>
          </w:p>
        </w:tc>
      </w:tr>
      <w:tr w:rsidR="00834B83" w:rsidRPr="005269E6" w14:paraId="08890118" w14:textId="77777777" w:rsidTr="005C5B84">
        <w:trPr>
          <w:jc w:val="center"/>
        </w:trPr>
        <w:tc>
          <w:tcPr>
            <w:tcW w:w="3117" w:type="dxa"/>
            <w:noWrap/>
            <w:hideMark/>
          </w:tcPr>
          <w:p w14:paraId="4160E118"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bidi="ar-SA"/>
              </w:rPr>
              <w:t xml:space="preserve">مجموع </w:t>
            </w:r>
            <w:r w:rsidRPr="005269E6">
              <w:rPr>
                <w:b/>
                <w:bCs/>
                <w:color w:val="000000" w:themeColor="text1"/>
                <w:sz w:val="18"/>
                <w:szCs w:val="18"/>
                <w:rtl/>
                <w:lang w:val="en-GB"/>
              </w:rPr>
              <w:t>الأصول</w:t>
            </w:r>
          </w:p>
        </w:tc>
        <w:tc>
          <w:tcPr>
            <w:tcW w:w="709" w:type="dxa"/>
            <w:noWrap/>
            <w:hideMark/>
          </w:tcPr>
          <w:p w14:paraId="3CA832B5"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1417" w:type="dxa"/>
            <w:noWrap/>
            <w:hideMark/>
          </w:tcPr>
          <w:p w14:paraId="1BAE0D31"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317 881</w:t>
            </w:r>
          </w:p>
        </w:tc>
        <w:tc>
          <w:tcPr>
            <w:tcW w:w="2289" w:type="dxa"/>
            <w:noWrap/>
            <w:hideMark/>
          </w:tcPr>
          <w:p w14:paraId="7F3CD68E"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337 565</w:t>
            </w:r>
          </w:p>
        </w:tc>
        <w:tc>
          <w:tcPr>
            <w:tcW w:w="2107" w:type="dxa"/>
            <w:noWrap/>
            <w:hideMark/>
          </w:tcPr>
          <w:p w14:paraId="5C0009E8"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307 958</w:t>
            </w:r>
          </w:p>
        </w:tc>
      </w:tr>
      <w:tr w:rsidR="00834B83" w:rsidRPr="005269E6" w14:paraId="3D41A40E" w14:textId="77777777" w:rsidTr="005C5B84">
        <w:trPr>
          <w:jc w:val="center"/>
        </w:trPr>
        <w:tc>
          <w:tcPr>
            <w:tcW w:w="3117" w:type="dxa"/>
            <w:noWrap/>
          </w:tcPr>
          <w:p w14:paraId="0AFBBA35" w14:textId="77777777" w:rsidR="00834B83" w:rsidRPr="005269E6" w:rsidRDefault="00834B83" w:rsidP="005C5B84">
            <w:pPr>
              <w:pStyle w:val="Tabletexte"/>
              <w:spacing w:before="40" w:after="40" w:line="240" w:lineRule="exact"/>
              <w:rPr>
                <w:b/>
                <w:bCs/>
                <w:color w:val="000000" w:themeColor="text1"/>
                <w:sz w:val="18"/>
                <w:szCs w:val="18"/>
                <w:rtl/>
                <w:lang w:val="en-GB"/>
              </w:rPr>
            </w:pPr>
          </w:p>
        </w:tc>
        <w:tc>
          <w:tcPr>
            <w:tcW w:w="709" w:type="dxa"/>
            <w:noWrap/>
          </w:tcPr>
          <w:p w14:paraId="7623377A"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1417" w:type="dxa"/>
            <w:noWrap/>
          </w:tcPr>
          <w:p w14:paraId="40143450"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2289" w:type="dxa"/>
            <w:noWrap/>
          </w:tcPr>
          <w:p w14:paraId="6227B79A"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2107" w:type="dxa"/>
            <w:noWrap/>
          </w:tcPr>
          <w:p w14:paraId="28BB8748"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r>
      <w:tr w:rsidR="00834B83" w:rsidRPr="005269E6" w14:paraId="7211B898" w14:textId="77777777" w:rsidTr="005C5B84">
        <w:trPr>
          <w:jc w:val="center"/>
        </w:trPr>
        <w:tc>
          <w:tcPr>
            <w:tcW w:w="3117" w:type="dxa"/>
            <w:noWrap/>
            <w:hideMark/>
          </w:tcPr>
          <w:p w14:paraId="1A3F9131"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rPr>
              <w:t>الخصوم</w:t>
            </w:r>
          </w:p>
        </w:tc>
        <w:tc>
          <w:tcPr>
            <w:tcW w:w="709" w:type="dxa"/>
            <w:noWrap/>
            <w:hideMark/>
          </w:tcPr>
          <w:p w14:paraId="13B1D20E"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1417" w:type="dxa"/>
            <w:noWrap/>
            <w:hideMark/>
          </w:tcPr>
          <w:p w14:paraId="27D420FA"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2289" w:type="dxa"/>
            <w:noWrap/>
            <w:hideMark/>
          </w:tcPr>
          <w:p w14:paraId="1001F203"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2107" w:type="dxa"/>
            <w:noWrap/>
            <w:hideMark/>
          </w:tcPr>
          <w:p w14:paraId="35AE12BD"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r>
      <w:tr w:rsidR="00834B83" w:rsidRPr="005269E6" w14:paraId="07DC8DD0" w14:textId="77777777" w:rsidTr="005C5B84">
        <w:trPr>
          <w:jc w:val="center"/>
        </w:trPr>
        <w:tc>
          <w:tcPr>
            <w:tcW w:w="3117" w:type="dxa"/>
            <w:noWrap/>
            <w:hideMark/>
          </w:tcPr>
          <w:p w14:paraId="2CE39A8D"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bidi="ar-SA"/>
              </w:rPr>
              <w:t>الخصوم الجارية</w:t>
            </w:r>
          </w:p>
        </w:tc>
        <w:tc>
          <w:tcPr>
            <w:tcW w:w="709" w:type="dxa"/>
            <w:noWrap/>
            <w:hideMark/>
          </w:tcPr>
          <w:p w14:paraId="32ACEC77"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1417" w:type="dxa"/>
            <w:noWrap/>
            <w:hideMark/>
          </w:tcPr>
          <w:p w14:paraId="2EF85185"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289" w:type="dxa"/>
            <w:noWrap/>
            <w:hideMark/>
          </w:tcPr>
          <w:p w14:paraId="075C2F51"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107" w:type="dxa"/>
            <w:noWrap/>
            <w:hideMark/>
          </w:tcPr>
          <w:p w14:paraId="768FDB4A" w14:textId="77777777" w:rsidR="00834B83" w:rsidRPr="005269E6" w:rsidRDefault="00834B83" w:rsidP="0031505F">
            <w:pPr>
              <w:pStyle w:val="Tabletexte"/>
              <w:spacing w:before="40" w:after="40" w:line="240" w:lineRule="exact"/>
              <w:jc w:val="left"/>
              <w:rPr>
                <w:color w:val="000000" w:themeColor="text1"/>
                <w:sz w:val="18"/>
                <w:szCs w:val="18"/>
                <w:lang w:val="en-GB"/>
              </w:rPr>
            </w:pPr>
          </w:p>
        </w:tc>
      </w:tr>
      <w:tr w:rsidR="00834B83" w:rsidRPr="005269E6" w14:paraId="0AE23143" w14:textId="77777777" w:rsidTr="005C5B84">
        <w:trPr>
          <w:jc w:val="center"/>
        </w:trPr>
        <w:tc>
          <w:tcPr>
            <w:tcW w:w="3117" w:type="dxa"/>
            <w:noWrap/>
            <w:hideMark/>
          </w:tcPr>
          <w:p w14:paraId="333915A4" w14:textId="77777777" w:rsidR="00834B83" w:rsidRPr="005269E6" w:rsidRDefault="00834B83" w:rsidP="005C5B84">
            <w:pPr>
              <w:pStyle w:val="Tabletexte"/>
              <w:spacing w:before="40" w:after="40" w:line="240" w:lineRule="exact"/>
              <w:rPr>
                <w:color w:val="000000" w:themeColor="text1"/>
                <w:sz w:val="18"/>
                <w:szCs w:val="18"/>
                <w:lang w:val="en-GB"/>
              </w:rPr>
            </w:pPr>
            <w:r w:rsidRPr="005269E6">
              <w:rPr>
                <w:color w:val="000000" w:themeColor="text1"/>
                <w:sz w:val="18"/>
                <w:szCs w:val="18"/>
                <w:rtl/>
                <w:lang w:val="en-GB"/>
              </w:rPr>
              <w:t>الذمم الدائنة</w:t>
            </w:r>
          </w:p>
        </w:tc>
        <w:tc>
          <w:tcPr>
            <w:tcW w:w="709" w:type="dxa"/>
            <w:noWrap/>
            <w:hideMark/>
          </w:tcPr>
          <w:p w14:paraId="30000D72"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15</w:t>
            </w:r>
          </w:p>
        </w:tc>
        <w:tc>
          <w:tcPr>
            <w:tcW w:w="1417" w:type="dxa"/>
            <w:noWrap/>
            <w:hideMark/>
          </w:tcPr>
          <w:p w14:paraId="0D10923A"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10 541</w:t>
            </w:r>
          </w:p>
        </w:tc>
        <w:tc>
          <w:tcPr>
            <w:tcW w:w="2289" w:type="dxa"/>
            <w:noWrap/>
            <w:hideMark/>
          </w:tcPr>
          <w:p w14:paraId="4FC67D4E"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7 456</w:t>
            </w:r>
          </w:p>
        </w:tc>
        <w:tc>
          <w:tcPr>
            <w:tcW w:w="2107" w:type="dxa"/>
            <w:noWrap/>
            <w:hideMark/>
          </w:tcPr>
          <w:p w14:paraId="0CC2090F"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5 687</w:t>
            </w:r>
          </w:p>
        </w:tc>
      </w:tr>
      <w:tr w:rsidR="00834B83" w:rsidRPr="005269E6" w14:paraId="294540A5" w14:textId="77777777" w:rsidTr="005C5B84">
        <w:trPr>
          <w:jc w:val="center"/>
        </w:trPr>
        <w:tc>
          <w:tcPr>
            <w:tcW w:w="3117" w:type="dxa"/>
            <w:noWrap/>
            <w:hideMark/>
          </w:tcPr>
          <w:p w14:paraId="22887C48" w14:textId="77777777"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المساهمات الواردة مقدما</w:t>
            </w:r>
          </w:p>
        </w:tc>
        <w:tc>
          <w:tcPr>
            <w:tcW w:w="709" w:type="dxa"/>
            <w:noWrap/>
            <w:hideMark/>
          </w:tcPr>
          <w:p w14:paraId="69149EAF"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16</w:t>
            </w:r>
          </w:p>
        </w:tc>
        <w:tc>
          <w:tcPr>
            <w:tcW w:w="1417" w:type="dxa"/>
            <w:noWrap/>
            <w:hideMark/>
          </w:tcPr>
          <w:p w14:paraId="5718992F"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50 823</w:t>
            </w:r>
          </w:p>
        </w:tc>
        <w:tc>
          <w:tcPr>
            <w:tcW w:w="2289" w:type="dxa"/>
            <w:noWrap/>
            <w:hideMark/>
          </w:tcPr>
          <w:p w14:paraId="65B97258"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53 572</w:t>
            </w:r>
          </w:p>
        </w:tc>
        <w:tc>
          <w:tcPr>
            <w:tcW w:w="2107" w:type="dxa"/>
            <w:noWrap/>
            <w:hideMark/>
          </w:tcPr>
          <w:p w14:paraId="166484BF"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43 795</w:t>
            </w:r>
          </w:p>
        </w:tc>
      </w:tr>
      <w:tr w:rsidR="00834B83" w:rsidRPr="005269E6" w14:paraId="02413703" w14:textId="77777777" w:rsidTr="005C5B84">
        <w:trPr>
          <w:jc w:val="center"/>
        </w:trPr>
        <w:tc>
          <w:tcPr>
            <w:tcW w:w="3117" w:type="dxa"/>
            <w:noWrap/>
            <w:hideMark/>
          </w:tcPr>
          <w:p w14:paraId="60CDC8B0" w14:textId="77777777"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الإيرادات المؤجَلة</w:t>
            </w:r>
          </w:p>
        </w:tc>
        <w:tc>
          <w:tcPr>
            <w:tcW w:w="709" w:type="dxa"/>
            <w:noWrap/>
            <w:hideMark/>
          </w:tcPr>
          <w:p w14:paraId="51990478"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16</w:t>
            </w:r>
          </w:p>
        </w:tc>
        <w:tc>
          <w:tcPr>
            <w:tcW w:w="1417" w:type="dxa"/>
            <w:noWrap/>
            <w:hideMark/>
          </w:tcPr>
          <w:p w14:paraId="764D4515"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10 809</w:t>
            </w:r>
          </w:p>
        </w:tc>
        <w:tc>
          <w:tcPr>
            <w:tcW w:w="2289" w:type="dxa"/>
            <w:noWrap/>
            <w:hideMark/>
          </w:tcPr>
          <w:p w14:paraId="0D604080"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10 415</w:t>
            </w:r>
          </w:p>
        </w:tc>
        <w:tc>
          <w:tcPr>
            <w:tcW w:w="2107" w:type="dxa"/>
            <w:noWrap/>
            <w:hideMark/>
          </w:tcPr>
          <w:p w14:paraId="40972A5E"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9 861</w:t>
            </w:r>
          </w:p>
        </w:tc>
      </w:tr>
      <w:tr w:rsidR="00834B83" w:rsidRPr="005269E6" w14:paraId="1C31F28E" w14:textId="77777777" w:rsidTr="005C5B84">
        <w:trPr>
          <w:jc w:val="center"/>
        </w:trPr>
        <w:tc>
          <w:tcPr>
            <w:tcW w:w="3117" w:type="dxa"/>
            <w:noWrap/>
            <w:hideMark/>
          </w:tcPr>
          <w:p w14:paraId="1AE81FEB" w14:textId="77777777"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القروض والديون المالية</w:t>
            </w:r>
          </w:p>
        </w:tc>
        <w:tc>
          <w:tcPr>
            <w:tcW w:w="709" w:type="dxa"/>
            <w:noWrap/>
            <w:hideMark/>
          </w:tcPr>
          <w:p w14:paraId="561D4C32"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17</w:t>
            </w:r>
          </w:p>
        </w:tc>
        <w:tc>
          <w:tcPr>
            <w:tcW w:w="1417" w:type="dxa"/>
            <w:noWrap/>
            <w:hideMark/>
          </w:tcPr>
          <w:p w14:paraId="3D00F221"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1 391</w:t>
            </w:r>
          </w:p>
        </w:tc>
        <w:tc>
          <w:tcPr>
            <w:tcW w:w="2289" w:type="dxa"/>
            <w:noWrap/>
            <w:hideMark/>
          </w:tcPr>
          <w:p w14:paraId="6855BF44"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1 391</w:t>
            </w:r>
          </w:p>
        </w:tc>
        <w:tc>
          <w:tcPr>
            <w:tcW w:w="2107" w:type="dxa"/>
            <w:noWrap/>
            <w:hideMark/>
          </w:tcPr>
          <w:p w14:paraId="3C978765"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1 391</w:t>
            </w:r>
          </w:p>
        </w:tc>
      </w:tr>
      <w:tr w:rsidR="00834B83" w:rsidRPr="005269E6" w14:paraId="3DCCF93A" w14:textId="77777777" w:rsidTr="005C5B84">
        <w:trPr>
          <w:jc w:val="center"/>
        </w:trPr>
        <w:tc>
          <w:tcPr>
            <w:tcW w:w="3117" w:type="dxa"/>
            <w:noWrap/>
            <w:hideMark/>
          </w:tcPr>
          <w:p w14:paraId="4332E24A" w14:textId="77777777"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استحقاقات الموظفين</w:t>
            </w:r>
          </w:p>
        </w:tc>
        <w:tc>
          <w:tcPr>
            <w:tcW w:w="709" w:type="dxa"/>
            <w:noWrap/>
            <w:hideMark/>
          </w:tcPr>
          <w:p w14:paraId="12200D46"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18</w:t>
            </w:r>
          </w:p>
        </w:tc>
        <w:tc>
          <w:tcPr>
            <w:tcW w:w="1417" w:type="dxa"/>
            <w:noWrap/>
            <w:hideMark/>
          </w:tcPr>
          <w:p w14:paraId="72A9E87B"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245</w:t>
            </w:r>
          </w:p>
        </w:tc>
        <w:tc>
          <w:tcPr>
            <w:tcW w:w="2289" w:type="dxa"/>
            <w:noWrap/>
            <w:hideMark/>
          </w:tcPr>
          <w:p w14:paraId="7B489D68"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424</w:t>
            </w:r>
          </w:p>
        </w:tc>
        <w:tc>
          <w:tcPr>
            <w:tcW w:w="2107" w:type="dxa"/>
            <w:noWrap/>
            <w:hideMark/>
          </w:tcPr>
          <w:p w14:paraId="2BCBA02F"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10</w:t>
            </w:r>
          </w:p>
        </w:tc>
      </w:tr>
      <w:tr w:rsidR="00834B83" w:rsidRPr="005269E6" w14:paraId="510FDB34" w14:textId="77777777" w:rsidTr="005C5B84">
        <w:trPr>
          <w:jc w:val="center"/>
        </w:trPr>
        <w:tc>
          <w:tcPr>
            <w:tcW w:w="3117" w:type="dxa"/>
            <w:noWrap/>
            <w:hideMark/>
          </w:tcPr>
          <w:p w14:paraId="7B81EADA" w14:textId="77777777" w:rsidR="00834B83" w:rsidRPr="005269E6" w:rsidRDefault="00834B83" w:rsidP="005C5B84">
            <w:pPr>
              <w:pStyle w:val="Tabletexte"/>
              <w:spacing w:before="40" w:after="40" w:line="240" w:lineRule="exact"/>
              <w:rPr>
                <w:color w:val="000000" w:themeColor="text1"/>
                <w:sz w:val="18"/>
                <w:szCs w:val="18"/>
                <w:lang w:val="en-GB"/>
              </w:rPr>
            </w:pPr>
            <w:r w:rsidRPr="005269E6">
              <w:rPr>
                <w:color w:val="000000" w:themeColor="text1"/>
                <w:sz w:val="18"/>
                <w:szCs w:val="18"/>
                <w:rtl/>
                <w:lang w:val="en-GB" w:bidi="ar-EG"/>
              </w:rPr>
              <w:t>الأرصدة الاحتياطية</w:t>
            </w:r>
          </w:p>
        </w:tc>
        <w:tc>
          <w:tcPr>
            <w:tcW w:w="709" w:type="dxa"/>
            <w:noWrap/>
            <w:hideMark/>
          </w:tcPr>
          <w:p w14:paraId="421BA3A8"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19</w:t>
            </w:r>
          </w:p>
        </w:tc>
        <w:tc>
          <w:tcPr>
            <w:tcW w:w="1417" w:type="dxa"/>
            <w:noWrap/>
            <w:hideMark/>
          </w:tcPr>
          <w:p w14:paraId="3962449D"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1 459</w:t>
            </w:r>
          </w:p>
        </w:tc>
        <w:tc>
          <w:tcPr>
            <w:tcW w:w="2289" w:type="dxa"/>
            <w:noWrap/>
            <w:hideMark/>
          </w:tcPr>
          <w:p w14:paraId="09EF1A0C"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1 372</w:t>
            </w:r>
          </w:p>
        </w:tc>
        <w:tc>
          <w:tcPr>
            <w:tcW w:w="2107" w:type="dxa"/>
            <w:noWrap/>
            <w:hideMark/>
          </w:tcPr>
          <w:p w14:paraId="34C6FE20"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1 105</w:t>
            </w:r>
          </w:p>
        </w:tc>
      </w:tr>
      <w:tr w:rsidR="00834B83" w:rsidRPr="005269E6" w14:paraId="59EDD559" w14:textId="77777777" w:rsidTr="005C5B84">
        <w:trPr>
          <w:jc w:val="center"/>
        </w:trPr>
        <w:tc>
          <w:tcPr>
            <w:tcW w:w="3117" w:type="dxa"/>
            <w:noWrap/>
            <w:hideMark/>
          </w:tcPr>
          <w:p w14:paraId="685941F7" w14:textId="77777777" w:rsidR="00834B83" w:rsidRPr="005269E6" w:rsidRDefault="00834B83" w:rsidP="005C5B84">
            <w:pPr>
              <w:pStyle w:val="Tabletexte"/>
              <w:spacing w:before="40" w:after="40" w:line="240" w:lineRule="exact"/>
              <w:rPr>
                <w:color w:val="000000" w:themeColor="text1"/>
                <w:sz w:val="18"/>
                <w:szCs w:val="18"/>
                <w:lang w:val="en-GB"/>
              </w:rPr>
            </w:pPr>
            <w:r w:rsidRPr="005269E6">
              <w:rPr>
                <w:color w:val="000000" w:themeColor="text1"/>
                <w:sz w:val="18"/>
                <w:szCs w:val="18"/>
                <w:rtl/>
                <w:lang w:val="en-GB"/>
              </w:rPr>
              <w:t>الديون الأخرى</w:t>
            </w:r>
          </w:p>
        </w:tc>
        <w:tc>
          <w:tcPr>
            <w:tcW w:w="709" w:type="dxa"/>
            <w:noWrap/>
            <w:hideMark/>
          </w:tcPr>
          <w:p w14:paraId="43448609"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20</w:t>
            </w:r>
          </w:p>
        </w:tc>
        <w:tc>
          <w:tcPr>
            <w:tcW w:w="1417" w:type="dxa"/>
            <w:noWrap/>
            <w:hideMark/>
          </w:tcPr>
          <w:p w14:paraId="36D6D0ED"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2 230</w:t>
            </w:r>
          </w:p>
        </w:tc>
        <w:tc>
          <w:tcPr>
            <w:tcW w:w="2289" w:type="dxa"/>
            <w:noWrap/>
            <w:hideMark/>
          </w:tcPr>
          <w:p w14:paraId="6A19DCC7"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4 962</w:t>
            </w:r>
          </w:p>
        </w:tc>
        <w:tc>
          <w:tcPr>
            <w:tcW w:w="2107" w:type="dxa"/>
            <w:noWrap/>
            <w:hideMark/>
          </w:tcPr>
          <w:p w14:paraId="7D379F79"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4 999</w:t>
            </w:r>
          </w:p>
        </w:tc>
      </w:tr>
      <w:tr w:rsidR="00834B83" w:rsidRPr="005269E6" w14:paraId="74B8C28C" w14:textId="77777777" w:rsidTr="005C5B84">
        <w:trPr>
          <w:jc w:val="center"/>
        </w:trPr>
        <w:tc>
          <w:tcPr>
            <w:tcW w:w="3117" w:type="dxa"/>
            <w:noWrap/>
            <w:hideMark/>
          </w:tcPr>
          <w:p w14:paraId="141EA2DB"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rPr>
              <w:t>مجموع</w:t>
            </w:r>
            <w:r w:rsidRPr="005269E6">
              <w:rPr>
                <w:sz w:val="18"/>
                <w:szCs w:val="18"/>
                <w:rtl/>
              </w:rPr>
              <w:t xml:space="preserve"> </w:t>
            </w:r>
            <w:r w:rsidRPr="005269E6">
              <w:rPr>
                <w:b/>
                <w:bCs/>
                <w:color w:val="000000" w:themeColor="text1"/>
                <w:sz w:val="18"/>
                <w:szCs w:val="18"/>
                <w:rtl/>
                <w:lang w:val="en-GB"/>
              </w:rPr>
              <w:t>الخصوم الجارية</w:t>
            </w:r>
          </w:p>
        </w:tc>
        <w:tc>
          <w:tcPr>
            <w:tcW w:w="709" w:type="dxa"/>
            <w:noWrap/>
            <w:hideMark/>
          </w:tcPr>
          <w:p w14:paraId="765A7822"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1417" w:type="dxa"/>
            <w:noWrap/>
            <w:hideMark/>
          </w:tcPr>
          <w:p w14:paraId="07BFA29F"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77 498</w:t>
            </w:r>
          </w:p>
        </w:tc>
        <w:tc>
          <w:tcPr>
            <w:tcW w:w="2289" w:type="dxa"/>
            <w:noWrap/>
            <w:hideMark/>
          </w:tcPr>
          <w:p w14:paraId="5DCE6163"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79 592</w:t>
            </w:r>
          </w:p>
        </w:tc>
        <w:tc>
          <w:tcPr>
            <w:tcW w:w="2107" w:type="dxa"/>
            <w:noWrap/>
            <w:hideMark/>
          </w:tcPr>
          <w:p w14:paraId="517AF293"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66 848</w:t>
            </w:r>
          </w:p>
        </w:tc>
      </w:tr>
      <w:tr w:rsidR="00834B83" w:rsidRPr="005269E6" w14:paraId="015E2E67" w14:textId="77777777" w:rsidTr="005C5B84">
        <w:trPr>
          <w:jc w:val="center"/>
        </w:trPr>
        <w:tc>
          <w:tcPr>
            <w:tcW w:w="3117" w:type="dxa"/>
            <w:noWrap/>
            <w:hideMark/>
          </w:tcPr>
          <w:p w14:paraId="6F0C6A32" w14:textId="77777777" w:rsidR="00834B83" w:rsidRPr="005269E6" w:rsidRDefault="00834B83" w:rsidP="005C5B84">
            <w:pPr>
              <w:pStyle w:val="Tabletexte"/>
              <w:spacing w:before="40" w:after="40" w:line="240" w:lineRule="exact"/>
              <w:rPr>
                <w:color w:val="000000" w:themeColor="text1"/>
                <w:sz w:val="18"/>
                <w:szCs w:val="18"/>
                <w:lang w:val="en-GB"/>
              </w:rPr>
            </w:pPr>
          </w:p>
        </w:tc>
        <w:tc>
          <w:tcPr>
            <w:tcW w:w="709" w:type="dxa"/>
            <w:noWrap/>
            <w:hideMark/>
          </w:tcPr>
          <w:p w14:paraId="4A52EB63"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1417" w:type="dxa"/>
            <w:noWrap/>
            <w:hideMark/>
          </w:tcPr>
          <w:p w14:paraId="6A1D0C1B"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289" w:type="dxa"/>
            <w:noWrap/>
            <w:hideMark/>
          </w:tcPr>
          <w:p w14:paraId="77664B29"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107" w:type="dxa"/>
            <w:noWrap/>
            <w:hideMark/>
          </w:tcPr>
          <w:p w14:paraId="2A5E5E8E" w14:textId="77777777" w:rsidR="00834B83" w:rsidRPr="005269E6" w:rsidRDefault="00834B83" w:rsidP="0031505F">
            <w:pPr>
              <w:pStyle w:val="Tabletexte"/>
              <w:spacing w:before="40" w:after="40" w:line="240" w:lineRule="exact"/>
              <w:jc w:val="left"/>
              <w:rPr>
                <w:color w:val="000000" w:themeColor="text1"/>
                <w:sz w:val="18"/>
                <w:szCs w:val="18"/>
                <w:lang w:val="en-GB"/>
              </w:rPr>
            </w:pPr>
          </w:p>
        </w:tc>
      </w:tr>
      <w:tr w:rsidR="00834B83" w:rsidRPr="005269E6" w14:paraId="04E0F564" w14:textId="77777777" w:rsidTr="005C5B84">
        <w:trPr>
          <w:jc w:val="center"/>
        </w:trPr>
        <w:tc>
          <w:tcPr>
            <w:tcW w:w="3117" w:type="dxa"/>
            <w:noWrap/>
            <w:hideMark/>
          </w:tcPr>
          <w:p w14:paraId="1526DD78"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bidi="ar-SA"/>
              </w:rPr>
              <w:t>الخصوم غير الجارية</w:t>
            </w:r>
          </w:p>
        </w:tc>
        <w:tc>
          <w:tcPr>
            <w:tcW w:w="709" w:type="dxa"/>
            <w:noWrap/>
            <w:hideMark/>
          </w:tcPr>
          <w:p w14:paraId="0F0AF2FB"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1417" w:type="dxa"/>
            <w:noWrap/>
            <w:hideMark/>
          </w:tcPr>
          <w:p w14:paraId="32183082"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289" w:type="dxa"/>
            <w:noWrap/>
            <w:hideMark/>
          </w:tcPr>
          <w:p w14:paraId="6509B897"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107" w:type="dxa"/>
            <w:noWrap/>
            <w:hideMark/>
          </w:tcPr>
          <w:p w14:paraId="40FB5461" w14:textId="77777777" w:rsidR="00834B83" w:rsidRPr="005269E6" w:rsidRDefault="00834B83" w:rsidP="0031505F">
            <w:pPr>
              <w:pStyle w:val="Tabletexte"/>
              <w:spacing w:before="40" w:after="40" w:line="240" w:lineRule="exact"/>
              <w:jc w:val="left"/>
              <w:rPr>
                <w:color w:val="000000" w:themeColor="text1"/>
                <w:sz w:val="18"/>
                <w:szCs w:val="18"/>
                <w:lang w:val="en-GB"/>
              </w:rPr>
            </w:pPr>
          </w:p>
        </w:tc>
      </w:tr>
      <w:tr w:rsidR="00834B83" w:rsidRPr="005269E6" w14:paraId="336EF671" w14:textId="77777777" w:rsidTr="005C5B84">
        <w:trPr>
          <w:jc w:val="center"/>
        </w:trPr>
        <w:tc>
          <w:tcPr>
            <w:tcW w:w="3117" w:type="dxa"/>
            <w:noWrap/>
            <w:hideMark/>
          </w:tcPr>
          <w:p w14:paraId="4532C33C" w14:textId="77777777" w:rsidR="00834B83" w:rsidRPr="005269E6" w:rsidRDefault="00834B83" w:rsidP="005C5B84">
            <w:pPr>
              <w:pStyle w:val="Tabletexte"/>
              <w:spacing w:before="40" w:after="40" w:line="240" w:lineRule="exact"/>
              <w:rPr>
                <w:color w:val="000000" w:themeColor="text1"/>
                <w:sz w:val="18"/>
                <w:szCs w:val="18"/>
                <w:lang w:val="en-GB"/>
              </w:rPr>
            </w:pPr>
            <w:r w:rsidRPr="005269E6">
              <w:rPr>
                <w:color w:val="000000" w:themeColor="text1"/>
                <w:sz w:val="18"/>
                <w:szCs w:val="18"/>
                <w:rtl/>
                <w:lang w:val="en-GB"/>
              </w:rPr>
              <w:t>القروض</w:t>
            </w:r>
          </w:p>
        </w:tc>
        <w:tc>
          <w:tcPr>
            <w:tcW w:w="709" w:type="dxa"/>
            <w:noWrap/>
            <w:hideMark/>
          </w:tcPr>
          <w:p w14:paraId="4778C0B2"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17</w:t>
            </w:r>
          </w:p>
        </w:tc>
        <w:tc>
          <w:tcPr>
            <w:tcW w:w="1417" w:type="dxa"/>
            <w:noWrap/>
            <w:hideMark/>
          </w:tcPr>
          <w:p w14:paraId="7E8535B7"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46 940</w:t>
            </w:r>
          </w:p>
        </w:tc>
        <w:tc>
          <w:tcPr>
            <w:tcW w:w="2289" w:type="dxa"/>
            <w:noWrap/>
            <w:hideMark/>
          </w:tcPr>
          <w:p w14:paraId="576AB181"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51 991</w:t>
            </w:r>
          </w:p>
        </w:tc>
        <w:tc>
          <w:tcPr>
            <w:tcW w:w="2107" w:type="dxa"/>
            <w:noWrap/>
            <w:hideMark/>
          </w:tcPr>
          <w:p w14:paraId="33287DCD"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45 718</w:t>
            </w:r>
          </w:p>
        </w:tc>
      </w:tr>
      <w:tr w:rsidR="00834B83" w:rsidRPr="005269E6" w14:paraId="6E25C904" w14:textId="77777777" w:rsidTr="005C5B84">
        <w:trPr>
          <w:jc w:val="center"/>
        </w:trPr>
        <w:tc>
          <w:tcPr>
            <w:tcW w:w="3117" w:type="dxa"/>
            <w:noWrap/>
            <w:hideMark/>
          </w:tcPr>
          <w:p w14:paraId="42F12624" w14:textId="77777777" w:rsidR="00834B83" w:rsidRPr="005269E6" w:rsidRDefault="00834B83" w:rsidP="005C5B84">
            <w:pPr>
              <w:pStyle w:val="Tabletexte"/>
              <w:spacing w:before="40" w:after="40" w:line="240" w:lineRule="exact"/>
              <w:rPr>
                <w:color w:val="000000" w:themeColor="text1"/>
                <w:sz w:val="18"/>
                <w:szCs w:val="18"/>
                <w:lang w:val="en-GB"/>
              </w:rPr>
            </w:pPr>
            <w:r w:rsidRPr="005269E6">
              <w:rPr>
                <w:color w:val="000000" w:themeColor="text1"/>
                <w:sz w:val="18"/>
                <w:szCs w:val="18"/>
                <w:rtl/>
                <w:lang w:val="en-GB"/>
              </w:rPr>
              <w:t>استحقاقات الموظفين</w:t>
            </w:r>
          </w:p>
        </w:tc>
        <w:tc>
          <w:tcPr>
            <w:tcW w:w="709" w:type="dxa"/>
            <w:noWrap/>
            <w:hideMark/>
          </w:tcPr>
          <w:p w14:paraId="38510BCB"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18</w:t>
            </w:r>
          </w:p>
        </w:tc>
        <w:tc>
          <w:tcPr>
            <w:tcW w:w="1417" w:type="dxa"/>
            <w:noWrap/>
            <w:hideMark/>
          </w:tcPr>
          <w:p w14:paraId="183E46FC"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368 472</w:t>
            </w:r>
          </w:p>
        </w:tc>
        <w:tc>
          <w:tcPr>
            <w:tcW w:w="2289" w:type="dxa"/>
            <w:noWrap/>
            <w:hideMark/>
          </w:tcPr>
          <w:p w14:paraId="2835FC07"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570 083</w:t>
            </w:r>
          </w:p>
        </w:tc>
        <w:tc>
          <w:tcPr>
            <w:tcW w:w="2107" w:type="dxa"/>
            <w:noWrap/>
            <w:hideMark/>
          </w:tcPr>
          <w:p w14:paraId="3A126126"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656 021</w:t>
            </w:r>
          </w:p>
        </w:tc>
      </w:tr>
      <w:tr w:rsidR="00834B83" w:rsidRPr="005269E6" w14:paraId="484B4880" w14:textId="77777777" w:rsidTr="005C5B84">
        <w:trPr>
          <w:jc w:val="center"/>
        </w:trPr>
        <w:tc>
          <w:tcPr>
            <w:tcW w:w="3117" w:type="dxa"/>
            <w:noWrap/>
            <w:hideMark/>
          </w:tcPr>
          <w:p w14:paraId="3A9D92F8" w14:textId="77777777" w:rsidR="00834B83" w:rsidRPr="005269E6" w:rsidRDefault="00834B83" w:rsidP="005C5B84">
            <w:pPr>
              <w:pStyle w:val="Tabletexte"/>
              <w:spacing w:before="40" w:after="40" w:line="240" w:lineRule="exact"/>
              <w:rPr>
                <w:color w:val="000000" w:themeColor="text1"/>
                <w:sz w:val="18"/>
                <w:szCs w:val="18"/>
                <w:lang w:val="en-GB"/>
              </w:rPr>
            </w:pPr>
            <w:r w:rsidRPr="005269E6">
              <w:rPr>
                <w:color w:val="000000" w:themeColor="text1"/>
                <w:sz w:val="18"/>
                <w:szCs w:val="18"/>
                <w:rtl/>
                <w:lang w:val="en-GB"/>
              </w:rPr>
              <w:t>الأموال الخارجية المخصصة</w:t>
            </w:r>
          </w:p>
        </w:tc>
        <w:tc>
          <w:tcPr>
            <w:tcW w:w="709" w:type="dxa"/>
            <w:noWrap/>
            <w:hideMark/>
          </w:tcPr>
          <w:p w14:paraId="4A1BF8F4"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21</w:t>
            </w:r>
          </w:p>
        </w:tc>
        <w:tc>
          <w:tcPr>
            <w:tcW w:w="1417" w:type="dxa"/>
            <w:noWrap/>
            <w:hideMark/>
          </w:tcPr>
          <w:p w14:paraId="2E2A7FB5"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35 350</w:t>
            </w:r>
          </w:p>
        </w:tc>
        <w:tc>
          <w:tcPr>
            <w:tcW w:w="2289" w:type="dxa"/>
            <w:noWrap/>
            <w:hideMark/>
          </w:tcPr>
          <w:p w14:paraId="2F721F24"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43 470</w:t>
            </w:r>
          </w:p>
        </w:tc>
        <w:tc>
          <w:tcPr>
            <w:tcW w:w="2107" w:type="dxa"/>
            <w:noWrap/>
            <w:hideMark/>
          </w:tcPr>
          <w:p w14:paraId="4821807E"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35 560</w:t>
            </w:r>
          </w:p>
        </w:tc>
      </w:tr>
      <w:tr w:rsidR="00834B83" w:rsidRPr="005269E6" w14:paraId="221D8525" w14:textId="77777777" w:rsidTr="005C5B84">
        <w:trPr>
          <w:jc w:val="center"/>
        </w:trPr>
        <w:tc>
          <w:tcPr>
            <w:tcW w:w="3117" w:type="dxa"/>
            <w:noWrap/>
            <w:hideMark/>
          </w:tcPr>
          <w:p w14:paraId="0B293177" w14:textId="77777777" w:rsidR="00834B83" w:rsidRPr="005269E6" w:rsidRDefault="00834B83" w:rsidP="005C5B84">
            <w:pPr>
              <w:pStyle w:val="Tabletexte"/>
              <w:spacing w:before="40" w:after="40" w:line="240" w:lineRule="exact"/>
              <w:rPr>
                <w:color w:val="000000" w:themeColor="text1"/>
                <w:sz w:val="18"/>
                <w:szCs w:val="18"/>
                <w:lang w:val="en-GB"/>
              </w:rPr>
            </w:pPr>
            <w:r w:rsidRPr="005269E6">
              <w:rPr>
                <w:color w:val="000000" w:themeColor="text1"/>
                <w:sz w:val="18"/>
                <w:szCs w:val="18"/>
                <w:rtl/>
                <w:lang w:val="en-GB"/>
              </w:rPr>
              <w:t>الأموال الخارجية في طور التخصيص</w:t>
            </w:r>
          </w:p>
        </w:tc>
        <w:tc>
          <w:tcPr>
            <w:tcW w:w="709" w:type="dxa"/>
            <w:noWrap/>
            <w:hideMark/>
          </w:tcPr>
          <w:p w14:paraId="465B6956"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21</w:t>
            </w:r>
          </w:p>
        </w:tc>
        <w:tc>
          <w:tcPr>
            <w:tcW w:w="1417" w:type="dxa"/>
            <w:noWrap/>
            <w:hideMark/>
          </w:tcPr>
          <w:p w14:paraId="3BE4F08B"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2 679</w:t>
            </w:r>
          </w:p>
        </w:tc>
        <w:tc>
          <w:tcPr>
            <w:tcW w:w="2289" w:type="dxa"/>
            <w:noWrap/>
            <w:hideMark/>
          </w:tcPr>
          <w:p w14:paraId="58ECD857"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3 216</w:t>
            </w:r>
          </w:p>
        </w:tc>
        <w:tc>
          <w:tcPr>
            <w:tcW w:w="2107" w:type="dxa"/>
            <w:noWrap/>
            <w:hideMark/>
          </w:tcPr>
          <w:p w14:paraId="11346543"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3 885</w:t>
            </w:r>
          </w:p>
        </w:tc>
      </w:tr>
      <w:tr w:rsidR="00834B83" w:rsidRPr="005269E6" w14:paraId="2C090C56" w14:textId="77777777" w:rsidTr="005C5B84">
        <w:trPr>
          <w:jc w:val="center"/>
        </w:trPr>
        <w:tc>
          <w:tcPr>
            <w:tcW w:w="3117" w:type="dxa"/>
            <w:noWrap/>
            <w:hideMark/>
          </w:tcPr>
          <w:p w14:paraId="6189B30F"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rPr>
              <w:t>مجموع الخصوم</w:t>
            </w:r>
            <w:r w:rsidRPr="005269E6">
              <w:rPr>
                <w:sz w:val="18"/>
                <w:szCs w:val="18"/>
                <w:rtl/>
              </w:rPr>
              <w:t xml:space="preserve"> </w:t>
            </w:r>
            <w:r w:rsidRPr="005269E6">
              <w:rPr>
                <w:b/>
                <w:bCs/>
                <w:color w:val="000000" w:themeColor="text1"/>
                <w:sz w:val="18"/>
                <w:szCs w:val="18"/>
                <w:rtl/>
                <w:lang w:val="en-GB"/>
              </w:rPr>
              <w:t>غير الجارية</w:t>
            </w:r>
          </w:p>
        </w:tc>
        <w:tc>
          <w:tcPr>
            <w:tcW w:w="709" w:type="dxa"/>
            <w:noWrap/>
            <w:hideMark/>
          </w:tcPr>
          <w:p w14:paraId="7AA71F63"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1417" w:type="dxa"/>
            <w:noWrap/>
            <w:hideMark/>
          </w:tcPr>
          <w:p w14:paraId="786C0A1A"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453 441</w:t>
            </w:r>
          </w:p>
        </w:tc>
        <w:tc>
          <w:tcPr>
            <w:tcW w:w="2289" w:type="dxa"/>
            <w:noWrap/>
            <w:hideMark/>
          </w:tcPr>
          <w:p w14:paraId="63CC926F"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668 760</w:t>
            </w:r>
          </w:p>
        </w:tc>
        <w:tc>
          <w:tcPr>
            <w:tcW w:w="2107" w:type="dxa"/>
            <w:noWrap/>
            <w:hideMark/>
          </w:tcPr>
          <w:p w14:paraId="3A1AAA6E"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741 184</w:t>
            </w:r>
          </w:p>
        </w:tc>
      </w:tr>
      <w:tr w:rsidR="00834B83" w:rsidRPr="005269E6" w14:paraId="746D7D85" w14:textId="77777777" w:rsidTr="005C5B84">
        <w:trPr>
          <w:jc w:val="center"/>
        </w:trPr>
        <w:tc>
          <w:tcPr>
            <w:tcW w:w="3117" w:type="dxa"/>
            <w:noWrap/>
            <w:hideMark/>
          </w:tcPr>
          <w:p w14:paraId="722B18EE" w14:textId="77777777" w:rsidR="00834B83" w:rsidRPr="005269E6" w:rsidRDefault="00834B83" w:rsidP="005C5B84">
            <w:pPr>
              <w:pStyle w:val="Tabletexte"/>
              <w:spacing w:before="40" w:after="40" w:line="240" w:lineRule="exact"/>
              <w:rPr>
                <w:color w:val="000000" w:themeColor="text1"/>
                <w:sz w:val="18"/>
                <w:szCs w:val="18"/>
                <w:lang w:val="en-GB"/>
              </w:rPr>
            </w:pPr>
          </w:p>
        </w:tc>
        <w:tc>
          <w:tcPr>
            <w:tcW w:w="709" w:type="dxa"/>
            <w:noWrap/>
            <w:hideMark/>
          </w:tcPr>
          <w:p w14:paraId="7A684C8E"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1417" w:type="dxa"/>
            <w:noWrap/>
            <w:hideMark/>
          </w:tcPr>
          <w:p w14:paraId="0E4DEB96"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289" w:type="dxa"/>
            <w:noWrap/>
            <w:hideMark/>
          </w:tcPr>
          <w:p w14:paraId="5E5380AE"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107" w:type="dxa"/>
            <w:noWrap/>
            <w:hideMark/>
          </w:tcPr>
          <w:p w14:paraId="447C6CFA" w14:textId="77777777" w:rsidR="00834B83" w:rsidRPr="005269E6" w:rsidRDefault="00834B83" w:rsidP="0031505F">
            <w:pPr>
              <w:pStyle w:val="Tabletexte"/>
              <w:spacing w:before="40" w:after="40" w:line="240" w:lineRule="exact"/>
              <w:jc w:val="left"/>
              <w:rPr>
                <w:color w:val="000000" w:themeColor="text1"/>
                <w:sz w:val="18"/>
                <w:szCs w:val="18"/>
                <w:lang w:val="en-GB"/>
              </w:rPr>
            </w:pPr>
          </w:p>
        </w:tc>
      </w:tr>
      <w:tr w:rsidR="00834B83" w:rsidRPr="005269E6" w14:paraId="2E3F556C" w14:textId="77777777" w:rsidTr="005C5B84">
        <w:trPr>
          <w:jc w:val="center"/>
        </w:trPr>
        <w:tc>
          <w:tcPr>
            <w:tcW w:w="3117" w:type="dxa"/>
            <w:noWrap/>
            <w:hideMark/>
          </w:tcPr>
          <w:p w14:paraId="27755B31"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rPr>
              <w:lastRenderedPageBreak/>
              <w:t>مجموع الخصوم</w:t>
            </w:r>
          </w:p>
        </w:tc>
        <w:tc>
          <w:tcPr>
            <w:tcW w:w="709" w:type="dxa"/>
            <w:noWrap/>
            <w:hideMark/>
          </w:tcPr>
          <w:p w14:paraId="5C3834A6"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1417" w:type="dxa"/>
            <w:noWrap/>
            <w:hideMark/>
          </w:tcPr>
          <w:p w14:paraId="7348B9F0"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530 939</w:t>
            </w:r>
          </w:p>
        </w:tc>
        <w:tc>
          <w:tcPr>
            <w:tcW w:w="2289" w:type="dxa"/>
            <w:noWrap/>
            <w:hideMark/>
          </w:tcPr>
          <w:p w14:paraId="48123322"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748 352</w:t>
            </w:r>
          </w:p>
        </w:tc>
        <w:tc>
          <w:tcPr>
            <w:tcW w:w="2107" w:type="dxa"/>
            <w:noWrap/>
            <w:hideMark/>
          </w:tcPr>
          <w:p w14:paraId="7D407E6F"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808 032</w:t>
            </w:r>
          </w:p>
        </w:tc>
      </w:tr>
      <w:tr w:rsidR="00834B83" w:rsidRPr="005269E6" w14:paraId="7D69860A" w14:textId="77777777" w:rsidTr="005C5B84">
        <w:trPr>
          <w:jc w:val="center"/>
        </w:trPr>
        <w:tc>
          <w:tcPr>
            <w:tcW w:w="3117" w:type="dxa"/>
            <w:noWrap/>
          </w:tcPr>
          <w:p w14:paraId="4EBCD5B1" w14:textId="77777777" w:rsidR="00834B83" w:rsidRPr="005269E6" w:rsidRDefault="00834B83" w:rsidP="005C5B84">
            <w:pPr>
              <w:pStyle w:val="Tabletexte"/>
              <w:spacing w:before="40" w:after="40" w:line="240" w:lineRule="exact"/>
              <w:rPr>
                <w:b/>
                <w:bCs/>
                <w:color w:val="000000" w:themeColor="text1"/>
                <w:sz w:val="18"/>
                <w:szCs w:val="18"/>
                <w:rtl/>
                <w:lang w:val="en-GB"/>
              </w:rPr>
            </w:pPr>
          </w:p>
        </w:tc>
        <w:tc>
          <w:tcPr>
            <w:tcW w:w="709" w:type="dxa"/>
            <w:noWrap/>
          </w:tcPr>
          <w:p w14:paraId="3D5ECFC0"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1417" w:type="dxa"/>
            <w:noWrap/>
          </w:tcPr>
          <w:p w14:paraId="7954DA87"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2289" w:type="dxa"/>
            <w:noWrap/>
          </w:tcPr>
          <w:p w14:paraId="47506ED2"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2107" w:type="dxa"/>
            <w:noWrap/>
          </w:tcPr>
          <w:p w14:paraId="73B838D7"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r>
      <w:tr w:rsidR="00834B83" w:rsidRPr="005269E6" w14:paraId="334F8BB6" w14:textId="77777777" w:rsidTr="005C5B84">
        <w:trPr>
          <w:jc w:val="center"/>
        </w:trPr>
        <w:tc>
          <w:tcPr>
            <w:tcW w:w="3117" w:type="dxa"/>
            <w:noWrap/>
            <w:hideMark/>
          </w:tcPr>
          <w:p w14:paraId="54482A3D"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rPr>
              <w:t>مجموع صافي الخصوم</w:t>
            </w:r>
          </w:p>
        </w:tc>
        <w:tc>
          <w:tcPr>
            <w:tcW w:w="709" w:type="dxa"/>
            <w:noWrap/>
            <w:hideMark/>
          </w:tcPr>
          <w:p w14:paraId="6F8942B2"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1417" w:type="dxa"/>
            <w:noWrap/>
            <w:hideMark/>
          </w:tcPr>
          <w:p w14:paraId="7FD08D03"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(213 057)</w:t>
            </w:r>
          </w:p>
        </w:tc>
        <w:tc>
          <w:tcPr>
            <w:tcW w:w="2289" w:type="dxa"/>
            <w:noWrap/>
            <w:hideMark/>
          </w:tcPr>
          <w:p w14:paraId="7EBEB116"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(410 787)</w:t>
            </w:r>
          </w:p>
        </w:tc>
        <w:tc>
          <w:tcPr>
            <w:tcW w:w="2107" w:type="dxa"/>
            <w:noWrap/>
            <w:hideMark/>
          </w:tcPr>
          <w:p w14:paraId="749C82B7"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(500 074)</w:t>
            </w:r>
          </w:p>
        </w:tc>
      </w:tr>
      <w:tr w:rsidR="00834B83" w:rsidRPr="005269E6" w14:paraId="262B8AA4" w14:textId="77777777" w:rsidTr="005C5B84">
        <w:trPr>
          <w:jc w:val="center"/>
        </w:trPr>
        <w:tc>
          <w:tcPr>
            <w:tcW w:w="3117" w:type="dxa"/>
            <w:noWrap/>
            <w:hideMark/>
          </w:tcPr>
          <w:p w14:paraId="0DAF87E2" w14:textId="77777777" w:rsidR="00834B83" w:rsidRPr="005269E6" w:rsidRDefault="00834B83" w:rsidP="005C5B84">
            <w:pPr>
              <w:pStyle w:val="Tabletexte"/>
              <w:spacing w:before="40" w:after="40" w:line="240" w:lineRule="exact"/>
              <w:rPr>
                <w:color w:val="000000" w:themeColor="text1"/>
                <w:sz w:val="18"/>
                <w:szCs w:val="18"/>
                <w:lang w:val="en-GB"/>
              </w:rPr>
            </w:pPr>
          </w:p>
        </w:tc>
        <w:tc>
          <w:tcPr>
            <w:tcW w:w="709" w:type="dxa"/>
            <w:noWrap/>
            <w:hideMark/>
          </w:tcPr>
          <w:p w14:paraId="21FC9683"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1417" w:type="dxa"/>
            <w:noWrap/>
            <w:hideMark/>
          </w:tcPr>
          <w:p w14:paraId="7226D5E9"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289" w:type="dxa"/>
            <w:noWrap/>
            <w:hideMark/>
          </w:tcPr>
          <w:p w14:paraId="56E93FEF"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2107" w:type="dxa"/>
            <w:noWrap/>
            <w:hideMark/>
          </w:tcPr>
          <w:p w14:paraId="4D468A11" w14:textId="77777777" w:rsidR="00834B83" w:rsidRPr="005269E6" w:rsidRDefault="00834B83" w:rsidP="0031505F">
            <w:pPr>
              <w:pStyle w:val="Tabletexte"/>
              <w:spacing w:before="40" w:after="40" w:line="240" w:lineRule="exact"/>
              <w:jc w:val="left"/>
              <w:rPr>
                <w:color w:val="000000" w:themeColor="text1"/>
                <w:sz w:val="18"/>
                <w:szCs w:val="18"/>
                <w:lang w:val="en-GB"/>
              </w:rPr>
            </w:pPr>
          </w:p>
        </w:tc>
      </w:tr>
      <w:tr w:rsidR="00834B83" w:rsidRPr="005269E6" w14:paraId="7280D60A" w14:textId="77777777" w:rsidTr="005C5B84">
        <w:trPr>
          <w:jc w:val="center"/>
        </w:trPr>
        <w:tc>
          <w:tcPr>
            <w:tcW w:w="3117" w:type="dxa"/>
            <w:noWrap/>
            <w:hideMark/>
          </w:tcPr>
          <w:p w14:paraId="6F726E99" w14:textId="77777777"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حساب احتياطي الاتحاد</w:t>
            </w:r>
          </w:p>
        </w:tc>
        <w:tc>
          <w:tcPr>
            <w:tcW w:w="709" w:type="dxa"/>
            <w:noWrap/>
            <w:hideMark/>
          </w:tcPr>
          <w:p w14:paraId="1409C631"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w:t>
            </w:r>
            <w:r w:rsidRPr="005269E6">
              <w:rPr>
                <w:color w:val="000000" w:themeColor="text1"/>
                <w:sz w:val="18"/>
                <w:szCs w:val="18"/>
                <w:rtl/>
                <w:lang w:val="en-GB"/>
              </w:rPr>
              <w:t>.</w:t>
            </w:r>
            <w:r w:rsidRPr="005269E6">
              <w:rPr>
                <w:color w:val="000000" w:themeColor="text1"/>
                <w:sz w:val="18"/>
                <w:szCs w:val="18"/>
                <w:lang w:val="en-GB"/>
              </w:rPr>
              <w:t>10</w:t>
            </w:r>
          </w:p>
        </w:tc>
        <w:tc>
          <w:tcPr>
            <w:tcW w:w="1417" w:type="dxa"/>
            <w:noWrap/>
            <w:hideMark/>
          </w:tcPr>
          <w:p w14:paraId="5604FAC6"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28 388</w:t>
            </w:r>
          </w:p>
        </w:tc>
        <w:tc>
          <w:tcPr>
            <w:tcW w:w="2289" w:type="dxa"/>
            <w:noWrap/>
            <w:hideMark/>
          </w:tcPr>
          <w:p w14:paraId="181567E2"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29 386</w:t>
            </w:r>
          </w:p>
        </w:tc>
        <w:tc>
          <w:tcPr>
            <w:tcW w:w="2107" w:type="dxa"/>
            <w:noWrap/>
            <w:hideMark/>
          </w:tcPr>
          <w:p w14:paraId="083EF670"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29 344</w:t>
            </w:r>
          </w:p>
        </w:tc>
      </w:tr>
      <w:tr w:rsidR="00834B83" w:rsidRPr="005269E6" w14:paraId="70A80538" w14:textId="77777777" w:rsidTr="005C5B84">
        <w:trPr>
          <w:jc w:val="center"/>
        </w:trPr>
        <w:tc>
          <w:tcPr>
            <w:tcW w:w="3117" w:type="dxa"/>
            <w:noWrap/>
            <w:hideMark/>
          </w:tcPr>
          <w:p w14:paraId="53A0360B" w14:textId="77777777"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الاحتياطيات والأموال الأخرى</w:t>
            </w:r>
          </w:p>
        </w:tc>
        <w:tc>
          <w:tcPr>
            <w:tcW w:w="709" w:type="dxa"/>
            <w:noWrap/>
            <w:hideMark/>
          </w:tcPr>
          <w:p w14:paraId="444619F0"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w:t>
            </w:r>
            <w:r w:rsidRPr="005269E6">
              <w:rPr>
                <w:color w:val="000000" w:themeColor="text1"/>
                <w:sz w:val="18"/>
                <w:szCs w:val="18"/>
                <w:rtl/>
                <w:lang w:val="en-GB"/>
              </w:rPr>
              <w:t>.</w:t>
            </w:r>
            <w:r w:rsidRPr="005269E6">
              <w:rPr>
                <w:color w:val="000000" w:themeColor="text1"/>
                <w:sz w:val="18"/>
                <w:szCs w:val="18"/>
                <w:lang w:val="en-GB"/>
              </w:rPr>
              <w:t>11</w:t>
            </w:r>
          </w:p>
        </w:tc>
        <w:tc>
          <w:tcPr>
            <w:tcW w:w="1417" w:type="dxa"/>
            <w:noWrap/>
            <w:hideMark/>
          </w:tcPr>
          <w:p w14:paraId="505DF323"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64 322</w:t>
            </w:r>
          </w:p>
        </w:tc>
        <w:tc>
          <w:tcPr>
            <w:tcW w:w="2289" w:type="dxa"/>
            <w:noWrap/>
            <w:hideMark/>
          </w:tcPr>
          <w:p w14:paraId="3F457595"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68 063</w:t>
            </w:r>
          </w:p>
        </w:tc>
        <w:tc>
          <w:tcPr>
            <w:tcW w:w="2107" w:type="dxa"/>
            <w:noWrap/>
            <w:hideMark/>
          </w:tcPr>
          <w:p w14:paraId="66BCB63C"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59 396</w:t>
            </w:r>
          </w:p>
        </w:tc>
      </w:tr>
      <w:tr w:rsidR="00834B83" w:rsidRPr="005269E6" w14:paraId="36E7943B" w14:textId="77777777" w:rsidTr="005C5B84">
        <w:trPr>
          <w:jc w:val="center"/>
        </w:trPr>
        <w:tc>
          <w:tcPr>
            <w:tcW w:w="3117" w:type="dxa"/>
            <w:noWrap/>
            <w:hideMark/>
          </w:tcPr>
          <w:p w14:paraId="78DD24FC" w14:textId="77777777"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الأموال الخارجة عن الميزانية</w:t>
            </w:r>
          </w:p>
        </w:tc>
        <w:tc>
          <w:tcPr>
            <w:tcW w:w="709" w:type="dxa"/>
            <w:noWrap/>
            <w:hideMark/>
          </w:tcPr>
          <w:p w14:paraId="56E0CA43"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w:t>
            </w:r>
            <w:r w:rsidRPr="005269E6">
              <w:rPr>
                <w:color w:val="000000" w:themeColor="text1"/>
                <w:sz w:val="18"/>
                <w:szCs w:val="18"/>
                <w:rtl/>
                <w:lang w:val="en-GB"/>
              </w:rPr>
              <w:t>.</w:t>
            </w:r>
            <w:r w:rsidRPr="005269E6">
              <w:rPr>
                <w:color w:val="000000" w:themeColor="text1"/>
                <w:sz w:val="18"/>
                <w:szCs w:val="18"/>
                <w:lang w:val="en-GB"/>
              </w:rPr>
              <w:t>12</w:t>
            </w:r>
          </w:p>
        </w:tc>
        <w:tc>
          <w:tcPr>
            <w:tcW w:w="1417" w:type="dxa"/>
            <w:noWrap/>
            <w:hideMark/>
          </w:tcPr>
          <w:p w14:paraId="08BC49C7"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14 036</w:t>
            </w:r>
          </w:p>
        </w:tc>
        <w:tc>
          <w:tcPr>
            <w:tcW w:w="2289" w:type="dxa"/>
            <w:noWrap/>
            <w:hideMark/>
          </w:tcPr>
          <w:p w14:paraId="3A671E2D"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16 621</w:t>
            </w:r>
          </w:p>
        </w:tc>
        <w:tc>
          <w:tcPr>
            <w:tcW w:w="2107" w:type="dxa"/>
            <w:noWrap/>
            <w:hideMark/>
          </w:tcPr>
          <w:p w14:paraId="20FD77BF"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18 391</w:t>
            </w:r>
          </w:p>
        </w:tc>
      </w:tr>
      <w:tr w:rsidR="00834B83" w:rsidRPr="005269E6" w14:paraId="6000E05C" w14:textId="77777777" w:rsidTr="005C5B84">
        <w:trPr>
          <w:jc w:val="center"/>
        </w:trPr>
        <w:tc>
          <w:tcPr>
            <w:tcW w:w="3117" w:type="dxa"/>
            <w:noWrap/>
            <w:hideMark/>
          </w:tcPr>
          <w:p w14:paraId="6D2E7DF6" w14:textId="1FA325BE"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مكاسب/(خسائر) التأمين الصحي بعد انتهاء الخدمة ال</w:t>
            </w:r>
            <w:r w:rsidR="0059394B" w:rsidRPr="005269E6">
              <w:rPr>
                <w:color w:val="000000" w:themeColor="text1"/>
                <w:sz w:val="18"/>
                <w:szCs w:val="18"/>
                <w:rtl/>
                <w:lang w:val="en-GB" w:bidi="ar-SY"/>
              </w:rPr>
              <w:t>إكتواري</w:t>
            </w:r>
            <w:r w:rsidRPr="005269E6">
              <w:rPr>
                <w:color w:val="000000" w:themeColor="text1"/>
                <w:sz w:val="18"/>
                <w:szCs w:val="18"/>
                <w:rtl/>
                <w:lang w:val="en-GB" w:bidi="ar-SY"/>
              </w:rPr>
              <w:t>ة</w:t>
            </w:r>
          </w:p>
        </w:tc>
        <w:tc>
          <w:tcPr>
            <w:tcW w:w="709" w:type="dxa"/>
            <w:noWrap/>
            <w:hideMark/>
          </w:tcPr>
          <w:p w14:paraId="2BA3411A"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18</w:t>
            </w:r>
          </w:p>
        </w:tc>
        <w:tc>
          <w:tcPr>
            <w:tcW w:w="1417" w:type="dxa"/>
            <w:noWrap/>
            <w:hideMark/>
          </w:tcPr>
          <w:p w14:paraId="31054A4E"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51 435</w:t>
            </w:r>
          </w:p>
        </w:tc>
        <w:tc>
          <w:tcPr>
            <w:tcW w:w="2289" w:type="dxa"/>
            <w:noWrap/>
            <w:hideMark/>
          </w:tcPr>
          <w:p w14:paraId="33004D3B"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(164 075)</w:t>
            </w:r>
          </w:p>
        </w:tc>
        <w:tc>
          <w:tcPr>
            <w:tcW w:w="2107" w:type="dxa"/>
            <w:noWrap/>
            <w:hideMark/>
          </w:tcPr>
          <w:p w14:paraId="2D9FA16F"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(267 574)</w:t>
            </w:r>
          </w:p>
        </w:tc>
      </w:tr>
      <w:tr w:rsidR="00834B83" w:rsidRPr="005269E6" w14:paraId="1D5B0A4D" w14:textId="77777777" w:rsidTr="005C5B84">
        <w:trPr>
          <w:jc w:val="center"/>
        </w:trPr>
        <w:tc>
          <w:tcPr>
            <w:tcW w:w="3117" w:type="dxa"/>
            <w:noWrap/>
            <w:hideMark/>
          </w:tcPr>
          <w:p w14:paraId="1CAC1CBD" w14:textId="77777777" w:rsidR="00834B83" w:rsidRPr="005269E6" w:rsidRDefault="00834B83" w:rsidP="005C5B84">
            <w:pPr>
              <w:spacing w:before="40" w:after="40" w:line="240" w:lineRule="exact"/>
              <w:rPr>
                <w:color w:val="000000" w:themeColor="text1"/>
                <w:sz w:val="18"/>
                <w:szCs w:val="18"/>
                <w:lang w:val="en-GB" w:bidi="ar-SY"/>
              </w:rPr>
            </w:pPr>
            <w:r w:rsidRPr="005269E6">
              <w:rPr>
                <w:color w:val="000000" w:themeColor="text1"/>
                <w:sz w:val="18"/>
                <w:szCs w:val="18"/>
                <w:rtl/>
                <w:lang w:val="en-GB" w:bidi="ar-SY"/>
              </w:rPr>
              <w:t>الفوائض/(العُجوزات)</w:t>
            </w:r>
            <w:r w:rsidRPr="005269E6">
              <w:rPr>
                <w:sz w:val="18"/>
                <w:szCs w:val="18"/>
                <w:rtl/>
              </w:rPr>
              <w:t xml:space="preserve"> </w:t>
            </w:r>
            <w:r w:rsidRPr="005269E6">
              <w:rPr>
                <w:color w:val="000000" w:themeColor="text1"/>
                <w:sz w:val="18"/>
                <w:szCs w:val="18"/>
                <w:rtl/>
                <w:lang w:val="en-GB" w:bidi="ar-SY"/>
              </w:rPr>
              <w:t>المتراكمة</w:t>
            </w:r>
          </w:p>
        </w:tc>
        <w:tc>
          <w:tcPr>
            <w:tcW w:w="709" w:type="dxa"/>
            <w:noWrap/>
            <w:hideMark/>
          </w:tcPr>
          <w:p w14:paraId="11D7470B" w14:textId="77777777" w:rsidR="00834B83" w:rsidRPr="005269E6" w:rsidRDefault="00834B83" w:rsidP="0031505F">
            <w:pPr>
              <w:pStyle w:val="Tabletexte"/>
              <w:spacing w:before="40" w:after="40" w:line="240" w:lineRule="exact"/>
              <w:jc w:val="left"/>
              <w:rPr>
                <w:color w:val="000000" w:themeColor="text1"/>
                <w:sz w:val="18"/>
                <w:szCs w:val="18"/>
                <w:lang w:val="en-GB"/>
              </w:rPr>
            </w:pPr>
          </w:p>
        </w:tc>
        <w:tc>
          <w:tcPr>
            <w:tcW w:w="1417" w:type="dxa"/>
            <w:noWrap/>
            <w:hideMark/>
          </w:tcPr>
          <w:p w14:paraId="0ACD364F"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(371 238)</w:t>
            </w:r>
          </w:p>
        </w:tc>
        <w:tc>
          <w:tcPr>
            <w:tcW w:w="2289" w:type="dxa"/>
            <w:noWrap/>
            <w:hideMark/>
          </w:tcPr>
          <w:p w14:paraId="7DA928D9"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(360 781)</w:t>
            </w:r>
          </w:p>
        </w:tc>
        <w:tc>
          <w:tcPr>
            <w:tcW w:w="2107" w:type="dxa"/>
            <w:noWrap/>
            <w:hideMark/>
          </w:tcPr>
          <w:p w14:paraId="5D90F6DB" w14:textId="77777777" w:rsidR="00834B83" w:rsidRPr="005269E6" w:rsidRDefault="00834B83" w:rsidP="0031505F">
            <w:pPr>
              <w:pStyle w:val="Tabletexte"/>
              <w:spacing w:before="40" w:after="40" w:line="240" w:lineRule="exact"/>
              <w:jc w:val="left"/>
              <w:rPr>
                <w:color w:val="000000" w:themeColor="text1"/>
                <w:sz w:val="18"/>
                <w:szCs w:val="18"/>
                <w:lang w:val="en-GB"/>
              </w:rPr>
            </w:pPr>
            <w:r w:rsidRPr="005269E6">
              <w:rPr>
                <w:color w:val="000000" w:themeColor="text1"/>
                <w:sz w:val="18"/>
                <w:szCs w:val="18"/>
                <w:lang w:val="en-GB"/>
              </w:rPr>
              <w:t>(339 631)</w:t>
            </w:r>
          </w:p>
        </w:tc>
      </w:tr>
      <w:tr w:rsidR="00834B83" w:rsidRPr="005269E6" w14:paraId="7050D535" w14:textId="77777777" w:rsidTr="005C5B84">
        <w:trPr>
          <w:jc w:val="center"/>
        </w:trPr>
        <w:tc>
          <w:tcPr>
            <w:tcW w:w="3117" w:type="dxa"/>
            <w:shd w:val="clear" w:color="auto" w:fill="538DD5"/>
            <w:noWrap/>
            <w:hideMark/>
          </w:tcPr>
          <w:p w14:paraId="48A6DE2D" w14:textId="77777777" w:rsidR="00834B83" w:rsidRPr="005269E6" w:rsidRDefault="00834B83" w:rsidP="005C5B84">
            <w:pPr>
              <w:pStyle w:val="Tabletexte"/>
              <w:spacing w:before="40" w:after="40" w:line="240" w:lineRule="exact"/>
              <w:rPr>
                <w:b/>
                <w:bCs/>
                <w:color w:val="000000" w:themeColor="text1"/>
                <w:sz w:val="18"/>
                <w:szCs w:val="18"/>
                <w:lang w:val="en-GB"/>
              </w:rPr>
            </w:pPr>
            <w:r w:rsidRPr="005269E6">
              <w:rPr>
                <w:b/>
                <w:bCs/>
                <w:color w:val="000000" w:themeColor="text1"/>
                <w:sz w:val="18"/>
                <w:szCs w:val="18"/>
                <w:rtl/>
                <w:lang w:val="en-GB"/>
              </w:rPr>
              <w:t>الاحتياطيات وأرصدة الأموال</w:t>
            </w:r>
          </w:p>
        </w:tc>
        <w:tc>
          <w:tcPr>
            <w:tcW w:w="709" w:type="dxa"/>
            <w:shd w:val="clear" w:color="auto" w:fill="538DD5"/>
            <w:noWrap/>
            <w:hideMark/>
          </w:tcPr>
          <w:p w14:paraId="44A632A6" w14:textId="77777777" w:rsidR="00834B83" w:rsidRPr="005269E6" w:rsidRDefault="00834B83" w:rsidP="0031505F">
            <w:pPr>
              <w:pStyle w:val="Tabletexte"/>
              <w:spacing w:before="40" w:after="40" w:line="240" w:lineRule="exact"/>
              <w:jc w:val="left"/>
              <w:rPr>
                <w:b/>
                <w:bCs/>
                <w:color w:val="000000" w:themeColor="text1"/>
                <w:sz w:val="18"/>
                <w:szCs w:val="18"/>
                <w:lang w:val="en-GB"/>
              </w:rPr>
            </w:pPr>
          </w:p>
        </w:tc>
        <w:tc>
          <w:tcPr>
            <w:tcW w:w="1417" w:type="dxa"/>
            <w:shd w:val="clear" w:color="auto" w:fill="538DD5"/>
            <w:noWrap/>
            <w:hideMark/>
          </w:tcPr>
          <w:p w14:paraId="36F1DD07"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(213 057)</w:t>
            </w:r>
          </w:p>
        </w:tc>
        <w:tc>
          <w:tcPr>
            <w:tcW w:w="2289" w:type="dxa"/>
            <w:shd w:val="clear" w:color="auto" w:fill="538DD5"/>
            <w:noWrap/>
            <w:hideMark/>
          </w:tcPr>
          <w:p w14:paraId="77B91D65"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(410 786)</w:t>
            </w:r>
          </w:p>
        </w:tc>
        <w:tc>
          <w:tcPr>
            <w:tcW w:w="2107" w:type="dxa"/>
            <w:shd w:val="clear" w:color="auto" w:fill="538DD5"/>
            <w:noWrap/>
            <w:hideMark/>
          </w:tcPr>
          <w:p w14:paraId="13A9B351" w14:textId="77777777" w:rsidR="00834B83" w:rsidRPr="005269E6" w:rsidRDefault="00834B83" w:rsidP="0031505F">
            <w:pPr>
              <w:pStyle w:val="Tabletexte"/>
              <w:spacing w:before="40" w:after="40" w:line="240" w:lineRule="exact"/>
              <w:jc w:val="left"/>
              <w:rPr>
                <w:b/>
                <w:bCs/>
                <w:color w:val="000000" w:themeColor="text1"/>
                <w:sz w:val="18"/>
                <w:szCs w:val="18"/>
                <w:lang w:val="en-GB"/>
              </w:rPr>
            </w:pPr>
            <w:r w:rsidRPr="005269E6">
              <w:rPr>
                <w:b/>
                <w:bCs/>
                <w:color w:val="000000" w:themeColor="text1"/>
                <w:sz w:val="18"/>
                <w:szCs w:val="18"/>
                <w:lang w:val="en-GB"/>
              </w:rPr>
              <w:t>(500 074)</w:t>
            </w:r>
          </w:p>
        </w:tc>
      </w:tr>
    </w:tbl>
    <w:p w14:paraId="68104797" w14:textId="77777777" w:rsidR="00834B83" w:rsidRPr="005269E6" w:rsidRDefault="00834B83" w:rsidP="00834B83">
      <w:pPr>
        <w:rPr>
          <w:i/>
          <w:iCs/>
          <w:lang w:val="en" w:bidi="ar-SY"/>
        </w:rPr>
      </w:pPr>
      <w:r w:rsidRPr="005269E6">
        <w:rPr>
          <w:i/>
          <w:iCs/>
          <w:rtl/>
          <w:lang w:bidi="ar"/>
        </w:rPr>
        <w:t>تشكل</w:t>
      </w:r>
      <w:r w:rsidRPr="005269E6">
        <w:rPr>
          <w:i/>
          <w:iCs/>
          <w:lang w:val="en" w:bidi="ar-SY"/>
        </w:rPr>
        <w:t xml:space="preserve"> </w:t>
      </w:r>
      <w:r w:rsidRPr="005269E6">
        <w:rPr>
          <w:i/>
          <w:iCs/>
          <w:rtl/>
          <w:lang w:bidi="ar"/>
        </w:rPr>
        <w:t>الملاحظات</w:t>
      </w:r>
      <w:r w:rsidRPr="005269E6">
        <w:rPr>
          <w:i/>
          <w:iCs/>
          <w:lang w:val="en" w:bidi="ar-SY"/>
        </w:rPr>
        <w:t xml:space="preserve"> </w:t>
      </w:r>
      <w:r w:rsidRPr="005269E6">
        <w:rPr>
          <w:i/>
          <w:iCs/>
          <w:rtl/>
          <w:lang w:bidi="ar"/>
        </w:rPr>
        <w:t>المرفقة</w:t>
      </w:r>
      <w:r w:rsidRPr="005269E6">
        <w:rPr>
          <w:i/>
          <w:iCs/>
          <w:lang w:val="en" w:bidi="ar-SY"/>
        </w:rPr>
        <w:t xml:space="preserve"> </w:t>
      </w:r>
      <w:r w:rsidRPr="005269E6">
        <w:rPr>
          <w:i/>
          <w:iCs/>
          <w:rtl/>
          <w:lang w:bidi="ar"/>
        </w:rPr>
        <w:t>جزءا</w:t>
      </w:r>
      <w:r w:rsidRPr="005269E6">
        <w:rPr>
          <w:i/>
          <w:iCs/>
          <w:lang w:val="en" w:bidi="ar-SY"/>
        </w:rPr>
        <w:t xml:space="preserve"> </w:t>
      </w:r>
      <w:r w:rsidRPr="005269E6">
        <w:rPr>
          <w:i/>
          <w:iCs/>
          <w:rtl/>
          <w:lang w:bidi="ar-EG"/>
        </w:rPr>
        <w:t xml:space="preserve">أساسياً </w:t>
      </w:r>
      <w:r w:rsidRPr="005269E6">
        <w:rPr>
          <w:i/>
          <w:iCs/>
          <w:rtl/>
          <w:lang w:bidi="ar"/>
        </w:rPr>
        <w:t>من</w:t>
      </w:r>
      <w:r w:rsidRPr="005269E6">
        <w:rPr>
          <w:i/>
          <w:iCs/>
          <w:lang w:val="en" w:bidi="ar-SY"/>
        </w:rPr>
        <w:t xml:space="preserve"> </w:t>
      </w:r>
      <w:r w:rsidRPr="005269E6">
        <w:rPr>
          <w:i/>
          <w:iCs/>
          <w:rtl/>
          <w:lang w:bidi="ar"/>
        </w:rPr>
        <w:t>هذه</w:t>
      </w:r>
      <w:r w:rsidRPr="005269E6">
        <w:rPr>
          <w:i/>
          <w:iCs/>
          <w:lang w:val="en" w:bidi="ar-SY"/>
        </w:rPr>
        <w:t xml:space="preserve"> </w:t>
      </w:r>
      <w:r w:rsidRPr="005269E6">
        <w:rPr>
          <w:i/>
          <w:iCs/>
          <w:rtl/>
          <w:lang w:bidi="ar"/>
        </w:rPr>
        <w:t>البيانات</w:t>
      </w:r>
      <w:r w:rsidRPr="005269E6">
        <w:rPr>
          <w:i/>
          <w:iCs/>
          <w:lang w:val="en" w:bidi="ar-SY"/>
        </w:rPr>
        <w:t xml:space="preserve"> </w:t>
      </w:r>
      <w:r w:rsidRPr="005269E6">
        <w:rPr>
          <w:i/>
          <w:iCs/>
          <w:rtl/>
          <w:lang w:bidi="ar"/>
        </w:rPr>
        <w:t>المالية</w:t>
      </w:r>
      <w:r w:rsidRPr="005269E6">
        <w:rPr>
          <w:i/>
          <w:iCs/>
          <w:lang w:val="en" w:bidi="ar-SY"/>
        </w:rPr>
        <w:t>.</w:t>
      </w:r>
    </w:p>
    <w:p w14:paraId="53975714" w14:textId="77777777" w:rsidR="00834B83" w:rsidRPr="005269E6" w:rsidRDefault="00834B83" w:rsidP="00834B83">
      <w:pPr>
        <w:rPr>
          <w:i/>
          <w:iCs/>
          <w:lang w:bidi="ar-SY"/>
        </w:rPr>
      </w:pPr>
      <w:r w:rsidRPr="005269E6">
        <w:rPr>
          <w:i/>
          <w:iCs/>
          <w:rtl/>
          <w:lang w:bidi="ar-SY"/>
        </w:rPr>
        <w:t>ويرجى الرجوع إلى الملاحظة 30 للاطلاع على تفاصيل عن فترة المقارنة المعاد بيانها.</w:t>
      </w:r>
    </w:p>
    <w:p w14:paraId="6FF47154" w14:textId="77777777" w:rsidR="00834B83" w:rsidRPr="005269E6" w:rsidRDefault="00834B83" w:rsidP="00834B83">
      <w:pPr>
        <w:tabs>
          <w:tab w:val="clear" w:pos="794"/>
        </w:tabs>
        <w:spacing w:before="0" w:after="160" w:line="259" w:lineRule="auto"/>
        <w:jc w:val="left"/>
        <w:rPr>
          <w:i/>
          <w:iCs/>
          <w:lang w:bidi="ar-SY"/>
        </w:rPr>
      </w:pPr>
      <w:r w:rsidRPr="005269E6">
        <w:rPr>
          <w:i/>
          <w:iCs/>
          <w:lang w:bidi="ar-SY"/>
        </w:rPr>
        <w:br w:type="page"/>
      </w:r>
    </w:p>
    <w:p w14:paraId="0FACA645" w14:textId="77777777" w:rsidR="00834B83" w:rsidRPr="005269E6" w:rsidRDefault="00834B83" w:rsidP="00696AA6">
      <w:pPr>
        <w:pStyle w:val="Heading5"/>
      </w:pPr>
      <w:bookmarkStart w:id="69" w:name="_Toc162520614"/>
      <w:r w:rsidRPr="005269E6">
        <w:rPr>
          <w:rtl/>
        </w:rPr>
        <w:lastRenderedPageBreak/>
        <w:t xml:space="preserve">البيان الثاني: </w:t>
      </w:r>
      <w:bookmarkStart w:id="70" w:name="_Hlk161065966"/>
      <w:r w:rsidRPr="005269E6">
        <w:rPr>
          <w:rtl/>
        </w:rPr>
        <w:t>بيان الأداء المالي</w:t>
      </w:r>
      <w:bookmarkEnd w:id="70"/>
      <w:bookmarkEnd w:id="69"/>
    </w:p>
    <w:p w14:paraId="6D735731" w14:textId="77777777" w:rsidR="00834B83" w:rsidRPr="005269E6" w:rsidRDefault="00834B83" w:rsidP="00834B83">
      <w:pPr>
        <w:rPr>
          <w:rtl/>
          <w:lang w:bidi="ar-SY"/>
        </w:rPr>
      </w:pPr>
      <w:bookmarkStart w:id="71" w:name="_Hlk161065984"/>
      <w:r w:rsidRPr="005269E6">
        <w:rPr>
          <w:rtl/>
          <w:lang w:bidi="ar-SY"/>
        </w:rPr>
        <w:t xml:space="preserve">للسنة المنتهية في 31 ديسمبر </w:t>
      </w:r>
      <w:bookmarkEnd w:id="71"/>
      <w:r w:rsidRPr="005269E6">
        <w:rPr>
          <w:rtl/>
          <w:lang w:bidi="ar-SY"/>
        </w:rPr>
        <w:t>2022</w:t>
      </w:r>
    </w:p>
    <w:p w14:paraId="7CE4E07E" w14:textId="77777777" w:rsidR="00834B83" w:rsidRPr="005269E6" w:rsidRDefault="00834B83" w:rsidP="0024641A">
      <w:pPr>
        <w:spacing w:after="120"/>
        <w:rPr>
          <w:lang w:bidi="ar-SY"/>
        </w:rPr>
      </w:pPr>
      <w:r w:rsidRPr="005269E6">
        <w:rPr>
          <w:rtl/>
          <w:lang w:bidi="ar-SY"/>
        </w:rPr>
        <w:t>(بآلاف الفرنكات السويسرية)</w:t>
      </w:r>
    </w:p>
    <w:tbl>
      <w:tblPr>
        <w:bidiVisual/>
        <w:tblW w:w="5000" w:type="pct"/>
        <w:jc w:val="center"/>
        <w:tblCellMar>
          <w:left w:w="28" w:type="dxa"/>
          <w:right w:w="28" w:type="dxa"/>
        </w:tblCellMar>
        <w:tblLook w:val="04A0" w:firstRow="1" w:lastRow="0" w:firstColumn="1" w:lastColumn="0" w:noHBand="0" w:noVBand="1"/>
      </w:tblPr>
      <w:tblGrid>
        <w:gridCol w:w="4739"/>
        <w:gridCol w:w="906"/>
        <w:gridCol w:w="1756"/>
        <w:gridCol w:w="2238"/>
      </w:tblGrid>
      <w:tr w:rsidR="00834B83" w:rsidRPr="005269E6" w14:paraId="225BD523" w14:textId="77777777" w:rsidTr="005C5B84">
        <w:trPr>
          <w:jc w:val="center"/>
        </w:trPr>
        <w:tc>
          <w:tcPr>
            <w:tcW w:w="0" w:type="auto"/>
            <w:tcBorders>
              <w:top w:val="nil"/>
              <w:left w:val="nil"/>
              <w:bottom w:val="nil"/>
              <w:right w:val="nil"/>
            </w:tcBorders>
            <w:shd w:val="clear" w:color="000000" w:fill="538DD5"/>
            <w:noWrap/>
            <w:hideMark/>
          </w:tcPr>
          <w:p w14:paraId="73853EFA" w14:textId="77777777" w:rsidR="00834B83" w:rsidRPr="005269E6" w:rsidRDefault="00834B83" w:rsidP="0024641A">
            <w:pPr>
              <w:pStyle w:val="TableHead"/>
              <w:spacing w:before="40" w:after="40" w:line="280" w:lineRule="exact"/>
              <w:rPr>
                <w:sz w:val="18"/>
                <w:szCs w:val="18"/>
                <w:lang w:val="en-GB" w:eastAsia="en-GB"/>
              </w:rPr>
            </w:pPr>
            <w:r w:rsidRPr="005269E6">
              <w:rPr>
                <w:sz w:val="18"/>
                <w:szCs w:val="18"/>
                <w:rtl/>
              </w:rPr>
              <w:t>وصف</w:t>
            </w:r>
          </w:p>
        </w:tc>
        <w:tc>
          <w:tcPr>
            <w:tcW w:w="470" w:type="pct"/>
            <w:tcBorders>
              <w:top w:val="nil"/>
              <w:left w:val="nil"/>
              <w:bottom w:val="nil"/>
              <w:right w:val="nil"/>
            </w:tcBorders>
            <w:shd w:val="clear" w:color="000000" w:fill="538DD5"/>
            <w:hideMark/>
          </w:tcPr>
          <w:p w14:paraId="59CDEABD" w14:textId="77777777" w:rsidR="00834B83" w:rsidRPr="005269E6" w:rsidRDefault="00834B83" w:rsidP="0024641A">
            <w:pPr>
              <w:pStyle w:val="TableHead"/>
              <w:spacing w:before="40" w:after="40" w:line="280" w:lineRule="exact"/>
              <w:rPr>
                <w:sz w:val="18"/>
                <w:szCs w:val="18"/>
                <w:lang w:val="en-GB" w:eastAsia="en-GB"/>
              </w:rPr>
            </w:pPr>
            <w:r w:rsidRPr="005269E6">
              <w:rPr>
                <w:sz w:val="18"/>
                <w:szCs w:val="18"/>
                <w:rtl/>
              </w:rPr>
              <w:t>ملاحظات</w:t>
            </w:r>
          </w:p>
        </w:tc>
        <w:tc>
          <w:tcPr>
            <w:tcW w:w="911" w:type="pct"/>
            <w:tcBorders>
              <w:top w:val="nil"/>
              <w:left w:val="nil"/>
              <w:bottom w:val="nil"/>
              <w:right w:val="nil"/>
            </w:tcBorders>
            <w:shd w:val="clear" w:color="000000" w:fill="538DD5"/>
            <w:hideMark/>
          </w:tcPr>
          <w:p w14:paraId="4BB3407B" w14:textId="77777777" w:rsidR="00834B83" w:rsidRPr="005269E6" w:rsidRDefault="00834B83" w:rsidP="0024641A">
            <w:pPr>
              <w:pStyle w:val="TableHead"/>
              <w:spacing w:before="40" w:after="40" w:line="280" w:lineRule="exact"/>
              <w:rPr>
                <w:sz w:val="18"/>
                <w:szCs w:val="18"/>
                <w:lang w:val="en-GB" w:eastAsia="en-GB"/>
              </w:rPr>
            </w:pPr>
            <w:r w:rsidRPr="005269E6">
              <w:rPr>
                <w:sz w:val="18"/>
                <w:szCs w:val="18"/>
              </w:rPr>
              <w:t xml:space="preserve">31 </w:t>
            </w:r>
            <w:r w:rsidRPr="005269E6">
              <w:rPr>
                <w:sz w:val="18"/>
                <w:szCs w:val="18"/>
                <w:rtl/>
              </w:rPr>
              <w:t>ديسمبر 2022</w:t>
            </w:r>
          </w:p>
        </w:tc>
        <w:tc>
          <w:tcPr>
            <w:tcW w:w="1161" w:type="pct"/>
            <w:tcBorders>
              <w:top w:val="nil"/>
              <w:left w:val="nil"/>
              <w:bottom w:val="nil"/>
              <w:right w:val="nil"/>
            </w:tcBorders>
            <w:shd w:val="clear" w:color="000000" w:fill="538DD5"/>
            <w:hideMark/>
          </w:tcPr>
          <w:p w14:paraId="36BD9722" w14:textId="77777777" w:rsidR="00834B83" w:rsidRPr="005269E6" w:rsidRDefault="00834B83" w:rsidP="0024641A">
            <w:pPr>
              <w:pStyle w:val="TableHead"/>
              <w:spacing w:before="40" w:after="40" w:line="280" w:lineRule="exact"/>
              <w:rPr>
                <w:sz w:val="18"/>
                <w:szCs w:val="18"/>
                <w:lang w:val="en-GB" w:eastAsia="en-GB"/>
              </w:rPr>
            </w:pPr>
            <w:r w:rsidRPr="005269E6">
              <w:rPr>
                <w:sz w:val="18"/>
                <w:szCs w:val="18"/>
              </w:rPr>
              <w:t xml:space="preserve">31 </w:t>
            </w:r>
            <w:r w:rsidRPr="005269E6">
              <w:rPr>
                <w:sz w:val="18"/>
                <w:szCs w:val="18"/>
                <w:rtl/>
              </w:rPr>
              <w:t>ديسمبر 2021</w:t>
            </w:r>
            <w:r w:rsidRPr="005269E6">
              <w:rPr>
                <w:sz w:val="18"/>
                <w:szCs w:val="18"/>
                <w:rtl/>
              </w:rPr>
              <w:br/>
              <w:t>(المعاد بيانه)</w:t>
            </w:r>
          </w:p>
        </w:tc>
      </w:tr>
      <w:tr w:rsidR="00834B83" w:rsidRPr="005269E6" w14:paraId="79AE9B73" w14:textId="77777777" w:rsidTr="005C5B84">
        <w:trPr>
          <w:trHeight w:val="150"/>
          <w:jc w:val="center"/>
        </w:trPr>
        <w:tc>
          <w:tcPr>
            <w:tcW w:w="0" w:type="auto"/>
            <w:tcBorders>
              <w:top w:val="nil"/>
              <w:left w:val="nil"/>
              <w:bottom w:val="nil"/>
              <w:right w:val="nil"/>
            </w:tcBorders>
            <w:shd w:val="clear" w:color="auto" w:fill="auto"/>
            <w:noWrap/>
            <w:vAlign w:val="bottom"/>
            <w:hideMark/>
          </w:tcPr>
          <w:p w14:paraId="380C54C4" w14:textId="77777777" w:rsidR="00834B83" w:rsidRPr="005269E6" w:rsidRDefault="00834B83" w:rsidP="005C5B84">
            <w:pPr>
              <w:pStyle w:val="Tabletexte"/>
              <w:spacing w:before="40" w:after="40" w:line="240" w:lineRule="exact"/>
              <w:rPr>
                <w:sz w:val="18"/>
                <w:szCs w:val="18"/>
                <w:lang w:val="en-GB" w:eastAsia="en-GB"/>
              </w:rPr>
            </w:pPr>
          </w:p>
        </w:tc>
        <w:tc>
          <w:tcPr>
            <w:tcW w:w="470" w:type="pct"/>
            <w:tcBorders>
              <w:top w:val="nil"/>
              <w:left w:val="nil"/>
              <w:bottom w:val="nil"/>
              <w:right w:val="nil"/>
            </w:tcBorders>
            <w:shd w:val="clear" w:color="auto" w:fill="auto"/>
            <w:hideMark/>
          </w:tcPr>
          <w:p w14:paraId="4C1CADC2" w14:textId="77777777" w:rsidR="00834B83" w:rsidRPr="005269E6" w:rsidRDefault="00834B83" w:rsidP="005C5B84">
            <w:pPr>
              <w:pStyle w:val="Tabletexte"/>
              <w:spacing w:before="40" w:after="40" w:line="240" w:lineRule="exact"/>
              <w:jc w:val="center"/>
              <w:rPr>
                <w:sz w:val="18"/>
                <w:szCs w:val="18"/>
                <w:lang w:val="en-GB" w:eastAsia="en-GB"/>
              </w:rPr>
            </w:pPr>
          </w:p>
        </w:tc>
        <w:tc>
          <w:tcPr>
            <w:tcW w:w="911" w:type="pct"/>
            <w:tcBorders>
              <w:top w:val="nil"/>
              <w:left w:val="nil"/>
              <w:bottom w:val="nil"/>
              <w:right w:val="nil"/>
            </w:tcBorders>
            <w:shd w:val="clear" w:color="auto" w:fill="auto"/>
            <w:hideMark/>
          </w:tcPr>
          <w:p w14:paraId="0342BB0E" w14:textId="77777777" w:rsidR="00834B83" w:rsidRPr="005269E6" w:rsidRDefault="00834B83" w:rsidP="005C5B84">
            <w:pPr>
              <w:pStyle w:val="Tabletexte"/>
              <w:spacing w:before="40" w:after="40" w:line="240" w:lineRule="exact"/>
              <w:jc w:val="right"/>
              <w:rPr>
                <w:sz w:val="18"/>
                <w:szCs w:val="18"/>
                <w:lang w:val="en-GB" w:eastAsia="en-GB"/>
              </w:rPr>
            </w:pPr>
          </w:p>
        </w:tc>
        <w:tc>
          <w:tcPr>
            <w:tcW w:w="1161" w:type="pct"/>
            <w:tcBorders>
              <w:top w:val="nil"/>
              <w:left w:val="nil"/>
              <w:bottom w:val="nil"/>
              <w:right w:val="nil"/>
            </w:tcBorders>
            <w:shd w:val="clear" w:color="auto" w:fill="auto"/>
            <w:hideMark/>
          </w:tcPr>
          <w:p w14:paraId="320EB7D1" w14:textId="77777777" w:rsidR="00834B83" w:rsidRPr="005269E6" w:rsidRDefault="00834B83" w:rsidP="005C5B84">
            <w:pPr>
              <w:pStyle w:val="Tabletexte"/>
              <w:spacing w:before="40" w:after="40" w:line="240" w:lineRule="exact"/>
              <w:jc w:val="right"/>
              <w:rPr>
                <w:sz w:val="18"/>
                <w:szCs w:val="18"/>
                <w:lang w:val="en-GB" w:eastAsia="en-GB"/>
              </w:rPr>
            </w:pPr>
          </w:p>
        </w:tc>
      </w:tr>
      <w:tr w:rsidR="00834B83" w:rsidRPr="005269E6" w14:paraId="28E5B846" w14:textId="77777777" w:rsidTr="005C5B84">
        <w:trPr>
          <w:trHeight w:val="255"/>
          <w:jc w:val="center"/>
        </w:trPr>
        <w:tc>
          <w:tcPr>
            <w:tcW w:w="0" w:type="auto"/>
            <w:tcBorders>
              <w:top w:val="nil"/>
              <w:left w:val="nil"/>
              <w:bottom w:val="nil"/>
              <w:right w:val="nil"/>
            </w:tcBorders>
            <w:shd w:val="clear" w:color="auto" w:fill="auto"/>
            <w:noWrap/>
            <w:hideMark/>
          </w:tcPr>
          <w:p w14:paraId="3A8E8968" w14:textId="77777777" w:rsidR="00834B83" w:rsidRPr="005269E6" w:rsidRDefault="00834B83" w:rsidP="005C5B84">
            <w:pPr>
              <w:pStyle w:val="Tabletexte"/>
              <w:spacing w:before="40" w:after="40" w:line="240" w:lineRule="exact"/>
              <w:rPr>
                <w:b/>
                <w:bCs/>
                <w:sz w:val="18"/>
                <w:szCs w:val="18"/>
                <w:lang w:val="en-GB" w:eastAsia="en-GB"/>
              </w:rPr>
            </w:pPr>
            <w:r w:rsidRPr="005269E6">
              <w:rPr>
                <w:b/>
                <w:bCs/>
                <w:sz w:val="18"/>
                <w:szCs w:val="18"/>
                <w:rtl/>
                <w:lang w:val="en-GB" w:eastAsia="en-GB"/>
              </w:rPr>
              <w:t>الإيرادات</w:t>
            </w:r>
          </w:p>
        </w:tc>
        <w:tc>
          <w:tcPr>
            <w:tcW w:w="470" w:type="pct"/>
            <w:tcBorders>
              <w:top w:val="nil"/>
              <w:left w:val="nil"/>
              <w:bottom w:val="nil"/>
              <w:right w:val="nil"/>
            </w:tcBorders>
            <w:shd w:val="clear" w:color="auto" w:fill="auto"/>
            <w:noWrap/>
            <w:hideMark/>
          </w:tcPr>
          <w:p w14:paraId="093A33BA"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22</w:t>
            </w:r>
          </w:p>
        </w:tc>
        <w:tc>
          <w:tcPr>
            <w:tcW w:w="911" w:type="pct"/>
            <w:tcBorders>
              <w:top w:val="nil"/>
              <w:left w:val="nil"/>
              <w:bottom w:val="nil"/>
              <w:right w:val="nil"/>
            </w:tcBorders>
            <w:shd w:val="clear" w:color="auto" w:fill="auto"/>
            <w:noWrap/>
            <w:hideMark/>
          </w:tcPr>
          <w:p w14:paraId="18DF0AFD" w14:textId="77777777" w:rsidR="00834B83" w:rsidRPr="005269E6" w:rsidRDefault="00834B83" w:rsidP="0031505F">
            <w:pPr>
              <w:pStyle w:val="Tabletexte"/>
              <w:spacing w:before="40" w:after="40" w:line="240" w:lineRule="exact"/>
              <w:jc w:val="left"/>
              <w:rPr>
                <w:sz w:val="18"/>
                <w:szCs w:val="18"/>
                <w:lang w:val="en-GB" w:eastAsia="en-GB"/>
              </w:rPr>
            </w:pPr>
          </w:p>
        </w:tc>
        <w:tc>
          <w:tcPr>
            <w:tcW w:w="1161" w:type="pct"/>
            <w:tcBorders>
              <w:top w:val="nil"/>
              <w:left w:val="nil"/>
              <w:bottom w:val="nil"/>
              <w:right w:val="nil"/>
            </w:tcBorders>
            <w:shd w:val="clear" w:color="auto" w:fill="auto"/>
            <w:noWrap/>
            <w:hideMark/>
          </w:tcPr>
          <w:p w14:paraId="3FB54A07"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3FF83ED9" w14:textId="77777777" w:rsidTr="005C5B84">
        <w:trPr>
          <w:trHeight w:val="150"/>
          <w:jc w:val="center"/>
        </w:trPr>
        <w:tc>
          <w:tcPr>
            <w:tcW w:w="0" w:type="auto"/>
            <w:tcBorders>
              <w:top w:val="nil"/>
              <w:left w:val="nil"/>
              <w:bottom w:val="nil"/>
              <w:right w:val="nil"/>
            </w:tcBorders>
            <w:shd w:val="clear" w:color="auto" w:fill="auto"/>
            <w:noWrap/>
            <w:hideMark/>
          </w:tcPr>
          <w:p w14:paraId="0FDB2515" w14:textId="77777777" w:rsidR="00834B83" w:rsidRPr="005269E6" w:rsidRDefault="00834B83" w:rsidP="005C5B84">
            <w:pPr>
              <w:pStyle w:val="Tabletexte"/>
              <w:spacing w:before="40" w:after="40" w:line="240" w:lineRule="exact"/>
              <w:rPr>
                <w:sz w:val="18"/>
                <w:szCs w:val="18"/>
                <w:lang w:val="en-GB" w:eastAsia="en-GB"/>
              </w:rPr>
            </w:pPr>
          </w:p>
        </w:tc>
        <w:tc>
          <w:tcPr>
            <w:tcW w:w="470" w:type="pct"/>
            <w:tcBorders>
              <w:top w:val="nil"/>
              <w:left w:val="nil"/>
              <w:bottom w:val="nil"/>
              <w:right w:val="nil"/>
            </w:tcBorders>
            <w:shd w:val="clear" w:color="auto" w:fill="auto"/>
            <w:noWrap/>
            <w:hideMark/>
          </w:tcPr>
          <w:p w14:paraId="652A4D53"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hideMark/>
          </w:tcPr>
          <w:p w14:paraId="22E559EC" w14:textId="77777777" w:rsidR="00834B83" w:rsidRPr="005269E6" w:rsidRDefault="00834B83" w:rsidP="0031505F">
            <w:pPr>
              <w:pStyle w:val="Tabletexte"/>
              <w:spacing w:before="40" w:after="40" w:line="240" w:lineRule="exact"/>
              <w:jc w:val="left"/>
              <w:rPr>
                <w:sz w:val="18"/>
                <w:szCs w:val="18"/>
                <w:lang w:val="en-GB" w:eastAsia="en-GB"/>
              </w:rPr>
            </w:pPr>
          </w:p>
        </w:tc>
        <w:tc>
          <w:tcPr>
            <w:tcW w:w="1161" w:type="pct"/>
            <w:tcBorders>
              <w:top w:val="nil"/>
              <w:left w:val="nil"/>
              <w:bottom w:val="nil"/>
              <w:right w:val="nil"/>
            </w:tcBorders>
            <w:shd w:val="clear" w:color="auto" w:fill="auto"/>
            <w:noWrap/>
            <w:hideMark/>
          </w:tcPr>
          <w:p w14:paraId="53B7745F"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5C27C0B6" w14:textId="77777777" w:rsidTr="005C5B84">
        <w:trPr>
          <w:trHeight w:val="255"/>
          <w:jc w:val="center"/>
        </w:trPr>
        <w:tc>
          <w:tcPr>
            <w:tcW w:w="0" w:type="auto"/>
            <w:tcBorders>
              <w:top w:val="nil"/>
              <w:left w:val="nil"/>
              <w:bottom w:val="nil"/>
              <w:right w:val="nil"/>
            </w:tcBorders>
            <w:shd w:val="clear" w:color="auto" w:fill="auto"/>
            <w:noWrap/>
            <w:vAlign w:val="bottom"/>
            <w:hideMark/>
          </w:tcPr>
          <w:p w14:paraId="318FD89C"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rPr>
              <w:t>المساهمات المقررة</w:t>
            </w:r>
          </w:p>
        </w:tc>
        <w:tc>
          <w:tcPr>
            <w:tcW w:w="470" w:type="pct"/>
            <w:tcBorders>
              <w:top w:val="nil"/>
              <w:left w:val="nil"/>
              <w:bottom w:val="nil"/>
              <w:right w:val="nil"/>
            </w:tcBorders>
            <w:shd w:val="clear" w:color="auto" w:fill="auto"/>
            <w:noWrap/>
            <w:hideMark/>
          </w:tcPr>
          <w:p w14:paraId="7675A0FA"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vAlign w:val="bottom"/>
            <w:hideMark/>
          </w:tcPr>
          <w:p w14:paraId="19AD7B87"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127 613</w:t>
            </w:r>
          </w:p>
        </w:tc>
        <w:tc>
          <w:tcPr>
            <w:tcW w:w="1161" w:type="pct"/>
            <w:tcBorders>
              <w:top w:val="nil"/>
              <w:left w:val="nil"/>
              <w:bottom w:val="nil"/>
              <w:right w:val="nil"/>
            </w:tcBorders>
            <w:shd w:val="clear" w:color="auto" w:fill="auto"/>
            <w:noWrap/>
            <w:vAlign w:val="bottom"/>
            <w:hideMark/>
          </w:tcPr>
          <w:p w14:paraId="2F68A251"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125 611</w:t>
            </w:r>
          </w:p>
        </w:tc>
      </w:tr>
      <w:tr w:rsidR="00834B83" w:rsidRPr="005269E6" w14:paraId="644F8444" w14:textId="77777777" w:rsidTr="005C5B84">
        <w:trPr>
          <w:trHeight w:val="255"/>
          <w:jc w:val="center"/>
        </w:trPr>
        <w:tc>
          <w:tcPr>
            <w:tcW w:w="0" w:type="auto"/>
            <w:tcBorders>
              <w:top w:val="nil"/>
              <w:left w:val="nil"/>
              <w:bottom w:val="nil"/>
              <w:right w:val="nil"/>
            </w:tcBorders>
            <w:shd w:val="clear" w:color="auto" w:fill="auto"/>
            <w:noWrap/>
            <w:vAlign w:val="bottom"/>
            <w:hideMark/>
          </w:tcPr>
          <w:p w14:paraId="7C18E44C"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rPr>
              <w:t>المساهمات الخارجة عن الميزانية</w:t>
            </w:r>
          </w:p>
        </w:tc>
        <w:tc>
          <w:tcPr>
            <w:tcW w:w="470" w:type="pct"/>
            <w:tcBorders>
              <w:top w:val="nil"/>
              <w:left w:val="nil"/>
              <w:bottom w:val="nil"/>
              <w:right w:val="nil"/>
            </w:tcBorders>
            <w:shd w:val="clear" w:color="auto" w:fill="auto"/>
            <w:noWrap/>
            <w:hideMark/>
          </w:tcPr>
          <w:p w14:paraId="61FB442C"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vAlign w:val="bottom"/>
            <w:hideMark/>
          </w:tcPr>
          <w:p w14:paraId="7F7342E4"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17 965</w:t>
            </w:r>
          </w:p>
        </w:tc>
        <w:tc>
          <w:tcPr>
            <w:tcW w:w="1161" w:type="pct"/>
            <w:tcBorders>
              <w:top w:val="nil"/>
              <w:left w:val="nil"/>
              <w:bottom w:val="nil"/>
              <w:right w:val="nil"/>
            </w:tcBorders>
            <w:shd w:val="clear" w:color="auto" w:fill="auto"/>
            <w:noWrap/>
            <w:vAlign w:val="bottom"/>
            <w:hideMark/>
          </w:tcPr>
          <w:p w14:paraId="03DA2F26"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14 123</w:t>
            </w:r>
          </w:p>
        </w:tc>
      </w:tr>
      <w:tr w:rsidR="00834B83" w:rsidRPr="005269E6" w14:paraId="601D00C4" w14:textId="77777777" w:rsidTr="005C5B84">
        <w:trPr>
          <w:trHeight w:val="255"/>
          <w:jc w:val="center"/>
        </w:trPr>
        <w:tc>
          <w:tcPr>
            <w:tcW w:w="0" w:type="auto"/>
            <w:tcBorders>
              <w:top w:val="nil"/>
              <w:left w:val="nil"/>
              <w:bottom w:val="nil"/>
              <w:right w:val="nil"/>
            </w:tcBorders>
            <w:shd w:val="clear" w:color="auto" w:fill="auto"/>
            <w:noWrap/>
            <w:hideMark/>
          </w:tcPr>
          <w:p w14:paraId="59921F22" w14:textId="77777777" w:rsidR="00834B83" w:rsidRPr="005269E6" w:rsidRDefault="00834B83" w:rsidP="005C5B84">
            <w:pPr>
              <w:spacing w:before="40" w:after="40" w:line="240" w:lineRule="exact"/>
              <w:rPr>
                <w:sz w:val="18"/>
                <w:szCs w:val="18"/>
                <w:lang w:val="en-GB" w:eastAsia="en-GB" w:bidi="ar-SY"/>
              </w:rPr>
            </w:pPr>
            <w:r w:rsidRPr="005269E6">
              <w:rPr>
                <w:sz w:val="18"/>
                <w:szCs w:val="18"/>
                <w:rtl/>
                <w:lang w:val="en-GB" w:eastAsia="en-GB" w:bidi="ar-SY"/>
              </w:rPr>
              <w:t>إيرادات التشغيل الأخرى</w:t>
            </w:r>
          </w:p>
        </w:tc>
        <w:tc>
          <w:tcPr>
            <w:tcW w:w="470" w:type="pct"/>
            <w:tcBorders>
              <w:top w:val="nil"/>
              <w:left w:val="nil"/>
              <w:bottom w:val="nil"/>
              <w:right w:val="nil"/>
            </w:tcBorders>
            <w:shd w:val="clear" w:color="auto" w:fill="auto"/>
            <w:noWrap/>
            <w:hideMark/>
          </w:tcPr>
          <w:p w14:paraId="55C153E9"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vAlign w:val="bottom"/>
            <w:hideMark/>
          </w:tcPr>
          <w:p w14:paraId="74BCF572"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26 473</w:t>
            </w:r>
          </w:p>
        </w:tc>
        <w:tc>
          <w:tcPr>
            <w:tcW w:w="1161" w:type="pct"/>
            <w:tcBorders>
              <w:top w:val="nil"/>
              <w:left w:val="nil"/>
              <w:bottom w:val="nil"/>
              <w:right w:val="nil"/>
            </w:tcBorders>
            <w:shd w:val="clear" w:color="auto" w:fill="auto"/>
            <w:noWrap/>
            <w:vAlign w:val="bottom"/>
            <w:hideMark/>
          </w:tcPr>
          <w:p w14:paraId="10211486"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37 355</w:t>
            </w:r>
          </w:p>
        </w:tc>
      </w:tr>
      <w:tr w:rsidR="00834B83" w:rsidRPr="005269E6" w14:paraId="1BA5DC42" w14:textId="77777777" w:rsidTr="005C5B84">
        <w:trPr>
          <w:trHeight w:val="150"/>
          <w:jc w:val="center"/>
        </w:trPr>
        <w:tc>
          <w:tcPr>
            <w:tcW w:w="0" w:type="auto"/>
            <w:tcBorders>
              <w:top w:val="nil"/>
              <w:left w:val="nil"/>
              <w:bottom w:val="nil"/>
              <w:right w:val="nil"/>
            </w:tcBorders>
            <w:shd w:val="clear" w:color="auto" w:fill="auto"/>
            <w:noWrap/>
            <w:hideMark/>
          </w:tcPr>
          <w:p w14:paraId="53B33FDC" w14:textId="77777777" w:rsidR="00834B83" w:rsidRPr="005269E6" w:rsidRDefault="00834B83" w:rsidP="005C5B84">
            <w:pPr>
              <w:pStyle w:val="Tabletexte"/>
              <w:spacing w:before="40" w:after="40" w:line="240" w:lineRule="exact"/>
              <w:rPr>
                <w:sz w:val="18"/>
                <w:szCs w:val="18"/>
                <w:lang w:val="en-GB" w:eastAsia="en-GB"/>
              </w:rPr>
            </w:pPr>
          </w:p>
        </w:tc>
        <w:tc>
          <w:tcPr>
            <w:tcW w:w="470" w:type="pct"/>
            <w:tcBorders>
              <w:top w:val="nil"/>
              <w:left w:val="nil"/>
              <w:bottom w:val="nil"/>
              <w:right w:val="nil"/>
            </w:tcBorders>
            <w:shd w:val="clear" w:color="auto" w:fill="auto"/>
            <w:noWrap/>
            <w:hideMark/>
          </w:tcPr>
          <w:p w14:paraId="1EA5C0E7"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hideMark/>
          </w:tcPr>
          <w:p w14:paraId="57E6198F" w14:textId="77777777" w:rsidR="00834B83" w:rsidRPr="005269E6" w:rsidRDefault="00834B83" w:rsidP="0031505F">
            <w:pPr>
              <w:pStyle w:val="Tabletexte"/>
              <w:spacing w:before="40" w:after="40" w:line="240" w:lineRule="exact"/>
              <w:jc w:val="left"/>
              <w:rPr>
                <w:sz w:val="18"/>
                <w:szCs w:val="18"/>
                <w:lang w:val="en-GB" w:eastAsia="en-GB"/>
              </w:rPr>
            </w:pPr>
          </w:p>
        </w:tc>
        <w:tc>
          <w:tcPr>
            <w:tcW w:w="1161" w:type="pct"/>
            <w:tcBorders>
              <w:top w:val="nil"/>
              <w:left w:val="nil"/>
              <w:bottom w:val="nil"/>
              <w:right w:val="nil"/>
            </w:tcBorders>
            <w:shd w:val="clear" w:color="auto" w:fill="auto"/>
            <w:noWrap/>
            <w:hideMark/>
          </w:tcPr>
          <w:p w14:paraId="316F7345"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645A6675" w14:textId="77777777" w:rsidTr="005C5B84">
        <w:trPr>
          <w:trHeight w:val="289"/>
          <w:jc w:val="center"/>
        </w:trPr>
        <w:tc>
          <w:tcPr>
            <w:tcW w:w="0" w:type="auto"/>
            <w:tcBorders>
              <w:top w:val="nil"/>
              <w:left w:val="nil"/>
              <w:bottom w:val="nil"/>
              <w:right w:val="nil"/>
            </w:tcBorders>
            <w:shd w:val="clear" w:color="auto" w:fill="auto"/>
            <w:noWrap/>
            <w:vAlign w:val="center"/>
            <w:hideMark/>
          </w:tcPr>
          <w:p w14:paraId="44FFA0AD" w14:textId="77777777" w:rsidR="00834B83" w:rsidRPr="005269E6" w:rsidRDefault="00834B83" w:rsidP="005C5B84">
            <w:pPr>
              <w:pStyle w:val="Tabletexte"/>
              <w:spacing w:before="40" w:after="40" w:line="240" w:lineRule="exact"/>
              <w:rPr>
                <w:b/>
                <w:bCs/>
                <w:sz w:val="18"/>
                <w:szCs w:val="18"/>
                <w:lang w:val="en-GB" w:eastAsia="en-GB"/>
              </w:rPr>
            </w:pPr>
            <w:r w:rsidRPr="005269E6">
              <w:rPr>
                <w:b/>
                <w:bCs/>
                <w:sz w:val="18"/>
                <w:szCs w:val="18"/>
                <w:rtl/>
                <w:lang w:eastAsia="en-GB"/>
              </w:rPr>
              <w:t>إجمالي الإيرادات</w:t>
            </w:r>
          </w:p>
        </w:tc>
        <w:tc>
          <w:tcPr>
            <w:tcW w:w="470" w:type="pct"/>
            <w:tcBorders>
              <w:top w:val="nil"/>
              <w:left w:val="nil"/>
              <w:bottom w:val="nil"/>
              <w:right w:val="nil"/>
            </w:tcBorders>
            <w:shd w:val="clear" w:color="auto" w:fill="auto"/>
            <w:noWrap/>
            <w:vAlign w:val="center"/>
            <w:hideMark/>
          </w:tcPr>
          <w:p w14:paraId="1DC3D861"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911" w:type="pct"/>
            <w:tcBorders>
              <w:top w:val="nil"/>
              <w:left w:val="nil"/>
              <w:bottom w:val="nil"/>
              <w:right w:val="nil"/>
            </w:tcBorders>
            <w:shd w:val="clear" w:color="auto" w:fill="auto"/>
            <w:noWrap/>
            <w:vAlign w:val="center"/>
            <w:hideMark/>
          </w:tcPr>
          <w:p w14:paraId="7D50B84F"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172 051</w:t>
            </w:r>
          </w:p>
        </w:tc>
        <w:tc>
          <w:tcPr>
            <w:tcW w:w="1161" w:type="pct"/>
            <w:tcBorders>
              <w:top w:val="nil"/>
              <w:left w:val="nil"/>
              <w:bottom w:val="nil"/>
              <w:right w:val="nil"/>
            </w:tcBorders>
            <w:shd w:val="clear" w:color="auto" w:fill="auto"/>
            <w:noWrap/>
            <w:vAlign w:val="center"/>
            <w:hideMark/>
          </w:tcPr>
          <w:p w14:paraId="1CBB9BF2"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177 089</w:t>
            </w:r>
          </w:p>
        </w:tc>
      </w:tr>
      <w:tr w:rsidR="00834B83" w:rsidRPr="005269E6" w14:paraId="45D6D56E" w14:textId="77777777" w:rsidTr="005C5B84">
        <w:trPr>
          <w:trHeight w:val="255"/>
          <w:jc w:val="center"/>
        </w:trPr>
        <w:tc>
          <w:tcPr>
            <w:tcW w:w="0" w:type="auto"/>
            <w:tcBorders>
              <w:top w:val="nil"/>
              <w:left w:val="nil"/>
              <w:bottom w:val="nil"/>
              <w:right w:val="nil"/>
            </w:tcBorders>
            <w:shd w:val="clear" w:color="auto" w:fill="auto"/>
            <w:noWrap/>
            <w:hideMark/>
          </w:tcPr>
          <w:p w14:paraId="7B1984A5" w14:textId="77777777" w:rsidR="00834B83" w:rsidRPr="005269E6" w:rsidRDefault="00834B83" w:rsidP="005C5B84">
            <w:pPr>
              <w:pStyle w:val="Tabletexte"/>
              <w:spacing w:before="40" w:after="40" w:line="240" w:lineRule="exact"/>
              <w:rPr>
                <w:sz w:val="18"/>
                <w:szCs w:val="18"/>
                <w:lang w:val="en-GB" w:eastAsia="en-GB"/>
              </w:rPr>
            </w:pPr>
          </w:p>
        </w:tc>
        <w:tc>
          <w:tcPr>
            <w:tcW w:w="470" w:type="pct"/>
            <w:tcBorders>
              <w:top w:val="nil"/>
              <w:left w:val="nil"/>
              <w:bottom w:val="nil"/>
              <w:right w:val="nil"/>
            </w:tcBorders>
            <w:shd w:val="clear" w:color="auto" w:fill="auto"/>
            <w:noWrap/>
            <w:hideMark/>
          </w:tcPr>
          <w:p w14:paraId="1D02AE99"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hideMark/>
          </w:tcPr>
          <w:p w14:paraId="0AF0D26A" w14:textId="77777777" w:rsidR="00834B83" w:rsidRPr="005269E6" w:rsidRDefault="00834B83" w:rsidP="0031505F">
            <w:pPr>
              <w:pStyle w:val="Tabletexte"/>
              <w:spacing w:before="40" w:after="40" w:line="240" w:lineRule="exact"/>
              <w:jc w:val="left"/>
              <w:rPr>
                <w:sz w:val="18"/>
                <w:szCs w:val="18"/>
                <w:lang w:val="en-GB" w:eastAsia="en-GB"/>
              </w:rPr>
            </w:pPr>
          </w:p>
        </w:tc>
        <w:tc>
          <w:tcPr>
            <w:tcW w:w="1161" w:type="pct"/>
            <w:tcBorders>
              <w:top w:val="nil"/>
              <w:left w:val="nil"/>
              <w:bottom w:val="nil"/>
              <w:right w:val="nil"/>
            </w:tcBorders>
            <w:shd w:val="clear" w:color="auto" w:fill="auto"/>
            <w:noWrap/>
            <w:hideMark/>
          </w:tcPr>
          <w:p w14:paraId="53C4F423"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52C39167" w14:textId="77777777" w:rsidTr="005C5B84">
        <w:trPr>
          <w:trHeight w:val="255"/>
          <w:jc w:val="center"/>
        </w:trPr>
        <w:tc>
          <w:tcPr>
            <w:tcW w:w="0" w:type="auto"/>
            <w:tcBorders>
              <w:top w:val="nil"/>
              <w:left w:val="nil"/>
              <w:bottom w:val="nil"/>
              <w:right w:val="nil"/>
            </w:tcBorders>
            <w:shd w:val="clear" w:color="auto" w:fill="auto"/>
            <w:noWrap/>
            <w:vAlign w:val="bottom"/>
            <w:hideMark/>
          </w:tcPr>
          <w:p w14:paraId="5DC6BA52" w14:textId="77777777" w:rsidR="00834B83" w:rsidRPr="005269E6" w:rsidRDefault="00834B83" w:rsidP="005C5B84">
            <w:pPr>
              <w:pStyle w:val="Tabletexte"/>
              <w:spacing w:before="40" w:after="40" w:line="240" w:lineRule="exact"/>
              <w:rPr>
                <w:b/>
                <w:bCs/>
                <w:sz w:val="18"/>
                <w:szCs w:val="18"/>
                <w:lang w:val="en" w:eastAsia="en-GB"/>
              </w:rPr>
            </w:pPr>
            <w:r w:rsidRPr="005269E6">
              <w:rPr>
                <w:b/>
                <w:bCs/>
                <w:sz w:val="18"/>
                <w:szCs w:val="18"/>
                <w:rtl/>
                <w:lang w:val="en-GB" w:eastAsia="en-GB" w:bidi="ar"/>
              </w:rPr>
              <w:t>النفقات</w:t>
            </w:r>
          </w:p>
        </w:tc>
        <w:tc>
          <w:tcPr>
            <w:tcW w:w="470" w:type="pct"/>
            <w:tcBorders>
              <w:top w:val="nil"/>
              <w:left w:val="nil"/>
              <w:bottom w:val="nil"/>
              <w:right w:val="nil"/>
            </w:tcBorders>
            <w:shd w:val="clear" w:color="auto" w:fill="auto"/>
            <w:noWrap/>
            <w:hideMark/>
          </w:tcPr>
          <w:p w14:paraId="2BE6C211"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23</w:t>
            </w:r>
          </w:p>
        </w:tc>
        <w:tc>
          <w:tcPr>
            <w:tcW w:w="911" w:type="pct"/>
            <w:tcBorders>
              <w:top w:val="nil"/>
              <w:left w:val="nil"/>
              <w:bottom w:val="nil"/>
              <w:right w:val="nil"/>
            </w:tcBorders>
            <w:shd w:val="clear" w:color="auto" w:fill="auto"/>
            <w:noWrap/>
            <w:hideMark/>
          </w:tcPr>
          <w:p w14:paraId="4EAFDDB1" w14:textId="77777777" w:rsidR="00834B83" w:rsidRPr="005269E6" w:rsidRDefault="00834B83" w:rsidP="0031505F">
            <w:pPr>
              <w:pStyle w:val="Tabletexte"/>
              <w:spacing w:before="40" w:after="40" w:line="240" w:lineRule="exact"/>
              <w:jc w:val="left"/>
              <w:rPr>
                <w:sz w:val="18"/>
                <w:szCs w:val="18"/>
                <w:lang w:val="en-GB" w:eastAsia="en-GB"/>
              </w:rPr>
            </w:pPr>
          </w:p>
        </w:tc>
        <w:tc>
          <w:tcPr>
            <w:tcW w:w="1161" w:type="pct"/>
            <w:tcBorders>
              <w:top w:val="nil"/>
              <w:left w:val="nil"/>
              <w:bottom w:val="nil"/>
              <w:right w:val="nil"/>
            </w:tcBorders>
            <w:shd w:val="clear" w:color="auto" w:fill="auto"/>
            <w:noWrap/>
            <w:hideMark/>
          </w:tcPr>
          <w:p w14:paraId="4BD8AF22"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2398D91F" w14:textId="77777777" w:rsidTr="005C5B84">
        <w:trPr>
          <w:trHeight w:val="150"/>
          <w:jc w:val="center"/>
        </w:trPr>
        <w:tc>
          <w:tcPr>
            <w:tcW w:w="0" w:type="auto"/>
            <w:tcBorders>
              <w:top w:val="nil"/>
              <w:left w:val="nil"/>
              <w:bottom w:val="nil"/>
              <w:right w:val="nil"/>
            </w:tcBorders>
            <w:shd w:val="clear" w:color="auto" w:fill="auto"/>
            <w:noWrap/>
            <w:hideMark/>
          </w:tcPr>
          <w:p w14:paraId="33AE0565" w14:textId="77777777" w:rsidR="00834B83" w:rsidRPr="005269E6" w:rsidRDefault="00834B83" w:rsidP="005C5B84">
            <w:pPr>
              <w:pStyle w:val="Tabletexte"/>
              <w:spacing w:before="40" w:after="40" w:line="240" w:lineRule="exact"/>
              <w:rPr>
                <w:sz w:val="18"/>
                <w:szCs w:val="18"/>
                <w:lang w:val="en-GB" w:eastAsia="en-GB"/>
              </w:rPr>
            </w:pPr>
          </w:p>
        </w:tc>
        <w:tc>
          <w:tcPr>
            <w:tcW w:w="470" w:type="pct"/>
            <w:tcBorders>
              <w:top w:val="nil"/>
              <w:left w:val="nil"/>
              <w:bottom w:val="nil"/>
              <w:right w:val="nil"/>
            </w:tcBorders>
            <w:shd w:val="clear" w:color="auto" w:fill="auto"/>
            <w:noWrap/>
            <w:hideMark/>
          </w:tcPr>
          <w:p w14:paraId="3611B987"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hideMark/>
          </w:tcPr>
          <w:p w14:paraId="61072E9B" w14:textId="77777777" w:rsidR="00834B83" w:rsidRPr="005269E6" w:rsidRDefault="00834B83" w:rsidP="0031505F">
            <w:pPr>
              <w:pStyle w:val="Tabletexte"/>
              <w:spacing w:before="40" w:after="40" w:line="240" w:lineRule="exact"/>
              <w:jc w:val="left"/>
              <w:rPr>
                <w:sz w:val="18"/>
                <w:szCs w:val="18"/>
                <w:lang w:val="en-GB" w:eastAsia="en-GB"/>
              </w:rPr>
            </w:pPr>
          </w:p>
        </w:tc>
        <w:tc>
          <w:tcPr>
            <w:tcW w:w="1161" w:type="pct"/>
            <w:tcBorders>
              <w:top w:val="nil"/>
              <w:left w:val="nil"/>
              <w:bottom w:val="nil"/>
              <w:right w:val="nil"/>
            </w:tcBorders>
            <w:shd w:val="clear" w:color="auto" w:fill="auto"/>
            <w:noWrap/>
            <w:hideMark/>
          </w:tcPr>
          <w:p w14:paraId="6B93E3D8"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7EACF24D" w14:textId="77777777" w:rsidTr="005C5B84">
        <w:trPr>
          <w:trHeight w:val="255"/>
          <w:jc w:val="center"/>
        </w:trPr>
        <w:tc>
          <w:tcPr>
            <w:tcW w:w="0" w:type="auto"/>
            <w:tcBorders>
              <w:top w:val="nil"/>
              <w:left w:val="nil"/>
              <w:bottom w:val="nil"/>
              <w:right w:val="nil"/>
            </w:tcBorders>
            <w:shd w:val="clear" w:color="auto" w:fill="auto"/>
            <w:noWrap/>
            <w:hideMark/>
          </w:tcPr>
          <w:p w14:paraId="39CE3348"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rPr>
              <w:t>نفقات الموظفين</w:t>
            </w:r>
          </w:p>
        </w:tc>
        <w:tc>
          <w:tcPr>
            <w:tcW w:w="470" w:type="pct"/>
            <w:tcBorders>
              <w:top w:val="nil"/>
              <w:left w:val="nil"/>
              <w:bottom w:val="nil"/>
              <w:right w:val="nil"/>
            </w:tcBorders>
            <w:shd w:val="clear" w:color="auto" w:fill="auto"/>
            <w:noWrap/>
            <w:hideMark/>
          </w:tcPr>
          <w:p w14:paraId="369233C3"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hideMark/>
          </w:tcPr>
          <w:p w14:paraId="21D89B2E"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153 510</w:t>
            </w:r>
          </w:p>
        </w:tc>
        <w:tc>
          <w:tcPr>
            <w:tcW w:w="1161" w:type="pct"/>
            <w:tcBorders>
              <w:top w:val="nil"/>
              <w:left w:val="nil"/>
              <w:bottom w:val="nil"/>
              <w:right w:val="nil"/>
            </w:tcBorders>
            <w:shd w:val="clear" w:color="auto" w:fill="auto"/>
            <w:noWrap/>
            <w:hideMark/>
          </w:tcPr>
          <w:p w14:paraId="0DC5F74D"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151 899</w:t>
            </w:r>
          </w:p>
        </w:tc>
      </w:tr>
      <w:tr w:rsidR="00834B83" w:rsidRPr="005269E6" w14:paraId="0A5AFD25" w14:textId="77777777" w:rsidTr="005C5B84">
        <w:trPr>
          <w:trHeight w:val="255"/>
          <w:jc w:val="center"/>
        </w:trPr>
        <w:tc>
          <w:tcPr>
            <w:tcW w:w="0" w:type="auto"/>
            <w:tcBorders>
              <w:top w:val="nil"/>
              <w:left w:val="nil"/>
              <w:bottom w:val="nil"/>
              <w:right w:val="nil"/>
            </w:tcBorders>
            <w:shd w:val="clear" w:color="auto" w:fill="auto"/>
            <w:noWrap/>
            <w:hideMark/>
          </w:tcPr>
          <w:p w14:paraId="4BD8700E"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rPr>
              <w:t>نفقات البعثات</w:t>
            </w:r>
          </w:p>
        </w:tc>
        <w:tc>
          <w:tcPr>
            <w:tcW w:w="470" w:type="pct"/>
            <w:tcBorders>
              <w:top w:val="nil"/>
              <w:left w:val="nil"/>
              <w:bottom w:val="nil"/>
              <w:right w:val="nil"/>
            </w:tcBorders>
            <w:shd w:val="clear" w:color="auto" w:fill="auto"/>
            <w:noWrap/>
            <w:hideMark/>
          </w:tcPr>
          <w:p w14:paraId="494F9B22"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hideMark/>
          </w:tcPr>
          <w:p w14:paraId="0DFF3D39"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5 589</w:t>
            </w:r>
          </w:p>
        </w:tc>
        <w:tc>
          <w:tcPr>
            <w:tcW w:w="1161" w:type="pct"/>
            <w:tcBorders>
              <w:top w:val="nil"/>
              <w:left w:val="nil"/>
              <w:bottom w:val="nil"/>
              <w:right w:val="nil"/>
            </w:tcBorders>
            <w:shd w:val="clear" w:color="auto" w:fill="auto"/>
            <w:noWrap/>
            <w:hideMark/>
          </w:tcPr>
          <w:p w14:paraId="13DC6D54"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443</w:t>
            </w:r>
          </w:p>
        </w:tc>
      </w:tr>
      <w:tr w:rsidR="00834B83" w:rsidRPr="005269E6" w14:paraId="2C3FD881" w14:textId="77777777" w:rsidTr="005C5B84">
        <w:trPr>
          <w:trHeight w:val="255"/>
          <w:jc w:val="center"/>
        </w:trPr>
        <w:tc>
          <w:tcPr>
            <w:tcW w:w="0" w:type="auto"/>
            <w:tcBorders>
              <w:top w:val="nil"/>
              <w:left w:val="nil"/>
              <w:bottom w:val="nil"/>
              <w:right w:val="nil"/>
            </w:tcBorders>
            <w:shd w:val="clear" w:color="auto" w:fill="auto"/>
            <w:noWrap/>
            <w:hideMark/>
          </w:tcPr>
          <w:p w14:paraId="5FAE2ECF"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rPr>
              <w:t>الخدمات التعاقدية</w:t>
            </w:r>
          </w:p>
        </w:tc>
        <w:tc>
          <w:tcPr>
            <w:tcW w:w="470" w:type="pct"/>
            <w:tcBorders>
              <w:top w:val="nil"/>
              <w:left w:val="nil"/>
              <w:bottom w:val="nil"/>
              <w:right w:val="nil"/>
            </w:tcBorders>
            <w:shd w:val="clear" w:color="auto" w:fill="auto"/>
            <w:noWrap/>
            <w:hideMark/>
          </w:tcPr>
          <w:p w14:paraId="3846A825"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hideMark/>
          </w:tcPr>
          <w:p w14:paraId="09AD7155"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20 527</w:t>
            </w:r>
          </w:p>
        </w:tc>
        <w:tc>
          <w:tcPr>
            <w:tcW w:w="1161" w:type="pct"/>
            <w:tcBorders>
              <w:top w:val="nil"/>
              <w:left w:val="nil"/>
              <w:bottom w:val="nil"/>
              <w:right w:val="nil"/>
            </w:tcBorders>
            <w:shd w:val="clear" w:color="auto" w:fill="auto"/>
            <w:noWrap/>
            <w:hideMark/>
          </w:tcPr>
          <w:p w14:paraId="5DE16DD8"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21 262</w:t>
            </w:r>
          </w:p>
        </w:tc>
      </w:tr>
      <w:tr w:rsidR="00834B83" w:rsidRPr="005269E6" w14:paraId="2B31D629" w14:textId="77777777" w:rsidTr="005C5B84">
        <w:trPr>
          <w:trHeight w:val="255"/>
          <w:jc w:val="center"/>
        </w:trPr>
        <w:tc>
          <w:tcPr>
            <w:tcW w:w="0" w:type="auto"/>
            <w:tcBorders>
              <w:top w:val="nil"/>
              <w:left w:val="nil"/>
              <w:bottom w:val="nil"/>
              <w:right w:val="nil"/>
            </w:tcBorders>
            <w:shd w:val="clear" w:color="auto" w:fill="auto"/>
            <w:noWrap/>
            <w:hideMark/>
          </w:tcPr>
          <w:p w14:paraId="286188F5"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rPr>
              <w:t>استئجار وصيانة المباني والمعدات</w:t>
            </w:r>
          </w:p>
        </w:tc>
        <w:tc>
          <w:tcPr>
            <w:tcW w:w="470" w:type="pct"/>
            <w:tcBorders>
              <w:top w:val="nil"/>
              <w:left w:val="nil"/>
              <w:bottom w:val="nil"/>
              <w:right w:val="nil"/>
            </w:tcBorders>
            <w:shd w:val="clear" w:color="auto" w:fill="auto"/>
            <w:noWrap/>
            <w:hideMark/>
          </w:tcPr>
          <w:p w14:paraId="40CFEC68"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hideMark/>
          </w:tcPr>
          <w:p w14:paraId="03AD1D9D"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2 860</w:t>
            </w:r>
          </w:p>
        </w:tc>
        <w:tc>
          <w:tcPr>
            <w:tcW w:w="1161" w:type="pct"/>
            <w:tcBorders>
              <w:top w:val="nil"/>
              <w:left w:val="nil"/>
              <w:bottom w:val="nil"/>
              <w:right w:val="nil"/>
            </w:tcBorders>
            <w:shd w:val="clear" w:color="auto" w:fill="auto"/>
            <w:noWrap/>
            <w:hideMark/>
          </w:tcPr>
          <w:p w14:paraId="2355BC9F"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1 847</w:t>
            </w:r>
          </w:p>
        </w:tc>
      </w:tr>
      <w:tr w:rsidR="00834B83" w:rsidRPr="005269E6" w14:paraId="09A781D5" w14:textId="77777777" w:rsidTr="005C5B84">
        <w:trPr>
          <w:trHeight w:val="300"/>
          <w:jc w:val="center"/>
        </w:trPr>
        <w:tc>
          <w:tcPr>
            <w:tcW w:w="0" w:type="auto"/>
            <w:tcBorders>
              <w:top w:val="nil"/>
              <w:left w:val="nil"/>
              <w:bottom w:val="nil"/>
              <w:right w:val="nil"/>
            </w:tcBorders>
            <w:shd w:val="clear" w:color="auto" w:fill="auto"/>
            <w:noWrap/>
            <w:hideMark/>
          </w:tcPr>
          <w:p w14:paraId="31F1B7CA"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rPr>
              <w:t>المعدات واللوازم</w:t>
            </w:r>
          </w:p>
        </w:tc>
        <w:tc>
          <w:tcPr>
            <w:tcW w:w="470" w:type="pct"/>
            <w:tcBorders>
              <w:top w:val="nil"/>
              <w:left w:val="nil"/>
              <w:bottom w:val="nil"/>
              <w:right w:val="nil"/>
            </w:tcBorders>
            <w:shd w:val="clear" w:color="auto" w:fill="auto"/>
            <w:noWrap/>
            <w:hideMark/>
          </w:tcPr>
          <w:p w14:paraId="21249282"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hideMark/>
          </w:tcPr>
          <w:p w14:paraId="13153BB4"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2 460</w:t>
            </w:r>
          </w:p>
        </w:tc>
        <w:tc>
          <w:tcPr>
            <w:tcW w:w="1161" w:type="pct"/>
            <w:tcBorders>
              <w:top w:val="nil"/>
              <w:left w:val="nil"/>
              <w:bottom w:val="nil"/>
              <w:right w:val="nil"/>
            </w:tcBorders>
            <w:shd w:val="clear" w:color="auto" w:fill="auto"/>
            <w:noWrap/>
            <w:hideMark/>
          </w:tcPr>
          <w:p w14:paraId="30A01DE4"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2 297</w:t>
            </w:r>
          </w:p>
        </w:tc>
      </w:tr>
      <w:tr w:rsidR="00834B83" w:rsidRPr="005269E6" w14:paraId="4DE6CEFC" w14:textId="77777777" w:rsidTr="005C5B84">
        <w:trPr>
          <w:trHeight w:val="255"/>
          <w:jc w:val="center"/>
        </w:trPr>
        <w:tc>
          <w:tcPr>
            <w:tcW w:w="0" w:type="auto"/>
            <w:tcBorders>
              <w:top w:val="nil"/>
              <w:left w:val="nil"/>
              <w:bottom w:val="nil"/>
              <w:right w:val="nil"/>
            </w:tcBorders>
            <w:shd w:val="clear" w:color="auto" w:fill="auto"/>
            <w:noWrap/>
            <w:hideMark/>
          </w:tcPr>
          <w:p w14:paraId="7A2C7F39"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rPr>
              <w:t>الإهلاك وخسائر انخفاض القيمة</w:t>
            </w:r>
          </w:p>
        </w:tc>
        <w:tc>
          <w:tcPr>
            <w:tcW w:w="470" w:type="pct"/>
            <w:tcBorders>
              <w:top w:val="nil"/>
              <w:left w:val="nil"/>
              <w:bottom w:val="nil"/>
              <w:right w:val="nil"/>
            </w:tcBorders>
            <w:shd w:val="clear" w:color="auto" w:fill="auto"/>
            <w:noWrap/>
            <w:hideMark/>
          </w:tcPr>
          <w:p w14:paraId="1819AC6A"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hideMark/>
          </w:tcPr>
          <w:p w14:paraId="2BF817FB"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9 495</w:t>
            </w:r>
          </w:p>
        </w:tc>
        <w:tc>
          <w:tcPr>
            <w:tcW w:w="1161" w:type="pct"/>
            <w:tcBorders>
              <w:top w:val="nil"/>
              <w:left w:val="nil"/>
              <w:bottom w:val="nil"/>
              <w:right w:val="nil"/>
            </w:tcBorders>
            <w:shd w:val="clear" w:color="auto" w:fill="auto"/>
            <w:noWrap/>
            <w:hideMark/>
          </w:tcPr>
          <w:p w14:paraId="67BCB7DF"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9 693</w:t>
            </w:r>
          </w:p>
        </w:tc>
      </w:tr>
      <w:tr w:rsidR="00834B83" w:rsidRPr="005269E6" w14:paraId="51BC74ED" w14:textId="77777777" w:rsidTr="005C5B84">
        <w:trPr>
          <w:trHeight w:val="255"/>
          <w:jc w:val="center"/>
        </w:trPr>
        <w:tc>
          <w:tcPr>
            <w:tcW w:w="0" w:type="auto"/>
            <w:tcBorders>
              <w:top w:val="nil"/>
              <w:left w:val="nil"/>
              <w:bottom w:val="nil"/>
              <w:right w:val="nil"/>
            </w:tcBorders>
            <w:shd w:val="clear" w:color="auto" w:fill="auto"/>
            <w:noWrap/>
            <w:hideMark/>
          </w:tcPr>
          <w:p w14:paraId="2A9F85BF"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rPr>
              <w:t>نفقات الشحن والاتصالات والخدمات</w:t>
            </w:r>
          </w:p>
        </w:tc>
        <w:tc>
          <w:tcPr>
            <w:tcW w:w="470" w:type="pct"/>
            <w:tcBorders>
              <w:top w:val="nil"/>
              <w:left w:val="nil"/>
              <w:bottom w:val="nil"/>
              <w:right w:val="nil"/>
            </w:tcBorders>
            <w:shd w:val="clear" w:color="auto" w:fill="auto"/>
            <w:noWrap/>
            <w:hideMark/>
          </w:tcPr>
          <w:p w14:paraId="44DAAEF4"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hideMark/>
          </w:tcPr>
          <w:p w14:paraId="147693D2"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2 242</w:t>
            </w:r>
          </w:p>
        </w:tc>
        <w:tc>
          <w:tcPr>
            <w:tcW w:w="1161" w:type="pct"/>
            <w:tcBorders>
              <w:top w:val="nil"/>
              <w:left w:val="nil"/>
              <w:bottom w:val="nil"/>
              <w:right w:val="nil"/>
            </w:tcBorders>
            <w:shd w:val="clear" w:color="auto" w:fill="auto"/>
            <w:noWrap/>
            <w:hideMark/>
          </w:tcPr>
          <w:p w14:paraId="24119637"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1 505</w:t>
            </w:r>
          </w:p>
        </w:tc>
      </w:tr>
      <w:tr w:rsidR="00834B83" w:rsidRPr="005269E6" w14:paraId="0658247F" w14:textId="77777777" w:rsidTr="005C5B84">
        <w:trPr>
          <w:trHeight w:val="255"/>
          <w:jc w:val="center"/>
        </w:trPr>
        <w:tc>
          <w:tcPr>
            <w:tcW w:w="0" w:type="auto"/>
            <w:tcBorders>
              <w:top w:val="nil"/>
              <w:left w:val="nil"/>
              <w:bottom w:val="nil"/>
              <w:right w:val="nil"/>
            </w:tcBorders>
            <w:shd w:val="clear" w:color="auto" w:fill="auto"/>
            <w:noWrap/>
            <w:hideMark/>
          </w:tcPr>
          <w:p w14:paraId="45DE83BC"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rPr>
              <w:t>نفقات أخرى</w:t>
            </w:r>
          </w:p>
        </w:tc>
        <w:tc>
          <w:tcPr>
            <w:tcW w:w="470" w:type="pct"/>
            <w:tcBorders>
              <w:top w:val="nil"/>
              <w:left w:val="nil"/>
              <w:bottom w:val="nil"/>
              <w:right w:val="nil"/>
            </w:tcBorders>
            <w:shd w:val="clear" w:color="auto" w:fill="auto"/>
            <w:noWrap/>
            <w:hideMark/>
          </w:tcPr>
          <w:p w14:paraId="0470A2C2"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hideMark/>
          </w:tcPr>
          <w:p w14:paraId="7020AFAF"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122</w:t>
            </w:r>
          </w:p>
        </w:tc>
        <w:tc>
          <w:tcPr>
            <w:tcW w:w="1161" w:type="pct"/>
            <w:tcBorders>
              <w:top w:val="nil"/>
              <w:left w:val="nil"/>
              <w:bottom w:val="nil"/>
              <w:right w:val="nil"/>
            </w:tcBorders>
            <w:shd w:val="clear" w:color="auto" w:fill="auto"/>
            <w:noWrap/>
            <w:hideMark/>
          </w:tcPr>
          <w:p w14:paraId="3100CA28"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1 936</w:t>
            </w:r>
          </w:p>
        </w:tc>
      </w:tr>
      <w:tr w:rsidR="00834B83" w:rsidRPr="005269E6" w14:paraId="2D1BDC2A" w14:textId="77777777" w:rsidTr="005C5B84">
        <w:trPr>
          <w:trHeight w:val="289"/>
          <w:jc w:val="center"/>
        </w:trPr>
        <w:tc>
          <w:tcPr>
            <w:tcW w:w="0" w:type="auto"/>
            <w:tcBorders>
              <w:top w:val="nil"/>
              <w:left w:val="nil"/>
              <w:bottom w:val="nil"/>
              <w:right w:val="nil"/>
            </w:tcBorders>
            <w:shd w:val="clear" w:color="auto" w:fill="auto"/>
            <w:noWrap/>
            <w:hideMark/>
          </w:tcPr>
          <w:p w14:paraId="7E7CC5F1" w14:textId="77777777" w:rsidR="00834B83" w:rsidRPr="005269E6" w:rsidRDefault="00834B83" w:rsidP="005C5B84">
            <w:pPr>
              <w:pStyle w:val="Tabletexte"/>
              <w:spacing w:before="40" w:after="40" w:line="240" w:lineRule="exact"/>
              <w:rPr>
                <w:b/>
                <w:bCs/>
                <w:sz w:val="18"/>
                <w:szCs w:val="18"/>
                <w:lang w:val="en-GB" w:eastAsia="en-GB"/>
              </w:rPr>
            </w:pPr>
            <w:r w:rsidRPr="005269E6">
              <w:rPr>
                <w:b/>
                <w:bCs/>
                <w:sz w:val="18"/>
                <w:szCs w:val="18"/>
                <w:rtl/>
              </w:rPr>
              <w:t>مجموع النفقات</w:t>
            </w:r>
          </w:p>
        </w:tc>
        <w:tc>
          <w:tcPr>
            <w:tcW w:w="470" w:type="pct"/>
            <w:tcBorders>
              <w:top w:val="nil"/>
              <w:left w:val="nil"/>
              <w:bottom w:val="nil"/>
              <w:right w:val="nil"/>
            </w:tcBorders>
            <w:shd w:val="clear" w:color="auto" w:fill="auto"/>
            <w:noWrap/>
            <w:vAlign w:val="center"/>
            <w:hideMark/>
          </w:tcPr>
          <w:p w14:paraId="13C2BC65"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911" w:type="pct"/>
            <w:tcBorders>
              <w:top w:val="nil"/>
              <w:left w:val="nil"/>
              <w:bottom w:val="nil"/>
              <w:right w:val="nil"/>
            </w:tcBorders>
            <w:shd w:val="clear" w:color="auto" w:fill="auto"/>
            <w:noWrap/>
            <w:vAlign w:val="center"/>
            <w:hideMark/>
          </w:tcPr>
          <w:p w14:paraId="30C21C53"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196 805</w:t>
            </w:r>
          </w:p>
        </w:tc>
        <w:tc>
          <w:tcPr>
            <w:tcW w:w="1161" w:type="pct"/>
            <w:tcBorders>
              <w:top w:val="nil"/>
              <w:left w:val="nil"/>
              <w:bottom w:val="nil"/>
              <w:right w:val="nil"/>
            </w:tcBorders>
            <w:shd w:val="clear" w:color="auto" w:fill="auto"/>
            <w:noWrap/>
            <w:vAlign w:val="center"/>
            <w:hideMark/>
          </w:tcPr>
          <w:p w14:paraId="21C56762"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190 882</w:t>
            </w:r>
          </w:p>
        </w:tc>
      </w:tr>
      <w:tr w:rsidR="00834B83" w:rsidRPr="005269E6" w14:paraId="5C218FEE" w14:textId="77777777" w:rsidTr="005C5B84">
        <w:trPr>
          <w:trHeight w:val="289"/>
          <w:jc w:val="center"/>
        </w:trPr>
        <w:tc>
          <w:tcPr>
            <w:tcW w:w="0" w:type="auto"/>
            <w:tcBorders>
              <w:top w:val="nil"/>
              <w:left w:val="nil"/>
              <w:bottom w:val="nil"/>
              <w:right w:val="nil"/>
            </w:tcBorders>
            <w:shd w:val="clear" w:color="auto" w:fill="auto"/>
            <w:noWrap/>
            <w:hideMark/>
          </w:tcPr>
          <w:p w14:paraId="20DA0EA0" w14:textId="77777777" w:rsidR="00834B83" w:rsidRPr="005269E6" w:rsidRDefault="00834B83" w:rsidP="005C5B84">
            <w:pPr>
              <w:pStyle w:val="Tabletexte"/>
              <w:spacing w:before="40" w:after="40" w:line="240" w:lineRule="exact"/>
              <w:rPr>
                <w:sz w:val="18"/>
                <w:szCs w:val="18"/>
                <w:lang w:val="en" w:eastAsia="en-GB"/>
              </w:rPr>
            </w:pPr>
            <w:r w:rsidRPr="005269E6">
              <w:rPr>
                <w:sz w:val="18"/>
                <w:szCs w:val="18"/>
                <w:rtl/>
                <w:lang w:val="en-GB" w:eastAsia="en-GB" w:bidi="ar"/>
              </w:rPr>
              <w:t>إيرادات/</w:t>
            </w:r>
            <w:r w:rsidRPr="005269E6">
              <w:rPr>
                <w:sz w:val="18"/>
                <w:szCs w:val="18"/>
                <w:lang w:val="en" w:eastAsia="en-GB"/>
              </w:rPr>
              <w:t xml:space="preserve"> </w:t>
            </w:r>
            <w:r w:rsidRPr="005269E6">
              <w:rPr>
                <w:sz w:val="18"/>
                <w:szCs w:val="18"/>
                <w:rtl/>
                <w:lang w:val="en" w:eastAsia="en-GB"/>
              </w:rPr>
              <w:t>(تكلفة)</w:t>
            </w:r>
            <w:r w:rsidRPr="005269E6">
              <w:rPr>
                <w:sz w:val="18"/>
                <w:szCs w:val="18"/>
                <w:lang w:val="en" w:eastAsia="en-GB"/>
              </w:rPr>
              <w:t xml:space="preserve"> </w:t>
            </w:r>
            <w:r w:rsidRPr="005269E6">
              <w:rPr>
                <w:sz w:val="18"/>
                <w:szCs w:val="18"/>
                <w:rtl/>
                <w:lang w:val="en" w:eastAsia="en-GB" w:bidi="ar"/>
              </w:rPr>
              <w:t>التمويل</w:t>
            </w:r>
          </w:p>
        </w:tc>
        <w:tc>
          <w:tcPr>
            <w:tcW w:w="470" w:type="pct"/>
            <w:tcBorders>
              <w:top w:val="nil"/>
              <w:left w:val="nil"/>
              <w:bottom w:val="nil"/>
              <w:right w:val="nil"/>
            </w:tcBorders>
            <w:shd w:val="clear" w:color="auto" w:fill="auto"/>
            <w:noWrap/>
            <w:hideMark/>
          </w:tcPr>
          <w:p w14:paraId="686FE205"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22</w:t>
            </w:r>
          </w:p>
        </w:tc>
        <w:tc>
          <w:tcPr>
            <w:tcW w:w="911" w:type="pct"/>
            <w:tcBorders>
              <w:top w:val="nil"/>
              <w:left w:val="nil"/>
              <w:bottom w:val="nil"/>
              <w:right w:val="nil"/>
            </w:tcBorders>
            <w:shd w:val="clear" w:color="auto" w:fill="auto"/>
            <w:noWrap/>
            <w:hideMark/>
          </w:tcPr>
          <w:p w14:paraId="273EC81D"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313</w:t>
            </w:r>
          </w:p>
        </w:tc>
        <w:tc>
          <w:tcPr>
            <w:tcW w:w="1161" w:type="pct"/>
            <w:tcBorders>
              <w:top w:val="nil"/>
              <w:left w:val="nil"/>
              <w:bottom w:val="nil"/>
              <w:right w:val="nil"/>
            </w:tcBorders>
            <w:shd w:val="clear" w:color="auto" w:fill="auto"/>
            <w:noWrap/>
            <w:hideMark/>
          </w:tcPr>
          <w:p w14:paraId="2E8FC266"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497</w:t>
            </w:r>
          </w:p>
        </w:tc>
      </w:tr>
      <w:tr w:rsidR="00834B83" w:rsidRPr="005269E6" w14:paraId="33400A11" w14:textId="77777777" w:rsidTr="005C5B84">
        <w:trPr>
          <w:trHeight w:val="150"/>
          <w:jc w:val="center"/>
        </w:trPr>
        <w:tc>
          <w:tcPr>
            <w:tcW w:w="0" w:type="auto"/>
            <w:tcBorders>
              <w:top w:val="nil"/>
              <w:left w:val="nil"/>
              <w:bottom w:val="nil"/>
              <w:right w:val="nil"/>
            </w:tcBorders>
            <w:shd w:val="clear" w:color="auto" w:fill="auto"/>
            <w:noWrap/>
            <w:vAlign w:val="center"/>
            <w:hideMark/>
          </w:tcPr>
          <w:p w14:paraId="0E9B853D" w14:textId="77777777" w:rsidR="00834B83" w:rsidRPr="005269E6" w:rsidRDefault="00834B83" w:rsidP="005C5B84">
            <w:pPr>
              <w:pStyle w:val="Tabletexte"/>
              <w:spacing w:before="40" w:after="40" w:line="240" w:lineRule="exact"/>
              <w:rPr>
                <w:sz w:val="18"/>
                <w:szCs w:val="18"/>
                <w:lang w:val="en-GB" w:eastAsia="en-GB"/>
              </w:rPr>
            </w:pPr>
          </w:p>
        </w:tc>
        <w:tc>
          <w:tcPr>
            <w:tcW w:w="470" w:type="pct"/>
            <w:tcBorders>
              <w:top w:val="nil"/>
              <w:left w:val="nil"/>
              <w:bottom w:val="nil"/>
              <w:right w:val="nil"/>
            </w:tcBorders>
            <w:shd w:val="clear" w:color="auto" w:fill="auto"/>
            <w:noWrap/>
            <w:vAlign w:val="center"/>
            <w:hideMark/>
          </w:tcPr>
          <w:p w14:paraId="7F533E96" w14:textId="77777777" w:rsidR="00834B83" w:rsidRPr="005269E6" w:rsidRDefault="00834B83" w:rsidP="0031505F">
            <w:pPr>
              <w:pStyle w:val="Tabletexte"/>
              <w:spacing w:before="40" w:after="40" w:line="240" w:lineRule="exact"/>
              <w:jc w:val="left"/>
              <w:rPr>
                <w:sz w:val="18"/>
                <w:szCs w:val="18"/>
                <w:lang w:val="en-GB" w:eastAsia="en-GB"/>
              </w:rPr>
            </w:pPr>
          </w:p>
        </w:tc>
        <w:tc>
          <w:tcPr>
            <w:tcW w:w="911" w:type="pct"/>
            <w:tcBorders>
              <w:top w:val="nil"/>
              <w:left w:val="nil"/>
              <w:bottom w:val="nil"/>
              <w:right w:val="nil"/>
            </w:tcBorders>
            <w:shd w:val="clear" w:color="auto" w:fill="auto"/>
            <w:noWrap/>
            <w:vAlign w:val="center"/>
            <w:hideMark/>
          </w:tcPr>
          <w:p w14:paraId="379500FF" w14:textId="77777777" w:rsidR="00834B83" w:rsidRPr="005269E6" w:rsidRDefault="00834B83" w:rsidP="0031505F">
            <w:pPr>
              <w:pStyle w:val="Tabletexte"/>
              <w:spacing w:before="40" w:after="40" w:line="240" w:lineRule="exact"/>
              <w:jc w:val="left"/>
              <w:rPr>
                <w:sz w:val="18"/>
                <w:szCs w:val="18"/>
                <w:lang w:val="en-GB" w:eastAsia="en-GB"/>
              </w:rPr>
            </w:pPr>
          </w:p>
        </w:tc>
        <w:tc>
          <w:tcPr>
            <w:tcW w:w="1161" w:type="pct"/>
            <w:tcBorders>
              <w:top w:val="nil"/>
              <w:left w:val="nil"/>
              <w:bottom w:val="nil"/>
              <w:right w:val="nil"/>
            </w:tcBorders>
            <w:shd w:val="clear" w:color="auto" w:fill="auto"/>
            <w:noWrap/>
            <w:vAlign w:val="center"/>
            <w:hideMark/>
          </w:tcPr>
          <w:p w14:paraId="6A53FDE4"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66B39DDA" w14:textId="77777777" w:rsidTr="005C5B84">
        <w:trPr>
          <w:trHeight w:val="499"/>
          <w:jc w:val="center"/>
        </w:trPr>
        <w:tc>
          <w:tcPr>
            <w:tcW w:w="0" w:type="auto"/>
            <w:tcBorders>
              <w:top w:val="nil"/>
              <w:left w:val="nil"/>
              <w:bottom w:val="nil"/>
              <w:right w:val="nil"/>
            </w:tcBorders>
            <w:shd w:val="clear" w:color="000000" w:fill="538DD5"/>
            <w:noWrap/>
            <w:vAlign w:val="center"/>
            <w:hideMark/>
          </w:tcPr>
          <w:p w14:paraId="3ACEF9C7" w14:textId="77777777" w:rsidR="00834B83" w:rsidRPr="005269E6" w:rsidRDefault="00834B83" w:rsidP="005C5B84">
            <w:pPr>
              <w:pStyle w:val="Tabletexte"/>
              <w:spacing w:before="40" w:after="40" w:line="240" w:lineRule="exact"/>
              <w:rPr>
                <w:b/>
                <w:bCs/>
                <w:sz w:val="18"/>
                <w:szCs w:val="18"/>
                <w:lang w:val="en" w:eastAsia="en-GB"/>
              </w:rPr>
            </w:pPr>
            <w:r w:rsidRPr="005269E6">
              <w:rPr>
                <w:b/>
                <w:bCs/>
                <w:sz w:val="18"/>
                <w:szCs w:val="18"/>
                <w:rtl/>
                <w:lang w:val="en-GB" w:eastAsia="en-GB" w:bidi="ar"/>
              </w:rPr>
              <w:t>الفائض</w:t>
            </w:r>
            <w:r w:rsidRPr="005269E6">
              <w:rPr>
                <w:b/>
                <w:bCs/>
                <w:sz w:val="18"/>
                <w:szCs w:val="18"/>
                <w:rtl/>
                <w:lang w:val="en" w:eastAsia="en-GB"/>
              </w:rPr>
              <w:t>/(</w:t>
            </w:r>
            <w:r w:rsidRPr="005269E6">
              <w:rPr>
                <w:b/>
                <w:bCs/>
                <w:sz w:val="18"/>
                <w:szCs w:val="18"/>
                <w:rtl/>
                <w:lang w:val="en-GB" w:eastAsia="en-GB" w:bidi="ar"/>
              </w:rPr>
              <w:t>العجز)</w:t>
            </w:r>
            <w:r w:rsidRPr="005269E6">
              <w:rPr>
                <w:b/>
                <w:bCs/>
                <w:sz w:val="18"/>
                <w:szCs w:val="18"/>
                <w:lang w:val="en" w:eastAsia="en-GB"/>
              </w:rPr>
              <w:t xml:space="preserve"> </w:t>
            </w:r>
            <w:r w:rsidRPr="005269E6">
              <w:rPr>
                <w:b/>
                <w:bCs/>
                <w:sz w:val="18"/>
                <w:szCs w:val="18"/>
                <w:rtl/>
                <w:lang w:val="en-GB" w:eastAsia="en-GB" w:bidi="ar"/>
              </w:rPr>
              <w:t>للفترة</w:t>
            </w:r>
          </w:p>
        </w:tc>
        <w:tc>
          <w:tcPr>
            <w:tcW w:w="470" w:type="pct"/>
            <w:tcBorders>
              <w:top w:val="nil"/>
              <w:left w:val="nil"/>
              <w:bottom w:val="nil"/>
              <w:right w:val="nil"/>
            </w:tcBorders>
            <w:shd w:val="clear" w:color="000000" w:fill="538DD5"/>
            <w:noWrap/>
            <w:vAlign w:val="center"/>
            <w:hideMark/>
          </w:tcPr>
          <w:p w14:paraId="31512BB3"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911" w:type="pct"/>
            <w:tcBorders>
              <w:top w:val="nil"/>
              <w:left w:val="nil"/>
              <w:bottom w:val="nil"/>
              <w:right w:val="nil"/>
            </w:tcBorders>
            <w:shd w:val="clear" w:color="000000" w:fill="538DD5"/>
            <w:noWrap/>
            <w:vAlign w:val="center"/>
            <w:hideMark/>
          </w:tcPr>
          <w:p w14:paraId="120634CB"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(24 442)</w:t>
            </w:r>
          </w:p>
        </w:tc>
        <w:tc>
          <w:tcPr>
            <w:tcW w:w="1161" w:type="pct"/>
            <w:tcBorders>
              <w:top w:val="nil"/>
              <w:left w:val="nil"/>
              <w:bottom w:val="nil"/>
              <w:right w:val="nil"/>
            </w:tcBorders>
            <w:shd w:val="clear" w:color="000000" w:fill="538DD5"/>
            <w:noWrap/>
            <w:vAlign w:val="center"/>
            <w:hideMark/>
          </w:tcPr>
          <w:p w14:paraId="1323FD28"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(13 296)</w:t>
            </w:r>
          </w:p>
        </w:tc>
      </w:tr>
    </w:tbl>
    <w:p w14:paraId="13BBA87D" w14:textId="77777777" w:rsidR="00834B83" w:rsidRPr="005269E6" w:rsidRDefault="00834B83" w:rsidP="00834B83">
      <w:pPr>
        <w:rPr>
          <w:i/>
          <w:iCs/>
          <w:lang w:val="en" w:bidi="ar-SY"/>
        </w:rPr>
      </w:pPr>
      <w:r w:rsidRPr="005269E6">
        <w:rPr>
          <w:i/>
          <w:iCs/>
          <w:rtl/>
          <w:lang w:bidi="ar"/>
        </w:rPr>
        <w:t>تشكل</w:t>
      </w:r>
      <w:r w:rsidRPr="005269E6">
        <w:rPr>
          <w:i/>
          <w:iCs/>
          <w:lang w:val="en" w:bidi="ar-SY"/>
        </w:rPr>
        <w:t xml:space="preserve"> </w:t>
      </w:r>
      <w:r w:rsidRPr="005269E6">
        <w:rPr>
          <w:i/>
          <w:iCs/>
          <w:rtl/>
          <w:lang w:bidi="ar"/>
        </w:rPr>
        <w:t>الملاحظات</w:t>
      </w:r>
      <w:r w:rsidRPr="005269E6">
        <w:rPr>
          <w:i/>
          <w:iCs/>
          <w:lang w:val="en" w:bidi="ar-SY"/>
        </w:rPr>
        <w:t xml:space="preserve"> </w:t>
      </w:r>
      <w:r w:rsidRPr="005269E6">
        <w:rPr>
          <w:i/>
          <w:iCs/>
          <w:rtl/>
          <w:lang w:bidi="ar"/>
        </w:rPr>
        <w:t>المرفقة</w:t>
      </w:r>
      <w:r w:rsidRPr="005269E6">
        <w:rPr>
          <w:i/>
          <w:iCs/>
          <w:lang w:val="en" w:bidi="ar-SY"/>
        </w:rPr>
        <w:t xml:space="preserve"> </w:t>
      </w:r>
      <w:r w:rsidRPr="005269E6">
        <w:rPr>
          <w:i/>
          <w:iCs/>
          <w:rtl/>
          <w:lang w:bidi="ar"/>
        </w:rPr>
        <w:t>جزءا</w:t>
      </w:r>
      <w:r w:rsidRPr="005269E6">
        <w:rPr>
          <w:i/>
          <w:iCs/>
          <w:lang w:val="en" w:bidi="ar-SY"/>
        </w:rPr>
        <w:t xml:space="preserve"> </w:t>
      </w:r>
      <w:r w:rsidRPr="005269E6">
        <w:rPr>
          <w:i/>
          <w:iCs/>
          <w:rtl/>
          <w:lang w:bidi="ar-EG"/>
        </w:rPr>
        <w:t xml:space="preserve">أساسياً </w:t>
      </w:r>
      <w:r w:rsidRPr="005269E6">
        <w:rPr>
          <w:i/>
          <w:iCs/>
          <w:rtl/>
          <w:lang w:bidi="ar"/>
        </w:rPr>
        <w:t>من</w:t>
      </w:r>
      <w:r w:rsidRPr="005269E6">
        <w:rPr>
          <w:i/>
          <w:iCs/>
          <w:lang w:val="en" w:bidi="ar-SY"/>
        </w:rPr>
        <w:t xml:space="preserve"> </w:t>
      </w:r>
      <w:r w:rsidRPr="005269E6">
        <w:rPr>
          <w:i/>
          <w:iCs/>
          <w:rtl/>
          <w:lang w:bidi="ar"/>
        </w:rPr>
        <w:t>هذه</w:t>
      </w:r>
      <w:r w:rsidRPr="005269E6">
        <w:rPr>
          <w:i/>
          <w:iCs/>
          <w:lang w:val="en" w:bidi="ar-SY"/>
        </w:rPr>
        <w:t xml:space="preserve"> </w:t>
      </w:r>
      <w:r w:rsidRPr="005269E6">
        <w:rPr>
          <w:i/>
          <w:iCs/>
          <w:rtl/>
          <w:lang w:bidi="ar"/>
        </w:rPr>
        <w:t>البيانات</w:t>
      </w:r>
      <w:r w:rsidRPr="005269E6">
        <w:rPr>
          <w:i/>
          <w:iCs/>
          <w:lang w:val="en" w:bidi="ar-SY"/>
        </w:rPr>
        <w:t xml:space="preserve"> </w:t>
      </w:r>
      <w:r w:rsidRPr="005269E6">
        <w:rPr>
          <w:i/>
          <w:iCs/>
          <w:rtl/>
          <w:lang w:bidi="ar"/>
        </w:rPr>
        <w:t>المالية</w:t>
      </w:r>
      <w:r w:rsidRPr="005269E6">
        <w:rPr>
          <w:i/>
          <w:iCs/>
          <w:lang w:val="en" w:bidi="ar-SY"/>
        </w:rPr>
        <w:t>.</w:t>
      </w:r>
    </w:p>
    <w:p w14:paraId="213B734B" w14:textId="77777777" w:rsidR="00834B83" w:rsidRPr="005269E6" w:rsidRDefault="00834B83" w:rsidP="00834B83">
      <w:pPr>
        <w:rPr>
          <w:i/>
          <w:iCs/>
          <w:lang w:bidi="ar-SY"/>
        </w:rPr>
      </w:pPr>
      <w:r w:rsidRPr="005269E6">
        <w:rPr>
          <w:i/>
          <w:iCs/>
          <w:rtl/>
          <w:lang w:bidi="ar-SY"/>
        </w:rPr>
        <w:t>ويرجى الرجوع إلى الملاحظة 30 للاطلاع على تفاصيل عن فترة المقارنة المعاد بيانها.</w:t>
      </w:r>
    </w:p>
    <w:p w14:paraId="00C2BA59" w14:textId="77777777" w:rsidR="00834B83" w:rsidRPr="005269E6" w:rsidRDefault="00834B83" w:rsidP="00834B83">
      <w:pPr>
        <w:tabs>
          <w:tab w:val="clear" w:pos="794"/>
        </w:tabs>
        <w:spacing w:before="0" w:after="160" w:line="259" w:lineRule="auto"/>
        <w:jc w:val="left"/>
        <w:rPr>
          <w:i/>
          <w:iCs/>
          <w:lang w:bidi="ar-SY"/>
        </w:rPr>
      </w:pPr>
      <w:r w:rsidRPr="005269E6">
        <w:rPr>
          <w:i/>
          <w:iCs/>
          <w:lang w:bidi="ar-SY"/>
        </w:rPr>
        <w:br w:type="page"/>
      </w:r>
    </w:p>
    <w:p w14:paraId="4973A15A" w14:textId="77777777" w:rsidR="00834B83" w:rsidRPr="005269E6" w:rsidRDefault="00834B83" w:rsidP="00696AA6">
      <w:pPr>
        <w:pStyle w:val="Heading5"/>
        <w:rPr>
          <w:lang w:bidi="ar-SY"/>
        </w:rPr>
      </w:pPr>
      <w:bookmarkStart w:id="72" w:name="_Toc162520615"/>
      <w:r w:rsidRPr="005269E6">
        <w:rPr>
          <w:rtl/>
        </w:rPr>
        <w:lastRenderedPageBreak/>
        <w:t xml:space="preserve">البيان </w:t>
      </w:r>
      <w:r w:rsidRPr="005269E6">
        <w:rPr>
          <w:rtl/>
          <w:lang w:bidi="ar-EG"/>
        </w:rPr>
        <w:t>الثالث</w:t>
      </w:r>
      <w:r w:rsidRPr="005269E6">
        <w:rPr>
          <w:rtl/>
        </w:rPr>
        <w:t>: بيان الاختلافات في صافي الأصول</w:t>
      </w:r>
      <w:bookmarkEnd w:id="72"/>
    </w:p>
    <w:p w14:paraId="7401DC4D" w14:textId="77777777" w:rsidR="00834B83" w:rsidRPr="005269E6" w:rsidRDefault="00834B83" w:rsidP="00834B83">
      <w:pPr>
        <w:rPr>
          <w:lang w:bidi="ar-SY"/>
        </w:rPr>
      </w:pPr>
      <w:r w:rsidRPr="005269E6">
        <w:rPr>
          <w:rtl/>
        </w:rPr>
        <w:t>للسنة المنتهية في 31 ديسمبر 2022</w:t>
      </w:r>
    </w:p>
    <w:p w14:paraId="066D5CC7" w14:textId="77777777" w:rsidR="00834B83" w:rsidRPr="005269E6" w:rsidRDefault="00834B83" w:rsidP="0024641A">
      <w:pPr>
        <w:spacing w:after="120"/>
        <w:rPr>
          <w:lang w:bidi="ar-SY"/>
        </w:rPr>
      </w:pPr>
      <w:r w:rsidRPr="005269E6">
        <w:rPr>
          <w:rtl/>
        </w:rPr>
        <w:t>(بآلاف الفرنكات السويسرية)</w:t>
      </w:r>
    </w:p>
    <w:tbl>
      <w:tblPr>
        <w:bidiVisual/>
        <w:tblW w:w="4963" w:type="pct"/>
        <w:jc w:val="center"/>
        <w:tblLayout w:type="fixed"/>
        <w:tblCellMar>
          <w:left w:w="28" w:type="dxa"/>
          <w:right w:w="28" w:type="dxa"/>
        </w:tblCellMar>
        <w:tblLook w:val="04A0" w:firstRow="1" w:lastRow="0" w:firstColumn="1" w:lastColumn="0" w:noHBand="0" w:noVBand="1"/>
      </w:tblPr>
      <w:tblGrid>
        <w:gridCol w:w="1597"/>
        <w:gridCol w:w="1103"/>
        <w:gridCol w:w="1103"/>
        <w:gridCol w:w="1103"/>
        <w:gridCol w:w="1682"/>
        <w:gridCol w:w="1550"/>
        <w:gridCol w:w="1420"/>
      </w:tblGrid>
      <w:tr w:rsidR="00834B83" w:rsidRPr="005269E6" w14:paraId="1A38C144" w14:textId="77777777" w:rsidTr="005C5B84">
        <w:trPr>
          <w:trHeight w:val="765"/>
          <w:jc w:val="center"/>
        </w:trPr>
        <w:tc>
          <w:tcPr>
            <w:tcW w:w="835" w:type="pct"/>
            <w:tcBorders>
              <w:top w:val="single" w:sz="4" w:space="0" w:color="000000"/>
              <w:left w:val="single" w:sz="4" w:space="0" w:color="000000"/>
              <w:bottom w:val="nil"/>
              <w:right w:val="single" w:sz="4" w:space="0" w:color="000000"/>
            </w:tcBorders>
            <w:shd w:val="clear" w:color="000000" w:fill="538DD5"/>
            <w:noWrap/>
            <w:vAlign w:val="center"/>
            <w:hideMark/>
          </w:tcPr>
          <w:p w14:paraId="2C8CF9DD" w14:textId="77777777" w:rsidR="00834B83" w:rsidRPr="005269E6" w:rsidRDefault="00834B83" w:rsidP="005C5B84">
            <w:pPr>
              <w:tabs>
                <w:tab w:val="clear" w:pos="794"/>
              </w:tabs>
              <w:spacing w:before="40" w:after="40" w:line="240" w:lineRule="exact"/>
              <w:jc w:val="center"/>
              <w:rPr>
                <w:rFonts w:eastAsia="Times New Roman"/>
                <w:b/>
                <w:bCs/>
                <w:color w:val="000000"/>
                <w:sz w:val="18"/>
                <w:szCs w:val="18"/>
                <w:lang w:eastAsia="en-GB"/>
              </w:rPr>
            </w:pPr>
            <w:r w:rsidRPr="005269E6">
              <w:rPr>
                <w:rFonts w:eastAsia="Times New Roman"/>
                <w:b/>
                <w:bCs/>
                <w:color w:val="000000"/>
                <w:sz w:val="18"/>
                <w:szCs w:val="18"/>
                <w:rtl/>
                <w:lang w:val="en-GB" w:eastAsia="en-GB" w:bidi="ar-SY"/>
              </w:rPr>
              <w:t>وصف</w:t>
            </w:r>
          </w:p>
        </w:tc>
        <w:tc>
          <w:tcPr>
            <w:tcW w:w="577" w:type="pct"/>
            <w:tcBorders>
              <w:top w:val="single" w:sz="4" w:space="0" w:color="000000"/>
              <w:left w:val="nil"/>
              <w:bottom w:val="nil"/>
              <w:right w:val="single" w:sz="4" w:space="0" w:color="000000"/>
            </w:tcBorders>
            <w:shd w:val="clear" w:color="000000" w:fill="538DD5"/>
            <w:vAlign w:val="center"/>
            <w:hideMark/>
          </w:tcPr>
          <w:p w14:paraId="375A5646" w14:textId="77777777" w:rsidR="00834B83" w:rsidRPr="005269E6" w:rsidRDefault="00834B83" w:rsidP="005C5B84">
            <w:pPr>
              <w:spacing w:before="40" w:after="40" w:line="240" w:lineRule="exact"/>
              <w:jc w:val="center"/>
              <w:rPr>
                <w:rFonts w:eastAsia="Times New Roman"/>
                <w:b/>
                <w:bCs/>
                <w:color w:val="000000"/>
                <w:sz w:val="18"/>
                <w:szCs w:val="18"/>
                <w:lang w:val="en-GB" w:eastAsia="en-GB" w:bidi="ar-SY"/>
              </w:rPr>
            </w:pPr>
            <w:r w:rsidRPr="005269E6">
              <w:rPr>
                <w:rFonts w:eastAsia="Times New Roman"/>
                <w:b/>
                <w:bCs/>
                <w:color w:val="000000"/>
                <w:sz w:val="18"/>
                <w:szCs w:val="18"/>
                <w:rtl/>
                <w:lang w:val="en-GB" w:eastAsia="en-GB" w:bidi="ar-SY"/>
              </w:rPr>
              <w:t>حساب احتياطي الاتحاد</w:t>
            </w:r>
          </w:p>
        </w:tc>
        <w:tc>
          <w:tcPr>
            <w:tcW w:w="577" w:type="pct"/>
            <w:tcBorders>
              <w:top w:val="single" w:sz="4" w:space="0" w:color="000000"/>
              <w:left w:val="nil"/>
              <w:bottom w:val="nil"/>
              <w:right w:val="single" w:sz="4" w:space="0" w:color="000000"/>
            </w:tcBorders>
            <w:shd w:val="clear" w:color="000000" w:fill="538DD5"/>
            <w:vAlign w:val="center"/>
            <w:hideMark/>
          </w:tcPr>
          <w:p w14:paraId="1FAC7DBE" w14:textId="77777777" w:rsidR="00834B83" w:rsidRPr="005269E6" w:rsidRDefault="00834B83" w:rsidP="005C5B84">
            <w:pPr>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bidi="ar-SY"/>
              </w:rPr>
              <w:t>الاحتياطيات والأموال الأخرى</w:t>
            </w:r>
          </w:p>
        </w:tc>
        <w:tc>
          <w:tcPr>
            <w:tcW w:w="577" w:type="pct"/>
            <w:tcBorders>
              <w:top w:val="single" w:sz="4" w:space="0" w:color="000000"/>
              <w:left w:val="nil"/>
              <w:bottom w:val="nil"/>
              <w:right w:val="single" w:sz="4" w:space="0" w:color="000000"/>
            </w:tcBorders>
            <w:shd w:val="clear" w:color="000000" w:fill="538DD5"/>
            <w:vAlign w:val="center"/>
            <w:hideMark/>
          </w:tcPr>
          <w:p w14:paraId="3760B259" w14:textId="77777777" w:rsidR="00834B83" w:rsidRPr="005269E6" w:rsidRDefault="00834B83" w:rsidP="005C5B8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bidi="ar-SY"/>
              </w:rPr>
              <w:t>الأموال الخارجة عن الميزانية</w:t>
            </w:r>
          </w:p>
        </w:tc>
        <w:tc>
          <w:tcPr>
            <w:tcW w:w="880" w:type="pct"/>
            <w:tcBorders>
              <w:top w:val="single" w:sz="4" w:space="0" w:color="000000"/>
              <w:left w:val="nil"/>
              <w:bottom w:val="nil"/>
              <w:right w:val="single" w:sz="4" w:space="0" w:color="000000"/>
            </w:tcBorders>
            <w:shd w:val="clear" w:color="000000" w:fill="538DD5"/>
            <w:vAlign w:val="center"/>
            <w:hideMark/>
          </w:tcPr>
          <w:p w14:paraId="13A6CF62" w14:textId="7A08E90A" w:rsidR="00834B83" w:rsidRPr="005269E6" w:rsidRDefault="00834B83" w:rsidP="005C5B8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bidi="ar-SY"/>
              </w:rPr>
              <w:t>مكاسب/(خسائر) التأمين الصحي بعد انتهاء الخدمة ال</w:t>
            </w:r>
            <w:r w:rsidR="0059394B" w:rsidRPr="005269E6">
              <w:rPr>
                <w:rFonts w:eastAsia="Times New Roman"/>
                <w:b/>
                <w:bCs/>
                <w:color w:val="000000"/>
                <w:sz w:val="18"/>
                <w:szCs w:val="18"/>
                <w:rtl/>
                <w:lang w:val="en-GB" w:eastAsia="en-GB" w:bidi="ar-SY"/>
              </w:rPr>
              <w:t>إكتواري</w:t>
            </w:r>
            <w:r w:rsidRPr="005269E6">
              <w:rPr>
                <w:rFonts w:eastAsia="Times New Roman"/>
                <w:b/>
                <w:bCs/>
                <w:color w:val="000000"/>
                <w:sz w:val="18"/>
                <w:szCs w:val="18"/>
                <w:rtl/>
                <w:lang w:val="en-GB" w:eastAsia="en-GB" w:bidi="ar-SY"/>
              </w:rPr>
              <w:t>ة</w:t>
            </w:r>
          </w:p>
        </w:tc>
        <w:tc>
          <w:tcPr>
            <w:tcW w:w="811" w:type="pct"/>
            <w:tcBorders>
              <w:top w:val="single" w:sz="4" w:space="0" w:color="000000"/>
              <w:left w:val="nil"/>
              <w:bottom w:val="nil"/>
              <w:right w:val="single" w:sz="4" w:space="0" w:color="000000"/>
            </w:tcBorders>
            <w:shd w:val="clear" w:color="000000" w:fill="538DD5"/>
            <w:vAlign w:val="center"/>
            <w:hideMark/>
          </w:tcPr>
          <w:p w14:paraId="016EAE49" w14:textId="77777777" w:rsidR="00834B83" w:rsidRPr="005269E6" w:rsidRDefault="00834B83" w:rsidP="005C5B8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bidi="ar-SY"/>
              </w:rPr>
              <w:t>الفوائض/(العُجوزات)</w:t>
            </w:r>
            <w:r w:rsidRPr="005269E6">
              <w:rPr>
                <w:rFonts w:eastAsia="Times New Roman"/>
                <w:b/>
                <w:bCs/>
                <w:color w:val="000000"/>
                <w:sz w:val="18"/>
                <w:szCs w:val="18"/>
                <w:rtl/>
                <w:lang w:val="en-GB" w:eastAsia="en-GB"/>
              </w:rPr>
              <w:t xml:space="preserve"> </w:t>
            </w:r>
            <w:r w:rsidRPr="005269E6">
              <w:rPr>
                <w:rFonts w:eastAsia="Times New Roman"/>
                <w:b/>
                <w:bCs/>
                <w:color w:val="000000"/>
                <w:sz w:val="18"/>
                <w:szCs w:val="18"/>
                <w:rtl/>
                <w:lang w:val="en-GB" w:eastAsia="en-GB" w:bidi="ar-SY"/>
              </w:rPr>
              <w:t>المتراكمة</w:t>
            </w:r>
          </w:p>
        </w:tc>
        <w:tc>
          <w:tcPr>
            <w:tcW w:w="744" w:type="pct"/>
            <w:tcBorders>
              <w:top w:val="single" w:sz="4" w:space="0" w:color="000000"/>
              <w:left w:val="nil"/>
              <w:bottom w:val="nil"/>
              <w:right w:val="single" w:sz="4" w:space="0" w:color="000000"/>
            </w:tcBorders>
            <w:shd w:val="clear" w:color="000000" w:fill="538DD5"/>
            <w:vAlign w:val="center"/>
            <w:hideMark/>
          </w:tcPr>
          <w:p w14:paraId="0E20C52B" w14:textId="77777777" w:rsidR="00834B83" w:rsidRPr="005269E6" w:rsidRDefault="00834B83" w:rsidP="005C5B8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bidi="ar-SY"/>
              </w:rPr>
              <w:t>مجمل صافي الأصول</w:t>
            </w:r>
          </w:p>
        </w:tc>
      </w:tr>
      <w:tr w:rsidR="00834B83" w:rsidRPr="005269E6" w14:paraId="0E53BD68" w14:textId="77777777" w:rsidTr="005C5B84">
        <w:trPr>
          <w:jc w:val="center"/>
        </w:trPr>
        <w:tc>
          <w:tcPr>
            <w:tcW w:w="835" w:type="pct"/>
            <w:tcBorders>
              <w:top w:val="nil"/>
              <w:left w:val="single" w:sz="4" w:space="0" w:color="000000"/>
              <w:bottom w:val="nil"/>
              <w:right w:val="single" w:sz="4" w:space="0" w:color="000000"/>
            </w:tcBorders>
            <w:shd w:val="clear" w:color="auto" w:fill="auto"/>
            <w:vAlign w:val="center"/>
            <w:hideMark/>
          </w:tcPr>
          <w:p w14:paraId="0E5B06FD" w14:textId="77777777" w:rsidR="00834B83" w:rsidRPr="005269E6" w:rsidRDefault="00834B83" w:rsidP="005C5B8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1 يناير 2021</w:t>
            </w:r>
          </w:p>
        </w:tc>
        <w:tc>
          <w:tcPr>
            <w:tcW w:w="577" w:type="pct"/>
            <w:tcBorders>
              <w:top w:val="nil"/>
              <w:left w:val="nil"/>
              <w:bottom w:val="nil"/>
              <w:right w:val="single" w:sz="4" w:space="0" w:color="000000"/>
            </w:tcBorders>
            <w:shd w:val="clear" w:color="auto" w:fill="auto"/>
            <w:noWrap/>
            <w:vAlign w:val="center"/>
            <w:hideMark/>
          </w:tcPr>
          <w:p w14:paraId="5527D95C"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25 802</w:t>
            </w:r>
          </w:p>
        </w:tc>
        <w:tc>
          <w:tcPr>
            <w:tcW w:w="577" w:type="pct"/>
            <w:tcBorders>
              <w:top w:val="nil"/>
              <w:left w:val="nil"/>
              <w:bottom w:val="nil"/>
              <w:right w:val="single" w:sz="4" w:space="0" w:color="000000"/>
            </w:tcBorders>
            <w:shd w:val="clear" w:color="auto" w:fill="auto"/>
            <w:noWrap/>
            <w:vAlign w:val="center"/>
            <w:hideMark/>
          </w:tcPr>
          <w:p w14:paraId="74CA7E84"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61 225</w:t>
            </w:r>
          </w:p>
        </w:tc>
        <w:tc>
          <w:tcPr>
            <w:tcW w:w="577" w:type="pct"/>
            <w:tcBorders>
              <w:top w:val="nil"/>
              <w:left w:val="nil"/>
              <w:bottom w:val="nil"/>
              <w:right w:val="single" w:sz="4" w:space="0" w:color="000000"/>
            </w:tcBorders>
            <w:shd w:val="clear" w:color="auto" w:fill="auto"/>
            <w:noWrap/>
            <w:vAlign w:val="center"/>
            <w:hideMark/>
          </w:tcPr>
          <w:p w14:paraId="17647941"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10 383</w:t>
            </w:r>
          </w:p>
        </w:tc>
        <w:tc>
          <w:tcPr>
            <w:tcW w:w="880" w:type="pct"/>
            <w:tcBorders>
              <w:top w:val="nil"/>
              <w:left w:val="nil"/>
              <w:bottom w:val="nil"/>
              <w:right w:val="single" w:sz="4" w:space="0" w:color="000000"/>
            </w:tcBorders>
            <w:shd w:val="clear" w:color="auto" w:fill="auto"/>
            <w:noWrap/>
            <w:vAlign w:val="center"/>
            <w:hideMark/>
          </w:tcPr>
          <w:p w14:paraId="048C6A4A"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(263 101)</w:t>
            </w:r>
          </w:p>
        </w:tc>
        <w:tc>
          <w:tcPr>
            <w:tcW w:w="811" w:type="pct"/>
            <w:tcBorders>
              <w:top w:val="nil"/>
              <w:left w:val="nil"/>
              <w:bottom w:val="nil"/>
              <w:right w:val="single" w:sz="4" w:space="0" w:color="000000"/>
            </w:tcBorders>
            <w:shd w:val="clear" w:color="auto" w:fill="auto"/>
            <w:noWrap/>
            <w:vAlign w:val="center"/>
            <w:hideMark/>
          </w:tcPr>
          <w:p w14:paraId="19D64ACA"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(334 880)</w:t>
            </w:r>
          </w:p>
        </w:tc>
        <w:tc>
          <w:tcPr>
            <w:tcW w:w="744" w:type="pct"/>
            <w:tcBorders>
              <w:top w:val="nil"/>
              <w:left w:val="nil"/>
              <w:bottom w:val="nil"/>
              <w:right w:val="single" w:sz="4" w:space="0" w:color="000000"/>
            </w:tcBorders>
            <w:shd w:val="clear" w:color="auto" w:fill="auto"/>
            <w:noWrap/>
            <w:vAlign w:val="center"/>
            <w:hideMark/>
          </w:tcPr>
          <w:p w14:paraId="4CFFD9CF"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(500 571)</w:t>
            </w:r>
          </w:p>
        </w:tc>
      </w:tr>
      <w:tr w:rsidR="00834B83" w:rsidRPr="005269E6" w14:paraId="436DA371" w14:textId="77777777" w:rsidTr="005C5B84">
        <w:trPr>
          <w:trHeight w:val="300"/>
          <w:jc w:val="center"/>
        </w:trPr>
        <w:tc>
          <w:tcPr>
            <w:tcW w:w="835" w:type="pct"/>
            <w:tcBorders>
              <w:top w:val="nil"/>
              <w:left w:val="single" w:sz="4" w:space="0" w:color="000000"/>
              <w:bottom w:val="nil"/>
              <w:right w:val="single" w:sz="4" w:space="0" w:color="000000"/>
            </w:tcBorders>
            <w:shd w:val="clear" w:color="auto" w:fill="auto"/>
            <w:vAlign w:val="center"/>
            <w:hideMark/>
          </w:tcPr>
          <w:p w14:paraId="3D960524" w14:textId="77777777" w:rsidR="00834B83" w:rsidRPr="005269E6" w:rsidRDefault="00834B83" w:rsidP="005C5B8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bidi="ar-SY"/>
              </w:rPr>
              <w:t>إعادة بيان</w:t>
            </w:r>
          </w:p>
        </w:tc>
        <w:tc>
          <w:tcPr>
            <w:tcW w:w="577" w:type="pct"/>
            <w:tcBorders>
              <w:top w:val="nil"/>
              <w:left w:val="nil"/>
              <w:bottom w:val="nil"/>
              <w:right w:val="single" w:sz="4" w:space="0" w:color="000000"/>
            </w:tcBorders>
            <w:shd w:val="clear" w:color="auto" w:fill="auto"/>
            <w:noWrap/>
            <w:vAlign w:val="center"/>
            <w:hideMark/>
          </w:tcPr>
          <w:p w14:paraId="3F4FFF0F"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3 542</w:t>
            </w:r>
          </w:p>
        </w:tc>
        <w:tc>
          <w:tcPr>
            <w:tcW w:w="577" w:type="pct"/>
            <w:tcBorders>
              <w:top w:val="nil"/>
              <w:left w:val="nil"/>
              <w:bottom w:val="nil"/>
              <w:right w:val="single" w:sz="4" w:space="0" w:color="000000"/>
            </w:tcBorders>
            <w:shd w:val="clear" w:color="auto" w:fill="auto"/>
            <w:noWrap/>
            <w:vAlign w:val="center"/>
            <w:hideMark/>
          </w:tcPr>
          <w:p w14:paraId="7AF8B923"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(1 829)</w:t>
            </w:r>
          </w:p>
        </w:tc>
        <w:tc>
          <w:tcPr>
            <w:tcW w:w="577" w:type="pct"/>
            <w:tcBorders>
              <w:top w:val="nil"/>
              <w:left w:val="nil"/>
              <w:bottom w:val="nil"/>
              <w:right w:val="single" w:sz="4" w:space="0" w:color="000000"/>
            </w:tcBorders>
            <w:shd w:val="clear" w:color="auto" w:fill="auto"/>
            <w:noWrap/>
            <w:vAlign w:val="center"/>
            <w:hideMark/>
          </w:tcPr>
          <w:p w14:paraId="32E379FD"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8 008</w:t>
            </w:r>
          </w:p>
        </w:tc>
        <w:tc>
          <w:tcPr>
            <w:tcW w:w="880" w:type="pct"/>
            <w:tcBorders>
              <w:top w:val="nil"/>
              <w:left w:val="nil"/>
              <w:bottom w:val="nil"/>
              <w:right w:val="single" w:sz="4" w:space="0" w:color="000000"/>
            </w:tcBorders>
            <w:shd w:val="clear" w:color="auto" w:fill="auto"/>
            <w:noWrap/>
            <w:vAlign w:val="center"/>
            <w:hideMark/>
          </w:tcPr>
          <w:p w14:paraId="5BCBA591"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(4 473)</w:t>
            </w:r>
          </w:p>
        </w:tc>
        <w:tc>
          <w:tcPr>
            <w:tcW w:w="811" w:type="pct"/>
            <w:tcBorders>
              <w:top w:val="nil"/>
              <w:left w:val="nil"/>
              <w:bottom w:val="nil"/>
              <w:right w:val="single" w:sz="4" w:space="0" w:color="000000"/>
            </w:tcBorders>
            <w:shd w:val="clear" w:color="auto" w:fill="auto"/>
            <w:noWrap/>
            <w:vAlign w:val="center"/>
            <w:hideMark/>
          </w:tcPr>
          <w:p w14:paraId="2E9B9088"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(4 751)</w:t>
            </w:r>
          </w:p>
        </w:tc>
        <w:tc>
          <w:tcPr>
            <w:tcW w:w="744" w:type="pct"/>
            <w:tcBorders>
              <w:top w:val="nil"/>
              <w:left w:val="nil"/>
              <w:bottom w:val="nil"/>
              <w:right w:val="single" w:sz="4" w:space="0" w:color="000000"/>
            </w:tcBorders>
            <w:shd w:val="clear" w:color="auto" w:fill="auto"/>
            <w:noWrap/>
            <w:vAlign w:val="center"/>
            <w:hideMark/>
          </w:tcPr>
          <w:p w14:paraId="2104779E"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497</w:t>
            </w:r>
          </w:p>
        </w:tc>
      </w:tr>
      <w:tr w:rsidR="00834B83" w:rsidRPr="005269E6" w14:paraId="3F0575E1" w14:textId="77777777" w:rsidTr="005C5B84">
        <w:trPr>
          <w:trHeight w:val="522"/>
          <w:jc w:val="center"/>
        </w:trPr>
        <w:tc>
          <w:tcPr>
            <w:tcW w:w="835" w:type="pct"/>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02404FC" w14:textId="77777777" w:rsidR="00834B83" w:rsidRPr="005269E6" w:rsidRDefault="00834B83" w:rsidP="005C5B8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1 يناير 2021 (بإعادة بيان)</w:t>
            </w:r>
          </w:p>
        </w:tc>
        <w:tc>
          <w:tcPr>
            <w:tcW w:w="577" w:type="pct"/>
            <w:tcBorders>
              <w:top w:val="single" w:sz="4" w:space="0" w:color="000000"/>
              <w:left w:val="nil"/>
              <w:bottom w:val="single" w:sz="4" w:space="0" w:color="000000"/>
              <w:right w:val="single" w:sz="4" w:space="0" w:color="000000"/>
            </w:tcBorders>
            <w:shd w:val="clear" w:color="000000" w:fill="DCE6F1"/>
            <w:noWrap/>
            <w:vAlign w:val="center"/>
            <w:hideMark/>
          </w:tcPr>
          <w:p w14:paraId="60E016B4"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29 344</w:t>
            </w:r>
          </w:p>
        </w:tc>
        <w:tc>
          <w:tcPr>
            <w:tcW w:w="577" w:type="pct"/>
            <w:tcBorders>
              <w:top w:val="single" w:sz="4" w:space="0" w:color="000000"/>
              <w:left w:val="nil"/>
              <w:bottom w:val="single" w:sz="4" w:space="0" w:color="000000"/>
              <w:right w:val="single" w:sz="4" w:space="0" w:color="000000"/>
            </w:tcBorders>
            <w:shd w:val="clear" w:color="000000" w:fill="DCE6F1"/>
            <w:noWrap/>
            <w:vAlign w:val="center"/>
            <w:hideMark/>
          </w:tcPr>
          <w:p w14:paraId="0FD3EB75"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59 396</w:t>
            </w:r>
          </w:p>
        </w:tc>
        <w:tc>
          <w:tcPr>
            <w:tcW w:w="577" w:type="pct"/>
            <w:tcBorders>
              <w:top w:val="single" w:sz="4" w:space="0" w:color="000000"/>
              <w:left w:val="nil"/>
              <w:bottom w:val="single" w:sz="4" w:space="0" w:color="000000"/>
              <w:right w:val="single" w:sz="4" w:space="0" w:color="000000"/>
            </w:tcBorders>
            <w:shd w:val="clear" w:color="000000" w:fill="DCE6F1"/>
            <w:noWrap/>
            <w:vAlign w:val="center"/>
            <w:hideMark/>
          </w:tcPr>
          <w:p w14:paraId="4FFCA8D7"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18 391</w:t>
            </w:r>
          </w:p>
        </w:tc>
        <w:tc>
          <w:tcPr>
            <w:tcW w:w="880" w:type="pct"/>
            <w:tcBorders>
              <w:top w:val="single" w:sz="4" w:space="0" w:color="000000"/>
              <w:left w:val="nil"/>
              <w:bottom w:val="single" w:sz="4" w:space="0" w:color="000000"/>
              <w:right w:val="single" w:sz="4" w:space="0" w:color="000000"/>
            </w:tcBorders>
            <w:shd w:val="clear" w:color="000000" w:fill="DCE6F1"/>
            <w:noWrap/>
            <w:vAlign w:val="center"/>
            <w:hideMark/>
          </w:tcPr>
          <w:p w14:paraId="2AE628EF"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(267 574)</w:t>
            </w:r>
          </w:p>
        </w:tc>
        <w:tc>
          <w:tcPr>
            <w:tcW w:w="811" w:type="pct"/>
            <w:tcBorders>
              <w:top w:val="single" w:sz="4" w:space="0" w:color="000000"/>
              <w:left w:val="nil"/>
              <w:bottom w:val="single" w:sz="4" w:space="0" w:color="000000"/>
              <w:right w:val="single" w:sz="4" w:space="0" w:color="000000"/>
            </w:tcBorders>
            <w:shd w:val="clear" w:color="000000" w:fill="DCE6F1"/>
            <w:noWrap/>
            <w:vAlign w:val="center"/>
            <w:hideMark/>
          </w:tcPr>
          <w:p w14:paraId="5ABD10B8"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(339 631)</w:t>
            </w:r>
          </w:p>
        </w:tc>
        <w:tc>
          <w:tcPr>
            <w:tcW w:w="744" w:type="pct"/>
            <w:tcBorders>
              <w:top w:val="single" w:sz="4" w:space="0" w:color="000000"/>
              <w:left w:val="nil"/>
              <w:bottom w:val="single" w:sz="4" w:space="0" w:color="000000"/>
              <w:right w:val="single" w:sz="4" w:space="0" w:color="000000"/>
            </w:tcBorders>
            <w:shd w:val="clear" w:color="000000" w:fill="DCE6F1"/>
            <w:noWrap/>
            <w:vAlign w:val="center"/>
            <w:hideMark/>
          </w:tcPr>
          <w:p w14:paraId="22375004"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(500 074)</w:t>
            </w:r>
          </w:p>
        </w:tc>
      </w:tr>
      <w:tr w:rsidR="00834B83" w:rsidRPr="005269E6" w14:paraId="6867F0C7" w14:textId="77777777" w:rsidTr="005C5B84">
        <w:trPr>
          <w:trHeight w:val="540"/>
          <w:jc w:val="center"/>
        </w:trPr>
        <w:tc>
          <w:tcPr>
            <w:tcW w:w="835" w:type="pct"/>
            <w:tcBorders>
              <w:top w:val="nil"/>
              <w:left w:val="single" w:sz="4" w:space="0" w:color="000000"/>
              <w:bottom w:val="nil"/>
              <w:right w:val="single" w:sz="4" w:space="0" w:color="000000"/>
            </w:tcBorders>
            <w:shd w:val="clear" w:color="auto" w:fill="auto"/>
            <w:vAlign w:val="center"/>
            <w:hideMark/>
          </w:tcPr>
          <w:p w14:paraId="4F881D11" w14:textId="77777777" w:rsidR="00834B83" w:rsidRPr="005269E6" w:rsidRDefault="00834B83" w:rsidP="005C5B84">
            <w:pPr>
              <w:spacing w:before="40" w:after="40" w:line="240" w:lineRule="exact"/>
              <w:jc w:val="left"/>
              <w:rPr>
                <w:rFonts w:eastAsia="Times New Roman"/>
                <w:color w:val="000000"/>
                <w:sz w:val="18"/>
                <w:szCs w:val="18"/>
                <w:lang w:val="en-GB" w:eastAsia="en-GB" w:bidi="ar-SY"/>
              </w:rPr>
            </w:pPr>
            <w:r w:rsidRPr="005269E6">
              <w:rPr>
                <w:rFonts w:eastAsia="Times New Roman"/>
                <w:color w:val="000000"/>
                <w:sz w:val="18"/>
                <w:szCs w:val="18"/>
                <w:rtl/>
                <w:lang w:val="en-GB" w:eastAsia="en-GB" w:bidi="ar-SY"/>
              </w:rPr>
              <w:t>الفائض/(العجز) لعام 2021 (معاد</w:t>
            </w:r>
            <w:r w:rsidRPr="005269E6">
              <w:rPr>
                <w:rFonts w:eastAsia="Times New Roman"/>
                <w:color w:val="000000"/>
                <w:sz w:val="18"/>
                <w:szCs w:val="18"/>
                <w:rtl/>
                <w:lang w:val="en-GB" w:eastAsia="en-GB" w:bidi="ar-EG"/>
              </w:rPr>
              <w:t> </w:t>
            </w:r>
            <w:r w:rsidRPr="005269E6">
              <w:rPr>
                <w:rFonts w:eastAsia="Times New Roman"/>
                <w:color w:val="000000"/>
                <w:sz w:val="18"/>
                <w:szCs w:val="18"/>
                <w:rtl/>
                <w:lang w:val="en-GB" w:eastAsia="en-GB" w:bidi="ar-SY"/>
              </w:rPr>
              <w:t>بيانه)</w:t>
            </w:r>
          </w:p>
        </w:tc>
        <w:tc>
          <w:tcPr>
            <w:tcW w:w="577" w:type="pct"/>
            <w:tcBorders>
              <w:top w:val="nil"/>
              <w:left w:val="nil"/>
              <w:bottom w:val="nil"/>
              <w:right w:val="single" w:sz="4" w:space="0" w:color="000000"/>
            </w:tcBorders>
            <w:shd w:val="clear" w:color="auto" w:fill="auto"/>
            <w:noWrap/>
            <w:vAlign w:val="center"/>
            <w:hideMark/>
          </w:tcPr>
          <w:p w14:paraId="33CFF755"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44</w:t>
            </w:r>
          </w:p>
        </w:tc>
        <w:tc>
          <w:tcPr>
            <w:tcW w:w="577" w:type="pct"/>
            <w:tcBorders>
              <w:top w:val="nil"/>
              <w:left w:val="nil"/>
              <w:bottom w:val="nil"/>
              <w:right w:val="single" w:sz="4" w:space="0" w:color="000000"/>
            </w:tcBorders>
            <w:shd w:val="clear" w:color="auto" w:fill="auto"/>
            <w:noWrap/>
            <w:vAlign w:val="center"/>
            <w:hideMark/>
          </w:tcPr>
          <w:p w14:paraId="4C504FC5"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8 667</w:t>
            </w:r>
          </w:p>
        </w:tc>
        <w:tc>
          <w:tcPr>
            <w:tcW w:w="577" w:type="pct"/>
            <w:tcBorders>
              <w:top w:val="nil"/>
              <w:left w:val="nil"/>
              <w:bottom w:val="nil"/>
              <w:right w:val="single" w:sz="4" w:space="0" w:color="000000"/>
            </w:tcBorders>
            <w:shd w:val="clear" w:color="auto" w:fill="auto"/>
            <w:noWrap/>
            <w:vAlign w:val="center"/>
            <w:hideMark/>
          </w:tcPr>
          <w:p w14:paraId="401114E1"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(1 770)</w:t>
            </w:r>
          </w:p>
        </w:tc>
        <w:tc>
          <w:tcPr>
            <w:tcW w:w="880" w:type="pct"/>
            <w:tcBorders>
              <w:top w:val="nil"/>
              <w:left w:val="nil"/>
              <w:bottom w:val="nil"/>
              <w:right w:val="single" w:sz="4" w:space="0" w:color="000000"/>
            </w:tcBorders>
            <w:shd w:val="clear" w:color="auto" w:fill="auto"/>
            <w:noWrap/>
            <w:vAlign w:val="center"/>
            <w:hideMark/>
          </w:tcPr>
          <w:p w14:paraId="6A5ACD2F"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811" w:type="pct"/>
            <w:tcBorders>
              <w:top w:val="nil"/>
              <w:left w:val="nil"/>
              <w:bottom w:val="nil"/>
              <w:right w:val="single" w:sz="4" w:space="0" w:color="000000"/>
            </w:tcBorders>
            <w:shd w:val="clear" w:color="auto" w:fill="auto"/>
            <w:noWrap/>
            <w:vAlign w:val="center"/>
            <w:hideMark/>
          </w:tcPr>
          <w:p w14:paraId="387E6EEC"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(20 238)</w:t>
            </w:r>
          </w:p>
        </w:tc>
        <w:tc>
          <w:tcPr>
            <w:tcW w:w="744" w:type="pct"/>
            <w:tcBorders>
              <w:top w:val="nil"/>
              <w:left w:val="nil"/>
              <w:bottom w:val="nil"/>
              <w:right w:val="single" w:sz="4" w:space="0" w:color="000000"/>
            </w:tcBorders>
            <w:shd w:val="clear" w:color="auto" w:fill="auto"/>
            <w:noWrap/>
            <w:vAlign w:val="center"/>
            <w:hideMark/>
          </w:tcPr>
          <w:p w14:paraId="65722E52"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(13 297)</w:t>
            </w:r>
          </w:p>
        </w:tc>
      </w:tr>
      <w:tr w:rsidR="00834B83" w:rsidRPr="005269E6" w14:paraId="57E16005" w14:textId="77777777" w:rsidTr="005C5B84">
        <w:trPr>
          <w:trHeight w:val="300"/>
          <w:jc w:val="center"/>
        </w:trPr>
        <w:tc>
          <w:tcPr>
            <w:tcW w:w="835" w:type="pct"/>
            <w:tcBorders>
              <w:top w:val="nil"/>
              <w:left w:val="single" w:sz="4" w:space="0" w:color="000000"/>
              <w:bottom w:val="nil"/>
              <w:right w:val="single" w:sz="4" w:space="0" w:color="000000"/>
            </w:tcBorders>
            <w:shd w:val="clear" w:color="auto" w:fill="auto"/>
            <w:vAlign w:val="center"/>
            <w:hideMark/>
          </w:tcPr>
          <w:p w14:paraId="768CFF32" w14:textId="77777777" w:rsidR="00834B83" w:rsidRPr="005269E6" w:rsidRDefault="00834B83" w:rsidP="005C5B84">
            <w:pPr>
              <w:spacing w:before="40" w:after="40" w:line="240" w:lineRule="exact"/>
              <w:jc w:val="left"/>
              <w:rPr>
                <w:rFonts w:eastAsia="Times New Roman"/>
                <w:color w:val="000000"/>
                <w:sz w:val="18"/>
                <w:szCs w:val="18"/>
                <w:lang w:val="en-GB" w:eastAsia="en-GB" w:bidi="ar-SY"/>
              </w:rPr>
            </w:pPr>
            <w:r w:rsidRPr="005269E6">
              <w:rPr>
                <w:rFonts w:eastAsia="Times New Roman"/>
                <w:color w:val="000000"/>
                <w:sz w:val="18"/>
                <w:szCs w:val="18"/>
                <w:rtl/>
                <w:lang w:val="en-GB" w:eastAsia="en-GB" w:bidi="ar-SY"/>
              </w:rPr>
              <w:t>تعديلات أخرى</w:t>
            </w:r>
          </w:p>
        </w:tc>
        <w:tc>
          <w:tcPr>
            <w:tcW w:w="577" w:type="pct"/>
            <w:tcBorders>
              <w:top w:val="nil"/>
              <w:left w:val="nil"/>
              <w:bottom w:val="nil"/>
              <w:right w:val="single" w:sz="4" w:space="0" w:color="000000"/>
            </w:tcBorders>
            <w:shd w:val="clear" w:color="auto" w:fill="auto"/>
            <w:noWrap/>
            <w:vAlign w:val="center"/>
            <w:hideMark/>
          </w:tcPr>
          <w:p w14:paraId="1A271980"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577" w:type="pct"/>
            <w:tcBorders>
              <w:top w:val="nil"/>
              <w:left w:val="nil"/>
              <w:bottom w:val="nil"/>
              <w:right w:val="single" w:sz="4" w:space="0" w:color="000000"/>
            </w:tcBorders>
            <w:shd w:val="clear" w:color="auto" w:fill="auto"/>
            <w:noWrap/>
            <w:vAlign w:val="center"/>
            <w:hideMark/>
          </w:tcPr>
          <w:p w14:paraId="690A128C"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577" w:type="pct"/>
            <w:tcBorders>
              <w:top w:val="nil"/>
              <w:left w:val="nil"/>
              <w:bottom w:val="nil"/>
              <w:right w:val="single" w:sz="4" w:space="0" w:color="000000"/>
            </w:tcBorders>
            <w:shd w:val="clear" w:color="auto" w:fill="auto"/>
            <w:noWrap/>
            <w:vAlign w:val="center"/>
            <w:hideMark/>
          </w:tcPr>
          <w:p w14:paraId="427676E7"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880" w:type="pct"/>
            <w:tcBorders>
              <w:top w:val="nil"/>
              <w:left w:val="nil"/>
              <w:bottom w:val="nil"/>
              <w:right w:val="single" w:sz="4" w:space="0" w:color="000000"/>
            </w:tcBorders>
            <w:shd w:val="clear" w:color="auto" w:fill="auto"/>
            <w:noWrap/>
            <w:vAlign w:val="center"/>
            <w:hideMark/>
          </w:tcPr>
          <w:p w14:paraId="55BC40ED"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103 499</w:t>
            </w:r>
          </w:p>
        </w:tc>
        <w:tc>
          <w:tcPr>
            <w:tcW w:w="811" w:type="pct"/>
            <w:tcBorders>
              <w:top w:val="nil"/>
              <w:left w:val="nil"/>
              <w:bottom w:val="nil"/>
              <w:right w:val="single" w:sz="4" w:space="0" w:color="000000"/>
            </w:tcBorders>
            <w:shd w:val="clear" w:color="auto" w:fill="auto"/>
            <w:noWrap/>
            <w:vAlign w:val="center"/>
            <w:hideMark/>
          </w:tcPr>
          <w:p w14:paraId="3213A91A"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(912)</w:t>
            </w:r>
          </w:p>
        </w:tc>
        <w:tc>
          <w:tcPr>
            <w:tcW w:w="744" w:type="pct"/>
            <w:tcBorders>
              <w:top w:val="nil"/>
              <w:left w:val="nil"/>
              <w:bottom w:val="nil"/>
              <w:right w:val="single" w:sz="4" w:space="0" w:color="000000"/>
            </w:tcBorders>
            <w:shd w:val="clear" w:color="auto" w:fill="auto"/>
            <w:noWrap/>
            <w:vAlign w:val="center"/>
            <w:hideMark/>
          </w:tcPr>
          <w:p w14:paraId="374B1E97"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102 587</w:t>
            </w:r>
          </w:p>
        </w:tc>
      </w:tr>
      <w:tr w:rsidR="00834B83" w:rsidRPr="005269E6" w14:paraId="102A5B58" w14:textId="77777777" w:rsidTr="005C5B84">
        <w:trPr>
          <w:trHeight w:val="300"/>
          <w:jc w:val="center"/>
        </w:trPr>
        <w:tc>
          <w:tcPr>
            <w:tcW w:w="835" w:type="pct"/>
            <w:tcBorders>
              <w:top w:val="nil"/>
              <w:left w:val="single" w:sz="4" w:space="0" w:color="000000"/>
              <w:bottom w:val="nil"/>
              <w:right w:val="single" w:sz="4" w:space="0" w:color="000000"/>
            </w:tcBorders>
            <w:shd w:val="clear" w:color="auto" w:fill="auto"/>
            <w:vAlign w:val="center"/>
            <w:hideMark/>
          </w:tcPr>
          <w:p w14:paraId="7C2D7F7F" w14:textId="77777777" w:rsidR="00834B83" w:rsidRPr="005269E6" w:rsidRDefault="00834B83" w:rsidP="005C5B84">
            <w:pPr>
              <w:spacing w:before="40" w:after="40" w:line="240" w:lineRule="exact"/>
              <w:jc w:val="left"/>
              <w:rPr>
                <w:rFonts w:eastAsia="Times New Roman"/>
                <w:color w:val="000000"/>
                <w:sz w:val="18"/>
                <w:szCs w:val="18"/>
                <w:lang w:val="en-GB" w:eastAsia="en-GB" w:bidi="ar-SY"/>
              </w:rPr>
            </w:pPr>
            <w:r w:rsidRPr="005269E6">
              <w:rPr>
                <w:rFonts w:eastAsia="Times New Roman"/>
                <w:color w:val="000000"/>
                <w:sz w:val="18"/>
                <w:szCs w:val="18"/>
                <w:rtl/>
                <w:lang w:val="en-GB" w:eastAsia="en-GB" w:bidi="ar-SY"/>
              </w:rPr>
              <w:t>إعادات التصنيف</w:t>
            </w:r>
          </w:p>
        </w:tc>
        <w:tc>
          <w:tcPr>
            <w:tcW w:w="577" w:type="pct"/>
            <w:tcBorders>
              <w:top w:val="nil"/>
              <w:left w:val="nil"/>
              <w:bottom w:val="nil"/>
              <w:right w:val="single" w:sz="4" w:space="0" w:color="000000"/>
            </w:tcBorders>
            <w:shd w:val="clear" w:color="auto" w:fill="auto"/>
            <w:noWrap/>
            <w:vAlign w:val="center"/>
            <w:hideMark/>
          </w:tcPr>
          <w:p w14:paraId="7881299D"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577" w:type="pct"/>
            <w:tcBorders>
              <w:top w:val="nil"/>
              <w:left w:val="nil"/>
              <w:bottom w:val="nil"/>
              <w:right w:val="single" w:sz="4" w:space="0" w:color="000000"/>
            </w:tcBorders>
            <w:shd w:val="clear" w:color="auto" w:fill="auto"/>
            <w:noWrap/>
            <w:vAlign w:val="center"/>
            <w:hideMark/>
          </w:tcPr>
          <w:p w14:paraId="0E265D41"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577" w:type="pct"/>
            <w:tcBorders>
              <w:top w:val="nil"/>
              <w:left w:val="nil"/>
              <w:bottom w:val="nil"/>
              <w:right w:val="single" w:sz="4" w:space="0" w:color="000000"/>
            </w:tcBorders>
            <w:shd w:val="clear" w:color="auto" w:fill="auto"/>
            <w:noWrap/>
            <w:vAlign w:val="center"/>
            <w:hideMark/>
          </w:tcPr>
          <w:p w14:paraId="70D44BC5"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880" w:type="pct"/>
            <w:tcBorders>
              <w:top w:val="nil"/>
              <w:left w:val="nil"/>
              <w:bottom w:val="nil"/>
              <w:right w:val="single" w:sz="4" w:space="0" w:color="000000"/>
            </w:tcBorders>
            <w:shd w:val="clear" w:color="auto" w:fill="auto"/>
            <w:noWrap/>
            <w:vAlign w:val="center"/>
            <w:hideMark/>
          </w:tcPr>
          <w:p w14:paraId="1B6BB782"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811" w:type="pct"/>
            <w:tcBorders>
              <w:top w:val="nil"/>
              <w:left w:val="nil"/>
              <w:bottom w:val="nil"/>
              <w:right w:val="single" w:sz="4" w:space="0" w:color="000000"/>
            </w:tcBorders>
            <w:shd w:val="clear" w:color="auto" w:fill="auto"/>
            <w:noWrap/>
            <w:vAlign w:val="center"/>
            <w:hideMark/>
          </w:tcPr>
          <w:p w14:paraId="0E6BC248"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744" w:type="pct"/>
            <w:tcBorders>
              <w:top w:val="nil"/>
              <w:left w:val="nil"/>
              <w:bottom w:val="nil"/>
              <w:right w:val="single" w:sz="4" w:space="0" w:color="000000"/>
            </w:tcBorders>
            <w:shd w:val="clear" w:color="auto" w:fill="auto"/>
            <w:noWrap/>
            <w:vAlign w:val="center"/>
            <w:hideMark/>
          </w:tcPr>
          <w:p w14:paraId="570905A4"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w:t>
            </w:r>
          </w:p>
        </w:tc>
      </w:tr>
      <w:tr w:rsidR="00834B83" w:rsidRPr="005269E6" w14:paraId="218BCBAE" w14:textId="77777777" w:rsidTr="005C5B84">
        <w:trPr>
          <w:trHeight w:val="522"/>
          <w:jc w:val="center"/>
        </w:trPr>
        <w:tc>
          <w:tcPr>
            <w:tcW w:w="835" w:type="pct"/>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3FEEEA0" w14:textId="77777777" w:rsidR="00834B83" w:rsidRPr="005269E6" w:rsidRDefault="00834B83" w:rsidP="005C5B8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31 ديسمبر 2021 (بإعادة بيان)</w:t>
            </w:r>
          </w:p>
        </w:tc>
        <w:tc>
          <w:tcPr>
            <w:tcW w:w="577" w:type="pct"/>
            <w:tcBorders>
              <w:top w:val="single" w:sz="4" w:space="0" w:color="000000"/>
              <w:left w:val="nil"/>
              <w:bottom w:val="single" w:sz="4" w:space="0" w:color="000000"/>
              <w:right w:val="single" w:sz="4" w:space="0" w:color="000000"/>
            </w:tcBorders>
            <w:shd w:val="clear" w:color="000000" w:fill="DCE6F1"/>
            <w:noWrap/>
            <w:vAlign w:val="center"/>
            <w:hideMark/>
          </w:tcPr>
          <w:p w14:paraId="261537AF"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29 388</w:t>
            </w:r>
          </w:p>
        </w:tc>
        <w:tc>
          <w:tcPr>
            <w:tcW w:w="577" w:type="pct"/>
            <w:tcBorders>
              <w:top w:val="single" w:sz="4" w:space="0" w:color="000000"/>
              <w:left w:val="nil"/>
              <w:bottom w:val="single" w:sz="4" w:space="0" w:color="000000"/>
              <w:right w:val="single" w:sz="4" w:space="0" w:color="000000"/>
            </w:tcBorders>
            <w:shd w:val="clear" w:color="000000" w:fill="DCE6F1"/>
            <w:noWrap/>
            <w:vAlign w:val="center"/>
            <w:hideMark/>
          </w:tcPr>
          <w:p w14:paraId="1705F9F6"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68 063</w:t>
            </w:r>
          </w:p>
        </w:tc>
        <w:tc>
          <w:tcPr>
            <w:tcW w:w="577" w:type="pct"/>
            <w:tcBorders>
              <w:top w:val="single" w:sz="4" w:space="0" w:color="000000"/>
              <w:left w:val="nil"/>
              <w:bottom w:val="single" w:sz="4" w:space="0" w:color="000000"/>
              <w:right w:val="single" w:sz="4" w:space="0" w:color="000000"/>
            </w:tcBorders>
            <w:shd w:val="clear" w:color="000000" w:fill="DCE6F1"/>
            <w:noWrap/>
            <w:vAlign w:val="center"/>
            <w:hideMark/>
          </w:tcPr>
          <w:p w14:paraId="5B530D7C"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16 621</w:t>
            </w:r>
          </w:p>
        </w:tc>
        <w:tc>
          <w:tcPr>
            <w:tcW w:w="880" w:type="pct"/>
            <w:tcBorders>
              <w:top w:val="single" w:sz="4" w:space="0" w:color="000000"/>
              <w:left w:val="nil"/>
              <w:bottom w:val="single" w:sz="4" w:space="0" w:color="000000"/>
              <w:right w:val="single" w:sz="4" w:space="0" w:color="000000"/>
            </w:tcBorders>
            <w:shd w:val="clear" w:color="000000" w:fill="DCE6F1"/>
            <w:noWrap/>
            <w:vAlign w:val="center"/>
            <w:hideMark/>
          </w:tcPr>
          <w:p w14:paraId="1C3933F4"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(164 075)</w:t>
            </w:r>
          </w:p>
        </w:tc>
        <w:tc>
          <w:tcPr>
            <w:tcW w:w="811" w:type="pct"/>
            <w:tcBorders>
              <w:top w:val="single" w:sz="4" w:space="0" w:color="000000"/>
              <w:left w:val="nil"/>
              <w:bottom w:val="single" w:sz="4" w:space="0" w:color="000000"/>
              <w:right w:val="single" w:sz="4" w:space="0" w:color="000000"/>
            </w:tcBorders>
            <w:shd w:val="clear" w:color="000000" w:fill="DCE6F1"/>
            <w:noWrap/>
            <w:vAlign w:val="center"/>
            <w:hideMark/>
          </w:tcPr>
          <w:p w14:paraId="598ACC50"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(360 781)</w:t>
            </w:r>
          </w:p>
        </w:tc>
        <w:tc>
          <w:tcPr>
            <w:tcW w:w="744" w:type="pct"/>
            <w:tcBorders>
              <w:top w:val="single" w:sz="4" w:space="0" w:color="000000"/>
              <w:left w:val="nil"/>
              <w:bottom w:val="single" w:sz="4" w:space="0" w:color="000000"/>
              <w:right w:val="single" w:sz="4" w:space="0" w:color="000000"/>
            </w:tcBorders>
            <w:shd w:val="clear" w:color="000000" w:fill="DCE6F1"/>
            <w:noWrap/>
            <w:vAlign w:val="center"/>
            <w:hideMark/>
          </w:tcPr>
          <w:p w14:paraId="3CCD0D80"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(410 784)</w:t>
            </w:r>
          </w:p>
        </w:tc>
      </w:tr>
      <w:tr w:rsidR="00834B83" w:rsidRPr="005269E6" w14:paraId="5463A43D" w14:textId="77777777" w:rsidTr="005C5B84">
        <w:trPr>
          <w:trHeight w:val="300"/>
          <w:jc w:val="center"/>
        </w:trPr>
        <w:tc>
          <w:tcPr>
            <w:tcW w:w="835" w:type="pct"/>
            <w:tcBorders>
              <w:top w:val="nil"/>
              <w:left w:val="single" w:sz="4" w:space="0" w:color="000000"/>
              <w:bottom w:val="nil"/>
              <w:right w:val="single" w:sz="4" w:space="0" w:color="000000"/>
            </w:tcBorders>
            <w:shd w:val="clear" w:color="auto" w:fill="auto"/>
            <w:vAlign w:val="center"/>
            <w:hideMark/>
          </w:tcPr>
          <w:p w14:paraId="0B11A66F" w14:textId="77777777" w:rsidR="00834B83" w:rsidRPr="005269E6" w:rsidRDefault="00834B83" w:rsidP="005C5B8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bidi="ar-SY"/>
              </w:rPr>
              <w:t>الفائض/(العجز) لعام 2022</w:t>
            </w:r>
          </w:p>
        </w:tc>
        <w:tc>
          <w:tcPr>
            <w:tcW w:w="577" w:type="pct"/>
            <w:tcBorders>
              <w:top w:val="nil"/>
              <w:left w:val="nil"/>
              <w:bottom w:val="nil"/>
              <w:right w:val="single" w:sz="4" w:space="0" w:color="000000"/>
            </w:tcBorders>
            <w:shd w:val="clear" w:color="auto" w:fill="auto"/>
            <w:noWrap/>
            <w:vAlign w:val="center"/>
            <w:hideMark/>
          </w:tcPr>
          <w:p w14:paraId="3F2AAA18"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577" w:type="pct"/>
            <w:tcBorders>
              <w:top w:val="nil"/>
              <w:left w:val="nil"/>
              <w:bottom w:val="nil"/>
              <w:right w:val="single" w:sz="4" w:space="0" w:color="000000"/>
            </w:tcBorders>
            <w:shd w:val="clear" w:color="auto" w:fill="auto"/>
            <w:noWrap/>
            <w:vAlign w:val="center"/>
            <w:hideMark/>
          </w:tcPr>
          <w:p w14:paraId="62CC3648"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(4 440)</w:t>
            </w:r>
          </w:p>
        </w:tc>
        <w:tc>
          <w:tcPr>
            <w:tcW w:w="577" w:type="pct"/>
            <w:tcBorders>
              <w:top w:val="nil"/>
              <w:left w:val="nil"/>
              <w:bottom w:val="nil"/>
              <w:right w:val="single" w:sz="4" w:space="0" w:color="000000"/>
            </w:tcBorders>
            <w:shd w:val="clear" w:color="auto" w:fill="auto"/>
            <w:noWrap/>
            <w:vAlign w:val="center"/>
            <w:hideMark/>
          </w:tcPr>
          <w:p w14:paraId="4F4B40A5"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(2 886)</w:t>
            </w:r>
          </w:p>
        </w:tc>
        <w:tc>
          <w:tcPr>
            <w:tcW w:w="880" w:type="pct"/>
            <w:tcBorders>
              <w:top w:val="nil"/>
              <w:left w:val="nil"/>
              <w:bottom w:val="nil"/>
              <w:right w:val="single" w:sz="4" w:space="0" w:color="000000"/>
            </w:tcBorders>
            <w:shd w:val="clear" w:color="auto" w:fill="auto"/>
            <w:noWrap/>
            <w:vAlign w:val="center"/>
            <w:hideMark/>
          </w:tcPr>
          <w:p w14:paraId="14FBE7A4"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811" w:type="pct"/>
            <w:tcBorders>
              <w:top w:val="nil"/>
              <w:left w:val="nil"/>
              <w:bottom w:val="nil"/>
              <w:right w:val="single" w:sz="4" w:space="0" w:color="000000"/>
            </w:tcBorders>
            <w:shd w:val="clear" w:color="auto" w:fill="auto"/>
            <w:noWrap/>
            <w:vAlign w:val="center"/>
            <w:hideMark/>
          </w:tcPr>
          <w:p w14:paraId="1EF22F0F"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(17 117)</w:t>
            </w:r>
          </w:p>
        </w:tc>
        <w:tc>
          <w:tcPr>
            <w:tcW w:w="744" w:type="pct"/>
            <w:tcBorders>
              <w:top w:val="nil"/>
              <w:left w:val="nil"/>
              <w:bottom w:val="nil"/>
              <w:right w:val="single" w:sz="4" w:space="0" w:color="000000"/>
            </w:tcBorders>
            <w:shd w:val="clear" w:color="auto" w:fill="auto"/>
            <w:noWrap/>
            <w:vAlign w:val="center"/>
            <w:hideMark/>
          </w:tcPr>
          <w:p w14:paraId="4C0419EE"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(24 443)</w:t>
            </w:r>
          </w:p>
        </w:tc>
      </w:tr>
      <w:tr w:rsidR="00834B83" w:rsidRPr="005269E6" w14:paraId="0DC73456" w14:textId="77777777" w:rsidTr="005C5B84">
        <w:trPr>
          <w:trHeight w:val="300"/>
          <w:jc w:val="center"/>
        </w:trPr>
        <w:tc>
          <w:tcPr>
            <w:tcW w:w="835" w:type="pct"/>
            <w:tcBorders>
              <w:top w:val="nil"/>
              <w:left w:val="single" w:sz="4" w:space="0" w:color="000000"/>
              <w:bottom w:val="nil"/>
              <w:right w:val="single" w:sz="4" w:space="0" w:color="000000"/>
            </w:tcBorders>
            <w:shd w:val="clear" w:color="auto" w:fill="auto"/>
            <w:vAlign w:val="center"/>
            <w:hideMark/>
          </w:tcPr>
          <w:p w14:paraId="0DA09DC4" w14:textId="77777777" w:rsidR="00834B83" w:rsidRPr="005269E6" w:rsidRDefault="00834B83" w:rsidP="005C5B8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bidi="ar-SY"/>
              </w:rPr>
              <w:t xml:space="preserve">تعديل </w:t>
            </w:r>
            <w:r w:rsidRPr="005269E6">
              <w:rPr>
                <w:rFonts w:eastAsia="Times New Roman"/>
                <w:color w:val="000000"/>
                <w:sz w:val="18"/>
                <w:szCs w:val="18"/>
                <w:lang w:eastAsia="en-GB" w:bidi="ar-SY"/>
              </w:rPr>
              <w:t>FIPOI</w:t>
            </w:r>
          </w:p>
        </w:tc>
        <w:tc>
          <w:tcPr>
            <w:tcW w:w="577" w:type="pct"/>
            <w:tcBorders>
              <w:top w:val="nil"/>
              <w:left w:val="nil"/>
              <w:bottom w:val="nil"/>
              <w:right w:val="single" w:sz="4" w:space="0" w:color="000000"/>
            </w:tcBorders>
            <w:shd w:val="clear" w:color="auto" w:fill="auto"/>
            <w:noWrap/>
            <w:vAlign w:val="center"/>
            <w:hideMark/>
          </w:tcPr>
          <w:p w14:paraId="65D1275E"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577" w:type="pct"/>
            <w:tcBorders>
              <w:top w:val="nil"/>
              <w:left w:val="nil"/>
              <w:bottom w:val="nil"/>
              <w:right w:val="single" w:sz="4" w:space="0" w:color="000000"/>
            </w:tcBorders>
            <w:shd w:val="clear" w:color="auto" w:fill="auto"/>
            <w:noWrap/>
            <w:vAlign w:val="center"/>
            <w:hideMark/>
          </w:tcPr>
          <w:p w14:paraId="23E01FB6"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577" w:type="pct"/>
            <w:tcBorders>
              <w:top w:val="nil"/>
              <w:left w:val="nil"/>
              <w:bottom w:val="nil"/>
              <w:right w:val="single" w:sz="4" w:space="0" w:color="000000"/>
            </w:tcBorders>
            <w:shd w:val="clear" w:color="auto" w:fill="auto"/>
            <w:noWrap/>
            <w:vAlign w:val="center"/>
            <w:hideMark/>
          </w:tcPr>
          <w:p w14:paraId="682D456F"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880" w:type="pct"/>
            <w:tcBorders>
              <w:top w:val="nil"/>
              <w:left w:val="nil"/>
              <w:bottom w:val="nil"/>
              <w:right w:val="single" w:sz="4" w:space="0" w:color="000000"/>
            </w:tcBorders>
            <w:shd w:val="clear" w:color="auto" w:fill="auto"/>
            <w:noWrap/>
            <w:vAlign w:val="center"/>
            <w:hideMark/>
          </w:tcPr>
          <w:p w14:paraId="2BCD95A2"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811" w:type="pct"/>
            <w:tcBorders>
              <w:top w:val="nil"/>
              <w:left w:val="nil"/>
              <w:bottom w:val="nil"/>
              <w:right w:val="single" w:sz="4" w:space="0" w:color="000000"/>
            </w:tcBorders>
            <w:shd w:val="clear" w:color="auto" w:fill="auto"/>
            <w:noWrap/>
            <w:vAlign w:val="center"/>
            <w:hideMark/>
          </w:tcPr>
          <w:p w14:paraId="08F22752"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6 176</w:t>
            </w:r>
          </w:p>
        </w:tc>
        <w:tc>
          <w:tcPr>
            <w:tcW w:w="744" w:type="pct"/>
            <w:tcBorders>
              <w:top w:val="nil"/>
              <w:left w:val="nil"/>
              <w:bottom w:val="nil"/>
              <w:right w:val="single" w:sz="4" w:space="0" w:color="000000"/>
            </w:tcBorders>
            <w:shd w:val="clear" w:color="auto" w:fill="auto"/>
            <w:noWrap/>
            <w:vAlign w:val="center"/>
            <w:hideMark/>
          </w:tcPr>
          <w:p w14:paraId="4CDB227F"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6 176</w:t>
            </w:r>
          </w:p>
        </w:tc>
      </w:tr>
      <w:tr w:rsidR="00834B83" w:rsidRPr="005269E6" w14:paraId="2B1A8C03" w14:textId="77777777" w:rsidTr="005C5B84">
        <w:trPr>
          <w:trHeight w:val="300"/>
          <w:jc w:val="center"/>
        </w:trPr>
        <w:tc>
          <w:tcPr>
            <w:tcW w:w="835" w:type="pct"/>
            <w:tcBorders>
              <w:top w:val="nil"/>
              <w:left w:val="single" w:sz="4" w:space="0" w:color="000000"/>
              <w:bottom w:val="nil"/>
              <w:right w:val="single" w:sz="4" w:space="0" w:color="000000"/>
            </w:tcBorders>
            <w:shd w:val="clear" w:color="auto" w:fill="auto"/>
            <w:vAlign w:val="center"/>
            <w:hideMark/>
          </w:tcPr>
          <w:p w14:paraId="2E2F84AF" w14:textId="77777777" w:rsidR="00834B83" w:rsidRPr="005269E6" w:rsidRDefault="00834B83" w:rsidP="005C5B8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bidi="ar-SY"/>
              </w:rPr>
              <w:t>تعديلات أخرى</w:t>
            </w:r>
          </w:p>
        </w:tc>
        <w:tc>
          <w:tcPr>
            <w:tcW w:w="577" w:type="pct"/>
            <w:tcBorders>
              <w:top w:val="nil"/>
              <w:left w:val="nil"/>
              <w:bottom w:val="nil"/>
              <w:right w:val="single" w:sz="4" w:space="0" w:color="000000"/>
            </w:tcBorders>
            <w:shd w:val="clear" w:color="auto" w:fill="auto"/>
            <w:noWrap/>
            <w:vAlign w:val="center"/>
            <w:hideMark/>
          </w:tcPr>
          <w:p w14:paraId="70020550"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577" w:type="pct"/>
            <w:tcBorders>
              <w:top w:val="nil"/>
              <w:left w:val="nil"/>
              <w:bottom w:val="nil"/>
              <w:right w:val="single" w:sz="4" w:space="0" w:color="000000"/>
            </w:tcBorders>
            <w:shd w:val="clear" w:color="auto" w:fill="auto"/>
            <w:noWrap/>
            <w:vAlign w:val="center"/>
            <w:hideMark/>
          </w:tcPr>
          <w:p w14:paraId="1892C2CE"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577" w:type="pct"/>
            <w:tcBorders>
              <w:top w:val="nil"/>
              <w:left w:val="nil"/>
              <w:bottom w:val="nil"/>
              <w:right w:val="single" w:sz="4" w:space="0" w:color="000000"/>
            </w:tcBorders>
            <w:shd w:val="clear" w:color="auto" w:fill="auto"/>
            <w:noWrap/>
            <w:vAlign w:val="center"/>
            <w:hideMark/>
          </w:tcPr>
          <w:p w14:paraId="51480C50"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880" w:type="pct"/>
            <w:tcBorders>
              <w:top w:val="nil"/>
              <w:left w:val="nil"/>
              <w:bottom w:val="nil"/>
              <w:right w:val="single" w:sz="4" w:space="0" w:color="000000"/>
            </w:tcBorders>
            <w:shd w:val="clear" w:color="auto" w:fill="auto"/>
            <w:noWrap/>
            <w:vAlign w:val="center"/>
            <w:hideMark/>
          </w:tcPr>
          <w:p w14:paraId="540D2ABC"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215 510</w:t>
            </w:r>
          </w:p>
        </w:tc>
        <w:tc>
          <w:tcPr>
            <w:tcW w:w="811" w:type="pct"/>
            <w:tcBorders>
              <w:top w:val="nil"/>
              <w:left w:val="nil"/>
              <w:bottom w:val="nil"/>
              <w:right w:val="single" w:sz="4" w:space="0" w:color="000000"/>
            </w:tcBorders>
            <w:shd w:val="clear" w:color="auto" w:fill="auto"/>
            <w:noWrap/>
            <w:vAlign w:val="center"/>
            <w:hideMark/>
          </w:tcPr>
          <w:p w14:paraId="182D47B0"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485</w:t>
            </w:r>
          </w:p>
        </w:tc>
        <w:tc>
          <w:tcPr>
            <w:tcW w:w="744" w:type="pct"/>
            <w:tcBorders>
              <w:top w:val="nil"/>
              <w:left w:val="nil"/>
              <w:bottom w:val="nil"/>
              <w:right w:val="single" w:sz="4" w:space="0" w:color="000000"/>
            </w:tcBorders>
            <w:shd w:val="clear" w:color="auto" w:fill="auto"/>
            <w:noWrap/>
            <w:vAlign w:val="center"/>
            <w:hideMark/>
          </w:tcPr>
          <w:p w14:paraId="1C23F92A"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215 995</w:t>
            </w:r>
          </w:p>
        </w:tc>
      </w:tr>
      <w:tr w:rsidR="00834B83" w:rsidRPr="005269E6" w14:paraId="31430428" w14:textId="77777777" w:rsidTr="005C5B84">
        <w:trPr>
          <w:trHeight w:val="300"/>
          <w:jc w:val="center"/>
        </w:trPr>
        <w:tc>
          <w:tcPr>
            <w:tcW w:w="835" w:type="pct"/>
            <w:tcBorders>
              <w:top w:val="nil"/>
              <w:left w:val="single" w:sz="4" w:space="0" w:color="000000"/>
              <w:bottom w:val="nil"/>
              <w:right w:val="single" w:sz="4" w:space="0" w:color="000000"/>
            </w:tcBorders>
            <w:shd w:val="clear" w:color="auto" w:fill="auto"/>
            <w:vAlign w:val="center"/>
            <w:hideMark/>
          </w:tcPr>
          <w:p w14:paraId="347A1B11" w14:textId="77777777" w:rsidR="00834B83" w:rsidRPr="005269E6" w:rsidRDefault="00834B83" w:rsidP="005C5B8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bidi="ar-SY"/>
              </w:rPr>
              <w:t>إعادات التصنيف</w:t>
            </w:r>
          </w:p>
        </w:tc>
        <w:tc>
          <w:tcPr>
            <w:tcW w:w="577" w:type="pct"/>
            <w:tcBorders>
              <w:top w:val="nil"/>
              <w:left w:val="nil"/>
              <w:bottom w:val="nil"/>
              <w:right w:val="single" w:sz="4" w:space="0" w:color="000000"/>
            </w:tcBorders>
            <w:shd w:val="clear" w:color="auto" w:fill="auto"/>
            <w:noWrap/>
            <w:vAlign w:val="center"/>
            <w:hideMark/>
          </w:tcPr>
          <w:p w14:paraId="4B6D3C0F"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(1 000)</w:t>
            </w:r>
          </w:p>
        </w:tc>
        <w:tc>
          <w:tcPr>
            <w:tcW w:w="577" w:type="pct"/>
            <w:tcBorders>
              <w:top w:val="nil"/>
              <w:left w:val="nil"/>
              <w:bottom w:val="nil"/>
              <w:right w:val="single" w:sz="4" w:space="0" w:color="000000"/>
            </w:tcBorders>
            <w:shd w:val="clear" w:color="auto" w:fill="auto"/>
            <w:noWrap/>
            <w:vAlign w:val="center"/>
            <w:hideMark/>
          </w:tcPr>
          <w:p w14:paraId="38A5DFF8"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699</w:t>
            </w:r>
          </w:p>
        </w:tc>
        <w:tc>
          <w:tcPr>
            <w:tcW w:w="577" w:type="pct"/>
            <w:tcBorders>
              <w:top w:val="nil"/>
              <w:left w:val="nil"/>
              <w:bottom w:val="nil"/>
              <w:right w:val="single" w:sz="4" w:space="0" w:color="000000"/>
            </w:tcBorders>
            <w:shd w:val="clear" w:color="auto" w:fill="auto"/>
            <w:noWrap/>
            <w:vAlign w:val="center"/>
            <w:hideMark/>
          </w:tcPr>
          <w:p w14:paraId="4E8E02BC"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301</w:t>
            </w:r>
          </w:p>
        </w:tc>
        <w:tc>
          <w:tcPr>
            <w:tcW w:w="880" w:type="pct"/>
            <w:tcBorders>
              <w:top w:val="nil"/>
              <w:left w:val="nil"/>
              <w:bottom w:val="nil"/>
              <w:right w:val="single" w:sz="4" w:space="0" w:color="000000"/>
            </w:tcBorders>
            <w:shd w:val="clear" w:color="auto" w:fill="auto"/>
            <w:noWrap/>
            <w:vAlign w:val="center"/>
            <w:hideMark/>
          </w:tcPr>
          <w:p w14:paraId="390BD7BD"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811" w:type="pct"/>
            <w:tcBorders>
              <w:top w:val="nil"/>
              <w:left w:val="nil"/>
              <w:bottom w:val="nil"/>
              <w:right w:val="single" w:sz="4" w:space="0" w:color="000000"/>
            </w:tcBorders>
            <w:shd w:val="clear" w:color="auto" w:fill="auto"/>
            <w:noWrap/>
            <w:vAlign w:val="center"/>
            <w:hideMark/>
          </w:tcPr>
          <w:p w14:paraId="166047A7" w14:textId="77777777" w:rsidR="00834B83" w:rsidRPr="005269E6" w:rsidRDefault="00834B83" w:rsidP="0031505F">
            <w:pPr>
              <w:tabs>
                <w:tab w:val="clear" w:pos="794"/>
              </w:tabs>
              <w:spacing w:before="40" w:after="40" w:line="240" w:lineRule="exact"/>
              <w:jc w:val="left"/>
              <w:rPr>
                <w:rFonts w:eastAsia="Times New Roman"/>
                <w:color w:val="000000"/>
                <w:sz w:val="18"/>
                <w:szCs w:val="18"/>
                <w:lang w:val="en-GB" w:eastAsia="en-GB"/>
              </w:rPr>
            </w:pPr>
          </w:p>
        </w:tc>
        <w:tc>
          <w:tcPr>
            <w:tcW w:w="744" w:type="pct"/>
            <w:tcBorders>
              <w:top w:val="nil"/>
              <w:left w:val="nil"/>
              <w:bottom w:val="nil"/>
              <w:right w:val="single" w:sz="4" w:space="0" w:color="000000"/>
            </w:tcBorders>
            <w:shd w:val="clear" w:color="auto" w:fill="auto"/>
            <w:noWrap/>
            <w:vAlign w:val="center"/>
            <w:hideMark/>
          </w:tcPr>
          <w:p w14:paraId="06A98AEB"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p>
        </w:tc>
      </w:tr>
      <w:tr w:rsidR="00834B83" w:rsidRPr="005269E6" w14:paraId="78CC1341" w14:textId="77777777" w:rsidTr="005C5B84">
        <w:trPr>
          <w:trHeight w:val="522"/>
          <w:jc w:val="center"/>
        </w:trPr>
        <w:tc>
          <w:tcPr>
            <w:tcW w:w="835" w:type="pct"/>
            <w:tcBorders>
              <w:top w:val="nil"/>
              <w:left w:val="single" w:sz="4" w:space="0" w:color="000000"/>
              <w:bottom w:val="single" w:sz="4" w:space="0" w:color="000000"/>
              <w:right w:val="single" w:sz="4" w:space="0" w:color="000000"/>
            </w:tcBorders>
            <w:shd w:val="clear" w:color="000000" w:fill="538DD5"/>
            <w:vAlign w:val="center"/>
            <w:hideMark/>
          </w:tcPr>
          <w:p w14:paraId="73034181" w14:textId="77777777" w:rsidR="00834B83" w:rsidRPr="005269E6" w:rsidRDefault="00834B83" w:rsidP="005C5B8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31 ديسمبر 2022</w:t>
            </w:r>
          </w:p>
        </w:tc>
        <w:tc>
          <w:tcPr>
            <w:tcW w:w="577" w:type="pct"/>
            <w:tcBorders>
              <w:top w:val="nil"/>
              <w:left w:val="nil"/>
              <w:bottom w:val="single" w:sz="4" w:space="0" w:color="000000"/>
              <w:right w:val="single" w:sz="4" w:space="0" w:color="000000"/>
            </w:tcBorders>
            <w:shd w:val="clear" w:color="000000" w:fill="538DD5"/>
            <w:noWrap/>
            <w:vAlign w:val="center"/>
            <w:hideMark/>
          </w:tcPr>
          <w:p w14:paraId="5EF4DCEF"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28 388</w:t>
            </w:r>
          </w:p>
        </w:tc>
        <w:tc>
          <w:tcPr>
            <w:tcW w:w="577" w:type="pct"/>
            <w:tcBorders>
              <w:top w:val="nil"/>
              <w:left w:val="nil"/>
              <w:bottom w:val="single" w:sz="4" w:space="0" w:color="000000"/>
              <w:right w:val="single" w:sz="4" w:space="0" w:color="000000"/>
            </w:tcBorders>
            <w:shd w:val="clear" w:color="000000" w:fill="538DD5"/>
            <w:noWrap/>
            <w:vAlign w:val="center"/>
            <w:hideMark/>
          </w:tcPr>
          <w:p w14:paraId="72CCAC64"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64 322</w:t>
            </w:r>
          </w:p>
        </w:tc>
        <w:tc>
          <w:tcPr>
            <w:tcW w:w="577" w:type="pct"/>
            <w:tcBorders>
              <w:top w:val="nil"/>
              <w:left w:val="nil"/>
              <w:bottom w:val="single" w:sz="4" w:space="0" w:color="000000"/>
              <w:right w:val="single" w:sz="4" w:space="0" w:color="000000"/>
            </w:tcBorders>
            <w:shd w:val="clear" w:color="000000" w:fill="538DD5"/>
            <w:noWrap/>
            <w:vAlign w:val="center"/>
            <w:hideMark/>
          </w:tcPr>
          <w:p w14:paraId="30FE63ED"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14 036</w:t>
            </w:r>
          </w:p>
        </w:tc>
        <w:tc>
          <w:tcPr>
            <w:tcW w:w="880" w:type="pct"/>
            <w:tcBorders>
              <w:top w:val="nil"/>
              <w:left w:val="nil"/>
              <w:bottom w:val="single" w:sz="4" w:space="0" w:color="000000"/>
              <w:right w:val="single" w:sz="4" w:space="0" w:color="000000"/>
            </w:tcBorders>
            <w:shd w:val="clear" w:color="000000" w:fill="538DD5"/>
            <w:noWrap/>
            <w:vAlign w:val="center"/>
            <w:hideMark/>
          </w:tcPr>
          <w:p w14:paraId="2A4C4EA5"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51 435</w:t>
            </w:r>
          </w:p>
        </w:tc>
        <w:tc>
          <w:tcPr>
            <w:tcW w:w="811" w:type="pct"/>
            <w:tcBorders>
              <w:top w:val="nil"/>
              <w:left w:val="nil"/>
              <w:bottom w:val="single" w:sz="4" w:space="0" w:color="000000"/>
              <w:right w:val="single" w:sz="4" w:space="0" w:color="000000"/>
            </w:tcBorders>
            <w:shd w:val="clear" w:color="000000" w:fill="538DD5"/>
            <w:noWrap/>
            <w:vAlign w:val="center"/>
            <w:hideMark/>
          </w:tcPr>
          <w:p w14:paraId="4C71D7B9"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(371 238)</w:t>
            </w:r>
          </w:p>
        </w:tc>
        <w:tc>
          <w:tcPr>
            <w:tcW w:w="744" w:type="pct"/>
            <w:tcBorders>
              <w:top w:val="nil"/>
              <w:left w:val="nil"/>
              <w:bottom w:val="single" w:sz="4" w:space="0" w:color="000000"/>
              <w:right w:val="single" w:sz="4" w:space="0" w:color="000000"/>
            </w:tcBorders>
            <w:shd w:val="clear" w:color="000000" w:fill="538DD5"/>
            <w:noWrap/>
            <w:vAlign w:val="center"/>
            <w:hideMark/>
          </w:tcPr>
          <w:p w14:paraId="466DAE7F" w14:textId="77777777" w:rsidR="00834B83" w:rsidRPr="005269E6" w:rsidRDefault="00834B83" w:rsidP="0031505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(213 057)</w:t>
            </w:r>
          </w:p>
        </w:tc>
      </w:tr>
    </w:tbl>
    <w:p w14:paraId="480B8BA4" w14:textId="77777777" w:rsidR="00834B83" w:rsidRPr="005269E6" w:rsidRDefault="00834B83" w:rsidP="00834B83">
      <w:pPr>
        <w:rPr>
          <w:i/>
          <w:iCs/>
          <w:lang w:val="en" w:bidi="ar-SY"/>
        </w:rPr>
      </w:pPr>
      <w:r w:rsidRPr="005269E6">
        <w:rPr>
          <w:i/>
          <w:iCs/>
          <w:rtl/>
          <w:lang w:bidi="ar"/>
        </w:rPr>
        <w:t>تشكل</w:t>
      </w:r>
      <w:r w:rsidRPr="005269E6">
        <w:rPr>
          <w:i/>
          <w:iCs/>
          <w:lang w:val="en" w:bidi="ar-SY"/>
        </w:rPr>
        <w:t xml:space="preserve"> </w:t>
      </w:r>
      <w:r w:rsidRPr="005269E6">
        <w:rPr>
          <w:i/>
          <w:iCs/>
          <w:rtl/>
          <w:lang w:bidi="ar"/>
        </w:rPr>
        <w:t>الملاحظات</w:t>
      </w:r>
      <w:r w:rsidRPr="005269E6">
        <w:rPr>
          <w:i/>
          <w:iCs/>
          <w:lang w:val="en" w:bidi="ar-SY"/>
        </w:rPr>
        <w:t xml:space="preserve"> </w:t>
      </w:r>
      <w:r w:rsidRPr="005269E6">
        <w:rPr>
          <w:i/>
          <w:iCs/>
          <w:rtl/>
          <w:lang w:bidi="ar"/>
        </w:rPr>
        <w:t>المرفقة</w:t>
      </w:r>
      <w:r w:rsidRPr="005269E6">
        <w:rPr>
          <w:i/>
          <w:iCs/>
          <w:lang w:val="en" w:bidi="ar-SY"/>
        </w:rPr>
        <w:t xml:space="preserve"> </w:t>
      </w:r>
      <w:r w:rsidRPr="005269E6">
        <w:rPr>
          <w:i/>
          <w:iCs/>
          <w:rtl/>
          <w:lang w:bidi="ar"/>
        </w:rPr>
        <w:t>جزءا</w:t>
      </w:r>
      <w:r w:rsidRPr="005269E6">
        <w:rPr>
          <w:i/>
          <w:iCs/>
          <w:lang w:val="en" w:bidi="ar-SY"/>
        </w:rPr>
        <w:t xml:space="preserve"> </w:t>
      </w:r>
      <w:r w:rsidRPr="005269E6">
        <w:rPr>
          <w:i/>
          <w:iCs/>
          <w:rtl/>
          <w:lang w:bidi="ar-EG"/>
        </w:rPr>
        <w:t xml:space="preserve">أساسياً </w:t>
      </w:r>
      <w:r w:rsidRPr="005269E6">
        <w:rPr>
          <w:i/>
          <w:iCs/>
          <w:rtl/>
          <w:lang w:bidi="ar"/>
        </w:rPr>
        <w:t>من</w:t>
      </w:r>
      <w:r w:rsidRPr="005269E6">
        <w:rPr>
          <w:i/>
          <w:iCs/>
          <w:lang w:val="en" w:bidi="ar-SY"/>
        </w:rPr>
        <w:t xml:space="preserve"> </w:t>
      </w:r>
      <w:r w:rsidRPr="005269E6">
        <w:rPr>
          <w:i/>
          <w:iCs/>
          <w:rtl/>
          <w:lang w:bidi="ar"/>
        </w:rPr>
        <w:t>هذه</w:t>
      </w:r>
      <w:r w:rsidRPr="005269E6">
        <w:rPr>
          <w:i/>
          <w:iCs/>
          <w:lang w:val="en" w:bidi="ar-SY"/>
        </w:rPr>
        <w:t xml:space="preserve"> </w:t>
      </w:r>
      <w:r w:rsidRPr="005269E6">
        <w:rPr>
          <w:i/>
          <w:iCs/>
          <w:rtl/>
          <w:lang w:bidi="ar"/>
        </w:rPr>
        <w:t>البيانات</w:t>
      </w:r>
      <w:r w:rsidRPr="005269E6">
        <w:rPr>
          <w:i/>
          <w:iCs/>
          <w:lang w:val="en" w:bidi="ar-SY"/>
        </w:rPr>
        <w:t xml:space="preserve"> </w:t>
      </w:r>
      <w:r w:rsidRPr="005269E6">
        <w:rPr>
          <w:i/>
          <w:iCs/>
          <w:rtl/>
          <w:lang w:bidi="ar"/>
        </w:rPr>
        <w:t>المالية</w:t>
      </w:r>
      <w:r w:rsidRPr="005269E6">
        <w:rPr>
          <w:i/>
          <w:iCs/>
          <w:lang w:val="en" w:bidi="ar-SY"/>
        </w:rPr>
        <w:t>.</w:t>
      </w:r>
    </w:p>
    <w:p w14:paraId="7DF8E31F" w14:textId="77777777" w:rsidR="00834B83" w:rsidRPr="005269E6" w:rsidRDefault="00834B83" w:rsidP="00834B83">
      <w:pPr>
        <w:rPr>
          <w:i/>
          <w:iCs/>
          <w:lang w:bidi="ar-SY"/>
        </w:rPr>
      </w:pPr>
      <w:r w:rsidRPr="005269E6">
        <w:rPr>
          <w:i/>
          <w:iCs/>
          <w:rtl/>
          <w:lang w:bidi="ar-SY"/>
        </w:rPr>
        <w:t>ويرجى الرجوع إلى الملاحظة 4 والملاحظة 30 للاطلاع على تفاصيل عن فترة المقارنة المعاد بيانها.</w:t>
      </w:r>
    </w:p>
    <w:p w14:paraId="502E2694" w14:textId="77777777" w:rsidR="00834B83" w:rsidRPr="005269E6" w:rsidRDefault="00834B83" w:rsidP="00834B83">
      <w:pPr>
        <w:tabs>
          <w:tab w:val="clear" w:pos="794"/>
        </w:tabs>
        <w:spacing w:before="0" w:after="160" w:line="259" w:lineRule="auto"/>
        <w:jc w:val="left"/>
        <w:rPr>
          <w:i/>
          <w:iCs/>
          <w:lang w:bidi="ar-SY"/>
        </w:rPr>
      </w:pPr>
      <w:r w:rsidRPr="005269E6">
        <w:rPr>
          <w:i/>
          <w:iCs/>
          <w:lang w:bidi="ar-SY"/>
        </w:rPr>
        <w:br w:type="page"/>
      </w:r>
    </w:p>
    <w:p w14:paraId="158AE199" w14:textId="77777777" w:rsidR="00834B83" w:rsidRPr="005269E6" w:rsidRDefault="00834B83" w:rsidP="00696AA6">
      <w:pPr>
        <w:pStyle w:val="Heading5"/>
        <w:rPr>
          <w:lang w:bidi="ar-SY"/>
        </w:rPr>
      </w:pPr>
      <w:bookmarkStart w:id="73" w:name="_Toc162520616"/>
      <w:r w:rsidRPr="005269E6">
        <w:rPr>
          <w:rtl/>
        </w:rPr>
        <w:lastRenderedPageBreak/>
        <w:t>البيان الرابع: بيان التدفقات النقدية</w:t>
      </w:r>
      <w:bookmarkEnd w:id="73"/>
    </w:p>
    <w:p w14:paraId="0BFD584B" w14:textId="77777777" w:rsidR="00834B83" w:rsidRPr="005269E6" w:rsidRDefault="00834B83" w:rsidP="00834B83">
      <w:pPr>
        <w:rPr>
          <w:lang w:bidi="ar-SY"/>
        </w:rPr>
      </w:pPr>
      <w:r w:rsidRPr="005269E6">
        <w:rPr>
          <w:rtl/>
        </w:rPr>
        <w:t>للسنة المنتهية في 31 ديسمبر 2022</w:t>
      </w:r>
    </w:p>
    <w:p w14:paraId="1130E115" w14:textId="77777777" w:rsidR="00834B83" w:rsidRPr="005269E6" w:rsidRDefault="00834B83" w:rsidP="00E349AC">
      <w:pPr>
        <w:spacing w:after="120"/>
        <w:rPr>
          <w:lang w:bidi="ar-SY"/>
        </w:rPr>
      </w:pPr>
      <w:r w:rsidRPr="005269E6">
        <w:rPr>
          <w:rtl/>
        </w:rPr>
        <w:t>(بآلاف الفرنكات السويسرية)</w:t>
      </w:r>
    </w:p>
    <w:tbl>
      <w:tblPr>
        <w:bidiVisual/>
        <w:tblW w:w="5000" w:type="pct"/>
        <w:jc w:val="center"/>
        <w:tblCellMar>
          <w:left w:w="28" w:type="dxa"/>
          <w:right w:w="28" w:type="dxa"/>
        </w:tblCellMar>
        <w:tblLook w:val="04A0" w:firstRow="1" w:lastRow="0" w:firstColumn="1" w:lastColumn="0" w:noHBand="0" w:noVBand="1"/>
      </w:tblPr>
      <w:tblGrid>
        <w:gridCol w:w="4393"/>
        <w:gridCol w:w="1134"/>
        <w:gridCol w:w="2057"/>
        <w:gridCol w:w="2055"/>
      </w:tblGrid>
      <w:tr w:rsidR="00834B83" w:rsidRPr="005269E6" w14:paraId="008A9BD2" w14:textId="77777777" w:rsidTr="005C5B84">
        <w:trPr>
          <w:tblHeader/>
          <w:jc w:val="center"/>
        </w:trPr>
        <w:tc>
          <w:tcPr>
            <w:tcW w:w="2279" w:type="pct"/>
            <w:tcBorders>
              <w:top w:val="nil"/>
              <w:left w:val="nil"/>
              <w:bottom w:val="nil"/>
              <w:right w:val="nil"/>
            </w:tcBorders>
            <w:shd w:val="clear" w:color="auto" w:fill="538DD5"/>
            <w:noWrap/>
            <w:hideMark/>
          </w:tcPr>
          <w:p w14:paraId="1B37A013" w14:textId="77777777" w:rsidR="00834B83" w:rsidRPr="005269E6" w:rsidRDefault="00834B83" w:rsidP="005C5B84">
            <w:pPr>
              <w:pStyle w:val="TableHead"/>
              <w:spacing w:before="40" w:after="40"/>
              <w:rPr>
                <w:sz w:val="18"/>
                <w:szCs w:val="18"/>
                <w:lang w:val="en-GB" w:eastAsia="en-GB"/>
              </w:rPr>
            </w:pPr>
            <w:r w:rsidRPr="005269E6">
              <w:rPr>
                <w:sz w:val="18"/>
                <w:szCs w:val="18"/>
                <w:rtl/>
              </w:rPr>
              <w:t>وصف</w:t>
            </w:r>
          </w:p>
        </w:tc>
        <w:tc>
          <w:tcPr>
            <w:tcW w:w="588" w:type="pct"/>
            <w:tcBorders>
              <w:top w:val="nil"/>
              <w:left w:val="nil"/>
              <w:bottom w:val="nil"/>
              <w:right w:val="nil"/>
            </w:tcBorders>
            <w:shd w:val="clear" w:color="auto" w:fill="538DD5"/>
            <w:noWrap/>
            <w:hideMark/>
          </w:tcPr>
          <w:p w14:paraId="4004AA48" w14:textId="77777777" w:rsidR="00834B83" w:rsidRPr="005269E6" w:rsidRDefault="00834B83" w:rsidP="005C5B84">
            <w:pPr>
              <w:pStyle w:val="TableHead"/>
              <w:spacing w:before="40" w:after="40"/>
              <w:rPr>
                <w:sz w:val="18"/>
                <w:szCs w:val="18"/>
                <w:lang w:val="en-GB" w:eastAsia="en-GB"/>
              </w:rPr>
            </w:pPr>
            <w:r w:rsidRPr="005269E6">
              <w:rPr>
                <w:sz w:val="18"/>
                <w:szCs w:val="18"/>
                <w:rtl/>
              </w:rPr>
              <w:t>ملاحظات</w:t>
            </w:r>
          </w:p>
        </w:tc>
        <w:tc>
          <w:tcPr>
            <w:tcW w:w="1067" w:type="pct"/>
            <w:tcBorders>
              <w:top w:val="nil"/>
              <w:left w:val="nil"/>
              <w:bottom w:val="nil"/>
              <w:right w:val="nil"/>
            </w:tcBorders>
            <w:shd w:val="clear" w:color="auto" w:fill="538DD5"/>
            <w:hideMark/>
          </w:tcPr>
          <w:p w14:paraId="0E055A89" w14:textId="77777777" w:rsidR="00834B83" w:rsidRPr="005269E6" w:rsidRDefault="00834B83" w:rsidP="005C5B84">
            <w:pPr>
              <w:pStyle w:val="TableHead"/>
              <w:spacing w:before="40" w:after="40"/>
              <w:rPr>
                <w:sz w:val="18"/>
                <w:szCs w:val="18"/>
                <w:lang w:val="en-GB" w:eastAsia="en-GB"/>
              </w:rPr>
            </w:pPr>
            <w:r w:rsidRPr="005269E6">
              <w:rPr>
                <w:sz w:val="18"/>
                <w:szCs w:val="18"/>
              </w:rPr>
              <w:t xml:space="preserve">31 </w:t>
            </w:r>
            <w:r w:rsidRPr="005269E6">
              <w:rPr>
                <w:sz w:val="18"/>
                <w:szCs w:val="18"/>
                <w:rtl/>
              </w:rPr>
              <w:t>ديسمبر 2022</w:t>
            </w:r>
          </w:p>
        </w:tc>
        <w:tc>
          <w:tcPr>
            <w:tcW w:w="1066" w:type="pct"/>
            <w:tcBorders>
              <w:top w:val="nil"/>
              <w:left w:val="nil"/>
              <w:bottom w:val="nil"/>
              <w:right w:val="nil"/>
            </w:tcBorders>
            <w:shd w:val="clear" w:color="auto" w:fill="538DD5"/>
            <w:hideMark/>
          </w:tcPr>
          <w:p w14:paraId="7E6EED18" w14:textId="77777777" w:rsidR="00834B83" w:rsidRPr="005269E6" w:rsidRDefault="00834B83" w:rsidP="005C5B84">
            <w:pPr>
              <w:pStyle w:val="TableHead"/>
              <w:spacing w:before="40" w:after="40"/>
              <w:rPr>
                <w:sz w:val="18"/>
                <w:szCs w:val="18"/>
                <w:lang w:val="en-GB" w:eastAsia="en-GB"/>
              </w:rPr>
            </w:pPr>
            <w:r w:rsidRPr="005269E6">
              <w:rPr>
                <w:sz w:val="18"/>
                <w:szCs w:val="18"/>
              </w:rPr>
              <w:t xml:space="preserve">31 </w:t>
            </w:r>
            <w:r w:rsidRPr="005269E6">
              <w:rPr>
                <w:sz w:val="18"/>
                <w:szCs w:val="18"/>
                <w:rtl/>
              </w:rPr>
              <w:t>ديسمبر 2021</w:t>
            </w:r>
            <w:r w:rsidRPr="005269E6">
              <w:rPr>
                <w:sz w:val="18"/>
                <w:szCs w:val="18"/>
                <w:rtl/>
              </w:rPr>
              <w:br/>
              <w:t>(المعاد بيانه)</w:t>
            </w:r>
          </w:p>
        </w:tc>
      </w:tr>
      <w:tr w:rsidR="00834B83" w:rsidRPr="005269E6" w14:paraId="0D17EC1B" w14:textId="77777777" w:rsidTr="005C5B84">
        <w:trPr>
          <w:jc w:val="center"/>
        </w:trPr>
        <w:tc>
          <w:tcPr>
            <w:tcW w:w="2279" w:type="pct"/>
            <w:tcBorders>
              <w:top w:val="nil"/>
              <w:left w:val="nil"/>
              <w:bottom w:val="nil"/>
              <w:right w:val="nil"/>
            </w:tcBorders>
            <w:shd w:val="clear" w:color="auto" w:fill="auto"/>
            <w:hideMark/>
          </w:tcPr>
          <w:p w14:paraId="6088828E" w14:textId="77777777" w:rsidR="00834B83" w:rsidRPr="005269E6" w:rsidRDefault="00834B83" w:rsidP="005C5B84">
            <w:pPr>
              <w:pStyle w:val="Tabletexte"/>
              <w:spacing w:before="40" w:after="40"/>
              <w:rPr>
                <w:sz w:val="18"/>
                <w:szCs w:val="18"/>
                <w:lang w:val="en-GB" w:eastAsia="en-GB"/>
              </w:rPr>
            </w:pPr>
          </w:p>
        </w:tc>
        <w:tc>
          <w:tcPr>
            <w:tcW w:w="588" w:type="pct"/>
            <w:tcBorders>
              <w:top w:val="nil"/>
              <w:left w:val="nil"/>
              <w:bottom w:val="nil"/>
              <w:right w:val="nil"/>
            </w:tcBorders>
            <w:shd w:val="clear" w:color="auto" w:fill="auto"/>
            <w:hideMark/>
          </w:tcPr>
          <w:p w14:paraId="7005756C" w14:textId="77777777" w:rsidR="00834B83" w:rsidRPr="005269E6" w:rsidRDefault="00834B83" w:rsidP="0031505F">
            <w:pPr>
              <w:pStyle w:val="Tabletexte"/>
              <w:spacing w:before="40" w:after="40"/>
              <w:jc w:val="left"/>
              <w:rPr>
                <w:sz w:val="18"/>
                <w:szCs w:val="18"/>
                <w:lang w:val="en-GB" w:eastAsia="en-GB"/>
              </w:rPr>
            </w:pPr>
          </w:p>
        </w:tc>
        <w:tc>
          <w:tcPr>
            <w:tcW w:w="1067" w:type="pct"/>
            <w:tcBorders>
              <w:top w:val="nil"/>
              <w:left w:val="nil"/>
              <w:bottom w:val="nil"/>
              <w:right w:val="nil"/>
            </w:tcBorders>
            <w:shd w:val="clear" w:color="auto" w:fill="auto"/>
            <w:noWrap/>
            <w:vAlign w:val="bottom"/>
            <w:hideMark/>
          </w:tcPr>
          <w:p w14:paraId="1C76B4DC" w14:textId="77777777" w:rsidR="00834B83" w:rsidRPr="005269E6" w:rsidRDefault="00834B83" w:rsidP="0031505F">
            <w:pPr>
              <w:pStyle w:val="Tabletexte"/>
              <w:spacing w:before="40" w:after="40"/>
              <w:jc w:val="left"/>
              <w:rPr>
                <w:sz w:val="18"/>
                <w:szCs w:val="18"/>
                <w:lang w:val="en-GB" w:eastAsia="en-GB"/>
              </w:rPr>
            </w:pPr>
          </w:p>
        </w:tc>
        <w:tc>
          <w:tcPr>
            <w:tcW w:w="1066" w:type="pct"/>
            <w:tcBorders>
              <w:top w:val="nil"/>
              <w:left w:val="nil"/>
              <w:bottom w:val="nil"/>
              <w:right w:val="nil"/>
            </w:tcBorders>
            <w:shd w:val="clear" w:color="auto" w:fill="auto"/>
            <w:noWrap/>
            <w:vAlign w:val="bottom"/>
            <w:hideMark/>
          </w:tcPr>
          <w:p w14:paraId="110522E2" w14:textId="77777777" w:rsidR="00834B83" w:rsidRPr="005269E6" w:rsidRDefault="00834B83" w:rsidP="0031505F">
            <w:pPr>
              <w:pStyle w:val="Tabletexte"/>
              <w:spacing w:before="40" w:after="40"/>
              <w:jc w:val="left"/>
              <w:rPr>
                <w:sz w:val="18"/>
                <w:szCs w:val="18"/>
                <w:lang w:val="en-GB" w:eastAsia="en-GB"/>
              </w:rPr>
            </w:pPr>
          </w:p>
        </w:tc>
      </w:tr>
      <w:tr w:rsidR="00834B83" w:rsidRPr="005269E6" w14:paraId="3AE87150" w14:textId="77777777" w:rsidTr="005C5B84">
        <w:trPr>
          <w:jc w:val="center"/>
        </w:trPr>
        <w:tc>
          <w:tcPr>
            <w:tcW w:w="2279" w:type="pct"/>
            <w:tcBorders>
              <w:top w:val="nil"/>
              <w:left w:val="nil"/>
              <w:bottom w:val="nil"/>
              <w:right w:val="nil"/>
            </w:tcBorders>
            <w:shd w:val="clear" w:color="auto" w:fill="auto"/>
            <w:hideMark/>
          </w:tcPr>
          <w:p w14:paraId="69C97D88" w14:textId="77777777" w:rsidR="00834B83" w:rsidRPr="005269E6" w:rsidRDefault="00834B83" w:rsidP="005C5B84">
            <w:pPr>
              <w:pStyle w:val="Tabletexte"/>
              <w:spacing w:before="40" w:after="40"/>
              <w:rPr>
                <w:b/>
                <w:bCs/>
                <w:sz w:val="18"/>
                <w:szCs w:val="18"/>
                <w:lang w:val="en" w:eastAsia="en-GB"/>
              </w:rPr>
            </w:pPr>
            <w:r w:rsidRPr="005269E6">
              <w:rPr>
                <w:b/>
                <w:bCs/>
                <w:sz w:val="18"/>
                <w:szCs w:val="18"/>
                <w:rtl/>
                <w:lang w:val="en-GB" w:eastAsia="en-GB" w:bidi="ar"/>
              </w:rPr>
              <w:t>التدفق</w:t>
            </w:r>
            <w:r w:rsidRPr="005269E6">
              <w:rPr>
                <w:b/>
                <w:bCs/>
                <w:sz w:val="18"/>
                <w:szCs w:val="18"/>
                <w:lang w:val="en" w:eastAsia="en-GB"/>
              </w:rPr>
              <w:t xml:space="preserve"> </w:t>
            </w:r>
            <w:r w:rsidRPr="005269E6">
              <w:rPr>
                <w:b/>
                <w:bCs/>
                <w:sz w:val="18"/>
                <w:szCs w:val="18"/>
                <w:rtl/>
                <w:lang w:val="en-GB" w:eastAsia="en-GB" w:bidi="ar"/>
              </w:rPr>
              <w:t>النقدي</w:t>
            </w:r>
            <w:r w:rsidRPr="005269E6">
              <w:rPr>
                <w:b/>
                <w:bCs/>
                <w:sz w:val="18"/>
                <w:szCs w:val="18"/>
                <w:lang w:val="en" w:eastAsia="en-GB"/>
              </w:rPr>
              <w:t xml:space="preserve"> </w:t>
            </w:r>
            <w:r w:rsidRPr="005269E6">
              <w:rPr>
                <w:b/>
                <w:bCs/>
                <w:sz w:val="18"/>
                <w:szCs w:val="18"/>
                <w:rtl/>
                <w:lang w:val="en-GB" w:eastAsia="en-GB" w:bidi="ar"/>
              </w:rPr>
              <w:t>من</w:t>
            </w:r>
            <w:r w:rsidRPr="005269E6">
              <w:rPr>
                <w:b/>
                <w:bCs/>
                <w:sz w:val="18"/>
                <w:szCs w:val="18"/>
                <w:lang w:val="en" w:eastAsia="en-GB"/>
              </w:rPr>
              <w:t xml:space="preserve"> </w:t>
            </w:r>
            <w:r w:rsidRPr="005269E6">
              <w:rPr>
                <w:b/>
                <w:bCs/>
                <w:sz w:val="18"/>
                <w:szCs w:val="18"/>
                <w:rtl/>
                <w:lang w:val="en-GB" w:eastAsia="en-GB" w:bidi="ar"/>
              </w:rPr>
              <w:t>الأنشطة</w:t>
            </w:r>
            <w:r w:rsidRPr="005269E6">
              <w:rPr>
                <w:b/>
                <w:bCs/>
                <w:sz w:val="18"/>
                <w:szCs w:val="18"/>
                <w:lang w:val="en" w:eastAsia="en-GB"/>
              </w:rPr>
              <w:t xml:space="preserve"> </w:t>
            </w:r>
            <w:r w:rsidRPr="005269E6">
              <w:rPr>
                <w:b/>
                <w:bCs/>
                <w:sz w:val="18"/>
                <w:szCs w:val="18"/>
                <w:rtl/>
                <w:lang w:val="en-GB" w:eastAsia="en-GB" w:bidi="ar"/>
              </w:rPr>
              <w:t>التشغيلية</w:t>
            </w:r>
          </w:p>
        </w:tc>
        <w:tc>
          <w:tcPr>
            <w:tcW w:w="588" w:type="pct"/>
            <w:tcBorders>
              <w:top w:val="nil"/>
              <w:left w:val="nil"/>
              <w:bottom w:val="nil"/>
              <w:right w:val="nil"/>
            </w:tcBorders>
            <w:shd w:val="clear" w:color="auto" w:fill="auto"/>
            <w:hideMark/>
          </w:tcPr>
          <w:p w14:paraId="71E1AD4F" w14:textId="77777777" w:rsidR="00834B83" w:rsidRPr="005269E6" w:rsidRDefault="00834B83" w:rsidP="0031505F">
            <w:pPr>
              <w:pStyle w:val="Tabletexte"/>
              <w:spacing w:before="40" w:after="40"/>
              <w:jc w:val="left"/>
              <w:rPr>
                <w:sz w:val="18"/>
                <w:szCs w:val="18"/>
                <w:lang w:val="en-GB" w:eastAsia="en-GB"/>
              </w:rPr>
            </w:pPr>
          </w:p>
        </w:tc>
        <w:tc>
          <w:tcPr>
            <w:tcW w:w="1067" w:type="pct"/>
            <w:tcBorders>
              <w:top w:val="nil"/>
              <w:left w:val="nil"/>
              <w:bottom w:val="nil"/>
              <w:right w:val="nil"/>
            </w:tcBorders>
            <w:shd w:val="clear" w:color="auto" w:fill="auto"/>
            <w:noWrap/>
            <w:vAlign w:val="bottom"/>
            <w:hideMark/>
          </w:tcPr>
          <w:p w14:paraId="79C2A6E8" w14:textId="77777777" w:rsidR="00834B83" w:rsidRPr="005269E6" w:rsidRDefault="00834B83" w:rsidP="0031505F">
            <w:pPr>
              <w:pStyle w:val="Tabletexte"/>
              <w:spacing w:before="40" w:after="40"/>
              <w:jc w:val="left"/>
              <w:rPr>
                <w:sz w:val="18"/>
                <w:szCs w:val="18"/>
                <w:lang w:val="en-GB" w:eastAsia="en-GB"/>
              </w:rPr>
            </w:pPr>
          </w:p>
        </w:tc>
        <w:tc>
          <w:tcPr>
            <w:tcW w:w="1066" w:type="pct"/>
            <w:tcBorders>
              <w:top w:val="nil"/>
              <w:left w:val="nil"/>
              <w:bottom w:val="nil"/>
              <w:right w:val="nil"/>
            </w:tcBorders>
            <w:shd w:val="clear" w:color="auto" w:fill="auto"/>
            <w:noWrap/>
            <w:vAlign w:val="bottom"/>
            <w:hideMark/>
          </w:tcPr>
          <w:p w14:paraId="3B8A122F" w14:textId="77777777" w:rsidR="00834B83" w:rsidRPr="005269E6" w:rsidRDefault="00834B83" w:rsidP="0031505F">
            <w:pPr>
              <w:pStyle w:val="Tabletexte"/>
              <w:spacing w:before="40" w:after="40"/>
              <w:jc w:val="left"/>
              <w:rPr>
                <w:sz w:val="18"/>
                <w:szCs w:val="18"/>
                <w:lang w:val="en-GB" w:eastAsia="en-GB"/>
              </w:rPr>
            </w:pPr>
          </w:p>
        </w:tc>
      </w:tr>
      <w:tr w:rsidR="00834B83" w:rsidRPr="005269E6" w14:paraId="754550F0" w14:textId="77777777" w:rsidTr="005C5B84">
        <w:trPr>
          <w:jc w:val="center"/>
        </w:trPr>
        <w:tc>
          <w:tcPr>
            <w:tcW w:w="2279" w:type="pct"/>
            <w:tcBorders>
              <w:top w:val="nil"/>
              <w:left w:val="nil"/>
              <w:bottom w:val="nil"/>
              <w:right w:val="nil"/>
            </w:tcBorders>
            <w:shd w:val="clear" w:color="auto" w:fill="auto"/>
            <w:hideMark/>
          </w:tcPr>
          <w:p w14:paraId="024FD48C" w14:textId="77777777" w:rsidR="00834B83" w:rsidRPr="005269E6" w:rsidRDefault="00834B83" w:rsidP="005C5B84">
            <w:pPr>
              <w:pStyle w:val="Tabletexte"/>
              <w:spacing w:before="40" w:after="40"/>
              <w:rPr>
                <w:sz w:val="18"/>
                <w:szCs w:val="18"/>
                <w:lang w:val="en-GB" w:eastAsia="en-GB"/>
              </w:rPr>
            </w:pPr>
          </w:p>
        </w:tc>
        <w:tc>
          <w:tcPr>
            <w:tcW w:w="588" w:type="pct"/>
            <w:tcBorders>
              <w:top w:val="nil"/>
              <w:left w:val="nil"/>
              <w:bottom w:val="nil"/>
              <w:right w:val="nil"/>
            </w:tcBorders>
            <w:shd w:val="clear" w:color="auto" w:fill="auto"/>
            <w:hideMark/>
          </w:tcPr>
          <w:p w14:paraId="4B99A11A" w14:textId="77777777" w:rsidR="00834B83" w:rsidRPr="005269E6" w:rsidRDefault="00834B83" w:rsidP="0031505F">
            <w:pPr>
              <w:pStyle w:val="Tabletexte"/>
              <w:spacing w:before="40" w:after="40"/>
              <w:jc w:val="left"/>
              <w:rPr>
                <w:sz w:val="18"/>
                <w:szCs w:val="18"/>
                <w:lang w:val="en-GB" w:eastAsia="en-GB"/>
              </w:rPr>
            </w:pPr>
          </w:p>
        </w:tc>
        <w:tc>
          <w:tcPr>
            <w:tcW w:w="1067" w:type="pct"/>
            <w:tcBorders>
              <w:top w:val="nil"/>
              <w:left w:val="nil"/>
              <w:bottom w:val="nil"/>
              <w:right w:val="nil"/>
            </w:tcBorders>
            <w:shd w:val="clear" w:color="auto" w:fill="auto"/>
            <w:noWrap/>
            <w:vAlign w:val="bottom"/>
            <w:hideMark/>
          </w:tcPr>
          <w:p w14:paraId="5FC63CA9" w14:textId="77777777" w:rsidR="00834B83" w:rsidRPr="005269E6" w:rsidRDefault="00834B83" w:rsidP="0031505F">
            <w:pPr>
              <w:pStyle w:val="Tabletexte"/>
              <w:spacing w:before="40" w:after="40"/>
              <w:jc w:val="left"/>
              <w:rPr>
                <w:sz w:val="18"/>
                <w:szCs w:val="18"/>
                <w:lang w:val="en-GB" w:eastAsia="en-GB"/>
              </w:rPr>
            </w:pPr>
          </w:p>
        </w:tc>
        <w:tc>
          <w:tcPr>
            <w:tcW w:w="1066" w:type="pct"/>
            <w:tcBorders>
              <w:top w:val="nil"/>
              <w:left w:val="nil"/>
              <w:bottom w:val="nil"/>
              <w:right w:val="nil"/>
            </w:tcBorders>
            <w:shd w:val="clear" w:color="auto" w:fill="auto"/>
            <w:noWrap/>
            <w:vAlign w:val="bottom"/>
            <w:hideMark/>
          </w:tcPr>
          <w:p w14:paraId="5312048C" w14:textId="77777777" w:rsidR="00834B83" w:rsidRPr="005269E6" w:rsidRDefault="00834B83" w:rsidP="0031505F">
            <w:pPr>
              <w:pStyle w:val="Tabletexte"/>
              <w:spacing w:before="40" w:after="40"/>
              <w:jc w:val="left"/>
              <w:rPr>
                <w:sz w:val="18"/>
                <w:szCs w:val="18"/>
                <w:lang w:val="en-GB" w:eastAsia="en-GB"/>
              </w:rPr>
            </w:pPr>
          </w:p>
        </w:tc>
      </w:tr>
      <w:tr w:rsidR="00834B83" w:rsidRPr="005269E6" w14:paraId="36C4E078" w14:textId="77777777" w:rsidTr="005C5B84">
        <w:trPr>
          <w:jc w:val="center"/>
        </w:trPr>
        <w:tc>
          <w:tcPr>
            <w:tcW w:w="2279" w:type="pct"/>
            <w:tcBorders>
              <w:top w:val="nil"/>
              <w:left w:val="nil"/>
              <w:bottom w:val="nil"/>
              <w:right w:val="nil"/>
            </w:tcBorders>
            <w:shd w:val="clear" w:color="auto" w:fill="auto"/>
            <w:vAlign w:val="center"/>
            <w:hideMark/>
          </w:tcPr>
          <w:p w14:paraId="7F3EFE78" w14:textId="77777777" w:rsidR="00834B83" w:rsidRPr="005269E6" w:rsidRDefault="00834B83" w:rsidP="005C5B84">
            <w:pPr>
              <w:pStyle w:val="Tabletexte"/>
              <w:spacing w:before="40" w:after="40"/>
              <w:rPr>
                <w:sz w:val="18"/>
                <w:szCs w:val="18"/>
                <w:lang w:val="en" w:eastAsia="en-GB"/>
              </w:rPr>
            </w:pPr>
            <w:r w:rsidRPr="005269E6">
              <w:rPr>
                <w:sz w:val="18"/>
                <w:szCs w:val="18"/>
                <w:rtl/>
                <w:lang w:val="en-GB" w:eastAsia="en-GB" w:bidi="ar"/>
              </w:rPr>
              <w:t>إجمالي</w:t>
            </w:r>
            <w:r w:rsidRPr="005269E6">
              <w:rPr>
                <w:sz w:val="18"/>
                <w:szCs w:val="18"/>
                <w:lang w:val="en" w:eastAsia="en-GB"/>
              </w:rPr>
              <w:t xml:space="preserve"> </w:t>
            </w:r>
            <w:r w:rsidRPr="005269E6">
              <w:rPr>
                <w:sz w:val="18"/>
                <w:szCs w:val="18"/>
                <w:rtl/>
                <w:lang w:val="en-GB" w:eastAsia="en-GB" w:bidi="ar"/>
              </w:rPr>
              <w:t>الفائض</w:t>
            </w:r>
            <w:r w:rsidRPr="005269E6">
              <w:rPr>
                <w:sz w:val="18"/>
                <w:szCs w:val="18"/>
                <w:lang w:val="en" w:eastAsia="en-GB"/>
              </w:rPr>
              <w:t xml:space="preserve"> </w:t>
            </w:r>
            <w:r w:rsidRPr="005269E6">
              <w:rPr>
                <w:sz w:val="18"/>
                <w:szCs w:val="18"/>
                <w:rtl/>
                <w:lang w:val="en" w:eastAsia="en-GB"/>
              </w:rPr>
              <w:t>(</w:t>
            </w:r>
            <w:r w:rsidRPr="005269E6">
              <w:rPr>
                <w:sz w:val="18"/>
                <w:szCs w:val="18"/>
                <w:rtl/>
                <w:lang w:val="en-GB" w:eastAsia="en-GB" w:bidi="ar"/>
              </w:rPr>
              <w:t>العجز)</w:t>
            </w:r>
            <w:r w:rsidRPr="005269E6">
              <w:rPr>
                <w:sz w:val="18"/>
                <w:szCs w:val="18"/>
                <w:lang w:val="en" w:eastAsia="en-GB"/>
              </w:rPr>
              <w:t xml:space="preserve"> </w:t>
            </w:r>
            <w:r w:rsidRPr="005269E6">
              <w:rPr>
                <w:sz w:val="18"/>
                <w:szCs w:val="18"/>
                <w:rtl/>
                <w:lang w:val="en-GB" w:eastAsia="en-GB" w:bidi="ar"/>
              </w:rPr>
              <w:t>للفترة</w:t>
            </w:r>
          </w:p>
        </w:tc>
        <w:tc>
          <w:tcPr>
            <w:tcW w:w="588" w:type="pct"/>
            <w:tcBorders>
              <w:top w:val="nil"/>
              <w:left w:val="nil"/>
              <w:bottom w:val="nil"/>
              <w:right w:val="nil"/>
            </w:tcBorders>
            <w:shd w:val="clear" w:color="auto" w:fill="auto"/>
            <w:vAlign w:val="center"/>
            <w:hideMark/>
          </w:tcPr>
          <w:p w14:paraId="2EB54864" w14:textId="77777777" w:rsidR="00834B83" w:rsidRPr="005269E6" w:rsidRDefault="00834B83" w:rsidP="0031505F">
            <w:pPr>
              <w:pStyle w:val="Tabletexte"/>
              <w:spacing w:before="40" w:after="40"/>
              <w:jc w:val="left"/>
              <w:rPr>
                <w:sz w:val="18"/>
                <w:szCs w:val="18"/>
                <w:lang w:val="en-GB" w:eastAsia="en-GB"/>
              </w:rPr>
            </w:pPr>
            <w:r w:rsidRPr="005269E6">
              <w:rPr>
                <w:sz w:val="18"/>
                <w:szCs w:val="18"/>
                <w:rtl/>
                <w:lang w:val="en-GB" w:eastAsia="en-GB"/>
              </w:rPr>
              <w:t>البيان الثاني</w:t>
            </w:r>
          </w:p>
        </w:tc>
        <w:tc>
          <w:tcPr>
            <w:tcW w:w="1067" w:type="pct"/>
            <w:tcBorders>
              <w:top w:val="nil"/>
              <w:left w:val="nil"/>
              <w:bottom w:val="nil"/>
              <w:right w:val="nil"/>
            </w:tcBorders>
            <w:shd w:val="clear" w:color="auto" w:fill="auto"/>
            <w:noWrap/>
            <w:vAlign w:val="center"/>
            <w:hideMark/>
          </w:tcPr>
          <w:p w14:paraId="7BA6F579"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(24 442)</w:t>
            </w:r>
          </w:p>
        </w:tc>
        <w:tc>
          <w:tcPr>
            <w:tcW w:w="1066" w:type="pct"/>
            <w:tcBorders>
              <w:top w:val="nil"/>
              <w:left w:val="nil"/>
              <w:bottom w:val="nil"/>
              <w:right w:val="nil"/>
            </w:tcBorders>
            <w:shd w:val="clear" w:color="auto" w:fill="auto"/>
            <w:noWrap/>
            <w:vAlign w:val="center"/>
            <w:hideMark/>
          </w:tcPr>
          <w:p w14:paraId="4F24184B"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(13 296)</w:t>
            </w:r>
          </w:p>
        </w:tc>
      </w:tr>
      <w:tr w:rsidR="00834B83" w:rsidRPr="005269E6" w14:paraId="0D448DAC" w14:textId="77777777" w:rsidTr="005C5B84">
        <w:trPr>
          <w:jc w:val="center"/>
        </w:trPr>
        <w:tc>
          <w:tcPr>
            <w:tcW w:w="2279" w:type="pct"/>
            <w:tcBorders>
              <w:top w:val="nil"/>
              <w:left w:val="nil"/>
              <w:bottom w:val="nil"/>
              <w:right w:val="nil"/>
            </w:tcBorders>
            <w:shd w:val="clear" w:color="auto" w:fill="auto"/>
            <w:vAlign w:val="center"/>
            <w:hideMark/>
          </w:tcPr>
          <w:p w14:paraId="39E432A9"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الاهلاك</w:t>
            </w:r>
          </w:p>
        </w:tc>
        <w:tc>
          <w:tcPr>
            <w:tcW w:w="588" w:type="pct"/>
            <w:tcBorders>
              <w:top w:val="nil"/>
              <w:left w:val="nil"/>
              <w:bottom w:val="nil"/>
              <w:right w:val="nil"/>
            </w:tcBorders>
            <w:shd w:val="clear" w:color="auto" w:fill="auto"/>
            <w:vAlign w:val="center"/>
            <w:hideMark/>
          </w:tcPr>
          <w:p w14:paraId="027859C9"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12</w:t>
            </w:r>
          </w:p>
        </w:tc>
        <w:tc>
          <w:tcPr>
            <w:tcW w:w="1067" w:type="pct"/>
            <w:tcBorders>
              <w:top w:val="nil"/>
              <w:left w:val="nil"/>
              <w:bottom w:val="nil"/>
              <w:right w:val="nil"/>
            </w:tcBorders>
            <w:shd w:val="clear" w:color="auto" w:fill="auto"/>
            <w:noWrap/>
            <w:vAlign w:val="center"/>
            <w:hideMark/>
          </w:tcPr>
          <w:p w14:paraId="5E192612"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9 495</w:t>
            </w:r>
          </w:p>
        </w:tc>
        <w:tc>
          <w:tcPr>
            <w:tcW w:w="1066" w:type="pct"/>
            <w:tcBorders>
              <w:top w:val="nil"/>
              <w:left w:val="nil"/>
              <w:bottom w:val="nil"/>
              <w:right w:val="nil"/>
            </w:tcBorders>
            <w:shd w:val="clear" w:color="auto" w:fill="auto"/>
            <w:noWrap/>
            <w:vAlign w:val="center"/>
            <w:hideMark/>
          </w:tcPr>
          <w:p w14:paraId="05D66746"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9 693</w:t>
            </w:r>
          </w:p>
        </w:tc>
      </w:tr>
      <w:tr w:rsidR="00834B83" w:rsidRPr="005269E6" w14:paraId="2C290290" w14:textId="77777777" w:rsidTr="005C5B84">
        <w:trPr>
          <w:jc w:val="center"/>
        </w:trPr>
        <w:tc>
          <w:tcPr>
            <w:tcW w:w="2279" w:type="pct"/>
            <w:tcBorders>
              <w:top w:val="nil"/>
              <w:left w:val="nil"/>
              <w:bottom w:val="nil"/>
              <w:right w:val="nil"/>
            </w:tcBorders>
            <w:shd w:val="clear" w:color="auto" w:fill="auto"/>
            <w:vAlign w:val="center"/>
          </w:tcPr>
          <w:p w14:paraId="19FBBD87" w14:textId="77777777" w:rsidR="00834B83" w:rsidRPr="005269E6" w:rsidRDefault="00834B83" w:rsidP="005C5B84">
            <w:pPr>
              <w:spacing w:before="40" w:after="40" w:line="260" w:lineRule="exact"/>
              <w:rPr>
                <w:sz w:val="18"/>
                <w:szCs w:val="18"/>
                <w:lang w:val="en-GB" w:eastAsia="en-GB" w:bidi="ar-SY"/>
              </w:rPr>
            </w:pPr>
            <w:r w:rsidRPr="005269E6">
              <w:rPr>
                <w:sz w:val="18"/>
                <w:szCs w:val="18"/>
                <w:rtl/>
                <w:lang w:val="en-GB" w:eastAsia="en-GB" w:bidi="ar-SY"/>
              </w:rPr>
              <w:t>تقديم التأمين الصحي بعد انتهاء الخدمة</w:t>
            </w:r>
          </w:p>
        </w:tc>
        <w:tc>
          <w:tcPr>
            <w:tcW w:w="588" w:type="pct"/>
            <w:tcBorders>
              <w:top w:val="nil"/>
              <w:left w:val="nil"/>
              <w:bottom w:val="nil"/>
              <w:right w:val="nil"/>
            </w:tcBorders>
            <w:shd w:val="clear" w:color="auto" w:fill="auto"/>
            <w:vAlign w:val="center"/>
            <w:hideMark/>
          </w:tcPr>
          <w:p w14:paraId="69A2A6CD"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18</w:t>
            </w:r>
          </w:p>
        </w:tc>
        <w:tc>
          <w:tcPr>
            <w:tcW w:w="1067" w:type="pct"/>
            <w:tcBorders>
              <w:top w:val="nil"/>
              <w:left w:val="nil"/>
              <w:bottom w:val="nil"/>
              <w:right w:val="nil"/>
            </w:tcBorders>
            <w:shd w:val="clear" w:color="auto" w:fill="auto"/>
            <w:noWrap/>
            <w:vAlign w:val="center"/>
            <w:hideMark/>
          </w:tcPr>
          <w:p w14:paraId="1FE6009C"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13 976</w:t>
            </w:r>
          </w:p>
        </w:tc>
        <w:tc>
          <w:tcPr>
            <w:tcW w:w="1066" w:type="pct"/>
            <w:tcBorders>
              <w:top w:val="nil"/>
              <w:left w:val="nil"/>
              <w:bottom w:val="nil"/>
              <w:right w:val="nil"/>
            </w:tcBorders>
            <w:shd w:val="clear" w:color="auto" w:fill="auto"/>
            <w:noWrap/>
            <w:vAlign w:val="center"/>
            <w:hideMark/>
          </w:tcPr>
          <w:p w14:paraId="55B216FE"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17 265</w:t>
            </w:r>
          </w:p>
        </w:tc>
      </w:tr>
      <w:tr w:rsidR="00834B83" w:rsidRPr="005269E6" w14:paraId="3F687CD4" w14:textId="77777777" w:rsidTr="005C5B84">
        <w:trPr>
          <w:jc w:val="center"/>
        </w:trPr>
        <w:tc>
          <w:tcPr>
            <w:tcW w:w="2279" w:type="pct"/>
            <w:tcBorders>
              <w:top w:val="nil"/>
              <w:left w:val="nil"/>
              <w:bottom w:val="nil"/>
              <w:right w:val="nil"/>
            </w:tcBorders>
            <w:shd w:val="clear" w:color="auto" w:fill="auto"/>
            <w:vAlign w:val="center"/>
            <w:hideMark/>
          </w:tcPr>
          <w:p w14:paraId="3C54248E" w14:textId="77777777" w:rsidR="00834B83" w:rsidRPr="005269E6" w:rsidRDefault="00834B83" w:rsidP="005C5B84">
            <w:pPr>
              <w:spacing w:before="40" w:after="40" w:line="260" w:lineRule="exact"/>
              <w:rPr>
                <w:sz w:val="18"/>
                <w:szCs w:val="18"/>
                <w:lang w:eastAsia="en-GB" w:bidi="ar-SY"/>
              </w:rPr>
            </w:pPr>
            <w:r w:rsidRPr="005269E6">
              <w:rPr>
                <w:sz w:val="18"/>
                <w:szCs w:val="18"/>
                <w:rtl/>
                <w:lang w:val="en-GB" w:eastAsia="en-GB" w:bidi="ar-SY"/>
              </w:rPr>
              <w:t>(الزيادة) / النقصان في الذمم المدينة</w:t>
            </w:r>
          </w:p>
        </w:tc>
        <w:tc>
          <w:tcPr>
            <w:tcW w:w="588" w:type="pct"/>
            <w:tcBorders>
              <w:top w:val="nil"/>
              <w:left w:val="nil"/>
              <w:bottom w:val="nil"/>
              <w:right w:val="nil"/>
            </w:tcBorders>
            <w:shd w:val="clear" w:color="auto" w:fill="auto"/>
            <w:vAlign w:val="center"/>
            <w:hideMark/>
          </w:tcPr>
          <w:p w14:paraId="030B380D"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9</w:t>
            </w:r>
          </w:p>
        </w:tc>
        <w:tc>
          <w:tcPr>
            <w:tcW w:w="1067" w:type="pct"/>
            <w:tcBorders>
              <w:top w:val="nil"/>
              <w:left w:val="nil"/>
              <w:bottom w:val="nil"/>
              <w:right w:val="nil"/>
            </w:tcBorders>
            <w:shd w:val="clear" w:color="auto" w:fill="auto"/>
            <w:noWrap/>
            <w:vAlign w:val="center"/>
            <w:hideMark/>
          </w:tcPr>
          <w:p w14:paraId="607203BE"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7 360</w:t>
            </w:r>
          </w:p>
        </w:tc>
        <w:tc>
          <w:tcPr>
            <w:tcW w:w="1066" w:type="pct"/>
            <w:tcBorders>
              <w:top w:val="nil"/>
              <w:left w:val="nil"/>
              <w:bottom w:val="nil"/>
              <w:right w:val="nil"/>
            </w:tcBorders>
            <w:shd w:val="clear" w:color="auto" w:fill="auto"/>
            <w:noWrap/>
            <w:vAlign w:val="center"/>
            <w:hideMark/>
          </w:tcPr>
          <w:p w14:paraId="110672A2"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(2 122)</w:t>
            </w:r>
          </w:p>
        </w:tc>
      </w:tr>
      <w:tr w:rsidR="00834B83" w:rsidRPr="005269E6" w14:paraId="3A65FD54" w14:textId="77777777" w:rsidTr="005C5B84">
        <w:trPr>
          <w:jc w:val="center"/>
        </w:trPr>
        <w:tc>
          <w:tcPr>
            <w:tcW w:w="2279" w:type="pct"/>
            <w:tcBorders>
              <w:top w:val="nil"/>
              <w:left w:val="nil"/>
              <w:bottom w:val="nil"/>
              <w:right w:val="nil"/>
            </w:tcBorders>
            <w:shd w:val="clear" w:color="auto" w:fill="auto"/>
            <w:vAlign w:val="center"/>
            <w:hideMark/>
          </w:tcPr>
          <w:p w14:paraId="2689B1E6"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(الزيادة) / النقصان في الذمم المدينة الأخرى</w:t>
            </w:r>
          </w:p>
        </w:tc>
        <w:tc>
          <w:tcPr>
            <w:tcW w:w="588" w:type="pct"/>
            <w:tcBorders>
              <w:top w:val="nil"/>
              <w:left w:val="nil"/>
              <w:bottom w:val="nil"/>
              <w:right w:val="nil"/>
            </w:tcBorders>
            <w:shd w:val="clear" w:color="auto" w:fill="auto"/>
            <w:vAlign w:val="center"/>
            <w:hideMark/>
          </w:tcPr>
          <w:p w14:paraId="0B7A9914"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11</w:t>
            </w:r>
          </w:p>
        </w:tc>
        <w:tc>
          <w:tcPr>
            <w:tcW w:w="1067" w:type="pct"/>
            <w:tcBorders>
              <w:top w:val="nil"/>
              <w:left w:val="nil"/>
              <w:bottom w:val="nil"/>
              <w:right w:val="nil"/>
            </w:tcBorders>
            <w:shd w:val="clear" w:color="auto" w:fill="auto"/>
            <w:noWrap/>
            <w:vAlign w:val="center"/>
            <w:hideMark/>
          </w:tcPr>
          <w:p w14:paraId="794F438B"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884</w:t>
            </w:r>
          </w:p>
        </w:tc>
        <w:tc>
          <w:tcPr>
            <w:tcW w:w="1066" w:type="pct"/>
            <w:tcBorders>
              <w:top w:val="nil"/>
              <w:left w:val="nil"/>
              <w:bottom w:val="nil"/>
              <w:right w:val="nil"/>
            </w:tcBorders>
            <w:shd w:val="clear" w:color="auto" w:fill="auto"/>
            <w:noWrap/>
            <w:vAlign w:val="center"/>
            <w:hideMark/>
          </w:tcPr>
          <w:p w14:paraId="70DF1CEF"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1 788</w:t>
            </w:r>
          </w:p>
        </w:tc>
      </w:tr>
      <w:tr w:rsidR="00834B83" w:rsidRPr="005269E6" w14:paraId="1A210F44" w14:textId="77777777" w:rsidTr="005C5B84">
        <w:trPr>
          <w:jc w:val="center"/>
        </w:trPr>
        <w:tc>
          <w:tcPr>
            <w:tcW w:w="2279" w:type="pct"/>
            <w:tcBorders>
              <w:top w:val="nil"/>
              <w:left w:val="nil"/>
              <w:bottom w:val="nil"/>
              <w:right w:val="nil"/>
            </w:tcBorders>
            <w:shd w:val="clear" w:color="auto" w:fill="auto"/>
            <w:vAlign w:val="center"/>
            <w:hideMark/>
          </w:tcPr>
          <w:p w14:paraId="75B446C5"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 xml:space="preserve">(الزيادة) / النقصان في </w:t>
            </w:r>
            <w:r w:rsidRPr="005269E6">
              <w:rPr>
                <w:sz w:val="18"/>
                <w:szCs w:val="18"/>
                <w:rtl/>
                <w:lang w:val="en-GB" w:eastAsia="en-GB" w:bidi="ar"/>
              </w:rPr>
              <w:t>المخزونات</w:t>
            </w:r>
          </w:p>
        </w:tc>
        <w:tc>
          <w:tcPr>
            <w:tcW w:w="588" w:type="pct"/>
            <w:tcBorders>
              <w:top w:val="nil"/>
              <w:left w:val="nil"/>
              <w:bottom w:val="nil"/>
              <w:right w:val="nil"/>
            </w:tcBorders>
            <w:shd w:val="clear" w:color="auto" w:fill="auto"/>
            <w:vAlign w:val="center"/>
            <w:hideMark/>
          </w:tcPr>
          <w:p w14:paraId="200BE9CE"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10</w:t>
            </w:r>
          </w:p>
        </w:tc>
        <w:tc>
          <w:tcPr>
            <w:tcW w:w="1067" w:type="pct"/>
            <w:tcBorders>
              <w:top w:val="nil"/>
              <w:left w:val="nil"/>
              <w:bottom w:val="nil"/>
              <w:right w:val="nil"/>
            </w:tcBorders>
            <w:shd w:val="clear" w:color="auto" w:fill="auto"/>
            <w:noWrap/>
            <w:vAlign w:val="center"/>
            <w:hideMark/>
          </w:tcPr>
          <w:p w14:paraId="04154F98"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160</w:t>
            </w:r>
          </w:p>
        </w:tc>
        <w:tc>
          <w:tcPr>
            <w:tcW w:w="1066" w:type="pct"/>
            <w:tcBorders>
              <w:top w:val="nil"/>
              <w:left w:val="nil"/>
              <w:bottom w:val="nil"/>
              <w:right w:val="nil"/>
            </w:tcBorders>
            <w:shd w:val="clear" w:color="auto" w:fill="auto"/>
            <w:noWrap/>
            <w:vAlign w:val="center"/>
            <w:hideMark/>
          </w:tcPr>
          <w:p w14:paraId="409B1FD5"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(8)</w:t>
            </w:r>
          </w:p>
        </w:tc>
      </w:tr>
      <w:tr w:rsidR="00834B83" w:rsidRPr="005269E6" w14:paraId="3550EE23" w14:textId="77777777" w:rsidTr="005C5B84">
        <w:trPr>
          <w:jc w:val="center"/>
        </w:trPr>
        <w:tc>
          <w:tcPr>
            <w:tcW w:w="2279" w:type="pct"/>
            <w:tcBorders>
              <w:top w:val="nil"/>
              <w:left w:val="nil"/>
              <w:bottom w:val="nil"/>
              <w:right w:val="nil"/>
            </w:tcBorders>
            <w:shd w:val="clear" w:color="auto" w:fill="auto"/>
            <w:vAlign w:val="center"/>
            <w:hideMark/>
          </w:tcPr>
          <w:p w14:paraId="015351DD"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bidi="ar-SA"/>
              </w:rPr>
              <w:t>ال</w:t>
            </w:r>
            <w:r w:rsidRPr="005269E6">
              <w:rPr>
                <w:sz w:val="18"/>
                <w:szCs w:val="18"/>
                <w:rtl/>
                <w:lang w:val="en-GB" w:eastAsia="en-GB"/>
              </w:rPr>
              <w:t>زيادة / (</w:t>
            </w:r>
            <w:r w:rsidRPr="005269E6">
              <w:rPr>
                <w:sz w:val="18"/>
                <w:szCs w:val="18"/>
                <w:rtl/>
                <w:lang w:val="en-GB" w:eastAsia="en-GB" w:bidi="ar-SA"/>
              </w:rPr>
              <w:t>ال</w:t>
            </w:r>
            <w:r w:rsidRPr="005269E6">
              <w:rPr>
                <w:sz w:val="18"/>
                <w:szCs w:val="18"/>
                <w:rtl/>
                <w:lang w:val="en-GB" w:eastAsia="en-GB"/>
              </w:rPr>
              <w:t>نقصان) في الذمم الدائنة</w:t>
            </w:r>
          </w:p>
        </w:tc>
        <w:tc>
          <w:tcPr>
            <w:tcW w:w="588" w:type="pct"/>
            <w:tcBorders>
              <w:top w:val="nil"/>
              <w:left w:val="nil"/>
              <w:bottom w:val="nil"/>
              <w:right w:val="nil"/>
            </w:tcBorders>
            <w:shd w:val="clear" w:color="auto" w:fill="auto"/>
            <w:vAlign w:val="center"/>
            <w:hideMark/>
          </w:tcPr>
          <w:p w14:paraId="74783A90"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15</w:t>
            </w:r>
          </w:p>
        </w:tc>
        <w:tc>
          <w:tcPr>
            <w:tcW w:w="1067" w:type="pct"/>
            <w:tcBorders>
              <w:top w:val="nil"/>
              <w:left w:val="nil"/>
              <w:bottom w:val="nil"/>
              <w:right w:val="nil"/>
            </w:tcBorders>
            <w:shd w:val="clear" w:color="auto" w:fill="auto"/>
            <w:noWrap/>
            <w:vAlign w:val="center"/>
            <w:hideMark/>
          </w:tcPr>
          <w:p w14:paraId="436B97C1"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3 086</w:t>
            </w:r>
          </w:p>
        </w:tc>
        <w:tc>
          <w:tcPr>
            <w:tcW w:w="1066" w:type="pct"/>
            <w:tcBorders>
              <w:top w:val="nil"/>
              <w:left w:val="nil"/>
              <w:bottom w:val="nil"/>
              <w:right w:val="nil"/>
            </w:tcBorders>
            <w:shd w:val="clear" w:color="auto" w:fill="auto"/>
            <w:noWrap/>
            <w:vAlign w:val="center"/>
            <w:hideMark/>
          </w:tcPr>
          <w:p w14:paraId="11A9ACA5"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1 769</w:t>
            </w:r>
          </w:p>
        </w:tc>
      </w:tr>
      <w:tr w:rsidR="00834B83" w:rsidRPr="005269E6" w14:paraId="4793182B" w14:textId="77777777" w:rsidTr="005C5B84">
        <w:trPr>
          <w:jc w:val="center"/>
        </w:trPr>
        <w:tc>
          <w:tcPr>
            <w:tcW w:w="2279" w:type="pct"/>
            <w:tcBorders>
              <w:top w:val="nil"/>
              <w:left w:val="nil"/>
              <w:bottom w:val="nil"/>
              <w:right w:val="nil"/>
            </w:tcBorders>
            <w:shd w:val="clear" w:color="auto" w:fill="auto"/>
            <w:vAlign w:val="center"/>
            <w:hideMark/>
          </w:tcPr>
          <w:p w14:paraId="7CCC9764"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الزيادة / (النقصان) في</w:t>
            </w:r>
            <w:r w:rsidRPr="005269E6">
              <w:rPr>
                <w:sz w:val="18"/>
                <w:szCs w:val="18"/>
                <w:rtl/>
              </w:rPr>
              <w:t xml:space="preserve"> </w:t>
            </w:r>
            <w:r w:rsidRPr="005269E6">
              <w:rPr>
                <w:sz w:val="18"/>
                <w:szCs w:val="18"/>
                <w:rtl/>
                <w:lang w:val="en-GB" w:eastAsia="en-GB"/>
              </w:rPr>
              <w:t>المساهمات الواردة مقدما - الجارية</w:t>
            </w:r>
          </w:p>
        </w:tc>
        <w:tc>
          <w:tcPr>
            <w:tcW w:w="588" w:type="pct"/>
            <w:tcBorders>
              <w:top w:val="nil"/>
              <w:left w:val="nil"/>
              <w:bottom w:val="nil"/>
              <w:right w:val="nil"/>
            </w:tcBorders>
            <w:shd w:val="clear" w:color="auto" w:fill="auto"/>
            <w:vAlign w:val="center"/>
            <w:hideMark/>
          </w:tcPr>
          <w:p w14:paraId="4FD8DFFF"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16</w:t>
            </w:r>
          </w:p>
        </w:tc>
        <w:tc>
          <w:tcPr>
            <w:tcW w:w="1067" w:type="pct"/>
            <w:tcBorders>
              <w:top w:val="nil"/>
              <w:left w:val="nil"/>
              <w:bottom w:val="nil"/>
              <w:right w:val="nil"/>
            </w:tcBorders>
            <w:shd w:val="clear" w:color="auto" w:fill="auto"/>
            <w:noWrap/>
            <w:vAlign w:val="center"/>
            <w:hideMark/>
          </w:tcPr>
          <w:p w14:paraId="4E161F77"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(2 749)</w:t>
            </w:r>
          </w:p>
        </w:tc>
        <w:tc>
          <w:tcPr>
            <w:tcW w:w="1066" w:type="pct"/>
            <w:tcBorders>
              <w:top w:val="nil"/>
              <w:left w:val="nil"/>
              <w:bottom w:val="nil"/>
              <w:right w:val="nil"/>
            </w:tcBorders>
            <w:shd w:val="clear" w:color="auto" w:fill="auto"/>
            <w:noWrap/>
            <w:vAlign w:val="center"/>
            <w:hideMark/>
          </w:tcPr>
          <w:p w14:paraId="41C1EC4D"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9 777</w:t>
            </w:r>
          </w:p>
        </w:tc>
      </w:tr>
      <w:tr w:rsidR="00834B83" w:rsidRPr="005269E6" w14:paraId="30D50101" w14:textId="77777777" w:rsidTr="005C5B84">
        <w:trPr>
          <w:jc w:val="center"/>
        </w:trPr>
        <w:tc>
          <w:tcPr>
            <w:tcW w:w="2279" w:type="pct"/>
            <w:tcBorders>
              <w:top w:val="nil"/>
              <w:left w:val="nil"/>
              <w:bottom w:val="nil"/>
              <w:right w:val="nil"/>
            </w:tcBorders>
            <w:shd w:val="clear" w:color="auto" w:fill="auto"/>
            <w:vAlign w:val="center"/>
            <w:hideMark/>
          </w:tcPr>
          <w:p w14:paraId="71130D6C"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الزيادة / (النقصان) في</w:t>
            </w:r>
            <w:r w:rsidRPr="005269E6">
              <w:rPr>
                <w:sz w:val="18"/>
                <w:szCs w:val="18"/>
                <w:rtl/>
              </w:rPr>
              <w:t xml:space="preserve"> </w:t>
            </w:r>
            <w:r w:rsidRPr="005269E6">
              <w:rPr>
                <w:sz w:val="18"/>
                <w:szCs w:val="18"/>
                <w:rtl/>
                <w:lang w:val="en-GB" w:eastAsia="en-GB"/>
              </w:rPr>
              <w:t>الإيرادات المؤجلة - الجارية</w:t>
            </w:r>
          </w:p>
        </w:tc>
        <w:tc>
          <w:tcPr>
            <w:tcW w:w="588" w:type="pct"/>
            <w:tcBorders>
              <w:top w:val="nil"/>
              <w:left w:val="nil"/>
              <w:bottom w:val="nil"/>
              <w:right w:val="nil"/>
            </w:tcBorders>
            <w:shd w:val="clear" w:color="auto" w:fill="auto"/>
            <w:vAlign w:val="center"/>
            <w:hideMark/>
          </w:tcPr>
          <w:p w14:paraId="02F6E658"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16</w:t>
            </w:r>
          </w:p>
        </w:tc>
        <w:tc>
          <w:tcPr>
            <w:tcW w:w="1067" w:type="pct"/>
            <w:tcBorders>
              <w:top w:val="nil"/>
              <w:left w:val="nil"/>
              <w:bottom w:val="nil"/>
              <w:right w:val="nil"/>
            </w:tcBorders>
            <w:shd w:val="clear" w:color="auto" w:fill="auto"/>
            <w:noWrap/>
            <w:vAlign w:val="center"/>
            <w:hideMark/>
          </w:tcPr>
          <w:p w14:paraId="54EF660E"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394</w:t>
            </w:r>
          </w:p>
        </w:tc>
        <w:tc>
          <w:tcPr>
            <w:tcW w:w="1066" w:type="pct"/>
            <w:tcBorders>
              <w:top w:val="nil"/>
              <w:left w:val="nil"/>
              <w:bottom w:val="nil"/>
              <w:right w:val="nil"/>
            </w:tcBorders>
            <w:shd w:val="clear" w:color="auto" w:fill="auto"/>
            <w:noWrap/>
            <w:vAlign w:val="center"/>
            <w:hideMark/>
          </w:tcPr>
          <w:p w14:paraId="7F2B07BE"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554</w:t>
            </w:r>
          </w:p>
        </w:tc>
      </w:tr>
      <w:tr w:rsidR="00834B83" w:rsidRPr="005269E6" w14:paraId="4E770D81" w14:textId="77777777" w:rsidTr="005C5B84">
        <w:trPr>
          <w:jc w:val="center"/>
        </w:trPr>
        <w:tc>
          <w:tcPr>
            <w:tcW w:w="2279" w:type="pct"/>
            <w:tcBorders>
              <w:top w:val="nil"/>
              <w:left w:val="nil"/>
              <w:bottom w:val="nil"/>
              <w:right w:val="nil"/>
            </w:tcBorders>
            <w:shd w:val="clear" w:color="auto" w:fill="auto"/>
            <w:vAlign w:val="center"/>
            <w:hideMark/>
          </w:tcPr>
          <w:p w14:paraId="76945C4D"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الزيادة / (النقصان) في</w:t>
            </w:r>
            <w:r w:rsidRPr="005269E6">
              <w:rPr>
                <w:sz w:val="18"/>
                <w:szCs w:val="18"/>
                <w:rtl/>
              </w:rPr>
              <w:t xml:space="preserve"> </w:t>
            </w:r>
            <w:r w:rsidRPr="005269E6">
              <w:rPr>
                <w:sz w:val="18"/>
                <w:szCs w:val="18"/>
                <w:rtl/>
                <w:lang w:val="en-GB" w:eastAsia="en-GB"/>
              </w:rPr>
              <w:t>استحقاقات الموظفين -</w:t>
            </w:r>
            <w:r w:rsidRPr="005269E6">
              <w:rPr>
                <w:sz w:val="18"/>
                <w:szCs w:val="18"/>
                <w:rtl/>
              </w:rPr>
              <w:t xml:space="preserve"> </w:t>
            </w:r>
            <w:r w:rsidRPr="005269E6">
              <w:rPr>
                <w:sz w:val="18"/>
                <w:szCs w:val="18"/>
                <w:rtl/>
                <w:lang w:val="en-GB" w:eastAsia="en-GB"/>
              </w:rPr>
              <w:t>الجارية</w:t>
            </w:r>
          </w:p>
        </w:tc>
        <w:tc>
          <w:tcPr>
            <w:tcW w:w="588" w:type="pct"/>
            <w:tcBorders>
              <w:top w:val="nil"/>
              <w:left w:val="nil"/>
              <w:bottom w:val="nil"/>
              <w:right w:val="nil"/>
            </w:tcBorders>
            <w:shd w:val="clear" w:color="auto" w:fill="auto"/>
            <w:vAlign w:val="center"/>
            <w:hideMark/>
          </w:tcPr>
          <w:p w14:paraId="34A5E71E"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18</w:t>
            </w:r>
          </w:p>
        </w:tc>
        <w:tc>
          <w:tcPr>
            <w:tcW w:w="1067" w:type="pct"/>
            <w:tcBorders>
              <w:top w:val="nil"/>
              <w:left w:val="nil"/>
              <w:bottom w:val="nil"/>
              <w:right w:val="nil"/>
            </w:tcBorders>
            <w:shd w:val="clear" w:color="auto" w:fill="auto"/>
            <w:noWrap/>
            <w:vAlign w:val="center"/>
            <w:hideMark/>
          </w:tcPr>
          <w:p w14:paraId="5BA0282A"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(179)</w:t>
            </w:r>
          </w:p>
        </w:tc>
        <w:tc>
          <w:tcPr>
            <w:tcW w:w="1066" w:type="pct"/>
            <w:tcBorders>
              <w:top w:val="nil"/>
              <w:left w:val="nil"/>
              <w:bottom w:val="nil"/>
              <w:right w:val="nil"/>
            </w:tcBorders>
            <w:shd w:val="clear" w:color="auto" w:fill="auto"/>
            <w:noWrap/>
            <w:vAlign w:val="center"/>
            <w:hideMark/>
          </w:tcPr>
          <w:p w14:paraId="2A31AAED"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414</w:t>
            </w:r>
          </w:p>
        </w:tc>
      </w:tr>
      <w:tr w:rsidR="00834B83" w:rsidRPr="005269E6" w14:paraId="0FFA3AF4" w14:textId="77777777" w:rsidTr="005C5B84">
        <w:trPr>
          <w:jc w:val="center"/>
        </w:trPr>
        <w:tc>
          <w:tcPr>
            <w:tcW w:w="2279" w:type="pct"/>
            <w:tcBorders>
              <w:top w:val="nil"/>
              <w:left w:val="nil"/>
              <w:bottom w:val="nil"/>
              <w:right w:val="nil"/>
            </w:tcBorders>
            <w:shd w:val="clear" w:color="auto" w:fill="auto"/>
            <w:vAlign w:val="center"/>
            <w:hideMark/>
          </w:tcPr>
          <w:p w14:paraId="484DEBAC"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الزيادة / (النقصان) في</w:t>
            </w:r>
            <w:r w:rsidRPr="005269E6">
              <w:rPr>
                <w:sz w:val="18"/>
                <w:szCs w:val="18"/>
                <w:rtl/>
                <w:lang w:val="en-GB" w:eastAsia="en-GB" w:bidi="ar-SA"/>
              </w:rPr>
              <w:t xml:space="preserve"> </w:t>
            </w:r>
            <w:r w:rsidRPr="005269E6">
              <w:rPr>
                <w:sz w:val="18"/>
                <w:szCs w:val="18"/>
                <w:rtl/>
                <w:lang w:val="en-GB" w:eastAsia="en-GB"/>
              </w:rPr>
              <w:t>الأرصدة الاحتياطية -</w:t>
            </w:r>
            <w:r w:rsidRPr="005269E6">
              <w:rPr>
                <w:sz w:val="18"/>
                <w:szCs w:val="18"/>
                <w:rtl/>
                <w:lang w:val="en-GB" w:eastAsia="en-GB" w:bidi="ar-SA"/>
              </w:rPr>
              <w:t xml:space="preserve"> </w:t>
            </w:r>
            <w:r w:rsidRPr="005269E6">
              <w:rPr>
                <w:sz w:val="18"/>
                <w:szCs w:val="18"/>
                <w:rtl/>
                <w:lang w:val="en-GB" w:eastAsia="en-GB"/>
              </w:rPr>
              <w:t>الجارية</w:t>
            </w:r>
          </w:p>
        </w:tc>
        <w:tc>
          <w:tcPr>
            <w:tcW w:w="588" w:type="pct"/>
            <w:tcBorders>
              <w:top w:val="nil"/>
              <w:left w:val="nil"/>
              <w:bottom w:val="nil"/>
              <w:right w:val="nil"/>
            </w:tcBorders>
            <w:shd w:val="clear" w:color="auto" w:fill="auto"/>
            <w:vAlign w:val="center"/>
            <w:hideMark/>
          </w:tcPr>
          <w:p w14:paraId="70570F35"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19</w:t>
            </w:r>
          </w:p>
        </w:tc>
        <w:tc>
          <w:tcPr>
            <w:tcW w:w="1067" w:type="pct"/>
            <w:tcBorders>
              <w:top w:val="nil"/>
              <w:left w:val="nil"/>
              <w:bottom w:val="nil"/>
              <w:right w:val="nil"/>
            </w:tcBorders>
            <w:shd w:val="clear" w:color="auto" w:fill="auto"/>
            <w:noWrap/>
            <w:vAlign w:val="center"/>
            <w:hideMark/>
          </w:tcPr>
          <w:p w14:paraId="56EF4968"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87</w:t>
            </w:r>
          </w:p>
        </w:tc>
        <w:tc>
          <w:tcPr>
            <w:tcW w:w="1066" w:type="pct"/>
            <w:tcBorders>
              <w:top w:val="nil"/>
              <w:left w:val="nil"/>
              <w:bottom w:val="nil"/>
              <w:right w:val="nil"/>
            </w:tcBorders>
            <w:shd w:val="clear" w:color="auto" w:fill="auto"/>
            <w:noWrap/>
            <w:vAlign w:val="center"/>
            <w:hideMark/>
          </w:tcPr>
          <w:p w14:paraId="34DFFD03"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267</w:t>
            </w:r>
          </w:p>
        </w:tc>
      </w:tr>
      <w:tr w:rsidR="00834B83" w:rsidRPr="005269E6" w14:paraId="70222D12" w14:textId="77777777" w:rsidTr="005C5B84">
        <w:trPr>
          <w:jc w:val="center"/>
        </w:trPr>
        <w:tc>
          <w:tcPr>
            <w:tcW w:w="2279" w:type="pct"/>
            <w:tcBorders>
              <w:top w:val="nil"/>
              <w:left w:val="nil"/>
              <w:bottom w:val="nil"/>
              <w:right w:val="nil"/>
            </w:tcBorders>
            <w:shd w:val="clear" w:color="auto" w:fill="auto"/>
            <w:vAlign w:val="center"/>
            <w:hideMark/>
          </w:tcPr>
          <w:p w14:paraId="0DB45479"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الزيادة / (النقصان) في</w:t>
            </w:r>
            <w:r w:rsidRPr="005269E6">
              <w:rPr>
                <w:sz w:val="18"/>
                <w:szCs w:val="18"/>
                <w:rtl/>
                <w:lang w:val="en-GB" w:eastAsia="en-GB" w:bidi="ar-SA"/>
              </w:rPr>
              <w:t xml:space="preserve"> </w:t>
            </w:r>
            <w:r w:rsidRPr="005269E6">
              <w:rPr>
                <w:sz w:val="18"/>
                <w:szCs w:val="18"/>
                <w:rtl/>
                <w:lang w:val="en-GB" w:eastAsia="en-GB"/>
              </w:rPr>
              <w:t>الديون الأخرى -</w:t>
            </w:r>
            <w:r w:rsidRPr="005269E6">
              <w:rPr>
                <w:sz w:val="18"/>
                <w:szCs w:val="18"/>
                <w:rtl/>
                <w:lang w:val="en-GB" w:eastAsia="en-GB" w:bidi="ar-SA"/>
              </w:rPr>
              <w:t xml:space="preserve"> </w:t>
            </w:r>
            <w:r w:rsidRPr="005269E6">
              <w:rPr>
                <w:sz w:val="18"/>
                <w:szCs w:val="18"/>
                <w:rtl/>
                <w:lang w:val="en-GB" w:eastAsia="en-GB"/>
              </w:rPr>
              <w:t>الجارية</w:t>
            </w:r>
          </w:p>
        </w:tc>
        <w:tc>
          <w:tcPr>
            <w:tcW w:w="588" w:type="pct"/>
            <w:tcBorders>
              <w:top w:val="nil"/>
              <w:left w:val="nil"/>
              <w:bottom w:val="nil"/>
              <w:right w:val="nil"/>
            </w:tcBorders>
            <w:shd w:val="clear" w:color="auto" w:fill="auto"/>
            <w:vAlign w:val="center"/>
            <w:hideMark/>
          </w:tcPr>
          <w:p w14:paraId="5A19516A"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20</w:t>
            </w:r>
          </w:p>
        </w:tc>
        <w:tc>
          <w:tcPr>
            <w:tcW w:w="1067" w:type="pct"/>
            <w:tcBorders>
              <w:top w:val="nil"/>
              <w:left w:val="nil"/>
              <w:bottom w:val="nil"/>
              <w:right w:val="nil"/>
            </w:tcBorders>
            <w:shd w:val="clear" w:color="auto" w:fill="auto"/>
            <w:noWrap/>
            <w:vAlign w:val="center"/>
            <w:hideMark/>
          </w:tcPr>
          <w:p w14:paraId="185536D6"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(2 732)</w:t>
            </w:r>
          </w:p>
        </w:tc>
        <w:tc>
          <w:tcPr>
            <w:tcW w:w="1066" w:type="pct"/>
            <w:tcBorders>
              <w:top w:val="nil"/>
              <w:left w:val="nil"/>
              <w:bottom w:val="nil"/>
              <w:right w:val="nil"/>
            </w:tcBorders>
            <w:shd w:val="clear" w:color="auto" w:fill="auto"/>
            <w:noWrap/>
            <w:vAlign w:val="center"/>
            <w:hideMark/>
          </w:tcPr>
          <w:p w14:paraId="182575BA"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(37)</w:t>
            </w:r>
          </w:p>
        </w:tc>
      </w:tr>
      <w:tr w:rsidR="00834B83" w:rsidRPr="005269E6" w14:paraId="55349EDD" w14:textId="77777777" w:rsidTr="005C5B84">
        <w:trPr>
          <w:jc w:val="center"/>
        </w:trPr>
        <w:tc>
          <w:tcPr>
            <w:tcW w:w="2279" w:type="pct"/>
            <w:tcBorders>
              <w:top w:val="nil"/>
              <w:left w:val="nil"/>
              <w:bottom w:val="nil"/>
              <w:right w:val="nil"/>
            </w:tcBorders>
            <w:shd w:val="clear" w:color="auto" w:fill="auto"/>
            <w:vAlign w:val="center"/>
            <w:hideMark/>
          </w:tcPr>
          <w:p w14:paraId="6A27F6D6"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الزيادة / (النقصان) في استحقاقات الموظفين – غير الجارية</w:t>
            </w:r>
          </w:p>
        </w:tc>
        <w:tc>
          <w:tcPr>
            <w:tcW w:w="588" w:type="pct"/>
            <w:tcBorders>
              <w:top w:val="nil"/>
              <w:left w:val="nil"/>
              <w:bottom w:val="nil"/>
              <w:right w:val="nil"/>
            </w:tcBorders>
            <w:shd w:val="clear" w:color="auto" w:fill="auto"/>
            <w:vAlign w:val="center"/>
            <w:hideMark/>
          </w:tcPr>
          <w:p w14:paraId="1A354DC8"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18</w:t>
            </w:r>
          </w:p>
        </w:tc>
        <w:tc>
          <w:tcPr>
            <w:tcW w:w="1067" w:type="pct"/>
            <w:tcBorders>
              <w:top w:val="nil"/>
              <w:left w:val="nil"/>
              <w:bottom w:val="nil"/>
              <w:right w:val="nil"/>
            </w:tcBorders>
            <w:shd w:val="clear" w:color="auto" w:fill="auto"/>
            <w:noWrap/>
            <w:vAlign w:val="center"/>
            <w:hideMark/>
          </w:tcPr>
          <w:p w14:paraId="09F5A390"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77</w:t>
            </w:r>
          </w:p>
        </w:tc>
        <w:tc>
          <w:tcPr>
            <w:tcW w:w="1066" w:type="pct"/>
            <w:tcBorders>
              <w:top w:val="nil"/>
              <w:left w:val="nil"/>
              <w:bottom w:val="nil"/>
              <w:right w:val="nil"/>
            </w:tcBorders>
            <w:shd w:val="clear" w:color="auto" w:fill="auto"/>
            <w:noWrap/>
            <w:vAlign w:val="center"/>
            <w:hideMark/>
          </w:tcPr>
          <w:p w14:paraId="2F907DBE"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(296)</w:t>
            </w:r>
          </w:p>
        </w:tc>
      </w:tr>
      <w:tr w:rsidR="00834B83" w:rsidRPr="005269E6" w14:paraId="53C5E7AE" w14:textId="77777777" w:rsidTr="005C5B84">
        <w:trPr>
          <w:jc w:val="center"/>
        </w:trPr>
        <w:tc>
          <w:tcPr>
            <w:tcW w:w="2279" w:type="pct"/>
            <w:tcBorders>
              <w:top w:val="nil"/>
              <w:left w:val="nil"/>
              <w:bottom w:val="nil"/>
              <w:right w:val="nil"/>
            </w:tcBorders>
            <w:shd w:val="clear" w:color="auto" w:fill="auto"/>
            <w:vAlign w:val="center"/>
            <w:hideMark/>
          </w:tcPr>
          <w:p w14:paraId="5EBF7101"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الزيادة / (النقصان) في الأموال الخارجية – غير الجارية</w:t>
            </w:r>
          </w:p>
        </w:tc>
        <w:tc>
          <w:tcPr>
            <w:tcW w:w="588" w:type="pct"/>
            <w:tcBorders>
              <w:top w:val="nil"/>
              <w:left w:val="nil"/>
              <w:bottom w:val="nil"/>
              <w:right w:val="nil"/>
            </w:tcBorders>
            <w:shd w:val="clear" w:color="auto" w:fill="auto"/>
            <w:vAlign w:val="center"/>
            <w:hideMark/>
          </w:tcPr>
          <w:p w14:paraId="715F22B4"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21</w:t>
            </w:r>
          </w:p>
        </w:tc>
        <w:tc>
          <w:tcPr>
            <w:tcW w:w="1067" w:type="pct"/>
            <w:tcBorders>
              <w:top w:val="nil"/>
              <w:left w:val="nil"/>
              <w:bottom w:val="nil"/>
              <w:right w:val="nil"/>
            </w:tcBorders>
            <w:shd w:val="clear" w:color="auto" w:fill="auto"/>
            <w:noWrap/>
            <w:vAlign w:val="center"/>
            <w:hideMark/>
          </w:tcPr>
          <w:p w14:paraId="69C35072"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(8 657)</w:t>
            </w:r>
          </w:p>
        </w:tc>
        <w:tc>
          <w:tcPr>
            <w:tcW w:w="1066" w:type="pct"/>
            <w:tcBorders>
              <w:top w:val="nil"/>
              <w:left w:val="nil"/>
              <w:bottom w:val="nil"/>
              <w:right w:val="nil"/>
            </w:tcBorders>
            <w:shd w:val="clear" w:color="auto" w:fill="auto"/>
            <w:noWrap/>
            <w:vAlign w:val="center"/>
            <w:hideMark/>
          </w:tcPr>
          <w:p w14:paraId="04F20567"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7 241</w:t>
            </w:r>
          </w:p>
        </w:tc>
      </w:tr>
      <w:tr w:rsidR="00834B83" w:rsidRPr="005269E6" w14:paraId="1C473222" w14:textId="77777777" w:rsidTr="005C5B84">
        <w:trPr>
          <w:jc w:val="center"/>
        </w:trPr>
        <w:tc>
          <w:tcPr>
            <w:tcW w:w="2279" w:type="pct"/>
            <w:tcBorders>
              <w:top w:val="nil"/>
              <w:left w:val="nil"/>
              <w:bottom w:val="nil"/>
              <w:right w:val="nil"/>
            </w:tcBorders>
            <w:shd w:val="clear" w:color="auto" w:fill="auto"/>
            <w:vAlign w:val="center"/>
            <w:hideMark/>
          </w:tcPr>
          <w:p w14:paraId="6A55DEF1"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رصيد احتياطي للذمم المدينة المشكوك في تحصيلها</w:t>
            </w:r>
          </w:p>
        </w:tc>
        <w:tc>
          <w:tcPr>
            <w:tcW w:w="588" w:type="pct"/>
            <w:tcBorders>
              <w:top w:val="nil"/>
              <w:left w:val="nil"/>
              <w:bottom w:val="nil"/>
              <w:right w:val="nil"/>
            </w:tcBorders>
            <w:shd w:val="clear" w:color="auto" w:fill="auto"/>
            <w:vAlign w:val="center"/>
            <w:hideMark/>
          </w:tcPr>
          <w:p w14:paraId="7B56B07E"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9</w:t>
            </w:r>
          </w:p>
        </w:tc>
        <w:tc>
          <w:tcPr>
            <w:tcW w:w="1067" w:type="pct"/>
            <w:tcBorders>
              <w:top w:val="nil"/>
              <w:left w:val="nil"/>
              <w:bottom w:val="nil"/>
              <w:right w:val="nil"/>
            </w:tcBorders>
            <w:shd w:val="clear" w:color="auto" w:fill="auto"/>
            <w:noWrap/>
            <w:vAlign w:val="center"/>
            <w:hideMark/>
          </w:tcPr>
          <w:p w14:paraId="47BDD606"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(5 662)</w:t>
            </w:r>
          </w:p>
        </w:tc>
        <w:tc>
          <w:tcPr>
            <w:tcW w:w="1066" w:type="pct"/>
            <w:tcBorders>
              <w:top w:val="nil"/>
              <w:left w:val="nil"/>
              <w:bottom w:val="nil"/>
              <w:right w:val="nil"/>
            </w:tcBorders>
            <w:shd w:val="clear" w:color="auto" w:fill="auto"/>
            <w:noWrap/>
            <w:vAlign w:val="center"/>
            <w:hideMark/>
          </w:tcPr>
          <w:p w14:paraId="58C86E95"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(1 491)</w:t>
            </w:r>
          </w:p>
        </w:tc>
      </w:tr>
      <w:tr w:rsidR="00834B83" w:rsidRPr="005269E6" w14:paraId="043E9AB3" w14:textId="77777777" w:rsidTr="005C5B84">
        <w:trPr>
          <w:jc w:val="center"/>
        </w:trPr>
        <w:tc>
          <w:tcPr>
            <w:tcW w:w="2279" w:type="pct"/>
            <w:tcBorders>
              <w:top w:val="nil"/>
              <w:left w:val="nil"/>
              <w:bottom w:val="nil"/>
              <w:right w:val="nil"/>
            </w:tcBorders>
            <w:shd w:val="clear" w:color="auto" w:fill="auto"/>
            <w:vAlign w:val="center"/>
            <w:hideMark/>
          </w:tcPr>
          <w:p w14:paraId="725AFA52" w14:textId="77777777" w:rsidR="00834B83" w:rsidRPr="005269E6" w:rsidRDefault="00834B83" w:rsidP="005C5B84">
            <w:pPr>
              <w:spacing w:before="40" w:after="40" w:line="260" w:lineRule="exact"/>
              <w:rPr>
                <w:sz w:val="18"/>
                <w:szCs w:val="18"/>
                <w:lang w:val="en-GB" w:eastAsia="en-GB" w:bidi="ar-SY"/>
              </w:rPr>
            </w:pPr>
            <w:r w:rsidRPr="005269E6">
              <w:rPr>
                <w:sz w:val="18"/>
                <w:szCs w:val="18"/>
                <w:rtl/>
                <w:lang w:val="en-GB" w:eastAsia="en-GB" w:bidi="ar-SY"/>
              </w:rPr>
              <w:t>الفائدة المستلَمة/المدفوعة</w:t>
            </w:r>
          </w:p>
        </w:tc>
        <w:tc>
          <w:tcPr>
            <w:tcW w:w="588" w:type="pct"/>
            <w:tcBorders>
              <w:top w:val="nil"/>
              <w:left w:val="nil"/>
              <w:bottom w:val="nil"/>
              <w:right w:val="nil"/>
            </w:tcBorders>
            <w:shd w:val="clear" w:color="auto" w:fill="auto"/>
            <w:vAlign w:val="center"/>
            <w:hideMark/>
          </w:tcPr>
          <w:p w14:paraId="27420FEE"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22</w:t>
            </w:r>
          </w:p>
        </w:tc>
        <w:tc>
          <w:tcPr>
            <w:tcW w:w="1067" w:type="pct"/>
            <w:tcBorders>
              <w:top w:val="nil"/>
              <w:left w:val="nil"/>
              <w:bottom w:val="nil"/>
              <w:right w:val="nil"/>
            </w:tcBorders>
            <w:shd w:val="clear" w:color="auto" w:fill="auto"/>
            <w:noWrap/>
            <w:vAlign w:val="center"/>
            <w:hideMark/>
          </w:tcPr>
          <w:p w14:paraId="2C69E5EB"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(1 523)</w:t>
            </w:r>
          </w:p>
        </w:tc>
        <w:tc>
          <w:tcPr>
            <w:tcW w:w="1066" w:type="pct"/>
            <w:tcBorders>
              <w:top w:val="nil"/>
              <w:left w:val="nil"/>
              <w:bottom w:val="nil"/>
              <w:right w:val="nil"/>
            </w:tcBorders>
            <w:shd w:val="clear" w:color="auto" w:fill="auto"/>
            <w:noWrap/>
            <w:vAlign w:val="center"/>
            <w:hideMark/>
          </w:tcPr>
          <w:p w14:paraId="75A634A5"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(241)</w:t>
            </w:r>
          </w:p>
        </w:tc>
      </w:tr>
      <w:tr w:rsidR="00834B83" w:rsidRPr="005269E6" w14:paraId="2DDE5AEF" w14:textId="77777777" w:rsidTr="005C5B84">
        <w:trPr>
          <w:jc w:val="center"/>
        </w:trPr>
        <w:tc>
          <w:tcPr>
            <w:tcW w:w="2279" w:type="pct"/>
            <w:tcBorders>
              <w:top w:val="nil"/>
              <w:left w:val="nil"/>
              <w:bottom w:val="nil"/>
              <w:right w:val="nil"/>
            </w:tcBorders>
            <w:shd w:val="clear" w:color="auto" w:fill="auto"/>
            <w:vAlign w:val="center"/>
            <w:hideMark/>
          </w:tcPr>
          <w:p w14:paraId="70C18922" w14:textId="77777777" w:rsidR="00834B83" w:rsidRPr="005269E6" w:rsidRDefault="00834B83" w:rsidP="005C5B84">
            <w:pPr>
              <w:pStyle w:val="Tabletexte"/>
              <w:spacing w:before="40" w:after="40"/>
              <w:rPr>
                <w:sz w:val="18"/>
                <w:szCs w:val="18"/>
                <w:lang w:val="en" w:eastAsia="en-GB"/>
              </w:rPr>
            </w:pPr>
            <w:r w:rsidRPr="005269E6">
              <w:rPr>
                <w:sz w:val="18"/>
                <w:szCs w:val="18"/>
                <w:rtl/>
                <w:lang w:val="en-GB" w:eastAsia="en-GB" w:bidi="ar"/>
              </w:rPr>
              <w:t>المكاسب</w:t>
            </w:r>
            <w:r w:rsidRPr="005269E6">
              <w:rPr>
                <w:sz w:val="18"/>
                <w:szCs w:val="18"/>
                <w:lang w:val="en" w:eastAsia="en-GB"/>
              </w:rPr>
              <w:t>/</w:t>
            </w:r>
            <w:r w:rsidRPr="005269E6">
              <w:rPr>
                <w:sz w:val="18"/>
                <w:szCs w:val="18"/>
                <w:rtl/>
                <w:lang w:val="en-GB" w:eastAsia="en-GB" w:bidi="ar"/>
              </w:rPr>
              <w:t>الخسائر</w:t>
            </w:r>
            <w:r w:rsidRPr="005269E6">
              <w:rPr>
                <w:sz w:val="18"/>
                <w:szCs w:val="18"/>
                <w:lang w:val="en" w:eastAsia="en-GB"/>
              </w:rPr>
              <w:t xml:space="preserve"> </w:t>
            </w:r>
            <w:r w:rsidRPr="005269E6">
              <w:rPr>
                <w:sz w:val="18"/>
                <w:szCs w:val="18"/>
                <w:rtl/>
                <w:lang w:val="en-GB" w:eastAsia="en-GB" w:bidi="ar"/>
              </w:rPr>
              <w:t>غير</w:t>
            </w:r>
            <w:r w:rsidRPr="005269E6">
              <w:rPr>
                <w:sz w:val="18"/>
                <w:szCs w:val="18"/>
                <w:lang w:val="en" w:eastAsia="en-GB"/>
              </w:rPr>
              <w:t xml:space="preserve"> </w:t>
            </w:r>
            <w:r w:rsidRPr="005269E6">
              <w:rPr>
                <w:sz w:val="18"/>
                <w:szCs w:val="18"/>
                <w:rtl/>
                <w:lang w:val="en-GB" w:eastAsia="en-GB" w:bidi="ar"/>
              </w:rPr>
              <w:t>المحققة</w:t>
            </w:r>
            <w:r w:rsidRPr="005269E6">
              <w:rPr>
                <w:sz w:val="18"/>
                <w:szCs w:val="18"/>
                <w:lang w:val="en" w:eastAsia="en-GB"/>
              </w:rPr>
              <w:t xml:space="preserve"> </w:t>
            </w:r>
            <w:r w:rsidRPr="005269E6">
              <w:rPr>
                <w:sz w:val="18"/>
                <w:szCs w:val="18"/>
                <w:rtl/>
                <w:lang w:val="en-GB" w:eastAsia="en-GB" w:bidi="ar"/>
              </w:rPr>
              <w:t>في</w:t>
            </w:r>
            <w:r w:rsidRPr="005269E6">
              <w:rPr>
                <w:sz w:val="18"/>
                <w:szCs w:val="18"/>
                <w:lang w:val="en" w:eastAsia="en-GB"/>
              </w:rPr>
              <w:t xml:space="preserve"> </w:t>
            </w:r>
            <w:r w:rsidRPr="005269E6">
              <w:rPr>
                <w:sz w:val="18"/>
                <w:szCs w:val="18"/>
                <w:rtl/>
                <w:lang w:val="en-GB" w:eastAsia="en-GB" w:bidi="ar"/>
              </w:rPr>
              <w:t>أسعار</w:t>
            </w:r>
            <w:r w:rsidRPr="005269E6">
              <w:rPr>
                <w:sz w:val="18"/>
                <w:szCs w:val="18"/>
                <w:lang w:val="en" w:eastAsia="en-GB"/>
              </w:rPr>
              <w:t xml:space="preserve"> </w:t>
            </w:r>
            <w:r w:rsidRPr="005269E6">
              <w:rPr>
                <w:sz w:val="18"/>
                <w:szCs w:val="18"/>
                <w:rtl/>
                <w:lang w:val="en-GB" w:eastAsia="en-GB" w:bidi="ar"/>
              </w:rPr>
              <w:t>الصرف</w:t>
            </w:r>
          </w:p>
        </w:tc>
        <w:tc>
          <w:tcPr>
            <w:tcW w:w="588" w:type="pct"/>
            <w:tcBorders>
              <w:top w:val="nil"/>
              <w:left w:val="nil"/>
              <w:bottom w:val="nil"/>
              <w:right w:val="nil"/>
            </w:tcBorders>
            <w:shd w:val="clear" w:color="auto" w:fill="auto"/>
            <w:vAlign w:val="center"/>
            <w:hideMark/>
          </w:tcPr>
          <w:p w14:paraId="4BB6E1D3" w14:textId="77777777" w:rsidR="00834B83" w:rsidRPr="005269E6" w:rsidRDefault="00834B83" w:rsidP="0031505F">
            <w:pPr>
              <w:pStyle w:val="Tabletexte"/>
              <w:spacing w:before="40" w:after="40"/>
              <w:jc w:val="left"/>
              <w:rPr>
                <w:sz w:val="18"/>
                <w:szCs w:val="18"/>
                <w:lang w:val="en-GB" w:eastAsia="en-GB"/>
              </w:rPr>
            </w:pPr>
          </w:p>
        </w:tc>
        <w:tc>
          <w:tcPr>
            <w:tcW w:w="1067" w:type="pct"/>
            <w:tcBorders>
              <w:top w:val="nil"/>
              <w:left w:val="nil"/>
              <w:bottom w:val="nil"/>
              <w:right w:val="nil"/>
            </w:tcBorders>
            <w:shd w:val="clear" w:color="auto" w:fill="auto"/>
            <w:noWrap/>
            <w:vAlign w:val="center"/>
            <w:hideMark/>
          </w:tcPr>
          <w:p w14:paraId="42023AE3"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333</w:t>
            </w:r>
          </w:p>
        </w:tc>
        <w:tc>
          <w:tcPr>
            <w:tcW w:w="1066" w:type="pct"/>
            <w:tcBorders>
              <w:top w:val="nil"/>
              <w:left w:val="nil"/>
              <w:bottom w:val="nil"/>
              <w:right w:val="nil"/>
            </w:tcBorders>
            <w:shd w:val="clear" w:color="auto" w:fill="auto"/>
            <w:noWrap/>
            <w:vAlign w:val="center"/>
            <w:hideMark/>
          </w:tcPr>
          <w:p w14:paraId="6A99EB22"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(324)</w:t>
            </w:r>
          </w:p>
        </w:tc>
      </w:tr>
      <w:tr w:rsidR="00834B83" w:rsidRPr="005269E6" w14:paraId="7C091534" w14:textId="77777777" w:rsidTr="005C5B84">
        <w:trPr>
          <w:jc w:val="center"/>
        </w:trPr>
        <w:tc>
          <w:tcPr>
            <w:tcW w:w="2279" w:type="pct"/>
            <w:tcBorders>
              <w:top w:val="nil"/>
              <w:left w:val="nil"/>
              <w:bottom w:val="nil"/>
              <w:right w:val="nil"/>
            </w:tcBorders>
            <w:shd w:val="clear" w:color="auto" w:fill="auto"/>
            <w:vAlign w:val="center"/>
            <w:hideMark/>
          </w:tcPr>
          <w:p w14:paraId="465345A9" w14:textId="77777777" w:rsidR="00834B83" w:rsidRPr="005269E6" w:rsidRDefault="00834B83" w:rsidP="005C5B84">
            <w:pPr>
              <w:pStyle w:val="Tabletexte"/>
              <w:spacing w:before="40" w:after="40"/>
              <w:rPr>
                <w:sz w:val="18"/>
                <w:szCs w:val="18"/>
                <w:lang w:val="en-GB" w:eastAsia="en-GB"/>
              </w:rPr>
            </w:pPr>
          </w:p>
        </w:tc>
        <w:tc>
          <w:tcPr>
            <w:tcW w:w="588" w:type="pct"/>
            <w:tcBorders>
              <w:top w:val="nil"/>
              <w:left w:val="nil"/>
              <w:bottom w:val="nil"/>
              <w:right w:val="nil"/>
            </w:tcBorders>
            <w:shd w:val="clear" w:color="auto" w:fill="auto"/>
            <w:vAlign w:val="center"/>
            <w:hideMark/>
          </w:tcPr>
          <w:p w14:paraId="03A43F23" w14:textId="77777777" w:rsidR="00834B83" w:rsidRPr="005269E6" w:rsidRDefault="00834B83" w:rsidP="0031505F">
            <w:pPr>
              <w:pStyle w:val="Tabletexte"/>
              <w:spacing w:before="40" w:after="40"/>
              <w:jc w:val="left"/>
              <w:rPr>
                <w:sz w:val="18"/>
                <w:szCs w:val="18"/>
                <w:lang w:val="en-GB" w:eastAsia="en-GB"/>
              </w:rPr>
            </w:pPr>
          </w:p>
        </w:tc>
        <w:tc>
          <w:tcPr>
            <w:tcW w:w="1067" w:type="pct"/>
            <w:tcBorders>
              <w:top w:val="nil"/>
              <w:left w:val="nil"/>
              <w:bottom w:val="nil"/>
              <w:right w:val="nil"/>
            </w:tcBorders>
            <w:shd w:val="clear" w:color="auto" w:fill="auto"/>
            <w:noWrap/>
            <w:vAlign w:val="center"/>
            <w:hideMark/>
          </w:tcPr>
          <w:p w14:paraId="4F16D3EB" w14:textId="77777777" w:rsidR="00834B83" w:rsidRPr="005269E6" w:rsidRDefault="00834B83" w:rsidP="0031505F">
            <w:pPr>
              <w:pStyle w:val="Tabletexte"/>
              <w:spacing w:before="40" w:after="40"/>
              <w:jc w:val="left"/>
              <w:rPr>
                <w:sz w:val="18"/>
                <w:szCs w:val="18"/>
                <w:lang w:val="en-GB" w:eastAsia="en-GB"/>
              </w:rPr>
            </w:pPr>
          </w:p>
        </w:tc>
        <w:tc>
          <w:tcPr>
            <w:tcW w:w="1066" w:type="pct"/>
            <w:tcBorders>
              <w:top w:val="nil"/>
              <w:left w:val="nil"/>
              <w:bottom w:val="nil"/>
              <w:right w:val="nil"/>
            </w:tcBorders>
            <w:shd w:val="clear" w:color="auto" w:fill="auto"/>
            <w:noWrap/>
            <w:vAlign w:val="center"/>
            <w:hideMark/>
          </w:tcPr>
          <w:p w14:paraId="39CCACAC" w14:textId="77777777" w:rsidR="00834B83" w:rsidRPr="005269E6" w:rsidRDefault="00834B83" w:rsidP="0031505F">
            <w:pPr>
              <w:pStyle w:val="Tabletexte"/>
              <w:spacing w:before="40" w:after="40"/>
              <w:jc w:val="left"/>
              <w:rPr>
                <w:sz w:val="18"/>
                <w:szCs w:val="18"/>
                <w:lang w:val="en-GB" w:eastAsia="en-GB"/>
              </w:rPr>
            </w:pPr>
          </w:p>
        </w:tc>
      </w:tr>
      <w:tr w:rsidR="00834B83" w:rsidRPr="005269E6" w14:paraId="5B5B9DEF" w14:textId="77777777" w:rsidTr="005C5B84">
        <w:trPr>
          <w:jc w:val="center"/>
        </w:trPr>
        <w:tc>
          <w:tcPr>
            <w:tcW w:w="2279" w:type="pct"/>
            <w:tcBorders>
              <w:top w:val="nil"/>
              <w:left w:val="nil"/>
              <w:bottom w:val="nil"/>
              <w:right w:val="nil"/>
            </w:tcBorders>
            <w:shd w:val="clear" w:color="auto" w:fill="auto"/>
            <w:noWrap/>
            <w:vAlign w:val="center"/>
            <w:hideMark/>
          </w:tcPr>
          <w:p w14:paraId="037F5A1D" w14:textId="77777777" w:rsidR="00834B83" w:rsidRPr="005269E6" w:rsidRDefault="00834B83" w:rsidP="005C5B84">
            <w:pPr>
              <w:pStyle w:val="Tabletexte"/>
              <w:spacing w:before="40" w:after="40"/>
              <w:rPr>
                <w:sz w:val="18"/>
                <w:szCs w:val="18"/>
                <w:lang w:val="en-GB" w:eastAsia="en-GB"/>
              </w:rPr>
            </w:pPr>
          </w:p>
        </w:tc>
        <w:tc>
          <w:tcPr>
            <w:tcW w:w="588" w:type="pct"/>
            <w:tcBorders>
              <w:top w:val="nil"/>
              <w:left w:val="nil"/>
              <w:bottom w:val="nil"/>
              <w:right w:val="nil"/>
            </w:tcBorders>
            <w:shd w:val="clear" w:color="auto" w:fill="auto"/>
            <w:noWrap/>
            <w:vAlign w:val="center"/>
            <w:hideMark/>
          </w:tcPr>
          <w:p w14:paraId="47B0C581" w14:textId="77777777" w:rsidR="00834B83" w:rsidRPr="005269E6" w:rsidRDefault="00834B83" w:rsidP="0031505F">
            <w:pPr>
              <w:pStyle w:val="Tabletexte"/>
              <w:spacing w:before="40" w:after="40"/>
              <w:jc w:val="left"/>
              <w:rPr>
                <w:sz w:val="18"/>
                <w:szCs w:val="18"/>
                <w:lang w:val="en-GB" w:eastAsia="en-GB"/>
              </w:rPr>
            </w:pPr>
          </w:p>
        </w:tc>
        <w:tc>
          <w:tcPr>
            <w:tcW w:w="1067" w:type="pct"/>
            <w:tcBorders>
              <w:top w:val="nil"/>
              <w:left w:val="nil"/>
              <w:bottom w:val="nil"/>
              <w:right w:val="nil"/>
            </w:tcBorders>
            <w:shd w:val="clear" w:color="auto" w:fill="auto"/>
            <w:noWrap/>
            <w:vAlign w:val="center"/>
            <w:hideMark/>
          </w:tcPr>
          <w:p w14:paraId="6395BDD4" w14:textId="77777777" w:rsidR="00834B83" w:rsidRPr="005269E6" w:rsidRDefault="00834B83" w:rsidP="0031505F">
            <w:pPr>
              <w:pStyle w:val="Tabletexte"/>
              <w:spacing w:before="40" w:after="40"/>
              <w:jc w:val="left"/>
              <w:rPr>
                <w:sz w:val="18"/>
                <w:szCs w:val="18"/>
                <w:lang w:val="en-GB" w:eastAsia="en-GB"/>
              </w:rPr>
            </w:pPr>
          </w:p>
        </w:tc>
        <w:tc>
          <w:tcPr>
            <w:tcW w:w="1066" w:type="pct"/>
            <w:tcBorders>
              <w:top w:val="nil"/>
              <w:left w:val="nil"/>
              <w:bottom w:val="nil"/>
              <w:right w:val="nil"/>
            </w:tcBorders>
            <w:shd w:val="clear" w:color="auto" w:fill="auto"/>
            <w:noWrap/>
            <w:vAlign w:val="center"/>
            <w:hideMark/>
          </w:tcPr>
          <w:p w14:paraId="02A0514D" w14:textId="77777777" w:rsidR="00834B83" w:rsidRPr="005269E6" w:rsidRDefault="00834B83" w:rsidP="0031505F">
            <w:pPr>
              <w:pStyle w:val="Tabletexte"/>
              <w:spacing w:before="40" w:after="40"/>
              <w:jc w:val="left"/>
              <w:rPr>
                <w:sz w:val="18"/>
                <w:szCs w:val="18"/>
                <w:lang w:val="en-GB" w:eastAsia="en-GB"/>
              </w:rPr>
            </w:pPr>
          </w:p>
        </w:tc>
      </w:tr>
      <w:tr w:rsidR="00834B83" w:rsidRPr="005269E6" w14:paraId="095DBE6C" w14:textId="77777777" w:rsidTr="005C5B84">
        <w:trPr>
          <w:jc w:val="center"/>
        </w:trPr>
        <w:tc>
          <w:tcPr>
            <w:tcW w:w="2279" w:type="pct"/>
            <w:tcBorders>
              <w:top w:val="nil"/>
              <w:left w:val="nil"/>
              <w:bottom w:val="nil"/>
              <w:right w:val="nil"/>
            </w:tcBorders>
            <w:shd w:val="clear" w:color="auto" w:fill="auto"/>
            <w:vAlign w:val="center"/>
            <w:hideMark/>
          </w:tcPr>
          <w:p w14:paraId="64C6C50C" w14:textId="77777777" w:rsidR="00834B83" w:rsidRPr="005269E6" w:rsidRDefault="00834B83" w:rsidP="005C5B84">
            <w:pPr>
              <w:pStyle w:val="Tabletexte"/>
              <w:spacing w:before="40" w:after="40"/>
              <w:rPr>
                <w:b/>
                <w:bCs/>
                <w:sz w:val="18"/>
                <w:szCs w:val="18"/>
                <w:lang w:val="en" w:eastAsia="en-GB"/>
              </w:rPr>
            </w:pPr>
            <w:r w:rsidRPr="005269E6">
              <w:rPr>
                <w:b/>
                <w:bCs/>
                <w:sz w:val="18"/>
                <w:szCs w:val="18"/>
                <w:rtl/>
                <w:lang w:val="en-GB" w:eastAsia="en-GB" w:bidi="ar"/>
              </w:rPr>
              <w:t>التدفق</w:t>
            </w:r>
            <w:r w:rsidRPr="005269E6">
              <w:rPr>
                <w:b/>
                <w:bCs/>
                <w:sz w:val="18"/>
                <w:szCs w:val="18"/>
                <w:lang w:val="en" w:eastAsia="en-GB"/>
              </w:rPr>
              <w:t xml:space="preserve"> </w:t>
            </w:r>
            <w:r w:rsidRPr="005269E6">
              <w:rPr>
                <w:b/>
                <w:bCs/>
                <w:sz w:val="18"/>
                <w:szCs w:val="18"/>
                <w:rtl/>
                <w:lang w:val="en-GB" w:eastAsia="en-GB" w:bidi="ar"/>
              </w:rPr>
              <w:t>النقدي</w:t>
            </w:r>
            <w:r w:rsidRPr="005269E6">
              <w:rPr>
                <w:b/>
                <w:bCs/>
                <w:sz w:val="18"/>
                <w:szCs w:val="18"/>
                <w:lang w:val="en" w:eastAsia="en-GB"/>
              </w:rPr>
              <w:t xml:space="preserve"> </w:t>
            </w:r>
            <w:r w:rsidRPr="005269E6">
              <w:rPr>
                <w:b/>
                <w:bCs/>
                <w:sz w:val="18"/>
                <w:szCs w:val="18"/>
                <w:rtl/>
                <w:lang w:val="en-GB" w:eastAsia="en-GB" w:bidi="ar"/>
              </w:rPr>
              <w:t>من</w:t>
            </w:r>
            <w:r w:rsidRPr="005269E6">
              <w:rPr>
                <w:b/>
                <w:bCs/>
                <w:sz w:val="18"/>
                <w:szCs w:val="18"/>
                <w:lang w:val="en" w:eastAsia="en-GB"/>
              </w:rPr>
              <w:t xml:space="preserve"> </w:t>
            </w:r>
            <w:r w:rsidRPr="005269E6">
              <w:rPr>
                <w:b/>
                <w:bCs/>
                <w:sz w:val="18"/>
                <w:szCs w:val="18"/>
                <w:rtl/>
                <w:lang w:val="en-GB" w:eastAsia="en-GB" w:bidi="ar"/>
              </w:rPr>
              <w:t>الأنشطة</w:t>
            </w:r>
            <w:r w:rsidRPr="005269E6">
              <w:rPr>
                <w:b/>
                <w:bCs/>
                <w:sz w:val="18"/>
                <w:szCs w:val="18"/>
                <w:lang w:val="en" w:eastAsia="en-GB"/>
              </w:rPr>
              <w:t xml:space="preserve"> </w:t>
            </w:r>
            <w:r w:rsidRPr="005269E6">
              <w:rPr>
                <w:b/>
                <w:bCs/>
                <w:sz w:val="18"/>
                <w:szCs w:val="18"/>
                <w:rtl/>
                <w:lang w:val="en-GB" w:eastAsia="en-GB" w:bidi="ar"/>
              </w:rPr>
              <w:t>التشغيلية</w:t>
            </w:r>
          </w:p>
        </w:tc>
        <w:tc>
          <w:tcPr>
            <w:tcW w:w="588" w:type="pct"/>
            <w:tcBorders>
              <w:top w:val="nil"/>
              <w:left w:val="nil"/>
              <w:bottom w:val="nil"/>
              <w:right w:val="nil"/>
            </w:tcBorders>
            <w:shd w:val="clear" w:color="auto" w:fill="auto"/>
            <w:vAlign w:val="center"/>
            <w:hideMark/>
          </w:tcPr>
          <w:p w14:paraId="38824B6E" w14:textId="77777777" w:rsidR="00834B83" w:rsidRPr="005269E6" w:rsidRDefault="00834B83" w:rsidP="0031505F">
            <w:pPr>
              <w:pStyle w:val="Tabletexte"/>
              <w:spacing w:before="40" w:after="40"/>
              <w:jc w:val="left"/>
              <w:rPr>
                <w:b/>
                <w:bCs/>
                <w:sz w:val="18"/>
                <w:szCs w:val="18"/>
                <w:lang w:val="en-GB" w:eastAsia="en-GB"/>
              </w:rPr>
            </w:pPr>
          </w:p>
        </w:tc>
        <w:tc>
          <w:tcPr>
            <w:tcW w:w="1067" w:type="pct"/>
            <w:tcBorders>
              <w:top w:val="nil"/>
              <w:left w:val="nil"/>
              <w:bottom w:val="nil"/>
              <w:right w:val="nil"/>
            </w:tcBorders>
            <w:shd w:val="clear" w:color="auto" w:fill="auto"/>
            <w:noWrap/>
            <w:vAlign w:val="center"/>
            <w:hideMark/>
          </w:tcPr>
          <w:p w14:paraId="79948E47"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(10 091)</w:t>
            </w:r>
          </w:p>
        </w:tc>
        <w:tc>
          <w:tcPr>
            <w:tcW w:w="1066" w:type="pct"/>
            <w:tcBorders>
              <w:top w:val="nil"/>
              <w:left w:val="nil"/>
              <w:bottom w:val="nil"/>
              <w:right w:val="nil"/>
            </w:tcBorders>
            <w:shd w:val="clear" w:color="auto" w:fill="auto"/>
            <w:noWrap/>
            <w:vAlign w:val="center"/>
            <w:hideMark/>
          </w:tcPr>
          <w:p w14:paraId="53233965"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30 952</w:t>
            </w:r>
          </w:p>
        </w:tc>
      </w:tr>
      <w:tr w:rsidR="00834B83" w:rsidRPr="005269E6" w14:paraId="1CE48DB6" w14:textId="77777777" w:rsidTr="005C5B84">
        <w:trPr>
          <w:jc w:val="center"/>
        </w:trPr>
        <w:tc>
          <w:tcPr>
            <w:tcW w:w="2279" w:type="pct"/>
            <w:tcBorders>
              <w:top w:val="nil"/>
              <w:left w:val="nil"/>
              <w:bottom w:val="nil"/>
              <w:right w:val="nil"/>
            </w:tcBorders>
            <w:shd w:val="clear" w:color="auto" w:fill="auto"/>
            <w:vAlign w:val="center"/>
            <w:hideMark/>
          </w:tcPr>
          <w:p w14:paraId="6C5EE9D5" w14:textId="77777777" w:rsidR="00834B83" w:rsidRPr="005269E6" w:rsidRDefault="00834B83" w:rsidP="005C5B84">
            <w:pPr>
              <w:pStyle w:val="Tabletexte"/>
              <w:spacing w:before="40" w:after="40"/>
              <w:rPr>
                <w:sz w:val="18"/>
                <w:szCs w:val="18"/>
                <w:lang w:val="en-GB" w:eastAsia="en-GB"/>
              </w:rPr>
            </w:pPr>
          </w:p>
        </w:tc>
        <w:tc>
          <w:tcPr>
            <w:tcW w:w="588" w:type="pct"/>
            <w:tcBorders>
              <w:top w:val="nil"/>
              <w:left w:val="nil"/>
              <w:bottom w:val="nil"/>
              <w:right w:val="nil"/>
            </w:tcBorders>
            <w:shd w:val="clear" w:color="auto" w:fill="auto"/>
            <w:vAlign w:val="center"/>
            <w:hideMark/>
          </w:tcPr>
          <w:p w14:paraId="103D7DDA" w14:textId="77777777" w:rsidR="00834B83" w:rsidRPr="005269E6" w:rsidRDefault="00834B83" w:rsidP="0031505F">
            <w:pPr>
              <w:pStyle w:val="Tabletexte"/>
              <w:spacing w:before="40" w:after="40"/>
              <w:jc w:val="left"/>
              <w:rPr>
                <w:sz w:val="18"/>
                <w:szCs w:val="18"/>
                <w:lang w:val="en-GB" w:eastAsia="en-GB"/>
              </w:rPr>
            </w:pPr>
          </w:p>
        </w:tc>
        <w:tc>
          <w:tcPr>
            <w:tcW w:w="1067" w:type="pct"/>
            <w:tcBorders>
              <w:top w:val="nil"/>
              <w:left w:val="nil"/>
              <w:bottom w:val="nil"/>
              <w:right w:val="nil"/>
            </w:tcBorders>
            <w:shd w:val="clear" w:color="auto" w:fill="auto"/>
            <w:noWrap/>
            <w:vAlign w:val="center"/>
            <w:hideMark/>
          </w:tcPr>
          <w:p w14:paraId="2211D636" w14:textId="77777777" w:rsidR="00834B83" w:rsidRPr="005269E6" w:rsidRDefault="00834B83" w:rsidP="0031505F">
            <w:pPr>
              <w:pStyle w:val="Tabletexte"/>
              <w:spacing w:before="40" w:after="40"/>
              <w:jc w:val="left"/>
              <w:rPr>
                <w:sz w:val="18"/>
                <w:szCs w:val="18"/>
                <w:lang w:val="en-GB" w:eastAsia="en-GB"/>
              </w:rPr>
            </w:pPr>
          </w:p>
        </w:tc>
        <w:tc>
          <w:tcPr>
            <w:tcW w:w="1066" w:type="pct"/>
            <w:tcBorders>
              <w:top w:val="nil"/>
              <w:left w:val="nil"/>
              <w:bottom w:val="nil"/>
              <w:right w:val="nil"/>
            </w:tcBorders>
            <w:shd w:val="clear" w:color="auto" w:fill="auto"/>
            <w:noWrap/>
            <w:vAlign w:val="center"/>
            <w:hideMark/>
          </w:tcPr>
          <w:p w14:paraId="21538A12" w14:textId="77777777" w:rsidR="00834B83" w:rsidRPr="005269E6" w:rsidRDefault="00834B83" w:rsidP="0031505F">
            <w:pPr>
              <w:pStyle w:val="Tabletexte"/>
              <w:spacing w:before="40" w:after="40"/>
              <w:jc w:val="left"/>
              <w:rPr>
                <w:sz w:val="18"/>
                <w:szCs w:val="18"/>
                <w:lang w:val="en-GB" w:eastAsia="en-GB"/>
              </w:rPr>
            </w:pPr>
          </w:p>
        </w:tc>
      </w:tr>
      <w:tr w:rsidR="00834B83" w:rsidRPr="005269E6" w14:paraId="65E4AD98" w14:textId="77777777" w:rsidTr="005C5B84">
        <w:trPr>
          <w:jc w:val="center"/>
        </w:trPr>
        <w:tc>
          <w:tcPr>
            <w:tcW w:w="2279" w:type="pct"/>
            <w:tcBorders>
              <w:top w:val="nil"/>
              <w:left w:val="nil"/>
              <w:bottom w:val="nil"/>
              <w:right w:val="nil"/>
            </w:tcBorders>
            <w:shd w:val="clear" w:color="auto" w:fill="auto"/>
            <w:vAlign w:val="center"/>
            <w:hideMark/>
          </w:tcPr>
          <w:p w14:paraId="071D494D" w14:textId="77777777" w:rsidR="00834B83" w:rsidRPr="005269E6" w:rsidRDefault="00834B83" w:rsidP="005C5B84">
            <w:pPr>
              <w:pStyle w:val="Tabletexte"/>
              <w:spacing w:before="40" w:after="40"/>
              <w:rPr>
                <w:b/>
                <w:bCs/>
                <w:sz w:val="18"/>
                <w:szCs w:val="18"/>
                <w:lang w:val="en" w:eastAsia="en-GB"/>
              </w:rPr>
            </w:pPr>
            <w:r w:rsidRPr="005269E6">
              <w:rPr>
                <w:b/>
                <w:bCs/>
                <w:sz w:val="18"/>
                <w:szCs w:val="18"/>
                <w:rtl/>
                <w:lang w:val="en-GB" w:eastAsia="en-GB" w:bidi="ar"/>
              </w:rPr>
              <w:t>صافي</w:t>
            </w:r>
            <w:r w:rsidRPr="005269E6">
              <w:rPr>
                <w:b/>
                <w:bCs/>
                <w:sz w:val="18"/>
                <w:szCs w:val="18"/>
                <w:lang w:val="en" w:eastAsia="en-GB"/>
              </w:rPr>
              <w:t xml:space="preserve"> </w:t>
            </w:r>
            <w:r w:rsidRPr="005269E6">
              <w:rPr>
                <w:b/>
                <w:bCs/>
                <w:sz w:val="18"/>
                <w:szCs w:val="18"/>
                <w:rtl/>
                <w:lang w:val="en-GB" w:eastAsia="en-GB" w:bidi="ar"/>
              </w:rPr>
              <w:t>التدفقات</w:t>
            </w:r>
            <w:r w:rsidRPr="005269E6">
              <w:rPr>
                <w:b/>
                <w:bCs/>
                <w:sz w:val="18"/>
                <w:szCs w:val="18"/>
                <w:lang w:val="en" w:eastAsia="en-GB"/>
              </w:rPr>
              <w:t xml:space="preserve"> </w:t>
            </w:r>
            <w:r w:rsidRPr="005269E6">
              <w:rPr>
                <w:b/>
                <w:bCs/>
                <w:sz w:val="18"/>
                <w:szCs w:val="18"/>
                <w:rtl/>
                <w:lang w:val="en-GB" w:eastAsia="en-GB" w:bidi="ar"/>
              </w:rPr>
              <w:t>النقدية</w:t>
            </w:r>
            <w:r w:rsidRPr="005269E6">
              <w:rPr>
                <w:b/>
                <w:bCs/>
                <w:sz w:val="18"/>
                <w:szCs w:val="18"/>
                <w:lang w:val="en" w:eastAsia="en-GB"/>
              </w:rPr>
              <w:t xml:space="preserve"> </w:t>
            </w:r>
            <w:r w:rsidRPr="005269E6">
              <w:rPr>
                <w:b/>
                <w:bCs/>
                <w:sz w:val="18"/>
                <w:szCs w:val="18"/>
                <w:rtl/>
                <w:lang w:val="en-GB" w:eastAsia="en-GB" w:bidi="ar"/>
              </w:rPr>
              <w:t>من</w:t>
            </w:r>
            <w:r w:rsidRPr="005269E6">
              <w:rPr>
                <w:b/>
                <w:bCs/>
                <w:sz w:val="18"/>
                <w:szCs w:val="18"/>
                <w:lang w:val="en" w:eastAsia="en-GB"/>
              </w:rPr>
              <w:t xml:space="preserve"> </w:t>
            </w:r>
            <w:r w:rsidRPr="005269E6">
              <w:rPr>
                <w:b/>
                <w:bCs/>
                <w:sz w:val="18"/>
                <w:szCs w:val="18"/>
                <w:rtl/>
                <w:lang w:val="en-GB" w:eastAsia="en-GB" w:bidi="ar"/>
              </w:rPr>
              <w:t>الأنشطة</w:t>
            </w:r>
            <w:r w:rsidRPr="005269E6">
              <w:rPr>
                <w:b/>
                <w:bCs/>
                <w:sz w:val="18"/>
                <w:szCs w:val="18"/>
                <w:lang w:val="en" w:eastAsia="en-GB"/>
              </w:rPr>
              <w:t xml:space="preserve"> </w:t>
            </w:r>
            <w:r w:rsidRPr="005269E6">
              <w:rPr>
                <w:b/>
                <w:bCs/>
                <w:sz w:val="18"/>
                <w:szCs w:val="18"/>
                <w:rtl/>
                <w:lang w:val="en-GB" w:eastAsia="en-GB" w:bidi="ar"/>
              </w:rPr>
              <w:t>الاستثمارية</w:t>
            </w:r>
          </w:p>
        </w:tc>
        <w:tc>
          <w:tcPr>
            <w:tcW w:w="588" w:type="pct"/>
            <w:tcBorders>
              <w:top w:val="nil"/>
              <w:left w:val="nil"/>
              <w:bottom w:val="nil"/>
              <w:right w:val="nil"/>
            </w:tcBorders>
            <w:shd w:val="clear" w:color="auto" w:fill="auto"/>
            <w:vAlign w:val="center"/>
            <w:hideMark/>
          </w:tcPr>
          <w:p w14:paraId="0991BBB5" w14:textId="77777777" w:rsidR="00834B83" w:rsidRPr="005269E6" w:rsidRDefault="00834B83" w:rsidP="0031505F">
            <w:pPr>
              <w:pStyle w:val="Tabletexte"/>
              <w:spacing w:before="40" w:after="40"/>
              <w:jc w:val="left"/>
              <w:rPr>
                <w:sz w:val="18"/>
                <w:szCs w:val="18"/>
                <w:lang w:val="en-GB" w:eastAsia="en-GB"/>
              </w:rPr>
            </w:pPr>
          </w:p>
        </w:tc>
        <w:tc>
          <w:tcPr>
            <w:tcW w:w="1067" w:type="pct"/>
            <w:tcBorders>
              <w:top w:val="nil"/>
              <w:left w:val="nil"/>
              <w:bottom w:val="nil"/>
              <w:right w:val="nil"/>
            </w:tcBorders>
            <w:shd w:val="clear" w:color="auto" w:fill="auto"/>
            <w:noWrap/>
            <w:vAlign w:val="center"/>
            <w:hideMark/>
          </w:tcPr>
          <w:p w14:paraId="36DAD317" w14:textId="77777777" w:rsidR="00834B83" w:rsidRPr="005269E6" w:rsidRDefault="00834B83" w:rsidP="0031505F">
            <w:pPr>
              <w:pStyle w:val="Tabletexte"/>
              <w:spacing w:before="40" w:after="40"/>
              <w:jc w:val="left"/>
              <w:rPr>
                <w:sz w:val="18"/>
                <w:szCs w:val="18"/>
                <w:lang w:val="en-GB" w:eastAsia="en-GB"/>
              </w:rPr>
            </w:pPr>
          </w:p>
        </w:tc>
        <w:tc>
          <w:tcPr>
            <w:tcW w:w="1066" w:type="pct"/>
            <w:tcBorders>
              <w:top w:val="nil"/>
              <w:left w:val="nil"/>
              <w:bottom w:val="nil"/>
              <w:right w:val="nil"/>
            </w:tcBorders>
            <w:shd w:val="clear" w:color="auto" w:fill="auto"/>
            <w:noWrap/>
            <w:vAlign w:val="center"/>
            <w:hideMark/>
          </w:tcPr>
          <w:p w14:paraId="03E0E603" w14:textId="77777777" w:rsidR="00834B83" w:rsidRPr="005269E6" w:rsidRDefault="00834B83" w:rsidP="0031505F">
            <w:pPr>
              <w:pStyle w:val="Tabletexte"/>
              <w:spacing w:before="40" w:after="40"/>
              <w:jc w:val="left"/>
              <w:rPr>
                <w:sz w:val="18"/>
                <w:szCs w:val="18"/>
                <w:lang w:val="en-GB" w:eastAsia="en-GB"/>
              </w:rPr>
            </w:pPr>
          </w:p>
        </w:tc>
      </w:tr>
      <w:tr w:rsidR="00834B83" w:rsidRPr="005269E6" w14:paraId="65194D18" w14:textId="77777777" w:rsidTr="005C5B84">
        <w:trPr>
          <w:jc w:val="center"/>
        </w:trPr>
        <w:tc>
          <w:tcPr>
            <w:tcW w:w="2279" w:type="pct"/>
            <w:tcBorders>
              <w:top w:val="nil"/>
              <w:left w:val="nil"/>
              <w:bottom w:val="nil"/>
              <w:right w:val="nil"/>
            </w:tcBorders>
            <w:shd w:val="clear" w:color="auto" w:fill="auto"/>
            <w:vAlign w:val="center"/>
            <w:hideMark/>
          </w:tcPr>
          <w:p w14:paraId="10E49C61" w14:textId="77777777" w:rsidR="00834B83" w:rsidRPr="005269E6" w:rsidRDefault="00834B83" w:rsidP="005C5B84">
            <w:pPr>
              <w:spacing w:before="40" w:after="40" w:line="260" w:lineRule="exact"/>
              <w:rPr>
                <w:sz w:val="18"/>
                <w:szCs w:val="18"/>
                <w:lang w:val="en-GB" w:eastAsia="en-GB" w:bidi="ar-SY"/>
              </w:rPr>
            </w:pPr>
            <w:r w:rsidRPr="005269E6">
              <w:rPr>
                <w:sz w:val="18"/>
                <w:szCs w:val="18"/>
                <w:rtl/>
                <w:lang w:val="en-GB" w:eastAsia="en-GB" w:bidi="ar-SY"/>
              </w:rPr>
              <w:t>الفوائد المحصلة من الاستثمارات قصيرة الأجل</w:t>
            </w:r>
          </w:p>
        </w:tc>
        <w:tc>
          <w:tcPr>
            <w:tcW w:w="588" w:type="pct"/>
            <w:tcBorders>
              <w:top w:val="nil"/>
              <w:left w:val="nil"/>
              <w:bottom w:val="nil"/>
              <w:right w:val="nil"/>
            </w:tcBorders>
            <w:shd w:val="clear" w:color="auto" w:fill="auto"/>
            <w:vAlign w:val="center"/>
            <w:hideMark/>
          </w:tcPr>
          <w:p w14:paraId="2D4FE7E4"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22</w:t>
            </w:r>
          </w:p>
        </w:tc>
        <w:tc>
          <w:tcPr>
            <w:tcW w:w="1067" w:type="pct"/>
            <w:tcBorders>
              <w:top w:val="nil"/>
              <w:left w:val="nil"/>
              <w:bottom w:val="nil"/>
              <w:right w:val="nil"/>
            </w:tcBorders>
            <w:shd w:val="clear" w:color="auto" w:fill="auto"/>
            <w:noWrap/>
            <w:vAlign w:val="center"/>
            <w:hideMark/>
          </w:tcPr>
          <w:p w14:paraId="6D7FE793"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1 523</w:t>
            </w:r>
          </w:p>
        </w:tc>
        <w:tc>
          <w:tcPr>
            <w:tcW w:w="1066" w:type="pct"/>
            <w:tcBorders>
              <w:top w:val="nil"/>
              <w:left w:val="nil"/>
              <w:bottom w:val="nil"/>
              <w:right w:val="nil"/>
            </w:tcBorders>
            <w:shd w:val="clear" w:color="auto" w:fill="auto"/>
            <w:noWrap/>
            <w:vAlign w:val="center"/>
            <w:hideMark/>
          </w:tcPr>
          <w:p w14:paraId="5EE3D2C2"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241</w:t>
            </w:r>
          </w:p>
        </w:tc>
      </w:tr>
      <w:tr w:rsidR="00834B83" w:rsidRPr="005269E6" w14:paraId="6F142DA0" w14:textId="77777777" w:rsidTr="005C5B84">
        <w:trPr>
          <w:jc w:val="center"/>
        </w:trPr>
        <w:tc>
          <w:tcPr>
            <w:tcW w:w="2279" w:type="pct"/>
            <w:tcBorders>
              <w:top w:val="nil"/>
              <w:left w:val="nil"/>
              <w:bottom w:val="nil"/>
              <w:right w:val="nil"/>
            </w:tcBorders>
            <w:shd w:val="clear" w:color="auto" w:fill="auto"/>
            <w:vAlign w:val="center"/>
            <w:hideMark/>
          </w:tcPr>
          <w:p w14:paraId="16AF6BC9"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التصرف بالاستثمارات</w:t>
            </w:r>
          </w:p>
        </w:tc>
        <w:tc>
          <w:tcPr>
            <w:tcW w:w="588" w:type="pct"/>
            <w:tcBorders>
              <w:top w:val="nil"/>
              <w:left w:val="nil"/>
              <w:bottom w:val="nil"/>
              <w:right w:val="nil"/>
            </w:tcBorders>
            <w:shd w:val="clear" w:color="auto" w:fill="auto"/>
            <w:vAlign w:val="center"/>
            <w:hideMark/>
          </w:tcPr>
          <w:p w14:paraId="62C6BE3B"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8</w:t>
            </w:r>
          </w:p>
        </w:tc>
        <w:tc>
          <w:tcPr>
            <w:tcW w:w="1067" w:type="pct"/>
            <w:tcBorders>
              <w:top w:val="nil"/>
              <w:left w:val="nil"/>
              <w:bottom w:val="nil"/>
              <w:right w:val="nil"/>
            </w:tcBorders>
            <w:shd w:val="clear" w:color="auto" w:fill="auto"/>
            <w:noWrap/>
            <w:vAlign w:val="center"/>
            <w:hideMark/>
          </w:tcPr>
          <w:p w14:paraId="7D7CD0D2"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7 415</w:t>
            </w:r>
          </w:p>
        </w:tc>
        <w:tc>
          <w:tcPr>
            <w:tcW w:w="1066" w:type="pct"/>
            <w:tcBorders>
              <w:top w:val="nil"/>
              <w:left w:val="nil"/>
              <w:bottom w:val="nil"/>
              <w:right w:val="nil"/>
            </w:tcBorders>
            <w:shd w:val="clear" w:color="auto" w:fill="auto"/>
            <w:noWrap/>
            <w:vAlign w:val="center"/>
            <w:hideMark/>
          </w:tcPr>
          <w:p w14:paraId="3863FE01"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37 978</w:t>
            </w:r>
          </w:p>
        </w:tc>
      </w:tr>
      <w:tr w:rsidR="00834B83" w:rsidRPr="005269E6" w14:paraId="33E07448" w14:textId="77777777" w:rsidTr="005C5B84">
        <w:trPr>
          <w:jc w:val="center"/>
        </w:trPr>
        <w:tc>
          <w:tcPr>
            <w:tcW w:w="2279" w:type="pct"/>
            <w:tcBorders>
              <w:top w:val="nil"/>
              <w:left w:val="nil"/>
              <w:bottom w:val="nil"/>
              <w:right w:val="nil"/>
            </w:tcBorders>
            <w:shd w:val="clear" w:color="auto" w:fill="auto"/>
            <w:vAlign w:val="center"/>
            <w:hideMark/>
          </w:tcPr>
          <w:p w14:paraId="742734FA"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الزيادة / (النقصان) في</w:t>
            </w:r>
            <w:r w:rsidRPr="005269E6">
              <w:rPr>
                <w:sz w:val="18"/>
                <w:szCs w:val="18"/>
                <w:rtl/>
              </w:rPr>
              <w:t xml:space="preserve"> </w:t>
            </w:r>
            <w:r w:rsidRPr="005269E6">
              <w:rPr>
                <w:sz w:val="18"/>
                <w:szCs w:val="18"/>
                <w:rtl/>
                <w:lang w:val="en-GB" w:eastAsia="en-GB"/>
              </w:rPr>
              <w:t>الممتلكات والمنشآت والمعدات</w:t>
            </w:r>
          </w:p>
        </w:tc>
        <w:tc>
          <w:tcPr>
            <w:tcW w:w="588" w:type="pct"/>
            <w:tcBorders>
              <w:top w:val="nil"/>
              <w:left w:val="nil"/>
              <w:bottom w:val="nil"/>
              <w:right w:val="nil"/>
            </w:tcBorders>
            <w:shd w:val="clear" w:color="auto" w:fill="auto"/>
            <w:vAlign w:val="center"/>
            <w:hideMark/>
          </w:tcPr>
          <w:p w14:paraId="1F2863B7"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12</w:t>
            </w:r>
          </w:p>
        </w:tc>
        <w:tc>
          <w:tcPr>
            <w:tcW w:w="1067" w:type="pct"/>
            <w:tcBorders>
              <w:top w:val="nil"/>
              <w:left w:val="nil"/>
              <w:bottom w:val="nil"/>
              <w:right w:val="nil"/>
            </w:tcBorders>
            <w:shd w:val="clear" w:color="auto" w:fill="auto"/>
            <w:noWrap/>
            <w:vAlign w:val="center"/>
            <w:hideMark/>
          </w:tcPr>
          <w:p w14:paraId="6B8637EC"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(283)</w:t>
            </w:r>
          </w:p>
        </w:tc>
        <w:tc>
          <w:tcPr>
            <w:tcW w:w="1066" w:type="pct"/>
            <w:tcBorders>
              <w:top w:val="nil"/>
              <w:left w:val="nil"/>
              <w:bottom w:val="nil"/>
              <w:right w:val="nil"/>
            </w:tcBorders>
            <w:shd w:val="clear" w:color="auto" w:fill="auto"/>
            <w:noWrap/>
            <w:vAlign w:val="center"/>
            <w:hideMark/>
          </w:tcPr>
          <w:p w14:paraId="171C4DC6"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(993)</w:t>
            </w:r>
          </w:p>
        </w:tc>
      </w:tr>
      <w:tr w:rsidR="00834B83" w:rsidRPr="005269E6" w14:paraId="5843667B" w14:textId="77777777" w:rsidTr="005C5B84">
        <w:trPr>
          <w:jc w:val="center"/>
        </w:trPr>
        <w:tc>
          <w:tcPr>
            <w:tcW w:w="2279" w:type="pct"/>
            <w:tcBorders>
              <w:top w:val="nil"/>
              <w:left w:val="nil"/>
              <w:bottom w:val="nil"/>
              <w:right w:val="nil"/>
            </w:tcBorders>
            <w:shd w:val="clear" w:color="auto" w:fill="auto"/>
            <w:vAlign w:val="center"/>
            <w:hideMark/>
          </w:tcPr>
          <w:p w14:paraId="44D9AF58"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الزيادة / (النقصان) في الأصول غير المادية</w:t>
            </w:r>
          </w:p>
        </w:tc>
        <w:tc>
          <w:tcPr>
            <w:tcW w:w="588" w:type="pct"/>
            <w:tcBorders>
              <w:top w:val="nil"/>
              <w:left w:val="nil"/>
              <w:bottom w:val="nil"/>
              <w:right w:val="nil"/>
            </w:tcBorders>
            <w:shd w:val="clear" w:color="auto" w:fill="auto"/>
            <w:vAlign w:val="center"/>
            <w:hideMark/>
          </w:tcPr>
          <w:p w14:paraId="6E289DDB"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13</w:t>
            </w:r>
          </w:p>
        </w:tc>
        <w:tc>
          <w:tcPr>
            <w:tcW w:w="1067" w:type="pct"/>
            <w:tcBorders>
              <w:top w:val="nil"/>
              <w:left w:val="nil"/>
              <w:bottom w:val="nil"/>
              <w:right w:val="nil"/>
            </w:tcBorders>
            <w:shd w:val="clear" w:color="auto" w:fill="auto"/>
            <w:noWrap/>
            <w:vAlign w:val="center"/>
            <w:hideMark/>
          </w:tcPr>
          <w:p w14:paraId="273CC110"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(3 286)</w:t>
            </w:r>
          </w:p>
        </w:tc>
        <w:tc>
          <w:tcPr>
            <w:tcW w:w="1066" w:type="pct"/>
            <w:tcBorders>
              <w:top w:val="nil"/>
              <w:left w:val="nil"/>
              <w:bottom w:val="nil"/>
              <w:right w:val="nil"/>
            </w:tcBorders>
            <w:shd w:val="clear" w:color="auto" w:fill="auto"/>
            <w:noWrap/>
            <w:vAlign w:val="center"/>
            <w:hideMark/>
          </w:tcPr>
          <w:p w14:paraId="60C748DE"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(461)</w:t>
            </w:r>
          </w:p>
        </w:tc>
      </w:tr>
      <w:tr w:rsidR="00834B83" w:rsidRPr="005269E6" w14:paraId="63EF9BC7" w14:textId="77777777" w:rsidTr="005C5B84">
        <w:trPr>
          <w:jc w:val="center"/>
        </w:trPr>
        <w:tc>
          <w:tcPr>
            <w:tcW w:w="2279" w:type="pct"/>
            <w:tcBorders>
              <w:top w:val="nil"/>
              <w:left w:val="nil"/>
              <w:bottom w:val="nil"/>
              <w:right w:val="nil"/>
            </w:tcBorders>
            <w:shd w:val="clear" w:color="auto" w:fill="auto"/>
            <w:vAlign w:val="center"/>
            <w:hideMark/>
          </w:tcPr>
          <w:p w14:paraId="2CBF63DD"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الزيادة / (النقصان) في الأصول قيد الإنشاء</w:t>
            </w:r>
          </w:p>
        </w:tc>
        <w:tc>
          <w:tcPr>
            <w:tcW w:w="588" w:type="pct"/>
            <w:tcBorders>
              <w:top w:val="nil"/>
              <w:left w:val="nil"/>
              <w:bottom w:val="nil"/>
              <w:right w:val="nil"/>
            </w:tcBorders>
            <w:shd w:val="clear" w:color="auto" w:fill="auto"/>
            <w:vAlign w:val="center"/>
            <w:hideMark/>
          </w:tcPr>
          <w:p w14:paraId="4566CD55"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14</w:t>
            </w:r>
          </w:p>
        </w:tc>
        <w:tc>
          <w:tcPr>
            <w:tcW w:w="1067" w:type="pct"/>
            <w:tcBorders>
              <w:top w:val="nil"/>
              <w:left w:val="nil"/>
              <w:bottom w:val="nil"/>
              <w:right w:val="nil"/>
            </w:tcBorders>
            <w:shd w:val="clear" w:color="auto" w:fill="auto"/>
            <w:noWrap/>
            <w:vAlign w:val="center"/>
            <w:hideMark/>
          </w:tcPr>
          <w:p w14:paraId="13E00AA0"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(6 347)</w:t>
            </w:r>
          </w:p>
        </w:tc>
        <w:tc>
          <w:tcPr>
            <w:tcW w:w="1066" w:type="pct"/>
            <w:tcBorders>
              <w:top w:val="nil"/>
              <w:left w:val="nil"/>
              <w:bottom w:val="nil"/>
              <w:right w:val="nil"/>
            </w:tcBorders>
            <w:shd w:val="clear" w:color="auto" w:fill="auto"/>
            <w:noWrap/>
            <w:vAlign w:val="center"/>
            <w:hideMark/>
          </w:tcPr>
          <w:p w14:paraId="15046050"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(5 509)</w:t>
            </w:r>
          </w:p>
        </w:tc>
      </w:tr>
      <w:tr w:rsidR="00834B83" w:rsidRPr="005269E6" w14:paraId="7247BAC4" w14:textId="77777777" w:rsidTr="005C5B84">
        <w:trPr>
          <w:jc w:val="center"/>
        </w:trPr>
        <w:tc>
          <w:tcPr>
            <w:tcW w:w="2279" w:type="pct"/>
            <w:tcBorders>
              <w:top w:val="nil"/>
              <w:left w:val="nil"/>
              <w:bottom w:val="nil"/>
              <w:right w:val="nil"/>
            </w:tcBorders>
            <w:shd w:val="clear" w:color="auto" w:fill="auto"/>
            <w:vAlign w:val="center"/>
            <w:hideMark/>
          </w:tcPr>
          <w:p w14:paraId="7A37FC67" w14:textId="77777777" w:rsidR="00834B83" w:rsidRPr="005269E6" w:rsidRDefault="00834B83" w:rsidP="005C5B84">
            <w:pPr>
              <w:spacing w:before="40" w:after="40" w:line="260" w:lineRule="exact"/>
              <w:rPr>
                <w:b/>
                <w:bCs/>
                <w:sz w:val="18"/>
                <w:szCs w:val="18"/>
                <w:lang w:val="en-GB" w:eastAsia="en-GB" w:bidi="ar-SY"/>
              </w:rPr>
            </w:pPr>
            <w:r w:rsidRPr="005269E6">
              <w:rPr>
                <w:b/>
                <w:bCs/>
                <w:sz w:val="18"/>
                <w:szCs w:val="18"/>
                <w:rtl/>
                <w:lang w:val="en-GB" w:eastAsia="en-GB" w:bidi="ar-SY"/>
              </w:rPr>
              <w:t>صافي التدفقات النقدية من الأنشطة الاستثمارية</w:t>
            </w:r>
          </w:p>
        </w:tc>
        <w:tc>
          <w:tcPr>
            <w:tcW w:w="588" w:type="pct"/>
            <w:tcBorders>
              <w:top w:val="nil"/>
              <w:left w:val="nil"/>
              <w:bottom w:val="nil"/>
              <w:right w:val="nil"/>
            </w:tcBorders>
            <w:shd w:val="clear" w:color="auto" w:fill="auto"/>
            <w:vAlign w:val="center"/>
            <w:hideMark/>
          </w:tcPr>
          <w:p w14:paraId="50DAF6D3" w14:textId="77777777" w:rsidR="00834B83" w:rsidRPr="005269E6" w:rsidRDefault="00834B83" w:rsidP="0031505F">
            <w:pPr>
              <w:pStyle w:val="Tabletexte"/>
              <w:spacing w:before="40" w:after="40"/>
              <w:jc w:val="left"/>
              <w:rPr>
                <w:b/>
                <w:bCs/>
                <w:sz w:val="18"/>
                <w:szCs w:val="18"/>
                <w:lang w:val="en-GB" w:eastAsia="en-GB"/>
              </w:rPr>
            </w:pPr>
          </w:p>
        </w:tc>
        <w:tc>
          <w:tcPr>
            <w:tcW w:w="1067" w:type="pct"/>
            <w:tcBorders>
              <w:top w:val="nil"/>
              <w:left w:val="nil"/>
              <w:bottom w:val="nil"/>
              <w:right w:val="nil"/>
            </w:tcBorders>
            <w:shd w:val="clear" w:color="auto" w:fill="auto"/>
            <w:noWrap/>
            <w:vAlign w:val="center"/>
            <w:hideMark/>
          </w:tcPr>
          <w:p w14:paraId="7B3BDCC8"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(978)</w:t>
            </w:r>
          </w:p>
        </w:tc>
        <w:tc>
          <w:tcPr>
            <w:tcW w:w="1066" w:type="pct"/>
            <w:tcBorders>
              <w:top w:val="nil"/>
              <w:left w:val="nil"/>
              <w:bottom w:val="nil"/>
              <w:right w:val="nil"/>
            </w:tcBorders>
            <w:shd w:val="clear" w:color="auto" w:fill="auto"/>
            <w:noWrap/>
            <w:vAlign w:val="center"/>
            <w:hideMark/>
          </w:tcPr>
          <w:p w14:paraId="4291E695"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31 256</w:t>
            </w:r>
          </w:p>
        </w:tc>
      </w:tr>
      <w:tr w:rsidR="00834B83" w:rsidRPr="005269E6" w14:paraId="12938B94" w14:textId="77777777" w:rsidTr="005C5B84">
        <w:trPr>
          <w:jc w:val="center"/>
        </w:trPr>
        <w:tc>
          <w:tcPr>
            <w:tcW w:w="2279" w:type="pct"/>
            <w:tcBorders>
              <w:top w:val="nil"/>
              <w:left w:val="nil"/>
              <w:bottom w:val="nil"/>
              <w:right w:val="nil"/>
            </w:tcBorders>
            <w:shd w:val="clear" w:color="auto" w:fill="auto"/>
            <w:vAlign w:val="center"/>
            <w:hideMark/>
          </w:tcPr>
          <w:p w14:paraId="44D4ECD6" w14:textId="77777777" w:rsidR="00834B83" w:rsidRPr="005269E6" w:rsidRDefault="00834B83" w:rsidP="005C5B84">
            <w:pPr>
              <w:pStyle w:val="Tabletexte"/>
              <w:spacing w:before="40" w:after="40"/>
              <w:rPr>
                <w:sz w:val="18"/>
                <w:szCs w:val="18"/>
                <w:lang w:val="en-GB" w:eastAsia="en-GB"/>
              </w:rPr>
            </w:pPr>
          </w:p>
        </w:tc>
        <w:tc>
          <w:tcPr>
            <w:tcW w:w="588" w:type="pct"/>
            <w:tcBorders>
              <w:top w:val="nil"/>
              <w:left w:val="nil"/>
              <w:bottom w:val="nil"/>
              <w:right w:val="nil"/>
            </w:tcBorders>
            <w:shd w:val="clear" w:color="auto" w:fill="auto"/>
            <w:vAlign w:val="center"/>
            <w:hideMark/>
          </w:tcPr>
          <w:p w14:paraId="378E9C7E" w14:textId="77777777" w:rsidR="00834B83" w:rsidRPr="005269E6" w:rsidRDefault="00834B83" w:rsidP="0031505F">
            <w:pPr>
              <w:pStyle w:val="Tabletexte"/>
              <w:spacing w:before="40" w:after="40"/>
              <w:jc w:val="left"/>
              <w:rPr>
                <w:sz w:val="18"/>
                <w:szCs w:val="18"/>
                <w:lang w:val="en-GB" w:eastAsia="en-GB"/>
              </w:rPr>
            </w:pPr>
          </w:p>
        </w:tc>
        <w:tc>
          <w:tcPr>
            <w:tcW w:w="1067" w:type="pct"/>
            <w:tcBorders>
              <w:top w:val="nil"/>
              <w:left w:val="nil"/>
              <w:bottom w:val="nil"/>
              <w:right w:val="nil"/>
            </w:tcBorders>
            <w:shd w:val="clear" w:color="auto" w:fill="auto"/>
            <w:noWrap/>
            <w:vAlign w:val="center"/>
            <w:hideMark/>
          </w:tcPr>
          <w:p w14:paraId="751663F0" w14:textId="77777777" w:rsidR="00834B83" w:rsidRPr="005269E6" w:rsidRDefault="00834B83" w:rsidP="0031505F">
            <w:pPr>
              <w:pStyle w:val="Tabletexte"/>
              <w:spacing w:before="40" w:after="40"/>
              <w:jc w:val="left"/>
              <w:rPr>
                <w:sz w:val="18"/>
                <w:szCs w:val="18"/>
                <w:lang w:val="en-GB" w:eastAsia="en-GB"/>
              </w:rPr>
            </w:pPr>
          </w:p>
        </w:tc>
        <w:tc>
          <w:tcPr>
            <w:tcW w:w="1066" w:type="pct"/>
            <w:tcBorders>
              <w:top w:val="nil"/>
              <w:left w:val="nil"/>
              <w:bottom w:val="nil"/>
              <w:right w:val="nil"/>
            </w:tcBorders>
            <w:shd w:val="clear" w:color="auto" w:fill="auto"/>
            <w:noWrap/>
            <w:vAlign w:val="center"/>
            <w:hideMark/>
          </w:tcPr>
          <w:p w14:paraId="7704EA0A" w14:textId="77777777" w:rsidR="00834B83" w:rsidRPr="005269E6" w:rsidRDefault="00834B83" w:rsidP="0031505F">
            <w:pPr>
              <w:pStyle w:val="Tabletexte"/>
              <w:spacing w:before="40" w:after="40"/>
              <w:jc w:val="left"/>
              <w:rPr>
                <w:sz w:val="18"/>
                <w:szCs w:val="18"/>
                <w:lang w:val="en-GB" w:eastAsia="en-GB"/>
              </w:rPr>
            </w:pPr>
          </w:p>
        </w:tc>
      </w:tr>
      <w:tr w:rsidR="00834B83" w:rsidRPr="005269E6" w14:paraId="43472154" w14:textId="77777777" w:rsidTr="005C5B84">
        <w:trPr>
          <w:jc w:val="center"/>
        </w:trPr>
        <w:tc>
          <w:tcPr>
            <w:tcW w:w="2279" w:type="pct"/>
            <w:tcBorders>
              <w:top w:val="nil"/>
              <w:left w:val="nil"/>
              <w:bottom w:val="nil"/>
              <w:right w:val="nil"/>
            </w:tcBorders>
            <w:shd w:val="clear" w:color="auto" w:fill="auto"/>
            <w:vAlign w:val="center"/>
            <w:hideMark/>
          </w:tcPr>
          <w:p w14:paraId="415E6FAD" w14:textId="77777777" w:rsidR="00834B83" w:rsidRPr="005269E6" w:rsidRDefault="00834B83" w:rsidP="005C5B84">
            <w:pPr>
              <w:spacing w:before="40" w:after="40" w:line="260" w:lineRule="exact"/>
              <w:rPr>
                <w:b/>
                <w:bCs/>
                <w:sz w:val="18"/>
                <w:szCs w:val="18"/>
                <w:lang w:val="en-GB" w:eastAsia="en-GB" w:bidi="ar-SY"/>
              </w:rPr>
            </w:pPr>
            <w:r w:rsidRPr="005269E6">
              <w:rPr>
                <w:b/>
                <w:bCs/>
                <w:sz w:val="18"/>
                <w:szCs w:val="18"/>
                <w:rtl/>
                <w:lang w:val="en-GB" w:eastAsia="en-GB" w:bidi="ar-SY"/>
              </w:rPr>
              <w:t>التدفقات النقدية من أنشطة التمويل</w:t>
            </w:r>
          </w:p>
        </w:tc>
        <w:tc>
          <w:tcPr>
            <w:tcW w:w="588" w:type="pct"/>
            <w:tcBorders>
              <w:top w:val="nil"/>
              <w:left w:val="nil"/>
              <w:bottom w:val="nil"/>
              <w:right w:val="nil"/>
            </w:tcBorders>
            <w:shd w:val="clear" w:color="auto" w:fill="auto"/>
            <w:vAlign w:val="center"/>
            <w:hideMark/>
          </w:tcPr>
          <w:p w14:paraId="5EEF218D" w14:textId="77777777" w:rsidR="00834B83" w:rsidRPr="005269E6" w:rsidRDefault="00834B83" w:rsidP="0031505F">
            <w:pPr>
              <w:pStyle w:val="Tabletexte"/>
              <w:spacing w:before="40" w:after="40"/>
              <w:jc w:val="left"/>
              <w:rPr>
                <w:sz w:val="18"/>
                <w:szCs w:val="18"/>
                <w:lang w:val="en-GB" w:eastAsia="en-GB"/>
              </w:rPr>
            </w:pPr>
          </w:p>
        </w:tc>
        <w:tc>
          <w:tcPr>
            <w:tcW w:w="1067" w:type="pct"/>
            <w:tcBorders>
              <w:top w:val="nil"/>
              <w:left w:val="nil"/>
              <w:bottom w:val="nil"/>
              <w:right w:val="nil"/>
            </w:tcBorders>
            <w:shd w:val="clear" w:color="auto" w:fill="auto"/>
            <w:noWrap/>
            <w:vAlign w:val="center"/>
            <w:hideMark/>
          </w:tcPr>
          <w:p w14:paraId="16E71908" w14:textId="77777777" w:rsidR="00834B83" w:rsidRPr="005269E6" w:rsidRDefault="00834B83" w:rsidP="0031505F">
            <w:pPr>
              <w:pStyle w:val="Tabletexte"/>
              <w:spacing w:before="40" w:after="40"/>
              <w:jc w:val="left"/>
              <w:rPr>
                <w:sz w:val="18"/>
                <w:szCs w:val="18"/>
                <w:lang w:val="en-GB" w:eastAsia="en-GB"/>
              </w:rPr>
            </w:pPr>
          </w:p>
        </w:tc>
        <w:tc>
          <w:tcPr>
            <w:tcW w:w="1066" w:type="pct"/>
            <w:tcBorders>
              <w:top w:val="nil"/>
              <w:left w:val="nil"/>
              <w:bottom w:val="nil"/>
              <w:right w:val="nil"/>
            </w:tcBorders>
            <w:shd w:val="clear" w:color="auto" w:fill="auto"/>
            <w:noWrap/>
            <w:vAlign w:val="center"/>
            <w:hideMark/>
          </w:tcPr>
          <w:p w14:paraId="3AB81695" w14:textId="77777777" w:rsidR="00834B83" w:rsidRPr="005269E6" w:rsidRDefault="00834B83" w:rsidP="0031505F">
            <w:pPr>
              <w:pStyle w:val="Tabletexte"/>
              <w:spacing w:before="40" w:after="40"/>
              <w:jc w:val="left"/>
              <w:rPr>
                <w:sz w:val="18"/>
                <w:szCs w:val="18"/>
                <w:lang w:val="en-GB" w:eastAsia="en-GB"/>
              </w:rPr>
            </w:pPr>
          </w:p>
        </w:tc>
      </w:tr>
      <w:tr w:rsidR="00834B83" w:rsidRPr="005269E6" w14:paraId="1C60ACE3" w14:textId="77777777" w:rsidTr="005C5B84">
        <w:trPr>
          <w:jc w:val="center"/>
        </w:trPr>
        <w:tc>
          <w:tcPr>
            <w:tcW w:w="2279" w:type="pct"/>
            <w:tcBorders>
              <w:top w:val="nil"/>
              <w:left w:val="nil"/>
              <w:bottom w:val="nil"/>
              <w:right w:val="nil"/>
            </w:tcBorders>
            <w:shd w:val="clear" w:color="auto" w:fill="auto"/>
            <w:vAlign w:val="center"/>
            <w:hideMark/>
          </w:tcPr>
          <w:p w14:paraId="1AD66D22" w14:textId="77777777" w:rsidR="00834B83" w:rsidRPr="005269E6" w:rsidRDefault="00834B83" w:rsidP="005C5B84">
            <w:pPr>
              <w:pStyle w:val="Tabletexte"/>
              <w:spacing w:before="40" w:after="40"/>
              <w:rPr>
                <w:sz w:val="18"/>
                <w:szCs w:val="18"/>
                <w:lang w:val="en-GB" w:eastAsia="en-GB"/>
              </w:rPr>
            </w:pPr>
            <w:r w:rsidRPr="005269E6">
              <w:rPr>
                <w:sz w:val="18"/>
                <w:szCs w:val="18"/>
                <w:rtl/>
                <w:lang w:val="en-GB" w:eastAsia="en-GB"/>
              </w:rPr>
              <w:t>الزيادة / (النقصان) في</w:t>
            </w:r>
            <w:r w:rsidRPr="005269E6">
              <w:rPr>
                <w:sz w:val="18"/>
                <w:szCs w:val="18"/>
                <w:rtl/>
                <w:lang w:val="en-GB" w:eastAsia="en-GB" w:bidi="ar-SA"/>
              </w:rPr>
              <w:t xml:space="preserve"> </w:t>
            </w:r>
            <w:r w:rsidRPr="005269E6">
              <w:rPr>
                <w:sz w:val="18"/>
                <w:szCs w:val="18"/>
                <w:rtl/>
                <w:lang w:val="en-GB" w:eastAsia="en-GB"/>
              </w:rPr>
              <w:t>القروض طويلة الأجل - غير الجارية</w:t>
            </w:r>
          </w:p>
        </w:tc>
        <w:tc>
          <w:tcPr>
            <w:tcW w:w="588" w:type="pct"/>
            <w:tcBorders>
              <w:top w:val="nil"/>
              <w:left w:val="nil"/>
              <w:bottom w:val="nil"/>
              <w:right w:val="nil"/>
            </w:tcBorders>
            <w:shd w:val="clear" w:color="auto" w:fill="auto"/>
            <w:vAlign w:val="center"/>
            <w:hideMark/>
          </w:tcPr>
          <w:p w14:paraId="2F256E1F"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17</w:t>
            </w:r>
          </w:p>
        </w:tc>
        <w:tc>
          <w:tcPr>
            <w:tcW w:w="1067" w:type="pct"/>
            <w:tcBorders>
              <w:top w:val="nil"/>
              <w:left w:val="nil"/>
              <w:bottom w:val="nil"/>
              <w:right w:val="nil"/>
            </w:tcBorders>
            <w:shd w:val="clear" w:color="auto" w:fill="auto"/>
            <w:noWrap/>
            <w:vAlign w:val="center"/>
            <w:hideMark/>
          </w:tcPr>
          <w:p w14:paraId="49FE5AA7"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1 126</w:t>
            </w:r>
          </w:p>
        </w:tc>
        <w:tc>
          <w:tcPr>
            <w:tcW w:w="1066" w:type="pct"/>
            <w:tcBorders>
              <w:top w:val="nil"/>
              <w:left w:val="nil"/>
              <w:bottom w:val="nil"/>
              <w:right w:val="nil"/>
            </w:tcBorders>
            <w:shd w:val="clear" w:color="auto" w:fill="auto"/>
            <w:noWrap/>
            <w:vAlign w:val="center"/>
            <w:hideMark/>
          </w:tcPr>
          <w:p w14:paraId="3DE885C5" w14:textId="77777777" w:rsidR="00834B83" w:rsidRPr="005269E6" w:rsidRDefault="00834B83" w:rsidP="0031505F">
            <w:pPr>
              <w:pStyle w:val="Tabletexte"/>
              <w:spacing w:before="40" w:after="40"/>
              <w:jc w:val="left"/>
              <w:rPr>
                <w:sz w:val="18"/>
                <w:szCs w:val="18"/>
                <w:lang w:val="en-GB" w:eastAsia="en-GB"/>
              </w:rPr>
            </w:pPr>
            <w:r w:rsidRPr="005269E6">
              <w:rPr>
                <w:sz w:val="18"/>
                <w:szCs w:val="18"/>
                <w:lang w:val="en-GB" w:eastAsia="en-GB"/>
              </w:rPr>
              <w:t>6 272</w:t>
            </w:r>
          </w:p>
        </w:tc>
      </w:tr>
      <w:tr w:rsidR="00834B83" w:rsidRPr="005269E6" w14:paraId="28555CAF" w14:textId="77777777" w:rsidTr="005C5B84">
        <w:trPr>
          <w:jc w:val="center"/>
        </w:trPr>
        <w:tc>
          <w:tcPr>
            <w:tcW w:w="2279" w:type="pct"/>
            <w:tcBorders>
              <w:top w:val="nil"/>
              <w:left w:val="nil"/>
              <w:bottom w:val="nil"/>
              <w:right w:val="nil"/>
            </w:tcBorders>
            <w:shd w:val="clear" w:color="auto" w:fill="auto"/>
            <w:vAlign w:val="center"/>
            <w:hideMark/>
          </w:tcPr>
          <w:p w14:paraId="43D53D88" w14:textId="77777777" w:rsidR="00834B83" w:rsidRPr="005269E6" w:rsidRDefault="00834B83" w:rsidP="005C5B84">
            <w:pPr>
              <w:pStyle w:val="Tabletexte"/>
              <w:spacing w:before="40" w:after="40"/>
              <w:rPr>
                <w:b/>
                <w:bCs/>
                <w:sz w:val="18"/>
                <w:szCs w:val="18"/>
                <w:lang w:val="en-GB" w:eastAsia="en-GB"/>
              </w:rPr>
            </w:pPr>
            <w:r w:rsidRPr="005269E6">
              <w:rPr>
                <w:b/>
                <w:bCs/>
                <w:sz w:val="18"/>
                <w:szCs w:val="18"/>
                <w:rtl/>
                <w:lang w:val="en-GB" w:eastAsia="en-GB"/>
              </w:rPr>
              <w:t>صافي التدفقات النقدية من أنشطة التمويل</w:t>
            </w:r>
          </w:p>
        </w:tc>
        <w:tc>
          <w:tcPr>
            <w:tcW w:w="588" w:type="pct"/>
            <w:tcBorders>
              <w:top w:val="nil"/>
              <w:left w:val="nil"/>
              <w:bottom w:val="nil"/>
              <w:right w:val="nil"/>
            </w:tcBorders>
            <w:shd w:val="clear" w:color="auto" w:fill="auto"/>
            <w:vAlign w:val="center"/>
            <w:hideMark/>
          </w:tcPr>
          <w:p w14:paraId="66A665AB" w14:textId="77777777" w:rsidR="00834B83" w:rsidRPr="005269E6" w:rsidRDefault="00834B83" w:rsidP="0031505F">
            <w:pPr>
              <w:pStyle w:val="Tabletexte"/>
              <w:spacing w:before="40" w:after="40"/>
              <w:jc w:val="left"/>
              <w:rPr>
                <w:b/>
                <w:bCs/>
                <w:sz w:val="18"/>
                <w:szCs w:val="18"/>
                <w:lang w:val="en-GB" w:eastAsia="en-GB"/>
              </w:rPr>
            </w:pPr>
          </w:p>
        </w:tc>
        <w:tc>
          <w:tcPr>
            <w:tcW w:w="1067" w:type="pct"/>
            <w:tcBorders>
              <w:top w:val="nil"/>
              <w:left w:val="nil"/>
              <w:bottom w:val="nil"/>
              <w:right w:val="nil"/>
            </w:tcBorders>
            <w:shd w:val="clear" w:color="auto" w:fill="auto"/>
            <w:noWrap/>
            <w:vAlign w:val="center"/>
            <w:hideMark/>
          </w:tcPr>
          <w:p w14:paraId="1897341B"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1 126</w:t>
            </w:r>
          </w:p>
        </w:tc>
        <w:tc>
          <w:tcPr>
            <w:tcW w:w="1066" w:type="pct"/>
            <w:tcBorders>
              <w:top w:val="nil"/>
              <w:left w:val="nil"/>
              <w:bottom w:val="nil"/>
              <w:right w:val="nil"/>
            </w:tcBorders>
            <w:shd w:val="clear" w:color="auto" w:fill="auto"/>
            <w:noWrap/>
            <w:vAlign w:val="center"/>
            <w:hideMark/>
          </w:tcPr>
          <w:p w14:paraId="7BB6A142"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6 272</w:t>
            </w:r>
          </w:p>
        </w:tc>
      </w:tr>
      <w:tr w:rsidR="00834B83" w:rsidRPr="005269E6" w14:paraId="0E3EB15C" w14:textId="77777777" w:rsidTr="005C5B84">
        <w:trPr>
          <w:jc w:val="center"/>
        </w:trPr>
        <w:tc>
          <w:tcPr>
            <w:tcW w:w="2279" w:type="pct"/>
            <w:tcBorders>
              <w:top w:val="nil"/>
              <w:left w:val="nil"/>
              <w:bottom w:val="nil"/>
              <w:right w:val="nil"/>
            </w:tcBorders>
            <w:shd w:val="clear" w:color="auto" w:fill="auto"/>
            <w:vAlign w:val="center"/>
            <w:hideMark/>
          </w:tcPr>
          <w:p w14:paraId="6DD17B37" w14:textId="77777777" w:rsidR="00834B83" w:rsidRPr="005269E6" w:rsidRDefault="00834B83" w:rsidP="005C5B84">
            <w:pPr>
              <w:pStyle w:val="Tabletexte"/>
              <w:spacing w:before="40" w:after="40"/>
              <w:rPr>
                <w:b/>
                <w:bCs/>
                <w:sz w:val="18"/>
                <w:szCs w:val="18"/>
                <w:lang w:val="en-GB" w:eastAsia="en-GB"/>
              </w:rPr>
            </w:pPr>
          </w:p>
        </w:tc>
        <w:tc>
          <w:tcPr>
            <w:tcW w:w="588" w:type="pct"/>
            <w:tcBorders>
              <w:top w:val="nil"/>
              <w:left w:val="nil"/>
              <w:bottom w:val="nil"/>
              <w:right w:val="nil"/>
            </w:tcBorders>
            <w:shd w:val="clear" w:color="auto" w:fill="auto"/>
            <w:vAlign w:val="center"/>
            <w:hideMark/>
          </w:tcPr>
          <w:p w14:paraId="1870DE6D" w14:textId="77777777" w:rsidR="00834B83" w:rsidRPr="005269E6" w:rsidRDefault="00834B83" w:rsidP="0031505F">
            <w:pPr>
              <w:pStyle w:val="Tabletexte"/>
              <w:spacing w:before="40" w:after="40"/>
              <w:jc w:val="left"/>
              <w:rPr>
                <w:b/>
                <w:bCs/>
                <w:sz w:val="18"/>
                <w:szCs w:val="18"/>
                <w:lang w:val="en-GB" w:eastAsia="en-GB"/>
              </w:rPr>
            </w:pPr>
          </w:p>
        </w:tc>
        <w:tc>
          <w:tcPr>
            <w:tcW w:w="1067" w:type="pct"/>
            <w:tcBorders>
              <w:top w:val="nil"/>
              <w:left w:val="nil"/>
              <w:bottom w:val="nil"/>
              <w:right w:val="nil"/>
            </w:tcBorders>
            <w:shd w:val="clear" w:color="auto" w:fill="auto"/>
            <w:noWrap/>
            <w:vAlign w:val="center"/>
            <w:hideMark/>
          </w:tcPr>
          <w:p w14:paraId="3D11AF60" w14:textId="77777777" w:rsidR="00834B83" w:rsidRPr="005269E6" w:rsidRDefault="00834B83" w:rsidP="0031505F">
            <w:pPr>
              <w:pStyle w:val="Tabletexte"/>
              <w:spacing w:before="40" w:after="40"/>
              <w:jc w:val="left"/>
              <w:rPr>
                <w:b/>
                <w:bCs/>
                <w:sz w:val="18"/>
                <w:szCs w:val="18"/>
                <w:lang w:val="en-GB" w:eastAsia="en-GB"/>
              </w:rPr>
            </w:pPr>
          </w:p>
        </w:tc>
        <w:tc>
          <w:tcPr>
            <w:tcW w:w="1066" w:type="pct"/>
            <w:tcBorders>
              <w:top w:val="nil"/>
              <w:left w:val="nil"/>
              <w:bottom w:val="nil"/>
              <w:right w:val="nil"/>
            </w:tcBorders>
            <w:shd w:val="clear" w:color="auto" w:fill="auto"/>
            <w:noWrap/>
            <w:vAlign w:val="center"/>
            <w:hideMark/>
          </w:tcPr>
          <w:p w14:paraId="6A81BD0E" w14:textId="77777777" w:rsidR="00834B83" w:rsidRPr="005269E6" w:rsidRDefault="00834B83" w:rsidP="0031505F">
            <w:pPr>
              <w:pStyle w:val="Tabletexte"/>
              <w:spacing w:before="40" w:after="40"/>
              <w:jc w:val="left"/>
              <w:rPr>
                <w:b/>
                <w:bCs/>
                <w:sz w:val="18"/>
                <w:szCs w:val="18"/>
                <w:lang w:val="en-GB" w:eastAsia="en-GB"/>
              </w:rPr>
            </w:pPr>
          </w:p>
        </w:tc>
      </w:tr>
      <w:tr w:rsidR="00834B83" w:rsidRPr="005269E6" w14:paraId="12291AA9" w14:textId="77777777" w:rsidTr="005C5B84">
        <w:trPr>
          <w:jc w:val="center"/>
        </w:trPr>
        <w:tc>
          <w:tcPr>
            <w:tcW w:w="2279" w:type="pct"/>
            <w:tcBorders>
              <w:top w:val="nil"/>
              <w:left w:val="nil"/>
              <w:bottom w:val="nil"/>
              <w:right w:val="nil"/>
            </w:tcBorders>
            <w:shd w:val="clear" w:color="auto" w:fill="auto"/>
            <w:vAlign w:val="center"/>
            <w:hideMark/>
          </w:tcPr>
          <w:p w14:paraId="1626BFC9" w14:textId="77777777" w:rsidR="00834B83" w:rsidRPr="005269E6" w:rsidRDefault="00834B83" w:rsidP="005C5B84">
            <w:pPr>
              <w:pStyle w:val="Tabletexte"/>
              <w:spacing w:before="40" w:after="40"/>
              <w:rPr>
                <w:b/>
                <w:bCs/>
                <w:sz w:val="18"/>
                <w:szCs w:val="18"/>
                <w:lang w:val="en-GB" w:eastAsia="en-GB"/>
              </w:rPr>
            </w:pPr>
            <w:r w:rsidRPr="005269E6">
              <w:rPr>
                <w:b/>
                <w:bCs/>
                <w:sz w:val="18"/>
                <w:szCs w:val="18"/>
                <w:rtl/>
                <w:lang w:val="en-GB" w:eastAsia="en-GB" w:bidi="ar-SA"/>
              </w:rPr>
              <w:t xml:space="preserve">صافي </w:t>
            </w:r>
            <w:r w:rsidRPr="005269E6">
              <w:rPr>
                <w:b/>
                <w:bCs/>
                <w:sz w:val="18"/>
                <w:szCs w:val="18"/>
                <w:rtl/>
                <w:lang w:val="en-GB" w:eastAsia="en-GB"/>
              </w:rPr>
              <w:t>الزيادة / (النقصان) في</w:t>
            </w:r>
            <w:r w:rsidRPr="005269E6">
              <w:rPr>
                <w:sz w:val="18"/>
                <w:szCs w:val="18"/>
                <w:rtl/>
              </w:rPr>
              <w:t xml:space="preserve"> </w:t>
            </w:r>
            <w:r w:rsidRPr="005269E6">
              <w:rPr>
                <w:b/>
                <w:bCs/>
                <w:sz w:val="18"/>
                <w:szCs w:val="18"/>
                <w:rtl/>
                <w:lang w:val="en-GB" w:eastAsia="en-GB" w:bidi="ar-EG"/>
              </w:rPr>
              <w:t>الأموال النقدية وما يعادلها</w:t>
            </w:r>
          </w:p>
        </w:tc>
        <w:tc>
          <w:tcPr>
            <w:tcW w:w="588" w:type="pct"/>
            <w:tcBorders>
              <w:top w:val="nil"/>
              <w:left w:val="nil"/>
              <w:bottom w:val="nil"/>
              <w:right w:val="nil"/>
            </w:tcBorders>
            <w:shd w:val="clear" w:color="auto" w:fill="auto"/>
            <w:vAlign w:val="center"/>
            <w:hideMark/>
          </w:tcPr>
          <w:p w14:paraId="67983FAF" w14:textId="77777777" w:rsidR="00834B83" w:rsidRPr="005269E6" w:rsidRDefault="00834B83" w:rsidP="0031505F">
            <w:pPr>
              <w:pStyle w:val="Tabletexte"/>
              <w:spacing w:before="40" w:after="40"/>
              <w:jc w:val="left"/>
              <w:rPr>
                <w:b/>
                <w:bCs/>
                <w:sz w:val="18"/>
                <w:szCs w:val="18"/>
                <w:lang w:val="en-GB" w:eastAsia="en-GB"/>
              </w:rPr>
            </w:pPr>
          </w:p>
        </w:tc>
        <w:tc>
          <w:tcPr>
            <w:tcW w:w="1067" w:type="pct"/>
            <w:tcBorders>
              <w:top w:val="nil"/>
              <w:left w:val="nil"/>
              <w:bottom w:val="nil"/>
              <w:right w:val="nil"/>
            </w:tcBorders>
            <w:shd w:val="clear" w:color="auto" w:fill="auto"/>
            <w:noWrap/>
            <w:vAlign w:val="center"/>
            <w:hideMark/>
          </w:tcPr>
          <w:p w14:paraId="56D00938"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(9 943)</w:t>
            </w:r>
          </w:p>
        </w:tc>
        <w:tc>
          <w:tcPr>
            <w:tcW w:w="1066" w:type="pct"/>
            <w:tcBorders>
              <w:top w:val="nil"/>
              <w:left w:val="nil"/>
              <w:bottom w:val="nil"/>
              <w:right w:val="nil"/>
            </w:tcBorders>
            <w:shd w:val="clear" w:color="auto" w:fill="auto"/>
            <w:noWrap/>
            <w:vAlign w:val="center"/>
            <w:hideMark/>
          </w:tcPr>
          <w:p w14:paraId="05FE91B9"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68 480</w:t>
            </w:r>
          </w:p>
        </w:tc>
      </w:tr>
      <w:tr w:rsidR="00834B83" w:rsidRPr="005269E6" w14:paraId="6D68A5CC" w14:textId="77777777" w:rsidTr="005C5B84">
        <w:trPr>
          <w:jc w:val="center"/>
        </w:trPr>
        <w:tc>
          <w:tcPr>
            <w:tcW w:w="2279" w:type="pct"/>
            <w:tcBorders>
              <w:top w:val="nil"/>
              <w:left w:val="nil"/>
              <w:bottom w:val="nil"/>
              <w:right w:val="nil"/>
            </w:tcBorders>
            <w:shd w:val="clear" w:color="auto" w:fill="auto"/>
            <w:noWrap/>
            <w:vAlign w:val="center"/>
            <w:hideMark/>
          </w:tcPr>
          <w:p w14:paraId="4DF07E90" w14:textId="77777777" w:rsidR="00834B83" w:rsidRPr="005269E6" w:rsidRDefault="00834B83" w:rsidP="005C5B84">
            <w:pPr>
              <w:pStyle w:val="Tabletexte"/>
              <w:spacing w:before="40" w:after="40"/>
              <w:rPr>
                <w:b/>
                <w:bCs/>
                <w:sz w:val="18"/>
                <w:szCs w:val="18"/>
                <w:lang w:val="en-GB" w:eastAsia="en-GB"/>
              </w:rPr>
            </w:pPr>
          </w:p>
        </w:tc>
        <w:tc>
          <w:tcPr>
            <w:tcW w:w="588" w:type="pct"/>
            <w:tcBorders>
              <w:top w:val="nil"/>
              <w:left w:val="nil"/>
              <w:bottom w:val="nil"/>
              <w:right w:val="nil"/>
            </w:tcBorders>
            <w:shd w:val="clear" w:color="auto" w:fill="auto"/>
            <w:noWrap/>
            <w:vAlign w:val="center"/>
            <w:hideMark/>
          </w:tcPr>
          <w:p w14:paraId="1E344ADB" w14:textId="77777777" w:rsidR="00834B83" w:rsidRPr="005269E6" w:rsidRDefault="00834B83" w:rsidP="0031505F">
            <w:pPr>
              <w:pStyle w:val="Tabletexte"/>
              <w:spacing w:before="40" w:after="40"/>
              <w:jc w:val="left"/>
              <w:rPr>
                <w:b/>
                <w:bCs/>
                <w:sz w:val="18"/>
                <w:szCs w:val="18"/>
                <w:lang w:val="en-GB" w:eastAsia="en-GB"/>
              </w:rPr>
            </w:pPr>
          </w:p>
        </w:tc>
        <w:tc>
          <w:tcPr>
            <w:tcW w:w="1067" w:type="pct"/>
            <w:tcBorders>
              <w:top w:val="nil"/>
              <w:left w:val="nil"/>
              <w:bottom w:val="nil"/>
              <w:right w:val="nil"/>
            </w:tcBorders>
            <w:shd w:val="clear" w:color="auto" w:fill="auto"/>
            <w:noWrap/>
            <w:vAlign w:val="center"/>
            <w:hideMark/>
          </w:tcPr>
          <w:p w14:paraId="572886A7" w14:textId="77777777" w:rsidR="00834B83" w:rsidRPr="005269E6" w:rsidRDefault="00834B83" w:rsidP="0031505F">
            <w:pPr>
              <w:pStyle w:val="Tabletexte"/>
              <w:spacing w:before="40" w:after="40"/>
              <w:jc w:val="left"/>
              <w:rPr>
                <w:b/>
                <w:bCs/>
                <w:sz w:val="18"/>
                <w:szCs w:val="18"/>
                <w:lang w:val="en-GB" w:eastAsia="en-GB"/>
              </w:rPr>
            </w:pPr>
          </w:p>
        </w:tc>
        <w:tc>
          <w:tcPr>
            <w:tcW w:w="1066" w:type="pct"/>
            <w:tcBorders>
              <w:top w:val="nil"/>
              <w:left w:val="nil"/>
              <w:bottom w:val="nil"/>
              <w:right w:val="nil"/>
            </w:tcBorders>
            <w:shd w:val="clear" w:color="auto" w:fill="auto"/>
            <w:noWrap/>
            <w:vAlign w:val="center"/>
            <w:hideMark/>
          </w:tcPr>
          <w:p w14:paraId="48C29F5E" w14:textId="77777777" w:rsidR="00834B83" w:rsidRPr="005269E6" w:rsidRDefault="00834B83" w:rsidP="0031505F">
            <w:pPr>
              <w:pStyle w:val="Tabletexte"/>
              <w:spacing w:before="40" w:after="40"/>
              <w:jc w:val="left"/>
              <w:rPr>
                <w:b/>
                <w:bCs/>
                <w:sz w:val="18"/>
                <w:szCs w:val="18"/>
                <w:lang w:val="en-GB" w:eastAsia="en-GB"/>
              </w:rPr>
            </w:pPr>
          </w:p>
        </w:tc>
      </w:tr>
      <w:tr w:rsidR="00834B83" w:rsidRPr="005269E6" w14:paraId="2FFC161A" w14:textId="77777777" w:rsidTr="005C5B84">
        <w:trPr>
          <w:jc w:val="center"/>
        </w:trPr>
        <w:tc>
          <w:tcPr>
            <w:tcW w:w="2279" w:type="pct"/>
            <w:tcBorders>
              <w:top w:val="nil"/>
              <w:left w:val="nil"/>
              <w:bottom w:val="nil"/>
              <w:right w:val="nil"/>
            </w:tcBorders>
            <w:shd w:val="clear" w:color="auto" w:fill="auto"/>
            <w:vAlign w:val="center"/>
            <w:hideMark/>
          </w:tcPr>
          <w:p w14:paraId="62AD7C57" w14:textId="77777777" w:rsidR="00834B83" w:rsidRPr="005269E6" w:rsidRDefault="00834B83" w:rsidP="005C5B84">
            <w:pPr>
              <w:pStyle w:val="Tabletexte"/>
              <w:spacing w:before="40" w:after="40"/>
              <w:rPr>
                <w:b/>
                <w:bCs/>
                <w:sz w:val="18"/>
                <w:szCs w:val="18"/>
                <w:lang w:val="en-GB" w:eastAsia="en-GB"/>
              </w:rPr>
            </w:pPr>
            <w:r w:rsidRPr="005269E6">
              <w:rPr>
                <w:b/>
                <w:bCs/>
                <w:sz w:val="18"/>
                <w:szCs w:val="18"/>
                <w:rtl/>
                <w:lang w:val="en-GB" w:eastAsia="en-GB"/>
              </w:rPr>
              <w:t>الأموال النقدية وما يعادلها</w:t>
            </w:r>
            <w:r w:rsidRPr="005269E6">
              <w:rPr>
                <w:sz w:val="18"/>
                <w:szCs w:val="18"/>
                <w:rtl/>
              </w:rPr>
              <w:t xml:space="preserve"> </w:t>
            </w:r>
            <w:r w:rsidRPr="005269E6">
              <w:rPr>
                <w:b/>
                <w:bCs/>
                <w:sz w:val="18"/>
                <w:szCs w:val="18"/>
                <w:rtl/>
                <w:lang w:val="en-GB" w:eastAsia="en-GB" w:bidi="ar"/>
              </w:rPr>
              <w:t>عند</w:t>
            </w:r>
            <w:r w:rsidRPr="005269E6">
              <w:rPr>
                <w:b/>
                <w:bCs/>
                <w:sz w:val="18"/>
                <w:szCs w:val="18"/>
                <w:lang w:val="en" w:eastAsia="en-GB"/>
              </w:rPr>
              <w:t xml:space="preserve"> </w:t>
            </w:r>
            <w:r w:rsidRPr="005269E6">
              <w:rPr>
                <w:b/>
                <w:bCs/>
                <w:sz w:val="18"/>
                <w:szCs w:val="18"/>
                <w:rtl/>
                <w:lang w:val="en-GB" w:eastAsia="en-GB" w:bidi="ar"/>
              </w:rPr>
              <w:t>افتتاح</w:t>
            </w:r>
            <w:r w:rsidRPr="005269E6">
              <w:rPr>
                <w:b/>
                <w:bCs/>
                <w:sz w:val="18"/>
                <w:szCs w:val="18"/>
                <w:lang w:val="en" w:eastAsia="en-GB"/>
              </w:rPr>
              <w:t xml:space="preserve"> </w:t>
            </w:r>
            <w:r w:rsidRPr="005269E6">
              <w:rPr>
                <w:b/>
                <w:bCs/>
                <w:sz w:val="18"/>
                <w:szCs w:val="18"/>
                <w:rtl/>
                <w:lang w:val="en-GB" w:eastAsia="en-GB" w:bidi="ar"/>
              </w:rPr>
              <w:t>الفترة</w:t>
            </w:r>
          </w:p>
        </w:tc>
        <w:tc>
          <w:tcPr>
            <w:tcW w:w="588" w:type="pct"/>
            <w:tcBorders>
              <w:top w:val="nil"/>
              <w:left w:val="nil"/>
              <w:bottom w:val="nil"/>
              <w:right w:val="nil"/>
            </w:tcBorders>
            <w:shd w:val="clear" w:color="auto" w:fill="auto"/>
            <w:vAlign w:val="center"/>
            <w:hideMark/>
          </w:tcPr>
          <w:p w14:paraId="348811EA"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7</w:t>
            </w:r>
          </w:p>
        </w:tc>
        <w:tc>
          <w:tcPr>
            <w:tcW w:w="1067" w:type="pct"/>
            <w:tcBorders>
              <w:top w:val="nil"/>
              <w:left w:val="nil"/>
              <w:bottom w:val="nil"/>
              <w:right w:val="nil"/>
            </w:tcBorders>
            <w:shd w:val="clear" w:color="auto" w:fill="auto"/>
            <w:noWrap/>
            <w:vAlign w:val="center"/>
            <w:hideMark/>
          </w:tcPr>
          <w:p w14:paraId="6323FE98"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203 811</w:t>
            </w:r>
          </w:p>
        </w:tc>
        <w:tc>
          <w:tcPr>
            <w:tcW w:w="1066" w:type="pct"/>
            <w:tcBorders>
              <w:top w:val="nil"/>
              <w:left w:val="nil"/>
              <w:bottom w:val="nil"/>
              <w:right w:val="nil"/>
            </w:tcBorders>
            <w:shd w:val="clear" w:color="auto" w:fill="auto"/>
            <w:noWrap/>
            <w:vAlign w:val="center"/>
            <w:hideMark/>
          </w:tcPr>
          <w:p w14:paraId="76EAFD15"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135 330</w:t>
            </w:r>
          </w:p>
        </w:tc>
      </w:tr>
      <w:tr w:rsidR="00834B83" w:rsidRPr="005269E6" w14:paraId="59AC49E7" w14:textId="77777777" w:rsidTr="005C5B84">
        <w:trPr>
          <w:jc w:val="center"/>
        </w:trPr>
        <w:tc>
          <w:tcPr>
            <w:tcW w:w="2279" w:type="pct"/>
            <w:tcBorders>
              <w:top w:val="nil"/>
              <w:left w:val="nil"/>
              <w:bottom w:val="nil"/>
              <w:right w:val="nil"/>
            </w:tcBorders>
            <w:shd w:val="clear" w:color="auto" w:fill="auto"/>
            <w:vAlign w:val="center"/>
            <w:hideMark/>
          </w:tcPr>
          <w:p w14:paraId="74E8A681" w14:textId="77777777" w:rsidR="00834B83" w:rsidRPr="005269E6" w:rsidRDefault="00834B83" w:rsidP="005C5B84">
            <w:pPr>
              <w:pStyle w:val="Tabletexte"/>
              <w:spacing w:before="40" w:after="40"/>
              <w:rPr>
                <w:b/>
                <w:bCs/>
                <w:sz w:val="18"/>
                <w:szCs w:val="18"/>
                <w:lang w:val="en-GB" w:eastAsia="en-GB"/>
              </w:rPr>
            </w:pPr>
          </w:p>
        </w:tc>
        <w:tc>
          <w:tcPr>
            <w:tcW w:w="588" w:type="pct"/>
            <w:tcBorders>
              <w:top w:val="nil"/>
              <w:left w:val="nil"/>
              <w:bottom w:val="nil"/>
              <w:right w:val="nil"/>
            </w:tcBorders>
            <w:shd w:val="clear" w:color="auto" w:fill="auto"/>
            <w:vAlign w:val="center"/>
            <w:hideMark/>
          </w:tcPr>
          <w:p w14:paraId="1C489282" w14:textId="77777777" w:rsidR="00834B83" w:rsidRPr="005269E6" w:rsidRDefault="00834B83" w:rsidP="0031505F">
            <w:pPr>
              <w:pStyle w:val="Tabletexte"/>
              <w:spacing w:before="40" w:after="40"/>
              <w:jc w:val="left"/>
              <w:rPr>
                <w:b/>
                <w:bCs/>
                <w:sz w:val="18"/>
                <w:szCs w:val="18"/>
                <w:lang w:val="en-GB" w:eastAsia="en-GB"/>
              </w:rPr>
            </w:pPr>
          </w:p>
        </w:tc>
        <w:tc>
          <w:tcPr>
            <w:tcW w:w="1067" w:type="pct"/>
            <w:tcBorders>
              <w:top w:val="nil"/>
              <w:left w:val="nil"/>
              <w:bottom w:val="nil"/>
              <w:right w:val="nil"/>
            </w:tcBorders>
            <w:shd w:val="clear" w:color="auto" w:fill="auto"/>
            <w:noWrap/>
            <w:vAlign w:val="center"/>
            <w:hideMark/>
          </w:tcPr>
          <w:p w14:paraId="27295195" w14:textId="77777777" w:rsidR="00834B83" w:rsidRPr="005269E6" w:rsidRDefault="00834B83" w:rsidP="0031505F">
            <w:pPr>
              <w:pStyle w:val="Tabletexte"/>
              <w:spacing w:before="40" w:after="40"/>
              <w:jc w:val="left"/>
              <w:rPr>
                <w:b/>
                <w:bCs/>
                <w:sz w:val="18"/>
                <w:szCs w:val="18"/>
                <w:lang w:val="en-GB" w:eastAsia="en-GB"/>
              </w:rPr>
            </w:pPr>
          </w:p>
        </w:tc>
        <w:tc>
          <w:tcPr>
            <w:tcW w:w="1066" w:type="pct"/>
            <w:tcBorders>
              <w:top w:val="nil"/>
              <w:left w:val="nil"/>
              <w:bottom w:val="nil"/>
              <w:right w:val="nil"/>
            </w:tcBorders>
            <w:shd w:val="clear" w:color="auto" w:fill="auto"/>
            <w:noWrap/>
            <w:vAlign w:val="center"/>
            <w:hideMark/>
          </w:tcPr>
          <w:p w14:paraId="772B7820" w14:textId="77777777" w:rsidR="00834B83" w:rsidRPr="005269E6" w:rsidRDefault="00834B83" w:rsidP="0031505F">
            <w:pPr>
              <w:pStyle w:val="Tabletexte"/>
              <w:spacing w:before="40" w:after="40"/>
              <w:jc w:val="left"/>
              <w:rPr>
                <w:b/>
                <w:bCs/>
                <w:sz w:val="18"/>
                <w:szCs w:val="18"/>
                <w:lang w:val="en-GB" w:eastAsia="en-GB"/>
              </w:rPr>
            </w:pPr>
          </w:p>
        </w:tc>
      </w:tr>
      <w:tr w:rsidR="00834B83" w:rsidRPr="005269E6" w14:paraId="55C67A29" w14:textId="77777777" w:rsidTr="005C5B84">
        <w:trPr>
          <w:jc w:val="center"/>
        </w:trPr>
        <w:tc>
          <w:tcPr>
            <w:tcW w:w="2279" w:type="pct"/>
            <w:tcBorders>
              <w:top w:val="nil"/>
              <w:left w:val="nil"/>
              <w:bottom w:val="nil"/>
              <w:right w:val="nil"/>
            </w:tcBorders>
            <w:shd w:val="clear" w:color="000000" w:fill="538DD5"/>
            <w:vAlign w:val="center"/>
            <w:hideMark/>
          </w:tcPr>
          <w:p w14:paraId="419BFA82" w14:textId="77777777" w:rsidR="00834B83" w:rsidRPr="005269E6" w:rsidRDefault="00834B83" w:rsidP="005C5B84">
            <w:pPr>
              <w:pStyle w:val="Tabletexte"/>
              <w:spacing w:before="40" w:after="40"/>
              <w:rPr>
                <w:b/>
                <w:bCs/>
                <w:sz w:val="18"/>
                <w:szCs w:val="18"/>
                <w:lang w:val="en-GB" w:eastAsia="en-GB"/>
              </w:rPr>
            </w:pPr>
            <w:r w:rsidRPr="005269E6">
              <w:rPr>
                <w:b/>
                <w:bCs/>
                <w:sz w:val="18"/>
                <w:szCs w:val="18"/>
                <w:rtl/>
                <w:lang w:val="en-GB" w:eastAsia="en-GB"/>
              </w:rPr>
              <w:t>الأموال النقدية وما يعادلها عند إقفال الفترة</w:t>
            </w:r>
          </w:p>
        </w:tc>
        <w:tc>
          <w:tcPr>
            <w:tcW w:w="588" w:type="pct"/>
            <w:tcBorders>
              <w:top w:val="nil"/>
              <w:left w:val="nil"/>
              <w:bottom w:val="nil"/>
              <w:right w:val="nil"/>
            </w:tcBorders>
            <w:shd w:val="clear" w:color="000000" w:fill="538DD5"/>
            <w:vAlign w:val="center"/>
            <w:hideMark/>
          </w:tcPr>
          <w:p w14:paraId="17E63408"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7</w:t>
            </w:r>
          </w:p>
        </w:tc>
        <w:tc>
          <w:tcPr>
            <w:tcW w:w="1067" w:type="pct"/>
            <w:tcBorders>
              <w:top w:val="nil"/>
              <w:left w:val="nil"/>
              <w:bottom w:val="nil"/>
              <w:right w:val="nil"/>
            </w:tcBorders>
            <w:shd w:val="clear" w:color="000000" w:fill="538DD5"/>
            <w:noWrap/>
            <w:vAlign w:val="center"/>
            <w:hideMark/>
          </w:tcPr>
          <w:p w14:paraId="7566D279"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193 868</w:t>
            </w:r>
          </w:p>
        </w:tc>
        <w:tc>
          <w:tcPr>
            <w:tcW w:w="1066" w:type="pct"/>
            <w:tcBorders>
              <w:top w:val="nil"/>
              <w:left w:val="nil"/>
              <w:bottom w:val="nil"/>
              <w:right w:val="nil"/>
            </w:tcBorders>
            <w:shd w:val="clear" w:color="000000" w:fill="538DD5"/>
            <w:noWrap/>
            <w:vAlign w:val="center"/>
            <w:hideMark/>
          </w:tcPr>
          <w:p w14:paraId="04A5554F" w14:textId="77777777" w:rsidR="00834B83" w:rsidRPr="005269E6" w:rsidRDefault="00834B83" w:rsidP="0031505F">
            <w:pPr>
              <w:pStyle w:val="Tabletexte"/>
              <w:spacing w:before="40" w:after="40"/>
              <w:jc w:val="left"/>
              <w:rPr>
                <w:b/>
                <w:bCs/>
                <w:sz w:val="18"/>
                <w:szCs w:val="18"/>
                <w:lang w:val="en-GB" w:eastAsia="en-GB"/>
              </w:rPr>
            </w:pPr>
            <w:r w:rsidRPr="005269E6">
              <w:rPr>
                <w:b/>
                <w:bCs/>
                <w:sz w:val="18"/>
                <w:szCs w:val="18"/>
                <w:lang w:val="en-GB" w:eastAsia="en-GB"/>
              </w:rPr>
              <w:t>203 811</w:t>
            </w:r>
          </w:p>
        </w:tc>
      </w:tr>
    </w:tbl>
    <w:p w14:paraId="3A495528" w14:textId="77777777" w:rsidR="00834B83" w:rsidRPr="005269E6" w:rsidRDefault="00834B83" w:rsidP="00834B83">
      <w:pPr>
        <w:rPr>
          <w:i/>
          <w:iCs/>
          <w:lang w:bidi="ar-SY"/>
        </w:rPr>
      </w:pPr>
      <w:r w:rsidRPr="005269E6">
        <w:rPr>
          <w:i/>
          <w:iCs/>
          <w:rtl/>
          <w:lang w:bidi="ar"/>
        </w:rPr>
        <w:t>تشكل</w:t>
      </w:r>
      <w:r w:rsidRPr="005269E6">
        <w:rPr>
          <w:i/>
          <w:iCs/>
          <w:lang w:val="en" w:bidi="ar-SY"/>
        </w:rPr>
        <w:t xml:space="preserve"> </w:t>
      </w:r>
      <w:r w:rsidRPr="005269E6">
        <w:rPr>
          <w:i/>
          <w:iCs/>
          <w:rtl/>
          <w:lang w:bidi="ar"/>
        </w:rPr>
        <w:t>الملاحظات</w:t>
      </w:r>
      <w:r w:rsidRPr="005269E6">
        <w:rPr>
          <w:i/>
          <w:iCs/>
          <w:lang w:val="en" w:bidi="ar-SY"/>
        </w:rPr>
        <w:t xml:space="preserve"> </w:t>
      </w:r>
      <w:r w:rsidRPr="005269E6">
        <w:rPr>
          <w:i/>
          <w:iCs/>
          <w:rtl/>
          <w:lang w:bidi="ar"/>
        </w:rPr>
        <w:t>المرفقة</w:t>
      </w:r>
      <w:r w:rsidRPr="005269E6">
        <w:rPr>
          <w:i/>
          <w:iCs/>
          <w:lang w:val="en" w:bidi="ar-SY"/>
        </w:rPr>
        <w:t xml:space="preserve"> </w:t>
      </w:r>
      <w:r w:rsidRPr="005269E6">
        <w:rPr>
          <w:i/>
          <w:iCs/>
          <w:rtl/>
          <w:lang w:bidi="ar"/>
        </w:rPr>
        <w:t>جزءا</w:t>
      </w:r>
      <w:r w:rsidRPr="005269E6">
        <w:rPr>
          <w:i/>
          <w:iCs/>
          <w:lang w:val="en" w:bidi="ar-SY"/>
        </w:rPr>
        <w:t xml:space="preserve"> </w:t>
      </w:r>
      <w:r w:rsidRPr="005269E6">
        <w:rPr>
          <w:i/>
          <w:iCs/>
          <w:rtl/>
          <w:lang w:bidi="ar-EG"/>
        </w:rPr>
        <w:t xml:space="preserve">أساسياً </w:t>
      </w:r>
      <w:r w:rsidRPr="005269E6">
        <w:rPr>
          <w:i/>
          <w:iCs/>
          <w:rtl/>
          <w:lang w:bidi="ar"/>
        </w:rPr>
        <w:t>من</w:t>
      </w:r>
      <w:r w:rsidRPr="005269E6">
        <w:rPr>
          <w:i/>
          <w:iCs/>
          <w:lang w:val="en" w:bidi="ar-SY"/>
        </w:rPr>
        <w:t xml:space="preserve"> </w:t>
      </w:r>
      <w:r w:rsidRPr="005269E6">
        <w:rPr>
          <w:i/>
          <w:iCs/>
          <w:rtl/>
          <w:lang w:bidi="ar"/>
        </w:rPr>
        <w:t>هذه</w:t>
      </w:r>
      <w:r w:rsidRPr="005269E6">
        <w:rPr>
          <w:i/>
          <w:iCs/>
          <w:lang w:val="en" w:bidi="ar-SY"/>
        </w:rPr>
        <w:t xml:space="preserve"> </w:t>
      </w:r>
      <w:r w:rsidRPr="005269E6">
        <w:rPr>
          <w:i/>
          <w:iCs/>
          <w:rtl/>
          <w:lang w:bidi="ar"/>
        </w:rPr>
        <w:t>البيانات</w:t>
      </w:r>
      <w:r w:rsidRPr="005269E6">
        <w:rPr>
          <w:i/>
          <w:iCs/>
          <w:lang w:val="en" w:bidi="ar-SY"/>
        </w:rPr>
        <w:t xml:space="preserve"> </w:t>
      </w:r>
      <w:r w:rsidRPr="005269E6">
        <w:rPr>
          <w:i/>
          <w:iCs/>
          <w:rtl/>
          <w:lang w:bidi="ar"/>
        </w:rPr>
        <w:t>المالية</w:t>
      </w:r>
      <w:r w:rsidRPr="005269E6">
        <w:rPr>
          <w:i/>
          <w:iCs/>
          <w:lang w:val="en" w:bidi="ar-SY"/>
        </w:rPr>
        <w:t>.</w:t>
      </w:r>
    </w:p>
    <w:p w14:paraId="2A54A657" w14:textId="77777777" w:rsidR="00834B83" w:rsidRPr="005269E6" w:rsidRDefault="00834B83" w:rsidP="00834B83">
      <w:pPr>
        <w:tabs>
          <w:tab w:val="clear" w:pos="794"/>
        </w:tabs>
        <w:spacing w:before="0" w:after="160" w:line="259" w:lineRule="auto"/>
        <w:jc w:val="left"/>
        <w:rPr>
          <w:rtl/>
          <w:lang w:bidi="ar-SY"/>
        </w:rPr>
      </w:pPr>
      <w:r w:rsidRPr="005269E6">
        <w:rPr>
          <w:rtl/>
          <w:lang w:bidi="ar-SY"/>
        </w:rPr>
        <w:br w:type="page"/>
      </w:r>
    </w:p>
    <w:p w14:paraId="0C7E2409" w14:textId="77777777" w:rsidR="00834B83" w:rsidRPr="005269E6" w:rsidRDefault="00834B83" w:rsidP="00696AA6">
      <w:pPr>
        <w:pStyle w:val="Heading5"/>
      </w:pPr>
      <w:bookmarkStart w:id="74" w:name="_Toc162520617"/>
      <w:r w:rsidRPr="005269E6">
        <w:rPr>
          <w:rtl/>
        </w:rPr>
        <w:lastRenderedPageBreak/>
        <w:t>البيان الخامس: بيان المقارنة - الميزانية والمبالغ الفعلية</w:t>
      </w:r>
      <w:bookmarkEnd w:id="74"/>
    </w:p>
    <w:p w14:paraId="5E392B3C" w14:textId="77777777" w:rsidR="00834B83" w:rsidRPr="005269E6" w:rsidRDefault="00834B83" w:rsidP="00834B83">
      <w:pPr>
        <w:rPr>
          <w:lang w:bidi="ar-SY"/>
        </w:rPr>
      </w:pPr>
      <w:r w:rsidRPr="005269E6">
        <w:rPr>
          <w:rtl/>
        </w:rPr>
        <w:t>للسنة المنتهية في 31 ديسمبر 2022</w:t>
      </w:r>
    </w:p>
    <w:p w14:paraId="523C7EF4" w14:textId="77777777" w:rsidR="00834B83" w:rsidRPr="005269E6" w:rsidRDefault="00834B83" w:rsidP="002059B3">
      <w:pPr>
        <w:spacing w:after="120"/>
        <w:rPr>
          <w:lang w:bidi="ar-SY"/>
        </w:rPr>
      </w:pPr>
      <w:r w:rsidRPr="005269E6">
        <w:rPr>
          <w:rtl/>
        </w:rPr>
        <w:t>(بآلاف الفرنكات السويسرية)</w:t>
      </w:r>
    </w:p>
    <w:tbl>
      <w:tblPr>
        <w:bidiVisual/>
        <w:tblW w:w="5000" w:type="pct"/>
        <w:jc w:val="center"/>
        <w:tblCellMar>
          <w:left w:w="28" w:type="dxa"/>
          <w:right w:w="28" w:type="dxa"/>
        </w:tblCellMar>
        <w:tblLook w:val="04A0" w:firstRow="1" w:lastRow="0" w:firstColumn="1" w:lastColumn="0" w:noHBand="0" w:noVBand="1"/>
      </w:tblPr>
      <w:tblGrid>
        <w:gridCol w:w="3674"/>
        <w:gridCol w:w="567"/>
        <w:gridCol w:w="893"/>
        <w:gridCol w:w="611"/>
        <w:gridCol w:w="281"/>
        <w:gridCol w:w="893"/>
        <w:gridCol w:w="896"/>
        <w:gridCol w:w="912"/>
        <w:gridCol w:w="912"/>
      </w:tblGrid>
      <w:tr w:rsidR="00834B83" w:rsidRPr="005269E6" w14:paraId="50968085" w14:textId="77777777" w:rsidTr="005C5B84">
        <w:trPr>
          <w:jc w:val="center"/>
        </w:trPr>
        <w:tc>
          <w:tcPr>
            <w:tcW w:w="2200" w:type="pct"/>
            <w:gridSpan w:val="2"/>
            <w:tcBorders>
              <w:top w:val="nil"/>
              <w:left w:val="nil"/>
              <w:bottom w:val="nil"/>
              <w:right w:val="nil"/>
            </w:tcBorders>
            <w:shd w:val="clear" w:color="000000" w:fill="538DD5"/>
            <w:vAlign w:val="center"/>
            <w:hideMark/>
          </w:tcPr>
          <w:p w14:paraId="75DF2E87" w14:textId="77777777" w:rsidR="00834B83" w:rsidRPr="005269E6" w:rsidRDefault="00834B83" w:rsidP="005C5B84">
            <w:pPr>
              <w:pStyle w:val="TableHead"/>
              <w:spacing w:before="40" w:after="40" w:line="240" w:lineRule="exact"/>
              <w:rPr>
                <w:sz w:val="18"/>
                <w:szCs w:val="18"/>
                <w:lang w:val="en-GB" w:eastAsia="en-GB"/>
              </w:rPr>
            </w:pPr>
            <w:bookmarkStart w:id="75" w:name="RANGE!B1:H33"/>
            <w:r w:rsidRPr="005269E6">
              <w:rPr>
                <w:sz w:val="18"/>
                <w:szCs w:val="18"/>
                <w:lang w:val="en-GB" w:eastAsia="en-GB"/>
              </w:rPr>
              <w:t> </w:t>
            </w:r>
            <w:bookmarkEnd w:id="75"/>
          </w:p>
        </w:tc>
        <w:tc>
          <w:tcPr>
            <w:tcW w:w="1853" w:type="pct"/>
            <w:gridSpan w:val="5"/>
            <w:tcBorders>
              <w:top w:val="nil"/>
              <w:left w:val="nil"/>
              <w:bottom w:val="nil"/>
              <w:right w:val="nil"/>
            </w:tcBorders>
            <w:shd w:val="clear" w:color="000000" w:fill="538DD5"/>
            <w:noWrap/>
            <w:vAlign w:val="center"/>
            <w:hideMark/>
          </w:tcPr>
          <w:p w14:paraId="0E08F3B9" w14:textId="77777777" w:rsidR="00834B83" w:rsidRPr="005269E6" w:rsidRDefault="00834B83" w:rsidP="005C5B84">
            <w:pPr>
              <w:spacing w:before="40" w:after="40" w:line="240" w:lineRule="exact"/>
              <w:jc w:val="center"/>
              <w:rPr>
                <w:b/>
                <w:bCs/>
                <w:sz w:val="18"/>
                <w:szCs w:val="18"/>
                <w:lang w:val="en-GB" w:eastAsia="en-GB" w:bidi="ar-SY"/>
              </w:rPr>
            </w:pPr>
            <w:r w:rsidRPr="005269E6">
              <w:rPr>
                <w:b/>
                <w:bCs/>
                <w:sz w:val="18"/>
                <w:szCs w:val="18"/>
                <w:rtl/>
                <w:lang w:val="en-GB" w:eastAsia="en-GB" w:bidi="ar-SY"/>
              </w:rPr>
              <w:t>المبالغ المدرجة في الميزانية</w:t>
            </w:r>
          </w:p>
        </w:tc>
        <w:tc>
          <w:tcPr>
            <w:tcW w:w="473" w:type="pct"/>
            <w:vMerge w:val="restart"/>
            <w:tcBorders>
              <w:top w:val="nil"/>
              <w:left w:val="nil"/>
              <w:bottom w:val="nil"/>
              <w:right w:val="nil"/>
            </w:tcBorders>
            <w:shd w:val="clear" w:color="000000" w:fill="538DD5"/>
            <w:vAlign w:val="center"/>
            <w:hideMark/>
          </w:tcPr>
          <w:p w14:paraId="087AAB4B" w14:textId="77777777" w:rsidR="00834B83" w:rsidRPr="005269E6" w:rsidRDefault="00834B83" w:rsidP="005C5B84">
            <w:pPr>
              <w:pStyle w:val="TableHead"/>
              <w:spacing w:before="40" w:after="40" w:line="240" w:lineRule="exact"/>
              <w:rPr>
                <w:sz w:val="18"/>
                <w:szCs w:val="18"/>
                <w:lang w:val="en-GB" w:eastAsia="en-GB"/>
              </w:rPr>
            </w:pPr>
            <w:r w:rsidRPr="005269E6">
              <w:rPr>
                <w:sz w:val="18"/>
                <w:szCs w:val="18"/>
                <w:rtl/>
                <w:lang w:val="en-GB" w:eastAsia="en-GB" w:bidi="ar-SY"/>
              </w:rPr>
              <w:t>المبالغ الفعلية على أساس قابل للمقارنة</w:t>
            </w:r>
          </w:p>
        </w:tc>
        <w:tc>
          <w:tcPr>
            <w:tcW w:w="473" w:type="pct"/>
            <w:vMerge w:val="restart"/>
            <w:tcBorders>
              <w:top w:val="nil"/>
              <w:left w:val="nil"/>
              <w:bottom w:val="nil"/>
              <w:right w:val="nil"/>
            </w:tcBorders>
            <w:shd w:val="clear" w:color="000000" w:fill="538DD5"/>
            <w:vAlign w:val="center"/>
            <w:hideMark/>
          </w:tcPr>
          <w:p w14:paraId="650A20BB" w14:textId="77777777" w:rsidR="00834B83" w:rsidRPr="005269E6" w:rsidRDefault="00834B83" w:rsidP="005C5B84">
            <w:pPr>
              <w:pStyle w:val="TableHead"/>
              <w:spacing w:before="40" w:after="40" w:line="240" w:lineRule="exact"/>
              <w:rPr>
                <w:sz w:val="18"/>
                <w:szCs w:val="18"/>
                <w:lang w:val="en-GB" w:eastAsia="en-GB"/>
              </w:rPr>
            </w:pPr>
            <w:r w:rsidRPr="005269E6">
              <w:rPr>
                <w:sz w:val="18"/>
                <w:szCs w:val="18"/>
                <w:rtl/>
                <w:lang w:val="en-GB" w:eastAsia="en-GB" w:bidi="ar-SY"/>
              </w:rPr>
              <w:t>الفرق بين الميزانية والمبالغ الفعلية</w:t>
            </w:r>
          </w:p>
        </w:tc>
      </w:tr>
      <w:tr w:rsidR="00834B83" w:rsidRPr="005269E6" w14:paraId="71FA09CB" w14:textId="77777777" w:rsidTr="005C5B84">
        <w:trPr>
          <w:jc w:val="center"/>
        </w:trPr>
        <w:tc>
          <w:tcPr>
            <w:tcW w:w="2200" w:type="pct"/>
            <w:gridSpan w:val="2"/>
            <w:tcBorders>
              <w:top w:val="nil"/>
              <w:left w:val="nil"/>
              <w:bottom w:val="nil"/>
              <w:right w:val="nil"/>
            </w:tcBorders>
            <w:shd w:val="clear" w:color="000000" w:fill="538DD5"/>
            <w:vAlign w:val="center"/>
            <w:hideMark/>
          </w:tcPr>
          <w:p w14:paraId="38CD5F4F" w14:textId="77777777" w:rsidR="00834B83" w:rsidRPr="005269E6" w:rsidRDefault="00834B83" w:rsidP="005C5B84">
            <w:pPr>
              <w:pStyle w:val="TableHead"/>
              <w:spacing w:before="40" w:after="40" w:line="240" w:lineRule="exact"/>
              <w:rPr>
                <w:sz w:val="18"/>
                <w:szCs w:val="18"/>
                <w:lang w:val="en-GB" w:eastAsia="en-GB"/>
              </w:rPr>
            </w:pPr>
            <w:r w:rsidRPr="005269E6">
              <w:rPr>
                <w:sz w:val="18"/>
                <w:szCs w:val="18"/>
                <w:lang w:val="en-GB" w:eastAsia="en-GB"/>
              </w:rPr>
              <w:t> </w:t>
            </w:r>
          </w:p>
        </w:tc>
        <w:tc>
          <w:tcPr>
            <w:tcW w:w="463" w:type="pct"/>
            <w:tcBorders>
              <w:top w:val="nil"/>
              <w:left w:val="nil"/>
              <w:bottom w:val="nil"/>
              <w:right w:val="nil"/>
            </w:tcBorders>
            <w:shd w:val="clear" w:color="000000" w:fill="538DD5"/>
            <w:vAlign w:val="center"/>
            <w:hideMark/>
          </w:tcPr>
          <w:p w14:paraId="39CE303E" w14:textId="77777777" w:rsidR="00834B83" w:rsidRPr="005269E6" w:rsidRDefault="00834B83" w:rsidP="005C5B84">
            <w:pPr>
              <w:pStyle w:val="TableHead"/>
              <w:spacing w:before="40" w:after="40" w:line="240" w:lineRule="exact"/>
              <w:rPr>
                <w:sz w:val="18"/>
                <w:szCs w:val="18"/>
                <w:lang w:val="en-GB" w:eastAsia="en-GB"/>
              </w:rPr>
            </w:pPr>
            <w:r w:rsidRPr="005269E6">
              <w:rPr>
                <w:sz w:val="18"/>
                <w:szCs w:val="18"/>
                <w:rtl/>
                <w:lang w:val="en-GB" w:eastAsia="en-GB" w:bidi="ar-SY"/>
              </w:rPr>
              <w:t>الميزانية الأولية -2022</w:t>
            </w:r>
          </w:p>
        </w:tc>
        <w:tc>
          <w:tcPr>
            <w:tcW w:w="463" w:type="pct"/>
            <w:gridSpan w:val="2"/>
            <w:tcBorders>
              <w:top w:val="nil"/>
              <w:left w:val="nil"/>
              <w:bottom w:val="nil"/>
              <w:right w:val="nil"/>
            </w:tcBorders>
            <w:shd w:val="clear" w:color="000000" w:fill="538DD5"/>
            <w:vAlign w:val="center"/>
            <w:hideMark/>
          </w:tcPr>
          <w:p w14:paraId="361D8C7F" w14:textId="77777777" w:rsidR="00834B83" w:rsidRPr="005269E6" w:rsidRDefault="00834B83" w:rsidP="005C5B84">
            <w:pPr>
              <w:pStyle w:val="TableHead"/>
              <w:spacing w:before="40" w:after="40" w:line="240" w:lineRule="exact"/>
              <w:rPr>
                <w:sz w:val="18"/>
                <w:szCs w:val="18"/>
                <w:lang w:val="en-GB" w:eastAsia="en-GB"/>
              </w:rPr>
            </w:pPr>
            <w:r w:rsidRPr="005269E6">
              <w:rPr>
                <w:sz w:val="18"/>
                <w:szCs w:val="18"/>
                <w:rtl/>
                <w:lang w:val="en-GB" w:eastAsia="en-GB" w:bidi="ar-SY"/>
              </w:rPr>
              <w:t>النشاط المؤجل - 2022</w:t>
            </w:r>
          </w:p>
        </w:tc>
        <w:tc>
          <w:tcPr>
            <w:tcW w:w="463" w:type="pct"/>
            <w:tcBorders>
              <w:top w:val="nil"/>
              <w:left w:val="nil"/>
              <w:bottom w:val="nil"/>
              <w:right w:val="nil"/>
            </w:tcBorders>
            <w:shd w:val="clear" w:color="000000" w:fill="538DD5"/>
            <w:vAlign w:val="center"/>
            <w:hideMark/>
          </w:tcPr>
          <w:p w14:paraId="26A3B30A" w14:textId="77777777" w:rsidR="00834B83" w:rsidRPr="005269E6" w:rsidRDefault="00834B83" w:rsidP="005C5B84">
            <w:pPr>
              <w:pStyle w:val="TableHead"/>
              <w:spacing w:before="40" w:after="40" w:line="240" w:lineRule="exact"/>
              <w:rPr>
                <w:sz w:val="18"/>
                <w:szCs w:val="18"/>
                <w:lang w:val="en-GB" w:eastAsia="en-GB"/>
              </w:rPr>
            </w:pPr>
            <w:r w:rsidRPr="005269E6">
              <w:rPr>
                <w:sz w:val="18"/>
                <w:szCs w:val="18"/>
                <w:rtl/>
                <w:lang w:val="en-GB" w:eastAsia="en-GB" w:bidi="ar-SY"/>
              </w:rPr>
              <w:t>تحويلات الميزانية - 2022</w:t>
            </w:r>
          </w:p>
        </w:tc>
        <w:tc>
          <w:tcPr>
            <w:tcW w:w="464" w:type="pct"/>
            <w:tcBorders>
              <w:top w:val="nil"/>
              <w:left w:val="nil"/>
              <w:bottom w:val="nil"/>
              <w:right w:val="nil"/>
            </w:tcBorders>
            <w:shd w:val="clear" w:color="000000" w:fill="538DD5"/>
            <w:vAlign w:val="center"/>
            <w:hideMark/>
          </w:tcPr>
          <w:p w14:paraId="7118445F" w14:textId="77777777" w:rsidR="00834B83" w:rsidRPr="005269E6" w:rsidRDefault="00834B83" w:rsidP="005C5B84">
            <w:pPr>
              <w:pStyle w:val="TableHead"/>
              <w:spacing w:before="40" w:after="40" w:line="240" w:lineRule="exact"/>
              <w:rPr>
                <w:sz w:val="18"/>
                <w:szCs w:val="18"/>
                <w:lang w:val="en-GB" w:eastAsia="en-GB"/>
              </w:rPr>
            </w:pPr>
            <w:r w:rsidRPr="005269E6">
              <w:rPr>
                <w:sz w:val="18"/>
                <w:szCs w:val="18"/>
                <w:rtl/>
                <w:lang w:val="en-GB" w:eastAsia="en-GB" w:bidi="ar-SY"/>
              </w:rPr>
              <w:t>الميزانية النهائية -2022</w:t>
            </w:r>
          </w:p>
        </w:tc>
        <w:tc>
          <w:tcPr>
            <w:tcW w:w="473" w:type="pct"/>
            <w:vMerge/>
            <w:tcBorders>
              <w:top w:val="nil"/>
              <w:left w:val="nil"/>
              <w:bottom w:val="nil"/>
              <w:right w:val="nil"/>
            </w:tcBorders>
            <w:vAlign w:val="center"/>
            <w:hideMark/>
          </w:tcPr>
          <w:p w14:paraId="4B03E420" w14:textId="77777777" w:rsidR="00834B83" w:rsidRPr="005269E6" w:rsidRDefault="00834B83" w:rsidP="005C5B84">
            <w:pPr>
              <w:pStyle w:val="Tabletexte"/>
              <w:spacing w:before="40" w:after="40" w:line="240" w:lineRule="exact"/>
              <w:rPr>
                <w:sz w:val="18"/>
                <w:szCs w:val="18"/>
                <w:lang w:val="en-GB" w:eastAsia="en-GB"/>
              </w:rPr>
            </w:pPr>
          </w:p>
        </w:tc>
        <w:tc>
          <w:tcPr>
            <w:tcW w:w="473" w:type="pct"/>
            <w:vMerge/>
            <w:tcBorders>
              <w:top w:val="nil"/>
              <w:left w:val="nil"/>
              <w:bottom w:val="nil"/>
              <w:right w:val="nil"/>
            </w:tcBorders>
            <w:vAlign w:val="center"/>
            <w:hideMark/>
          </w:tcPr>
          <w:p w14:paraId="6F5383F4" w14:textId="77777777" w:rsidR="00834B83" w:rsidRPr="005269E6" w:rsidRDefault="00834B83" w:rsidP="005C5B84">
            <w:pPr>
              <w:pStyle w:val="Tabletexte"/>
              <w:spacing w:before="40" w:after="40" w:line="240" w:lineRule="exact"/>
              <w:rPr>
                <w:sz w:val="18"/>
                <w:szCs w:val="18"/>
                <w:lang w:val="en-GB" w:eastAsia="en-GB"/>
              </w:rPr>
            </w:pPr>
          </w:p>
        </w:tc>
      </w:tr>
      <w:tr w:rsidR="00834B83" w:rsidRPr="005269E6" w14:paraId="17C43858"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2056AF27" w14:textId="77777777" w:rsidR="00834B83" w:rsidRPr="005269E6" w:rsidRDefault="00834B83" w:rsidP="005C5B84">
            <w:pPr>
              <w:pStyle w:val="Tabletexte"/>
              <w:spacing w:before="40" w:after="40" w:line="240" w:lineRule="exact"/>
              <w:rPr>
                <w:b/>
                <w:bCs/>
                <w:sz w:val="18"/>
                <w:szCs w:val="18"/>
                <w:lang w:val="en-GB" w:eastAsia="en-GB"/>
              </w:rPr>
            </w:pPr>
            <w:r w:rsidRPr="005269E6">
              <w:rPr>
                <w:b/>
                <w:bCs/>
                <w:sz w:val="18"/>
                <w:szCs w:val="18"/>
                <w:rtl/>
                <w:lang w:val="en-GB" w:eastAsia="en-GB"/>
              </w:rPr>
              <w:t>الإيرادات</w:t>
            </w:r>
          </w:p>
        </w:tc>
        <w:tc>
          <w:tcPr>
            <w:tcW w:w="463" w:type="pct"/>
            <w:tcBorders>
              <w:top w:val="nil"/>
              <w:left w:val="nil"/>
              <w:bottom w:val="nil"/>
              <w:right w:val="nil"/>
            </w:tcBorders>
            <w:shd w:val="clear" w:color="auto" w:fill="auto"/>
            <w:noWrap/>
            <w:vAlign w:val="center"/>
            <w:hideMark/>
          </w:tcPr>
          <w:p w14:paraId="388A2F21"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gridSpan w:val="2"/>
            <w:tcBorders>
              <w:top w:val="nil"/>
              <w:left w:val="nil"/>
              <w:bottom w:val="nil"/>
              <w:right w:val="nil"/>
            </w:tcBorders>
            <w:shd w:val="clear" w:color="auto" w:fill="auto"/>
            <w:noWrap/>
            <w:vAlign w:val="center"/>
            <w:hideMark/>
          </w:tcPr>
          <w:p w14:paraId="283ED52A"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center"/>
            <w:hideMark/>
          </w:tcPr>
          <w:p w14:paraId="0D846D60"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center"/>
            <w:hideMark/>
          </w:tcPr>
          <w:p w14:paraId="2C64A96F"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center"/>
            <w:hideMark/>
          </w:tcPr>
          <w:p w14:paraId="2CC4CB96"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center"/>
            <w:hideMark/>
          </w:tcPr>
          <w:p w14:paraId="14C2FF2E"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384A614C"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5DB23706" w14:textId="77777777" w:rsidR="00834B83" w:rsidRPr="005269E6" w:rsidRDefault="00834B83" w:rsidP="005C5B84">
            <w:pPr>
              <w:pStyle w:val="Tabletexte"/>
              <w:spacing w:before="40" w:after="40" w:line="240" w:lineRule="exact"/>
              <w:rPr>
                <w:sz w:val="18"/>
                <w:szCs w:val="18"/>
                <w:lang w:val="en-GB" w:eastAsia="en-GB"/>
              </w:rPr>
            </w:pPr>
          </w:p>
        </w:tc>
        <w:tc>
          <w:tcPr>
            <w:tcW w:w="463" w:type="pct"/>
            <w:tcBorders>
              <w:top w:val="nil"/>
              <w:left w:val="nil"/>
              <w:bottom w:val="nil"/>
              <w:right w:val="nil"/>
            </w:tcBorders>
            <w:shd w:val="clear" w:color="auto" w:fill="auto"/>
            <w:noWrap/>
            <w:vAlign w:val="center"/>
            <w:hideMark/>
          </w:tcPr>
          <w:p w14:paraId="18F5BDB8"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gridSpan w:val="2"/>
            <w:tcBorders>
              <w:top w:val="nil"/>
              <w:left w:val="nil"/>
              <w:bottom w:val="nil"/>
              <w:right w:val="nil"/>
            </w:tcBorders>
            <w:shd w:val="clear" w:color="auto" w:fill="auto"/>
            <w:noWrap/>
            <w:vAlign w:val="center"/>
            <w:hideMark/>
          </w:tcPr>
          <w:p w14:paraId="267BFBD6"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center"/>
            <w:hideMark/>
          </w:tcPr>
          <w:p w14:paraId="7D78F8DC"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center"/>
            <w:hideMark/>
          </w:tcPr>
          <w:p w14:paraId="24F01200"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center"/>
            <w:hideMark/>
          </w:tcPr>
          <w:p w14:paraId="28EF4A11"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center"/>
            <w:hideMark/>
          </w:tcPr>
          <w:p w14:paraId="7EF92D43"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6DD4943A"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18836120"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lang w:val="en-GB" w:eastAsia="en-GB"/>
              </w:rPr>
              <w:t>المساهمات المقررة</w:t>
            </w:r>
          </w:p>
        </w:tc>
        <w:tc>
          <w:tcPr>
            <w:tcW w:w="463" w:type="pct"/>
            <w:tcBorders>
              <w:top w:val="nil"/>
              <w:left w:val="nil"/>
              <w:bottom w:val="nil"/>
              <w:right w:val="nil"/>
            </w:tcBorders>
            <w:shd w:val="clear" w:color="auto" w:fill="auto"/>
            <w:noWrap/>
            <w:vAlign w:val="bottom"/>
            <w:hideMark/>
          </w:tcPr>
          <w:p w14:paraId="0331CB2A"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125 710</w:t>
            </w:r>
          </w:p>
        </w:tc>
        <w:tc>
          <w:tcPr>
            <w:tcW w:w="463" w:type="pct"/>
            <w:gridSpan w:val="2"/>
            <w:tcBorders>
              <w:top w:val="nil"/>
              <w:left w:val="nil"/>
              <w:bottom w:val="nil"/>
              <w:right w:val="nil"/>
            </w:tcBorders>
            <w:shd w:val="clear" w:color="auto" w:fill="auto"/>
            <w:noWrap/>
            <w:vAlign w:val="bottom"/>
            <w:hideMark/>
          </w:tcPr>
          <w:p w14:paraId="284BC920"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7E6F934F"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197347DF"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125 710</w:t>
            </w:r>
          </w:p>
        </w:tc>
        <w:tc>
          <w:tcPr>
            <w:tcW w:w="473" w:type="pct"/>
            <w:tcBorders>
              <w:top w:val="nil"/>
              <w:left w:val="nil"/>
              <w:bottom w:val="nil"/>
              <w:right w:val="nil"/>
            </w:tcBorders>
            <w:shd w:val="clear" w:color="auto" w:fill="auto"/>
            <w:noWrap/>
            <w:vAlign w:val="bottom"/>
            <w:hideMark/>
          </w:tcPr>
          <w:p w14:paraId="7698E763"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127 613</w:t>
            </w:r>
          </w:p>
        </w:tc>
        <w:tc>
          <w:tcPr>
            <w:tcW w:w="473" w:type="pct"/>
            <w:tcBorders>
              <w:top w:val="nil"/>
              <w:left w:val="nil"/>
              <w:bottom w:val="nil"/>
              <w:right w:val="nil"/>
            </w:tcBorders>
            <w:shd w:val="clear" w:color="auto" w:fill="auto"/>
            <w:noWrap/>
            <w:vAlign w:val="bottom"/>
            <w:hideMark/>
          </w:tcPr>
          <w:p w14:paraId="62F1B5B4"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1 903</w:t>
            </w:r>
          </w:p>
        </w:tc>
      </w:tr>
      <w:tr w:rsidR="00834B83" w:rsidRPr="005269E6" w14:paraId="04C6960C"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0F476D1C" w14:textId="77777777" w:rsidR="00834B83" w:rsidRPr="005269E6" w:rsidRDefault="00834B83" w:rsidP="005C5B84">
            <w:pPr>
              <w:spacing w:before="40" w:after="40" w:line="240" w:lineRule="exact"/>
              <w:rPr>
                <w:sz w:val="18"/>
                <w:szCs w:val="18"/>
                <w:lang w:val="en-GB" w:eastAsia="en-GB" w:bidi="ar-SY"/>
              </w:rPr>
            </w:pPr>
            <w:r w:rsidRPr="005269E6">
              <w:rPr>
                <w:sz w:val="18"/>
                <w:szCs w:val="18"/>
                <w:rtl/>
                <w:lang w:val="en-GB" w:eastAsia="en-GB" w:bidi="ar-SY"/>
              </w:rPr>
              <w:t>استرداد التكاليف</w:t>
            </w:r>
          </w:p>
        </w:tc>
        <w:tc>
          <w:tcPr>
            <w:tcW w:w="463" w:type="pct"/>
            <w:tcBorders>
              <w:top w:val="nil"/>
              <w:left w:val="nil"/>
              <w:bottom w:val="nil"/>
              <w:right w:val="nil"/>
            </w:tcBorders>
            <w:shd w:val="clear" w:color="auto" w:fill="auto"/>
            <w:noWrap/>
            <w:vAlign w:val="bottom"/>
            <w:hideMark/>
          </w:tcPr>
          <w:p w14:paraId="42317E59"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33 500</w:t>
            </w:r>
          </w:p>
        </w:tc>
        <w:tc>
          <w:tcPr>
            <w:tcW w:w="463" w:type="pct"/>
            <w:gridSpan w:val="2"/>
            <w:tcBorders>
              <w:top w:val="nil"/>
              <w:left w:val="nil"/>
              <w:bottom w:val="nil"/>
              <w:right w:val="nil"/>
            </w:tcBorders>
            <w:shd w:val="clear" w:color="auto" w:fill="auto"/>
            <w:noWrap/>
            <w:vAlign w:val="bottom"/>
            <w:hideMark/>
          </w:tcPr>
          <w:p w14:paraId="7FC8F87E"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5BF1E3A5"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69B7241B"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33 500</w:t>
            </w:r>
          </w:p>
        </w:tc>
        <w:tc>
          <w:tcPr>
            <w:tcW w:w="473" w:type="pct"/>
            <w:tcBorders>
              <w:top w:val="nil"/>
              <w:left w:val="nil"/>
              <w:bottom w:val="nil"/>
              <w:right w:val="nil"/>
            </w:tcBorders>
            <w:shd w:val="clear" w:color="auto" w:fill="auto"/>
            <w:noWrap/>
            <w:vAlign w:val="bottom"/>
            <w:hideMark/>
          </w:tcPr>
          <w:p w14:paraId="31F1009E"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26 148</w:t>
            </w:r>
          </w:p>
        </w:tc>
        <w:tc>
          <w:tcPr>
            <w:tcW w:w="473" w:type="pct"/>
            <w:tcBorders>
              <w:top w:val="nil"/>
              <w:left w:val="nil"/>
              <w:bottom w:val="nil"/>
              <w:right w:val="nil"/>
            </w:tcBorders>
            <w:shd w:val="clear" w:color="auto" w:fill="auto"/>
            <w:noWrap/>
            <w:vAlign w:val="bottom"/>
            <w:hideMark/>
          </w:tcPr>
          <w:p w14:paraId="05B17AF4"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(7 352)</w:t>
            </w:r>
          </w:p>
        </w:tc>
      </w:tr>
      <w:tr w:rsidR="00834B83" w:rsidRPr="005269E6" w14:paraId="37A9977F"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5176EEB3"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lang w:val="en-GB" w:eastAsia="en-GB"/>
              </w:rPr>
              <w:t>الفوائد</w:t>
            </w:r>
          </w:p>
        </w:tc>
        <w:tc>
          <w:tcPr>
            <w:tcW w:w="463" w:type="pct"/>
            <w:tcBorders>
              <w:top w:val="nil"/>
              <w:left w:val="nil"/>
              <w:bottom w:val="nil"/>
              <w:right w:val="nil"/>
            </w:tcBorders>
            <w:shd w:val="clear" w:color="auto" w:fill="auto"/>
            <w:noWrap/>
            <w:vAlign w:val="bottom"/>
            <w:hideMark/>
          </w:tcPr>
          <w:p w14:paraId="5AB02689"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300</w:t>
            </w:r>
          </w:p>
        </w:tc>
        <w:tc>
          <w:tcPr>
            <w:tcW w:w="463" w:type="pct"/>
            <w:gridSpan w:val="2"/>
            <w:tcBorders>
              <w:top w:val="nil"/>
              <w:left w:val="nil"/>
              <w:bottom w:val="nil"/>
              <w:right w:val="nil"/>
            </w:tcBorders>
            <w:shd w:val="clear" w:color="auto" w:fill="auto"/>
            <w:noWrap/>
            <w:vAlign w:val="bottom"/>
            <w:hideMark/>
          </w:tcPr>
          <w:p w14:paraId="32C349FC"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08FA17D3"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7D70B3DE"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300</w:t>
            </w:r>
          </w:p>
        </w:tc>
        <w:tc>
          <w:tcPr>
            <w:tcW w:w="473" w:type="pct"/>
            <w:tcBorders>
              <w:top w:val="nil"/>
              <w:left w:val="nil"/>
              <w:bottom w:val="nil"/>
              <w:right w:val="nil"/>
            </w:tcBorders>
            <w:shd w:val="clear" w:color="auto" w:fill="auto"/>
            <w:noWrap/>
            <w:vAlign w:val="bottom"/>
            <w:hideMark/>
          </w:tcPr>
          <w:p w14:paraId="67B15105"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1 319</w:t>
            </w:r>
          </w:p>
        </w:tc>
        <w:tc>
          <w:tcPr>
            <w:tcW w:w="473" w:type="pct"/>
            <w:tcBorders>
              <w:top w:val="nil"/>
              <w:left w:val="nil"/>
              <w:bottom w:val="nil"/>
              <w:right w:val="nil"/>
            </w:tcBorders>
            <w:shd w:val="clear" w:color="auto" w:fill="auto"/>
            <w:noWrap/>
            <w:vAlign w:val="bottom"/>
            <w:hideMark/>
          </w:tcPr>
          <w:p w14:paraId="187E12F2"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1 019</w:t>
            </w:r>
          </w:p>
        </w:tc>
      </w:tr>
      <w:tr w:rsidR="00834B83" w:rsidRPr="005269E6" w14:paraId="1EDC79EE"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0025A4DA"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lang w:val="en-GB" w:eastAsia="en-GB"/>
              </w:rPr>
              <w:t>إيرادات أخرى</w:t>
            </w:r>
          </w:p>
        </w:tc>
        <w:tc>
          <w:tcPr>
            <w:tcW w:w="463" w:type="pct"/>
            <w:tcBorders>
              <w:top w:val="nil"/>
              <w:left w:val="nil"/>
              <w:bottom w:val="nil"/>
              <w:right w:val="nil"/>
            </w:tcBorders>
            <w:shd w:val="clear" w:color="auto" w:fill="auto"/>
            <w:noWrap/>
            <w:vAlign w:val="bottom"/>
            <w:hideMark/>
          </w:tcPr>
          <w:p w14:paraId="3F31FE23"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200</w:t>
            </w:r>
          </w:p>
        </w:tc>
        <w:tc>
          <w:tcPr>
            <w:tcW w:w="463" w:type="pct"/>
            <w:gridSpan w:val="2"/>
            <w:tcBorders>
              <w:top w:val="nil"/>
              <w:left w:val="nil"/>
              <w:bottom w:val="nil"/>
              <w:right w:val="nil"/>
            </w:tcBorders>
            <w:shd w:val="clear" w:color="auto" w:fill="auto"/>
            <w:noWrap/>
            <w:vAlign w:val="bottom"/>
            <w:hideMark/>
          </w:tcPr>
          <w:p w14:paraId="7BEF4E5E"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269E6995"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26452F4E"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200</w:t>
            </w:r>
          </w:p>
        </w:tc>
        <w:tc>
          <w:tcPr>
            <w:tcW w:w="473" w:type="pct"/>
            <w:tcBorders>
              <w:top w:val="nil"/>
              <w:left w:val="nil"/>
              <w:bottom w:val="nil"/>
              <w:right w:val="nil"/>
            </w:tcBorders>
            <w:shd w:val="clear" w:color="auto" w:fill="auto"/>
            <w:noWrap/>
            <w:vAlign w:val="bottom"/>
            <w:hideMark/>
          </w:tcPr>
          <w:p w14:paraId="47348353"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866</w:t>
            </w:r>
          </w:p>
        </w:tc>
        <w:tc>
          <w:tcPr>
            <w:tcW w:w="473" w:type="pct"/>
            <w:tcBorders>
              <w:top w:val="nil"/>
              <w:left w:val="nil"/>
              <w:bottom w:val="nil"/>
              <w:right w:val="nil"/>
            </w:tcBorders>
            <w:shd w:val="clear" w:color="auto" w:fill="auto"/>
            <w:noWrap/>
            <w:vAlign w:val="bottom"/>
            <w:hideMark/>
          </w:tcPr>
          <w:p w14:paraId="449EE5A3"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666</w:t>
            </w:r>
          </w:p>
        </w:tc>
      </w:tr>
      <w:tr w:rsidR="00834B83" w:rsidRPr="005269E6" w14:paraId="328F5D8B"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0B3E5F87" w14:textId="77777777" w:rsidR="00834B83" w:rsidRPr="005269E6" w:rsidRDefault="00834B83" w:rsidP="005C5B84">
            <w:pPr>
              <w:spacing w:before="40" w:after="40" w:line="240" w:lineRule="exact"/>
              <w:rPr>
                <w:sz w:val="18"/>
                <w:szCs w:val="18"/>
                <w:lang w:val="en-GB" w:eastAsia="en-GB" w:bidi="ar-SY"/>
              </w:rPr>
            </w:pPr>
            <w:r w:rsidRPr="005269E6">
              <w:rPr>
                <w:sz w:val="18"/>
                <w:szCs w:val="18"/>
                <w:rtl/>
                <w:lang w:val="en-GB" w:eastAsia="en-GB" w:bidi="ar-SY"/>
              </w:rPr>
              <w:t>الأنشطة المؤجلة (الاعتمادات من السنوات السابقة)</w:t>
            </w:r>
          </w:p>
        </w:tc>
        <w:tc>
          <w:tcPr>
            <w:tcW w:w="463" w:type="pct"/>
            <w:tcBorders>
              <w:top w:val="nil"/>
              <w:left w:val="nil"/>
              <w:bottom w:val="nil"/>
              <w:right w:val="nil"/>
            </w:tcBorders>
            <w:shd w:val="clear" w:color="auto" w:fill="auto"/>
            <w:noWrap/>
            <w:vAlign w:val="bottom"/>
            <w:hideMark/>
          </w:tcPr>
          <w:p w14:paraId="72E37D21"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1 469</w:t>
            </w:r>
          </w:p>
        </w:tc>
        <w:tc>
          <w:tcPr>
            <w:tcW w:w="463" w:type="pct"/>
            <w:gridSpan w:val="2"/>
            <w:tcBorders>
              <w:top w:val="nil"/>
              <w:left w:val="nil"/>
              <w:bottom w:val="nil"/>
              <w:right w:val="nil"/>
            </w:tcBorders>
            <w:shd w:val="clear" w:color="auto" w:fill="auto"/>
            <w:noWrap/>
            <w:vAlign w:val="bottom"/>
            <w:hideMark/>
          </w:tcPr>
          <w:p w14:paraId="1C4458F2"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1 640</w:t>
            </w:r>
          </w:p>
        </w:tc>
        <w:tc>
          <w:tcPr>
            <w:tcW w:w="463" w:type="pct"/>
            <w:tcBorders>
              <w:top w:val="nil"/>
              <w:left w:val="nil"/>
              <w:bottom w:val="nil"/>
              <w:right w:val="nil"/>
            </w:tcBorders>
            <w:shd w:val="clear" w:color="auto" w:fill="auto"/>
            <w:noWrap/>
            <w:vAlign w:val="bottom"/>
            <w:hideMark/>
          </w:tcPr>
          <w:p w14:paraId="0514FC6E"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1124CA80"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3 109</w:t>
            </w:r>
          </w:p>
        </w:tc>
        <w:tc>
          <w:tcPr>
            <w:tcW w:w="473" w:type="pct"/>
            <w:tcBorders>
              <w:top w:val="nil"/>
              <w:left w:val="nil"/>
              <w:bottom w:val="nil"/>
              <w:right w:val="nil"/>
            </w:tcBorders>
            <w:shd w:val="clear" w:color="auto" w:fill="auto"/>
            <w:noWrap/>
            <w:vAlign w:val="bottom"/>
            <w:hideMark/>
          </w:tcPr>
          <w:p w14:paraId="4B794F5D"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2 490</w:t>
            </w:r>
          </w:p>
        </w:tc>
        <w:tc>
          <w:tcPr>
            <w:tcW w:w="473" w:type="pct"/>
            <w:tcBorders>
              <w:top w:val="nil"/>
              <w:left w:val="nil"/>
              <w:bottom w:val="nil"/>
              <w:right w:val="nil"/>
            </w:tcBorders>
            <w:shd w:val="clear" w:color="auto" w:fill="auto"/>
            <w:noWrap/>
            <w:vAlign w:val="bottom"/>
            <w:hideMark/>
          </w:tcPr>
          <w:p w14:paraId="07E68BD7"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(619)</w:t>
            </w:r>
          </w:p>
        </w:tc>
      </w:tr>
      <w:tr w:rsidR="00834B83" w:rsidRPr="005269E6" w14:paraId="491FA383"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41047E4E"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lang w:val="en-GB" w:eastAsia="en-GB"/>
              </w:rPr>
              <w:t>صندوق-تكنولوجيا المعلومات والاتصالات والمباني</w:t>
            </w:r>
          </w:p>
        </w:tc>
        <w:tc>
          <w:tcPr>
            <w:tcW w:w="463" w:type="pct"/>
            <w:tcBorders>
              <w:top w:val="nil"/>
              <w:left w:val="nil"/>
              <w:bottom w:val="nil"/>
              <w:right w:val="nil"/>
            </w:tcBorders>
            <w:shd w:val="clear" w:color="auto" w:fill="auto"/>
            <w:noWrap/>
            <w:vAlign w:val="bottom"/>
            <w:hideMark/>
          </w:tcPr>
          <w:p w14:paraId="646E43E3"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(1 250)</w:t>
            </w:r>
          </w:p>
        </w:tc>
        <w:tc>
          <w:tcPr>
            <w:tcW w:w="463" w:type="pct"/>
            <w:gridSpan w:val="2"/>
            <w:tcBorders>
              <w:top w:val="nil"/>
              <w:left w:val="nil"/>
              <w:bottom w:val="nil"/>
              <w:right w:val="nil"/>
            </w:tcBorders>
            <w:shd w:val="clear" w:color="auto" w:fill="auto"/>
            <w:noWrap/>
            <w:vAlign w:val="bottom"/>
            <w:hideMark/>
          </w:tcPr>
          <w:p w14:paraId="752F353A"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2F19E323"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0F2B934E"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(1 250)</w:t>
            </w:r>
          </w:p>
        </w:tc>
        <w:tc>
          <w:tcPr>
            <w:tcW w:w="473" w:type="pct"/>
            <w:tcBorders>
              <w:top w:val="nil"/>
              <w:left w:val="nil"/>
              <w:bottom w:val="nil"/>
              <w:right w:val="nil"/>
            </w:tcBorders>
            <w:shd w:val="clear" w:color="auto" w:fill="auto"/>
            <w:noWrap/>
            <w:vAlign w:val="bottom"/>
            <w:hideMark/>
          </w:tcPr>
          <w:p w14:paraId="15BEC5CB"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(1 250)</w:t>
            </w:r>
          </w:p>
        </w:tc>
        <w:tc>
          <w:tcPr>
            <w:tcW w:w="473" w:type="pct"/>
            <w:tcBorders>
              <w:top w:val="nil"/>
              <w:left w:val="nil"/>
              <w:bottom w:val="nil"/>
              <w:right w:val="nil"/>
            </w:tcBorders>
            <w:shd w:val="clear" w:color="auto" w:fill="auto"/>
            <w:noWrap/>
            <w:vAlign w:val="bottom"/>
            <w:hideMark/>
          </w:tcPr>
          <w:p w14:paraId="52B6C7E6"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w:t>
            </w:r>
          </w:p>
        </w:tc>
      </w:tr>
      <w:tr w:rsidR="00834B83" w:rsidRPr="005269E6" w14:paraId="3B779EBD"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5DD0B413" w14:textId="77777777" w:rsidR="00834B83" w:rsidRPr="005269E6" w:rsidRDefault="00834B83" w:rsidP="005C5B84">
            <w:pPr>
              <w:spacing w:before="40" w:after="40" w:line="240" w:lineRule="exact"/>
              <w:rPr>
                <w:sz w:val="18"/>
                <w:szCs w:val="18"/>
                <w:lang w:val="en-GB" w:eastAsia="en-GB" w:bidi="ar-SY"/>
              </w:rPr>
            </w:pPr>
            <w:r w:rsidRPr="005269E6">
              <w:rPr>
                <w:sz w:val="18"/>
                <w:szCs w:val="18"/>
                <w:rtl/>
                <w:lang w:val="en-GB" w:eastAsia="en-GB" w:bidi="ar-SY"/>
              </w:rPr>
              <w:t>التوفير من تنفيذ الميزانية</w:t>
            </w:r>
          </w:p>
        </w:tc>
        <w:tc>
          <w:tcPr>
            <w:tcW w:w="463" w:type="pct"/>
            <w:tcBorders>
              <w:top w:val="nil"/>
              <w:left w:val="nil"/>
              <w:bottom w:val="nil"/>
              <w:right w:val="nil"/>
            </w:tcBorders>
            <w:shd w:val="clear" w:color="auto" w:fill="auto"/>
            <w:noWrap/>
            <w:vAlign w:val="bottom"/>
            <w:hideMark/>
          </w:tcPr>
          <w:p w14:paraId="2A9934CA"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2 032</w:t>
            </w:r>
          </w:p>
        </w:tc>
        <w:tc>
          <w:tcPr>
            <w:tcW w:w="463" w:type="pct"/>
            <w:gridSpan w:val="2"/>
            <w:tcBorders>
              <w:top w:val="nil"/>
              <w:left w:val="nil"/>
              <w:bottom w:val="nil"/>
              <w:right w:val="nil"/>
            </w:tcBorders>
            <w:shd w:val="clear" w:color="auto" w:fill="auto"/>
            <w:noWrap/>
            <w:vAlign w:val="bottom"/>
            <w:hideMark/>
          </w:tcPr>
          <w:p w14:paraId="528AF4D6"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37DF8C36"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1612BEA0"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2 032</w:t>
            </w:r>
          </w:p>
        </w:tc>
        <w:tc>
          <w:tcPr>
            <w:tcW w:w="473" w:type="pct"/>
            <w:tcBorders>
              <w:top w:val="nil"/>
              <w:left w:val="nil"/>
              <w:bottom w:val="nil"/>
              <w:right w:val="nil"/>
            </w:tcBorders>
            <w:shd w:val="clear" w:color="auto" w:fill="auto"/>
            <w:noWrap/>
            <w:vAlign w:val="bottom"/>
            <w:hideMark/>
          </w:tcPr>
          <w:p w14:paraId="6827ACC8"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w:t>
            </w:r>
          </w:p>
        </w:tc>
        <w:tc>
          <w:tcPr>
            <w:tcW w:w="473" w:type="pct"/>
            <w:tcBorders>
              <w:top w:val="nil"/>
              <w:left w:val="nil"/>
              <w:bottom w:val="nil"/>
              <w:right w:val="nil"/>
            </w:tcBorders>
            <w:shd w:val="clear" w:color="auto" w:fill="auto"/>
            <w:noWrap/>
            <w:vAlign w:val="bottom"/>
            <w:hideMark/>
          </w:tcPr>
          <w:p w14:paraId="551C5863"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(2 032)</w:t>
            </w:r>
          </w:p>
        </w:tc>
      </w:tr>
      <w:tr w:rsidR="00834B83" w:rsidRPr="005269E6" w14:paraId="153A36AF" w14:textId="77777777" w:rsidTr="005C5B84">
        <w:trPr>
          <w:jc w:val="center"/>
        </w:trPr>
        <w:tc>
          <w:tcPr>
            <w:tcW w:w="2200" w:type="pct"/>
            <w:gridSpan w:val="2"/>
            <w:tcBorders>
              <w:top w:val="nil"/>
              <w:left w:val="nil"/>
              <w:bottom w:val="nil"/>
              <w:right w:val="nil"/>
            </w:tcBorders>
            <w:shd w:val="clear" w:color="auto" w:fill="auto"/>
            <w:noWrap/>
            <w:vAlign w:val="bottom"/>
            <w:hideMark/>
          </w:tcPr>
          <w:p w14:paraId="77118B27" w14:textId="77777777" w:rsidR="00834B83" w:rsidRPr="005269E6" w:rsidRDefault="00834B83" w:rsidP="005C5B84">
            <w:pPr>
              <w:pStyle w:val="Tabletexte"/>
              <w:spacing w:before="40" w:after="40" w:line="240" w:lineRule="exact"/>
              <w:rPr>
                <w:sz w:val="18"/>
                <w:szCs w:val="18"/>
                <w:lang w:val="en-GB" w:eastAsia="en-GB"/>
              </w:rPr>
            </w:pPr>
          </w:p>
        </w:tc>
        <w:tc>
          <w:tcPr>
            <w:tcW w:w="463" w:type="pct"/>
            <w:tcBorders>
              <w:top w:val="nil"/>
              <w:left w:val="nil"/>
              <w:bottom w:val="nil"/>
              <w:right w:val="nil"/>
            </w:tcBorders>
            <w:shd w:val="clear" w:color="auto" w:fill="auto"/>
            <w:noWrap/>
            <w:vAlign w:val="bottom"/>
            <w:hideMark/>
          </w:tcPr>
          <w:p w14:paraId="771456D8"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gridSpan w:val="2"/>
            <w:tcBorders>
              <w:top w:val="nil"/>
              <w:left w:val="nil"/>
              <w:bottom w:val="nil"/>
              <w:right w:val="nil"/>
            </w:tcBorders>
            <w:shd w:val="clear" w:color="auto" w:fill="auto"/>
            <w:noWrap/>
            <w:vAlign w:val="bottom"/>
            <w:hideMark/>
          </w:tcPr>
          <w:p w14:paraId="62548A16"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6042644D"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6E0ED6E8"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bottom"/>
            <w:hideMark/>
          </w:tcPr>
          <w:p w14:paraId="4A576290"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bottom"/>
            <w:hideMark/>
          </w:tcPr>
          <w:p w14:paraId="156D17E4"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0239B95F" w14:textId="77777777" w:rsidTr="005C5B84">
        <w:trPr>
          <w:jc w:val="center"/>
        </w:trPr>
        <w:tc>
          <w:tcPr>
            <w:tcW w:w="2200" w:type="pct"/>
            <w:gridSpan w:val="2"/>
            <w:tcBorders>
              <w:top w:val="nil"/>
              <w:left w:val="nil"/>
              <w:bottom w:val="nil"/>
              <w:right w:val="nil"/>
            </w:tcBorders>
            <w:shd w:val="clear" w:color="auto" w:fill="auto"/>
            <w:noWrap/>
            <w:vAlign w:val="bottom"/>
            <w:hideMark/>
          </w:tcPr>
          <w:p w14:paraId="75509B88" w14:textId="77777777" w:rsidR="00834B83" w:rsidRPr="005269E6" w:rsidRDefault="00834B83" w:rsidP="005C5B84">
            <w:pPr>
              <w:pStyle w:val="Tabletexte"/>
              <w:spacing w:before="40" w:after="40" w:line="240" w:lineRule="exact"/>
              <w:rPr>
                <w:b/>
                <w:bCs/>
                <w:sz w:val="18"/>
                <w:szCs w:val="18"/>
                <w:lang w:val="en-GB" w:eastAsia="en-GB"/>
              </w:rPr>
            </w:pPr>
            <w:r w:rsidRPr="005269E6">
              <w:rPr>
                <w:b/>
                <w:bCs/>
                <w:sz w:val="18"/>
                <w:szCs w:val="18"/>
                <w:rtl/>
                <w:lang w:val="en-GB" w:eastAsia="en-GB"/>
              </w:rPr>
              <w:t>مجمل</w:t>
            </w:r>
            <w:r w:rsidRPr="005269E6">
              <w:rPr>
                <w:b/>
                <w:bCs/>
                <w:sz w:val="18"/>
                <w:szCs w:val="18"/>
                <w:rtl/>
                <w:lang w:val="en-GB" w:eastAsia="en-GB" w:bidi="ar-SA"/>
              </w:rPr>
              <w:t xml:space="preserve"> الإيرادات</w:t>
            </w:r>
          </w:p>
        </w:tc>
        <w:tc>
          <w:tcPr>
            <w:tcW w:w="463" w:type="pct"/>
            <w:tcBorders>
              <w:top w:val="nil"/>
              <w:left w:val="nil"/>
              <w:bottom w:val="nil"/>
              <w:right w:val="nil"/>
            </w:tcBorders>
            <w:shd w:val="clear" w:color="auto" w:fill="auto"/>
            <w:noWrap/>
            <w:vAlign w:val="bottom"/>
            <w:hideMark/>
          </w:tcPr>
          <w:p w14:paraId="306BA6F2"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161 961</w:t>
            </w:r>
          </w:p>
        </w:tc>
        <w:tc>
          <w:tcPr>
            <w:tcW w:w="463" w:type="pct"/>
            <w:gridSpan w:val="2"/>
            <w:tcBorders>
              <w:top w:val="nil"/>
              <w:left w:val="nil"/>
              <w:bottom w:val="nil"/>
              <w:right w:val="nil"/>
            </w:tcBorders>
            <w:shd w:val="clear" w:color="auto" w:fill="auto"/>
            <w:noWrap/>
            <w:vAlign w:val="bottom"/>
            <w:hideMark/>
          </w:tcPr>
          <w:p w14:paraId="2CF0532E"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1 640</w:t>
            </w:r>
          </w:p>
        </w:tc>
        <w:tc>
          <w:tcPr>
            <w:tcW w:w="463" w:type="pct"/>
            <w:tcBorders>
              <w:top w:val="nil"/>
              <w:left w:val="nil"/>
              <w:bottom w:val="nil"/>
              <w:right w:val="nil"/>
            </w:tcBorders>
            <w:shd w:val="clear" w:color="auto" w:fill="auto"/>
            <w:noWrap/>
            <w:vAlign w:val="bottom"/>
            <w:hideMark/>
          </w:tcPr>
          <w:p w14:paraId="1AB3C735"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4" w:type="pct"/>
            <w:tcBorders>
              <w:top w:val="nil"/>
              <w:left w:val="nil"/>
              <w:bottom w:val="nil"/>
              <w:right w:val="nil"/>
            </w:tcBorders>
            <w:shd w:val="clear" w:color="auto" w:fill="auto"/>
            <w:noWrap/>
            <w:vAlign w:val="bottom"/>
            <w:hideMark/>
          </w:tcPr>
          <w:p w14:paraId="7DEDF845"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163 601</w:t>
            </w:r>
          </w:p>
        </w:tc>
        <w:tc>
          <w:tcPr>
            <w:tcW w:w="473" w:type="pct"/>
            <w:tcBorders>
              <w:top w:val="nil"/>
              <w:left w:val="nil"/>
              <w:bottom w:val="nil"/>
              <w:right w:val="nil"/>
            </w:tcBorders>
            <w:shd w:val="clear" w:color="auto" w:fill="auto"/>
            <w:noWrap/>
            <w:vAlign w:val="bottom"/>
            <w:hideMark/>
          </w:tcPr>
          <w:p w14:paraId="2D5A5BDD"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157 186</w:t>
            </w:r>
          </w:p>
        </w:tc>
        <w:tc>
          <w:tcPr>
            <w:tcW w:w="473" w:type="pct"/>
            <w:tcBorders>
              <w:top w:val="nil"/>
              <w:left w:val="nil"/>
              <w:bottom w:val="nil"/>
              <w:right w:val="nil"/>
            </w:tcBorders>
            <w:shd w:val="clear" w:color="auto" w:fill="auto"/>
            <w:noWrap/>
            <w:vAlign w:val="bottom"/>
            <w:hideMark/>
          </w:tcPr>
          <w:p w14:paraId="7E82FD3B"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(6 415)</w:t>
            </w:r>
          </w:p>
        </w:tc>
      </w:tr>
      <w:tr w:rsidR="00834B83" w:rsidRPr="005269E6" w14:paraId="3A8BF952"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7B892B94" w14:textId="77777777" w:rsidR="00834B83" w:rsidRPr="005269E6" w:rsidRDefault="00834B83" w:rsidP="005C5B84">
            <w:pPr>
              <w:pStyle w:val="Tabletexte"/>
              <w:spacing w:before="40" w:after="40" w:line="240" w:lineRule="exact"/>
              <w:rPr>
                <w:b/>
                <w:bCs/>
                <w:sz w:val="18"/>
                <w:szCs w:val="18"/>
                <w:lang w:val="en-GB" w:eastAsia="en-GB"/>
              </w:rPr>
            </w:pPr>
          </w:p>
        </w:tc>
        <w:tc>
          <w:tcPr>
            <w:tcW w:w="463" w:type="pct"/>
            <w:tcBorders>
              <w:top w:val="nil"/>
              <w:left w:val="nil"/>
              <w:bottom w:val="nil"/>
              <w:right w:val="nil"/>
            </w:tcBorders>
            <w:shd w:val="clear" w:color="auto" w:fill="auto"/>
            <w:noWrap/>
            <w:vAlign w:val="bottom"/>
            <w:hideMark/>
          </w:tcPr>
          <w:p w14:paraId="5859C434"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3" w:type="pct"/>
            <w:gridSpan w:val="2"/>
            <w:tcBorders>
              <w:top w:val="nil"/>
              <w:left w:val="nil"/>
              <w:bottom w:val="nil"/>
              <w:right w:val="nil"/>
            </w:tcBorders>
            <w:shd w:val="clear" w:color="auto" w:fill="auto"/>
            <w:noWrap/>
            <w:vAlign w:val="bottom"/>
            <w:hideMark/>
          </w:tcPr>
          <w:p w14:paraId="06C8DDFA"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3" w:type="pct"/>
            <w:tcBorders>
              <w:top w:val="nil"/>
              <w:left w:val="nil"/>
              <w:bottom w:val="nil"/>
              <w:right w:val="nil"/>
            </w:tcBorders>
            <w:shd w:val="clear" w:color="auto" w:fill="auto"/>
            <w:noWrap/>
            <w:vAlign w:val="bottom"/>
            <w:hideMark/>
          </w:tcPr>
          <w:p w14:paraId="62F8868D"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4" w:type="pct"/>
            <w:tcBorders>
              <w:top w:val="nil"/>
              <w:left w:val="nil"/>
              <w:bottom w:val="nil"/>
              <w:right w:val="nil"/>
            </w:tcBorders>
            <w:shd w:val="clear" w:color="auto" w:fill="auto"/>
            <w:noWrap/>
            <w:vAlign w:val="bottom"/>
            <w:hideMark/>
          </w:tcPr>
          <w:p w14:paraId="734EBB0B"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73" w:type="pct"/>
            <w:tcBorders>
              <w:top w:val="nil"/>
              <w:left w:val="nil"/>
              <w:bottom w:val="nil"/>
              <w:right w:val="nil"/>
            </w:tcBorders>
            <w:shd w:val="clear" w:color="auto" w:fill="auto"/>
            <w:noWrap/>
            <w:vAlign w:val="bottom"/>
            <w:hideMark/>
          </w:tcPr>
          <w:p w14:paraId="2E6A7D73"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73" w:type="pct"/>
            <w:tcBorders>
              <w:top w:val="nil"/>
              <w:left w:val="nil"/>
              <w:bottom w:val="nil"/>
              <w:right w:val="nil"/>
            </w:tcBorders>
            <w:shd w:val="clear" w:color="auto" w:fill="auto"/>
            <w:noWrap/>
            <w:vAlign w:val="bottom"/>
            <w:hideMark/>
          </w:tcPr>
          <w:p w14:paraId="465B6058" w14:textId="77777777" w:rsidR="00834B83" w:rsidRPr="005269E6" w:rsidRDefault="00834B83" w:rsidP="0031505F">
            <w:pPr>
              <w:pStyle w:val="Tabletexte"/>
              <w:spacing w:before="40" w:after="40" w:line="240" w:lineRule="exact"/>
              <w:jc w:val="left"/>
              <w:rPr>
                <w:b/>
                <w:bCs/>
                <w:sz w:val="18"/>
                <w:szCs w:val="18"/>
                <w:lang w:val="en-GB" w:eastAsia="en-GB"/>
              </w:rPr>
            </w:pPr>
          </w:p>
        </w:tc>
      </w:tr>
      <w:tr w:rsidR="00834B83" w:rsidRPr="005269E6" w14:paraId="5A6447C2" w14:textId="77777777" w:rsidTr="005C5B84">
        <w:trPr>
          <w:jc w:val="center"/>
        </w:trPr>
        <w:tc>
          <w:tcPr>
            <w:tcW w:w="2200" w:type="pct"/>
            <w:gridSpan w:val="2"/>
            <w:tcBorders>
              <w:top w:val="nil"/>
              <w:left w:val="nil"/>
              <w:bottom w:val="nil"/>
              <w:right w:val="nil"/>
            </w:tcBorders>
            <w:shd w:val="clear" w:color="auto" w:fill="auto"/>
            <w:noWrap/>
            <w:vAlign w:val="bottom"/>
            <w:hideMark/>
          </w:tcPr>
          <w:p w14:paraId="26E8811A" w14:textId="77777777" w:rsidR="00834B83" w:rsidRPr="005269E6" w:rsidRDefault="00834B83" w:rsidP="005C5B84">
            <w:pPr>
              <w:pStyle w:val="Tabletexte"/>
              <w:spacing w:before="40" w:after="40" w:line="240" w:lineRule="exact"/>
              <w:rPr>
                <w:b/>
                <w:bCs/>
                <w:sz w:val="18"/>
                <w:szCs w:val="18"/>
                <w:lang w:val="en-GB" w:eastAsia="en-GB"/>
              </w:rPr>
            </w:pPr>
            <w:r w:rsidRPr="005269E6">
              <w:rPr>
                <w:b/>
                <w:bCs/>
                <w:sz w:val="18"/>
                <w:szCs w:val="18"/>
                <w:rtl/>
                <w:lang w:val="en-GB" w:eastAsia="en-GB"/>
              </w:rPr>
              <w:t>النفقات</w:t>
            </w:r>
          </w:p>
        </w:tc>
        <w:tc>
          <w:tcPr>
            <w:tcW w:w="463" w:type="pct"/>
            <w:tcBorders>
              <w:top w:val="nil"/>
              <w:left w:val="nil"/>
              <w:bottom w:val="nil"/>
              <w:right w:val="nil"/>
            </w:tcBorders>
            <w:shd w:val="clear" w:color="auto" w:fill="auto"/>
            <w:noWrap/>
            <w:vAlign w:val="center"/>
            <w:hideMark/>
          </w:tcPr>
          <w:p w14:paraId="40AD92C5"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3" w:type="pct"/>
            <w:gridSpan w:val="2"/>
            <w:tcBorders>
              <w:top w:val="nil"/>
              <w:left w:val="nil"/>
              <w:bottom w:val="nil"/>
              <w:right w:val="nil"/>
            </w:tcBorders>
            <w:shd w:val="clear" w:color="auto" w:fill="auto"/>
            <w:noWrap/>
            <w:vAlign w:val="center"/>
            <w:hideMark/>
          </w:tcPr>
          <w:p w14:paraId="5DE45E9D"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3" w:type="pct"/>
            <w:tcBorders>
              <w:top w:val="nil"/>
              <w:left w:val="nil"/>
              <w:bottom w:val="nil"/>
              <w:right w:val="nil"/>
            </w:tcBorders>
            <w:shd w:val="clear" w:color="auto" w:fill="auto"/>
            <w:noWrap/>
            <w:vAlign w:val="center"/>
            <w:hideMark/>
          </w:tcPr>
          <w:p w14:paraId="1D0E9F14"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4" w:type="pct"/>
            <w:tcBorders>
              <w:top w:val="nil"/>
              <w:left w:val="nil"/>
              <w:bottom w:val="nil"/>
              <w:right w:val="nil"/>
            </w:tcBorders>
            <w:shd w:val="clear" w:color="auto" w:fill="auto"/>
            <w:noWrap/>
            <w:vAlign w:val="center"/>
            <w:hideMark/>
          </w:tcPr>
          <w:p w14:paraId="54F98746"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73" w:type="pct"/>
            <w:tcBorders>
              <w:top w:val="nil"/>
              <w:left w:val="nil"/>
              <w:bottom w:val="nil"/>
              <w:right w:val="nil"/>
            </w:tcBorders>
            <w:shd w:val="clear" w:color="auto" w:fill="auto"/>
            <w:noWrap/>
            <w:vAlign w:val="center"/>
            <w:hideMark/>
          </w:tcPr>
          <w:p w14:paraId="03C76D70"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73" w:type="pct"/>
            <w:tcBorders>
              <w:top w:val="nil"/>
              <w:left w:val="nil"/>
              <w:bottom w:val="nil"/>
              <w:right w:val="nil"/>
            </w:tcBorders>
            <w:shd w:val="clear" w:color="auto" w:fill="auto"/>
            <w:noWrap/>
            <w:vAlign w:val="center"/>
            <w:hideMark/>
          </w:tcPr>
          <w:p w14:paraId="14BE0F79" w14:textId="77777777" w:rsidR="00834B83" w:rsidRPr="005269E6" w:rsidRDefault="00834B83" w:rsidP="0031505F">
            <w:pPr>
              <w:pStyle w:val="Tabletexte"/>
              <w:spacing w:before="40" w:after="40" w:line="240" w:lineRule="exact"/>
              <w:jc w:val="left"/>
              <w:rPr>
                <w:b/>
                <w:bCs/>
                <w:sz w:val="18"/>
                <w:szCs w:val="18"/>
                <w:lang w:val="en-GB" w:eastAsia="en-GB"/>
              </w:rPr>
            </w:pPr>
          </w:p>
        </w:tc>
      </w:tr>
      <w:tr w:rsidR="00834B83" w:rsidRPr="005269E6" w14:paraId="288CE60E"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5421BD29" w14:textId="77777777" w:rsidR="00834B83" w:rsidRPr="005269E6" w:rsidRDefault="00834B83" w:rsidP="005C5B84">
            <w:pPr>
              <w:pStyle w:val="Tabletexte"/>
              <w:spacing w:before="40" w:after="40" w:line="240" w:lineRule="exact"/>
              <w:rPr>
                <w:sz w:val="18"/>
                <w:szCs w:val="18"/>
                <w:lang w:val="en-GB" w:eastAsia="en-GB"/>
              </w:rPr>
            </w:pPr>
          </w:p>
        </w:tc>
        <w:tc>
          <w:tcPr>
            <w:tcW w:w="463" w:type="pct"/>
            <w:tcBorders>
              <w:top w:val="nil"/>
              <w:left w:val="nil"/>
              <w:bottom w:val="nil"/>
              <w:right w:val="nil"/>
            </w:tcBorders>
            <w:shd w:val="clear" w:color="auto" w:fill="auto"/>
            <w:noWrap/>
            <w:vAlign w:val="center"/>
            <w:hideMark/>
          </w:tcPr>
          <w:p w14:paraId="2D62A603"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gridSpan w:val="2"/>
            <w:tcBorders>
              <w:top w:val="nil"/>
              <w:left w:val="nil"/>
              <w:bottom w:val="nil"/>
              <w:right w:val="nil"/>
            </w:tcBorders>
            <w:shd w:val="clear" w:color="auto" w:fill="auto"/>
            <w:noWrap/>
            <w:vAlign w:val="center"/>
            <w:hideMark/>
          </w:tcPr>
          <w:p w14:paraId="3C878BF2"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center"/>
            <w:hideMark/>
          </w:tcPr>
          <w:p w14:paraId="37108800"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center"/>
            <w:hideMark/>
          </w:tcPr>
          <w:p w14:paraId="103E2D9D"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center"/>
            <w:hideMark/>
          </w:tcPr>
          <w:p w14:paraId="3C6889B2"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center"/>
            <w:hideMark/>
          </w:tcPr>
          <w:p w14:paraId="11774B35"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130E98C4"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40626A99"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lang w:val="en-GB" w:eastAsia="en-GB"/>
              </w:rPr>
              <w:t>الأمانة العامة</w:t>
            </w:r>
          </w:p>
        </w:tc>
        <w:tc>
          <w:tcPr>
            <w:tcW w:w="463" w:type="pct"/>
            <w:tcBorders>
              <w:top w:val="nil"/>
              <w:left w:val="nil"/>
              <w:bottom w:val="nil"/>
              <w:right w:val="nil"/>
            </w:tcBorders>
            <w:shd w:val="clear" w:color="auto" w:fill="auto"/>
            <w:noWrap/>
            <w:vAlign w:val="bottom"/>
            <w:hideMark/>
          </w:tcPr>
          <w:p w14:paraId="1AA03C50"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91 816</w:t>
            </w:r>
          </w:p>
        </w:tc>
        <w:tc>
          <w:tcPr>
            <w:tcW w:w="463" w:type="pct"/>
            <w:gridSpan w:val="2"/>
            <w:tcBorders>
              <w:top w:val="nil"/>
              <w:left w:val="nil"/>
              <w:bottom w:val="nil"/>
              <w:right w:val="nil"/>
            </w:tcBorders>
            <w:shd w:val="clear" w:color="auto" w:fill="auto"/>
            <w:noWrap/>
            <w:vAlign w:val="bottom"/>
            <w:hideMark/>
          </w:tcPr>
          <w:p w14:paraId="10367C8B"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584</w:t>
            </w:r>
          </w:p>
        </w:tc>
        <w:tc>
          <w:tcPr>
            <w:tcW w:w="463" w:type="pct"/>
            <w:tcBorders>
              <w:top w:val="nil"/>
              <w:left w:val="nil"/>
              <w:bottom w:val="nil"/>
              <w:right w:val="nil"/>
            </w:tcBorders>
            <w:shd w:val="clear" w:color="auto" w:fill="auto"/>
            <w:noWrap/>
            <w:vAlign w:val="bottom"/>
            <w:hideMark/>
          </w:tcPr>
          <w:p w14:paraId="15548BCF"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67843739"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92 400</w:t>
            </w:r>
          </w:p>
        </w:tc>
        <w:tc>
          <w:tcPr>
            <w:tcW w:w="473" w:type="pct"/>
            <w:tcBorders>
              <w:top w:val="nil"/>
              <w:left w:val="nil"/>
              <w:bottom w:val="nil"/>
              <w:right w:val="nil"/>
            </w:tcBorders>
            <w:shd w:val="clear" w:color="auto" w:fill="auto"/>
            <w:noWrap/>
            <w:vAlign w:val="bottom"/>
            <w:hideMark/>
          </w:tcPr>
          <w:p w14:paraId="56477A4B"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91 299</w:t>
            </w:r>
          </w:p>
        </w:tc>
        <w:tc>
          <w:tcPr>
            <w:tcW w:w="473" w:type="pct"/>
            <w:tcBorders>
              <w:top w:val="nil"/>
              <w:left w:val="nil"/>
              <w:bottom w:val="nil"/>
              <w:right w:val="nil"/>
            </w:tcBorders>
            <w:shd w:val="clear" w:color="auto" w:fill="auto"/>
            <w:noWrap/>
            <w:vAlign w:val="bottom"/>
            <w:hideMark/>
          </w:tcPr>
          <w:p w14:paraId="0F2B815D"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1 101</w:t>
            </w:r>
          </w:p>
        </w:tc>
      </w:tr>
      <w:tr w:rsidR="00834B83" w:rsidRPr="005269E6" w14:paraId="679CE857"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320751B9"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lang w:val="en-GB" w:eastAsia="en-GB"/>
              </w:rPr>
              <w:t>قطاع الاتصالات الراديوية</w:t>
            </w:r>
          </w:p>
        </w:tc>
        <w:tc>
          <w:tcPr>
            <w:tcW w:w="463" w:type="pct"/>
            <w:tcBorders>
              <w:top w:val="nil"/>
              <w:left w:val="nil"/>
              <w:bottom w:val="nil"/>
              <w:right w:val="nil"/>
            </w:tcBorders>
            <w:shd w:val="clear" w:color="auto" w:fill="auto"/>
            <w:noWrap/>
            <w:vAlign w:val="bottom"/>
            <w:hideMark/>
          </w:tcPr>
          <w:p w14:paraId="5DD6FABA"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28 883</w:t>
            </w:r>
          </w:p>
        </w:tc>
        <w:tc>
          <w:tcPr>
            <w:tcW w:w="463" w:type="pct"/>
            <w:gridSpan w:val="2"/>
            <w:tcBorders>
              <w:top w:val="nil"/>
              <w:left w:val="nil"/>
              <w:bottom w:val="nil"/>
              <w:right w:val="nil"/>
            </w:tcBorders>
            <w:shd w:val="clear" w:color="auto" w:fill="auto"/>
            <w:noWrap/>
            <w:vAlign w:val="bottom"/>
            <w:hideMark/>
          </w:tcPr>
          <w:p w14:paraId="1B5D8737"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6E19140E"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53235D70"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28 883</w:t>
            </w:r>
          </w:p>
        </w:tc>
        <w:tc>
          <w:tcPr>
            <w:tcW w:w="473" w:type="pct"/>
            <w:tcBorders>
              <w:top w:val="nil"/>
              <w:left w:val="nil"/>
              <w:bottom w:val="nil"/>
              <w:right w:val="nil"/>
            </w:tcBorders>
            <w:shd w:val="clear" w:color="auto" w:fill="auto"/>
            <w:noWrap/>
            <w:vAlign w:val="bottom"/>
            <w:hideMark/>
          </w:tcPr>
          <w:p w14:paraId="0EC47160"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28 658</w:t>
            </w:r>
          </w:p>
        </w:tc>
        <w:tc>
          <w:tcPr>
            <w:tcW w:w="473" w:type="pct"/>
            <w:tcBorders>
              <w:top w:val="nil"/>
              <w:left w:val="nil"/>
              <w:bottom w:val="nil"/>
              <w:right w:val="nil"/>
            </w:tcBorders>
            <w:shd w:val="clear" w:color="auto" w:fill="auto"/>
            <w:noWrap/>
            <w:vAlign w:val="bottom"/>
            <w:hideMark/>
          </w:tcPr>
          <w:p w14:paraId="213E21A1"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225</w:t>
            </w:r>
          </w:p>
        </w:tc>
      </w:tr>
      <w:tr w:rsidR="00834B83" w:rsidRPr="005269E6" w14:paraId="2814888F"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098A3D0E"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lang w:val="en-GB" w:eastAsia="en-GB" w:bidi="ar-SA"/>
              </w:rPr>
              <w:t>قطاع تقييس الاتصالات</w:t>
            </w:r>
          </w:p>
        </w:tc>
        <w:tc>
          <w:tcPr>
            <w:tcW w:w="463" w:type="pct"/>
            <w:tcBorders>
              <w:top w:val="nil"/>
              <w:left w:val="nil"/>
              <w:bottom w:val="nil"/>
              <w:right w:val="nil"/>
            </w:tcBorders>
            <w:shd w:val="clear" w:color="auto" w:fill="auto"/>
            <w:noWrap/>
            <w:vAlign w:val="bottom"/>
            <w:hideMark/>
          </w:tcPr>
          <w:p w14:paraId="175507B2"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13 894</w:t>
            </w:r>
          </w:p>
        </w:tc>
        <w:tc>
          <w:tcPr>
            <w:tcW w:w="463" w:type="pct"/>
            <w:gridSpan w:val="2"/>
            <w:tcBorders>
              <w:top w:val="nil"/>
              <w:left w:val="nil"/>
              <w:bottom w:val="nil"/>
              <w:right w:val="nil"/>
            </w:tcBorders>
            <w:shd w:val="clear" w:color="auto" w:fill="auto"/>
            <w:noWrap/>
            <w:vAlign w:val="bottom"/>
            <w:hideMark/>
          </w:tcPr>
          <w:p w14:paraId="341507B0"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25D4C47B"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6E82587B"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13 894</w:t>
            </w:r>
          </w:p>
        </w:tc>
        <w:tc>
          <w:tcPr>
            <w:tcW w:w="473" w:type="pct"/>
            <w:tcBorders>
              <w:top w:val="nil"/>
              <w:left w:val="nil"/>
              <w:bottom w:val="nil"/>
              <w:right w:val="nil"/>
            </w:tcBorders>
            <w:shd w:val="clear" w:color="auto" w:fill="auto"/>
            <w:noWrap/>
            <w:vAlign w:val="bottom"/>
            <w:hideMark/>
          </w:tcPr>
          <w:p w14:paraId="1989508F"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13 184</w:t>
            </w:r>
          </w:p>
        </w:tc>
        <w:tc>
          <w:tcPr>
            <w:tcW w:w="473" w:type="pct"/>
            <w:tcBorders>
              <w:top w:val="nil"/>
              <w:left w:val="nil"/>
              <w:bottom w:val="nil"/>
              <w:right w:val="nil"/>
            </w:tcBorders>
            <w:shd w:val="clear" w:color="auto" w:fill="auto"/>
            <w:noWrap/>
            <w:vAlign w:val="bottom"/>
            <w:hideMark/>
          </w:tcPr>
          <w:p w14:paraId="43E44AC0"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710</w:t>
            </w:r>
          </w:p>
        </w:tc>
      </w:tr>
      <w:tr w:rsidR="00834B83" w:rsidRPr="005269E6" w14:paraId="20862797"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36C7A380"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lang w:val="en-GB" w:eastAsia="en-GB" w:bidi="ar-SA"/>
              </w:rPr>
              <w:t>قطاع تنمية الاتصالات</w:t>
            </w:r>
          </w:p>
        </w:tc>
        <w:tc>
          <w:tcPr>
            <w:tcW w:w="463" w:type="pct"/>
            <w:tcBorders>
              <w:top w:val="nil"/>
              <w:left w:val="nil"/>
              <w:bottom w:val="nil"/>
              <w:right w:val="nil"/>
            </w:tcBorders>
            <w:shd w:val="clear" w:color="auto" w:fill="auto"/>
            <w:noWrap/>
            <w:vAlign w:val="bottom"/>
            <w:hideMark/>
          </w:tcPr>
          <w:p w14:paraId="23D83F44"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27 368</w:t>
            </w:r>
          </w:p>
        </w:tc>
        <w:tc>
          <w:tcPr>
            <w:tcW w:w="463" w:type="pct"/>
            <w:gridSpan w:val="2"/>
            <w:tcBorders>
              <w:top w:val="nil"/>
              <w:left w:val="nil"/>
              <w:bottom w:val="nil"/>
              <w:right w:val="nil"/>
            </w:tcBorders>
            <w:shd w:val="clear" w:color="auto" w:fill="auto"/>
            <w:noWrap/>
            <w:vAlign w:val="bottom"/>
            <w:hideMark/>
          </w:tcPr>
          <w:p w14:paraId="39FFDE68"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1 056</w:t>
            </w:r>
          </w:p>
        </w:tc>
        <w:tc>
          <w:tcPr>
            <w:tcW w:w="463" w:type="pct"/>
            <w:tcBorders>
              <w:top w:val="nil"/>
              <w:left w:val="nil"/>
              <w:bottom w:val="nil"/>
              <w:right w:val="nil"/>
            </w:tcBorders>
            <w:shd w:val="clear" w:color="auto" w:fill="auto"/>
            <w:noWrap/>
            <w:vAlign w:val="bottom"/>
            <w:hideMark/>
          </w:tcPr>
          <w:p w14:paraId="2804194B"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404B2019"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28 424</w:t>
            </w:r>
          </w:p>
        </w:tc>
        <w:tc>
          <w:tcPr>
            <w:tcW w:w="473" w:type="pct"/>
            <w:tcBorders>
              <w:top w:val="nil"/>
              <w:left w:val="nil"/>
              <w:bottom w:val="nil"/>
              <w:right w:val="nil"/>
            </w:tcBorders>
            <w:shd w:val="clear" w:color="auto" w:fill="auto"/>
            <w:noWrap/>
            <w:vAlign w:val="bottom"/>
            <w:hideMark/>
          </w:tcPr>
          <w:p w14:paraId="1D1B2E5C"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28 892</w:t>
            </w:r>
          </w:p>
        </w:tc>
        <w:tc>
          <w:tcPr>
            <w:tcW w:w="473" w:type="pct"/>
            <w:tcBorders>
              <w:top w:val="nil"/>
              <w:left w:val="nil"/>
              <w:bottom w:val="nil"/>
              <w:right w:val="nil"/>
            </w:tcBorders>
            <w:shd w:val="clear" w:color="auto" w:fill="auto"/>
            <w:noWrap/>
            <w:vAlign w:val="bottom"/>
            <w:hideMark/>
          </w:tcPr>
          <w:p w14:paraId="36CE39A4"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(468)</w:t>
            </w:r>
          </w:p>
        </w:tc>
      </w:tr>
      <w:tr w:rsidR="00834B83" w:rsidRPr="005269E6" w14:paraId="7AF40BA8" w14:textId="77777777" w:rsidTr="005C5B84">
        <w:trPr>
          <w:jc w:val="center"/>
        </w:trPr>
        <w:tc>
          <w:tcPr>
            <w:tcW w:w="2200" w:type="pct"/>
            <w:gridSpan w:val="2"/>
            <w:tcBorders>
              <w:top w:val="nil"/>
              <w:left w:val="nil"/>
              <w:bottom w:val="nil"/>
              <w:right w:val="nil"/>
            </w:tcBorders>
            <w:shd w:val="clear" w:color="auto" w:fill="auto"/>
            <w:noWrap/>
            <w:vAlign w:val="bottom"/>
            <w:hideMark/>
          </w:tcPr>
          <w:p w14:paraId="55A98B9E" w14:textId="77777777" w:rsidR="00834B83" w:rsidRPr="005269E6" w:rsidRDefault="00834B83" w:rsidP="005C5B84">
            <w:pPr>
              <w:pStyle w:val="Tabletexte"/>
              <w:spacing w:before="40" w:after="40" w:line="240" w:lineRule="exact"/>
              <w:rPr>
                <w:sz w:val="18"/>
                <w:szCs w:val="18"/>
                <w:lang w:val="en-GB" w:eastAsia="en-GB"/>
              </w:rPr>
            </w:pPr>
          </w:p>
        </w:tc>
        <w:tc>
          <w:tcPr>
            <w:tcW w:w="463" w:type="pct"/>
            <w:tcBorders>
              <w:top w:val="nil"/>
              <w:left w:val="nil"/>
              <w:bottom w:val="nil"/>
              <w:right w:val="nil"/>
            </w:tcBorders>
            <w:shd w:val="clear" w:color="auto" w:fill="auto"/>
            <w:noWrap/>
            <w:vAlign w:val="bottom"/>
            <w:hideMark/>
          </w:tcPr>
          <w:p w14:paraId="645E1C57"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gridSpan w:val="2"/>
            <w:tcBorders>
              <w:top w:val="nil"/>
              <w:left w:val="nil"/>
              <w:bottom w:val="nil"/>
              <w:right w:val="nil"/>
            </w:tcBorders>
            <w:shd w:val="clear" w:color="auto" w:fill="auto"/>
            <w:noWrap/>
            <w:vAlign w:val="bottom"/>
            <w:hideMark/>
          </w:tcPr>
          <w:p w14:paraId="09721DAF"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79E98183"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0E1A6E9C" w14:textId="77777777" w:rsidR="00834B83" w:rsidRPr="005269E6" w:rsidRDefault="00834B83" w:rsidP="0031505F">
            <w:pPr>
              <w:pStyle w:val="Tabletexte"/>
              <w:spacing w:before="40" w:after="40" w:line="240" w:lineRule="exact"/>
              <w:jc w:val="left"/>
              <w:rPr>
                <w:i/>
                <w:iCs/>
                <w:sz w:val="18"/>
                <w:szCs w:val="18"/>
                <w:lang w:val="en-GB" w:eastAsia="en-GB"/>
              </w:rPr>
            </w:pPr>
            <w:r w:rsidRPr="005269E6">
              <w:rPr>
                <w:i/>
                <w:iCs/>
                <w:sz w:val="18"/>
                <w:szCs w:val="18"/>
                <w:lang w:val="en-GB" w:eastAsia="en-GB"/>
              </w:rPr>
              <w:t>-</w:t>
            </w:r>
          </w:p>
        </w:tc>
        <w:tc>
          <w:tcPr>
            <w:tcW w:w="473" w:type="pct"/>
            <w:tcBorders>
              <w:top w:val="nil"/>
              <w:left w:val="nil"/>
              <w:bottom w:val="nil"/>
              <w:right w:val="nil"/>
            </w:tcBorders>
            <w:shd w:val="clear" w:color="auto" w:fill="auto"/>
            <w:noWrap/>
            <w:vAlign w:val="bottom"/>
            <w:hideMark/>
          </w:tcPr>
          <w:p w14:paraId="27121F6E" w14:textId="77777777" w:rsidR="00834B83" w:rsidRPr="005269E6" w:rsidRDefault="00834B83" w:rsidP="0031505F">
            <w:pPr>
              <w:pStyle w:val="Tabletexte"/>
              <w:spacing w:before="40" w:after="40" w:line="240" w:lineRule="exact"/>
              <w:jc w:val="left"/>
              <w:rPr>
                <w:i/>
                <w:iCs/>
                <w:sz w:val="18"/>
                <w:szCs w:val="18"/>
                <w:lang w:val="en-GB" w:eastAsia="en-GB"/>
              </w:rPr>
            </w:pPr>
          </w:p>
        </w:tc>
        <w:tc>
          <w:tcPr>
            <w:tcW w:w="473" w:type="pct"/>
            <w:tcBorders>
              <w:top w:val="nil"/>
              <w:left w:val="nil"/>
              <w:bottom w:val="nil"/>
              <w:right w:val="nil"/>
            </w:tcBorders>
            <w:shd w:val="clear" w:color="auto" w:fill="auto"/>
            <w:noWrap/>
            <w:vAlign w:val="bottom"/>
            <w:hideMark/>
          </w:tcPr>
          <w:p w14:paraId="7D4C80BF" w14:textId="77777777" w:rsidR="00834B83" w:rsidRPr="005269E6" w:rsidRDefault="00834B83" w:rsidP="0031505F">
            <w:pPr>
              <w:pStyle w:val="Tabletexte"/>
              <w:spacing w:before="40" w:after="40" w:line="240" w:lineRule="exact"/>
              <w:jc w:val="left"/>
              <w:rPr>
                <w:i/>
                <w:iCs/>
                <w:sz w:val="18"/>
                <w:szCs w:val="18"/>
                <w:lang w:val="en-GB" w:eastAsia="en-GB"/>
              </w:rPr>
            </w:pPr>
            <w:r w:rsidRPr="005269E6">
              <w:rPr>
                <w:i/>
                <w:iCs/>
                <w:sz w:val="18"/>
                <w:szCs w:val="18"/>
                <w:lang w:val="en-GB" w:eastAsia="en-GB"/>
              </w:rPr>
              <w:t>-</w:t>
            </w:r>
          </w:p>
        </w:tc>
      </w:tr>
      <w:tr w:rsidR="00834B83" w:rsidRPr="005269E6" w14:paraId="3EBCF427" w14:textId="77777777" w:rsidTr="005C5B84">
        <w:trPr>
          <w:jc w:val="center"/>
        </w:trPr>
        <w:tc>
          <w:tcPr>
            <w:tcW w:w="2200" w:type="pct"/>
            <w:gridSpan w:val="2"/>
            <w:tcBorders>
              <w:top w:val="nil"/>
              <w:left w:val="nil"/>
              <w:bottom w:val="nil"/>
              <w:right w:val="nil"/>
            </w:tcBorders>
            <w:shd w:val="clear" w:color="auto" w:fill="auto"/>
            <w:noWrap/>
            <w:vAlign w:val="bottom"/>
            <w:hideMark/>
          </w:tcPr>
          <w:p w14:paraId="7F701800" w14:textId="77777777" w:rsidR="00834B83" w:rsidRPr="005269E6" w:rsidRDefault="00834B83" w:rsidP="005C5B84">
            <w:pPr>
              <w:pStyle w:val="Tabletexte"/>
              <w:spacing w:before="40" w:after="40" w:line="240" w:lineRule="exact"/>
              <w:rPr>
                <w:b/>
                <w:bCs/>
                <w:sz w:val="18"/>
                <w:szCs w:val="18"/>
                <w:lang w:val="en-GB" w:eastAsia="en-GB"/>
              </w:rPr>
            </w:pPr>
            <w:r w:rsidRPr="005269E6">
              <w:rPr>
                <w:b/>
                <w:bCs/>
                <w:sz w:val="18"/>
                <w:szCs w:val="18"/>
                <w:rtl/>
                <w:lang w:val="en-GB" w:eastAsia="en-GB" w:bidi="ar-SA"/>
              </w:rPr>
              <w:t>مجمل النفقات</w:t>
            </w:r>
          </w:p>
        </w:tc>
        <w:tc>
          <w:tcPr>
            <w:tcW w:w="463" w:type="pct"/>
            <w:tcBorders>
              <w:top w:val="nil"/>
              <w:left w:val="nil"/>
              <w:bottom w:val="nil"/>
              <w:right w:val="nil"/>
            </w:tcBorders>
            <w:shd w:val="clear" w:color="auto" w:fill="auto"/>
            <w:noWrap/>
            <w:vAlign w:val="bottom"/>
            <w:hideMark/>
          </w:tcPr>
          <w:p w14:paraId="0A55AE77"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161 961</w:t>
            </w:r>
          </w:p>
        </w:tc>
        <w:tc>
          <w:tcPr>
            <w:tcW w:w="463" w:type="pct"/>
            <w:gridSpan w:val="2"/>
            <w:tcBorders>
              <w:top w:val="nil"/>
              <w:left w:val="nil"/>
              <w:bottom w:val="nil"/>
              <w:right w:val="nil"/>
            </w:tcBorders>
            <w:shd w:val="clear" w:color="auto" w:fill="auto"/>
            <w:noWrap/>
            <w:vAlign w:val="bottom"/>
            <w:hideMark/>
          </w:tcPr>
          <w:p w14:paraId="1412C574"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1 640</w:t>
            </w:r>
          </w:p>
        </w:tc>
        <w:tc>
          <w:tcPr>
            <w:tcW w:w="463" w:type="pct"/>
            <w:tcBorders>
              <w:top w:val="nil"/>
              <w:left w:val="nil"/>
              <w:bottom w:val="nil"/>
              <w:right w:val="nil"/>
            </w:tcBorders>
            <w:shd w:val="clear" w:color="auto" w:fill="auto"/>
            <w:noWrap/>
            <w:vAlign w:val="bottom"/>
            <w:hideMark/>
          </w:tcPr>
          <w:p w14:paraId="2F2DABCA"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w:t>
            </w:r>
          </w:p>
        </w:tc>
        <w:tc>
          <w:tcPr>
            <w:tcW w:w="464" w:type="pct"/>
            <w:tcBorders>
              <w:top w:val="nil"/>
              <w:left w:val="nil"/>
              <w:bottom w:val="nil"/>
              <w:right w:val="nil"/>
            </w:tcBorders>
            <w:shd w:val="clear" w:color="auto" w:fill="auto"/>
            <w:noWrap/>
            <w:vAlign w:val="bottom"/>
            <w:hideMark/>
          </w:tcPr>
          <w:p w14:paraId="06242427"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163 601</w:t>
            </w:r>
          </w:p>
        </w:tc>
        <w:tc>
          <w:tcPr>
            <w:tcW w:w="473" w:type="pct"/>
            <w:tcBorders>
              <w:top w:val="nil"/>
              <w:left w:val="nil"/>
              <w:bottom w:val="nil"/>
              <w:right w:val="nil"/>
            </w:tcBorders>
            <w:shd w:val="clear" w:color="auto" w:fill="auto"/>
            <w:noWrap/>
            <w:vAlign w:val="bottom"/>
            <w:hideMark/>
          </w:tcPr>
          <w:p w14:paraId="338B8F63"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162 033</w:t>
            </w:r>
          </w:p>
        </w:tc>
        <w:tc>
          <w:tcPr>
            <w:tcW w:w="473" w:type="pct"/>
            <w:tcBorders>
              <w:top w:val="nil"/>
              <w:left w:val="nil"/>
              <w:bottom w:val="nil"/>
              <w:right w:val="nil"/>
            </w:tcBorders>
            <w:shd w:val="clear" w:color="auto" w:fill="auto"/>
            <w:noWrap/>
            <w:vAlign w:val="bottom"/>
            <w:hideMark/>
          </w:tcPr>
          <w:p w14:paraId="0C088AAE"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1 568</w:t>
            </w:r>
          </w:p>
        </w:tc>
      </w:tr>
      <w:tr w:rsidR="00834B83" w:rsidRPr="005269E6" w14:paraId="1CAF77FF" w14:textId="77777777" w:rsidTr="005C5B84">
        <w:trPr>
          <w:jc w:val="center"/>
        </w:trPr>
        <w:tc>
          <w:tcPr>
            <w:tcW w:w="2200" w:type="pct"/>
            <w:gridSpan w:val="2"/>
            <w:tcBorders>
              <w:top w:val="nil"/>
              <w:left w:val="nil"/>
              <w:bottom w:val="nil"/>
              <w:right w:val="nil"/>
            </w:tcBorders>
            <w:shd w:val="clear" w:color="auto" w:fill="auto"/>
            <w:noWrap/>
            <w:vAlign w:val="bottom"/>
            <w:hideMark/>
          </w:tcPr>
          <w:p w14:paraId="71EF45D2" w14:textId="77777777" w:rsidR="00834B83" w:rsidRPr="005269E6" w:rsidRDefault="00834B83" w:rsidP="005C5B84">
            <w:pPr>
              <w:pStyle w:val="Tabletexte"/>
              <w:spacing w:before="40" w:after="40" w:line="240" w:lineRule="exact"/>
              <w:rPr>
                <w:sz w:val="18"/>
                <w:szCs w:val="18"/>
                <w:lang w:val="en-GB" w:eastAsia="en-GB"/>
              </w:rPr>
            </w:pPr>
          </w:p>
        </w:tc>
        <w:tc>
          <w:tcPr>
            <w:tcW w:w="463" w:type="pct"/>
            <w:tcBorders>
              <w:top w:val="nil"/>
              <w:left w:val="nil"/>
              <w:bottom w:val="nil"/>
              <w:right w:val="nil"/>
            </w:tcBorders>
            <w:shd w:val="clear" w:color="auto" w:fill="auto"/>
            <w:noWrap/>
            <w:vAlign w:val="bottom"/>
            <w:hideMark/>
          </w:tcPr>
          <w:p w14:paraId="03567856"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gridSpan w:val="2"/>
            <w:tcBorders>
              <w:top w:val="nil"/>
              <w:left w:val="nil"/>
              <w:bottom w:val="nil"/>
              <w:right w:val="nil"/>
            </w:tcBorders>
            <w:shd w:val="clear" w:color="auto" w:fill="auto"/>
            <w:noWrap/>
            <w:vAlign w:val="bottom"/>
            <w:hideMark/>
          </w:tcPr>
          <w:p w14:paraId="27533636"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3E538D95"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266B7069"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bottom"/>
            <w:hideMark/>
          </w:tcPr>
          <w:p w14:paraId="02C43979"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bottom"/>
            <w:hideMark/>
          </w:tcPr>
          <w:p w14:paraId="3CDD9BD1"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7082626E" w14:textId="77777777" w:rsidTr="005C5B84">
        <w:trPr>
          <w:jc w:val="center"/>
        </w:trPr>
        <w:tc>
          <w:tcPr>
            <w:tcW w:w="2200" w:type="pct"/>
            <w:gridSpan w:val="2"/>
            <w:tcBorders>
              <w:top w:val="nil"/>
              <w:left w:val="nil"/>
              <w:bottom w:val="nil"/>
              <w:right w:val="nil"/>
            </w:tcBorders>
            <w:shd w:val="clear" w:color="auto" w:fill="auto"/>
            <w:noWrap/>
            <w:vAlign w:val="bottom"/>
            <w:hideMark/>
          </w:tcPr>
          <w:p w14:paraId="129B3EAB" w14:textId="77777777" w:rsidR="00834B83" w:rsidRPr="005269E6" w:rsidRDefault="00834B83" w:rsidP="005C5B84">
            <w:pPr>
              <w:spacing w:before="40" w:after="40" w:line="240" w:lineRule="exact"/>
              <w:rPr>
                <w:b/>
                <w:bCs/>
                <w:sz w:val="18"/>
                <w:szCs w:val="18"/>
                <w:lang w:val="en-GB" w:eastAsia="en-GB" w:bidi="ar-SY"/>
              </w:rPr>
            </w:pPr>
            <w:r w:rsidRPr="005269E6">
              <w:rPr>
                <w:b/>
                <w:bCs/>
                <w:sz w:val="18"/>
                <w:szCs w:val="18"/>
                <w:rtl/>
                <w:lang w:val="en-GB" w:eastAsia="en-GB" w:bidi="ar-SY"/>
              </w:rPr>
              <w:t xml:space="preserve">(عجز) الميزانية البرنامجية </w:t>
            </w:r>
          </w:p>
        </w:tc>
        <w:tc>
          <w:tcPr>
            <w:tcW w:w="463" w:type="pct"/>
            <w:tcBorders>
              <w:top w:val="nil"/>
              <w:left w:val="nil"/>
              <w:bottom w:val="nil"/>
              <w:right w:val="nil"/>
            </w:tcBorders>
            <w:shd w:val="clear" w:color="auto" w:fill="auto"/>
            <w:noWrap/>
            <w:vAlign w:val="bottom"/>
            <w:hideMark/>
          </w:tcPr>
          <w:p w14:paraId="68BFCF1B"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3" w:type="pct"/>
            <w:gridSpan w:val="2"/>
            <w:tcBorders>
              <w:top w:val="nil"/>
              <w:left w:val="nil"/>
              <w:bottom w:val="nil"/>
              <w:right w:val="nil"/>
            </w:tcBorders>
            <w:shd w:val="clear" w:color="auto" w:fill="auto"/>
            <w:noWrap/>
            <w:vAlign w:val="bottom"/>
            <w:hideMark/>
          </w:tcPr>
          <w:p w14:paraId="2179265D"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3" w:type="pct"/>
            <w:tcBorders>
              <w:top w:val="nil"/>
              <w:left w:val="nil"/>
              <w:bottom w:val="nil"/>
              <w:right w:val="nil"/>
            </w:tcBorders>
            <w:shd w:val="clear" w:color="auto" w:fill="auto"/>
            <w:noWrap/>
            <w:vAlign w:val="bottom"/>
            <w:hideMark/>
          </w:tcPr>
          <w:p w14:paraId="3FC1724F"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4" w:type="pct"/>
            <w:tcBorders>
              <w:top w:val="nil"/>
              <w:left w:val="nil"/>
              <w:bottom w:val="nil"/>
              <w:right w:val="nil"/>
            </w:tcBorders>
            <w:shd w:val="clear" w:color="auto" w:fill="auto"/>
            <w:noWrap/>
            <w:vAlign w:val="bottom"/>
            <w:hideMark/>
          </w:tcPr>
          <w:p w14:paraId="7B4B2733"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73" w:type="pct"/>
            <w:tcBorders>
              <w:top w:val="nil"/>
              <w:left w:val="nil"/>
              <w:bottom w:val="nil"/>
              <w:right w:val="nil"/>
            </w:tcBorders>
            <w:shd w:val="clear" w:color="auto" w:fill="auto"/>
            <w:noWrap/>
            <w:vAlign w:val="bottom"/>
            <w:hideMark/>
          </w:tcPr>
          <w:p w14:paraId="0D2BBBF4"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(4 847)</w:t>
            </w:r>
          </w:p>
        </w:tc>
        <w:tc>
          <w:tcPr>
            <w:tcW w:w="473" w:type="pct"/>
            <w:tcBorders>
              <w:top w:val="nil"/>
              <w:left w:val="nil"/>
              <w:bottom w:val="nil"/>
              <w:right w:val="nil"/>
            </w:tcBorders>
            <w:shd w:val="clear" w:color="auto" w:fill="auto"/>
            <w:noWrap/>
            <w:vAlign w:val="bottom"/>
            <w:hideMark/>
          </w:tcPr>
          <w:p w14:paraId="61D62CD2"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0FCEC28C" w14:textId="77777777" w:rsidTr="005C5B84">
        <w:trPr>
          <w:trHeight w:val="60"/>
          <w:jc w:val="center"/>
        </w:trPr>
        <w:tc>
          <w:tcPr>
            <w:tcW w:w="2200" w:type="pct"/>
            <w:gridSpan w:val="2"/>
            <w:tcBorders>
              <w:top w:val="nil"/>
              <w:left w:val="nil"/>
              <w:bottom w:val="nil"/>
              <w:right w:val="nil"/>
            </w:tcBorders>
            <w:shd w:val="clear" w:color="auto" w:fill="auto"/>
            <w:noWrap/>
            <w:vAlign w:val="bottom"/>
            <w:hideMark/>
          </w:tcPr>
          <w:p w14:paraId="5507169D" w14:textId="77777777" w:rsidR="00834B83" w:rsidRPr="005269E6" w:rsidRDefault="00834B83" w:rsidP="005C5B84">
            <w:pPr>
              <w:pStyle w:val="Tabletexte"/>
              <w:spacing w:before="40" w:after="40" w:line="240" w:lineRule="exact"/>
              <w:rPr>
                <w:sz w:val="18"/>
                <w:szCs w:val="18"/>
                <w:lang w:val="en-GB" w:eastAsia="en-GB"/>
              </w:rPr>
            </w:pPr>
          </w:p>
        </w:tc>
        <w:tc>
          <w:tcPr>
            <w:tcW w:w="463" w:type="pct"/>
            <w:tcBorders>
              <w:top w:val="nil"/>
              <w:left w:val="nil"/>
              <w:bottom w:val="nil"/>
              <w:right w:val="nil"/>
            </w:tcBorders>
            <w:shd w:val="clear" w:color="auto" w:fill="auto"/>
            <w:noWrap/>
            <w:vAlign w:val="bottom"/>
            <w:hideMark/>
          </w:tcPr>
          <w:p w14:paraId="0BFB5A3B"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gridSpan w:val="2"/>
            <w:tcBorders>
              <w:top w:val="nil"/>
              <w:left w:val="nil"/>
              <w:bottom w:val="nil"/>
              <w:right w:val="nil"/>
            </w:tcBorders>
            <w:shd w:val="clear" w:color="auto" w:fill="auto"/>
            <w:noWrap/>
            <w:vAlign w:val="bottom"/>
            <w:hideMark/>
          </w:tcPr>
          <w:p w14:paraId="44C15111"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474FC587"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5A59A967"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bottom"/>
            <w:hideMark/>
          </w:tcPr>
          <w:p w14:paraId="3CC4BAB2"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bottom"/>
            <w:hideMark/>
          </w:tcPr>
          <w:p w14:paraId="623B162E"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0B3320EE"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0A0A348D" w14:textId="77777777" w:rsidR="00834B83" w:rsidRPr="005269E6" w:rsidRDefault="00834B83" w:rsidP="005C5B84">
            <w:pPr>
              <w:pStyle w:val="Tabletexte"/>
              <w:spacing w:before="40" w:after="40" w:line="240" w:lineRule="exact"/>
              <w:rPr>
                <w:sz w:val="18"/>
                <w:szCs w:val="18"/>
                <w:lang w:val="en-GB" w:eastAsia="en-GB"/>
              </w:rPr>
            </w:pPr>
            <w:r w:rsidRPr="005269E6">
              <w:rPr>
                <w:sz w:val="18"/>
                <w:szCs w:val="18"/>
                <w:rtl/>
                <w:lang w:val="en-GB" w:eastAsia="en-GB"/>
              </w:rPr>
              <w:t>فروق الأساس</w:t>
            </w:r>
          </w:p>
        </w:tc>
        <w:tc>
          <w:tcPr>
            <w:tcW w:w="463" w:type="pct"/>
            <w:tcBorders>
              <w:top w:val="nil"/>
              <w:left w:val="nil"/>
              <w:bottom w:val="nil"/>
              <w:right w:val="nil"/>
            </w:tcBorders>
            <w:shd w:val="clear" w:color="auto" w:fill="auto"/>
            <w:noWrap/>
            <w:vAlign w:val="bottom"/>
            <w:hideMark/>
          </w:tcPr>
          <w:p w14:paraId="448EC7D5"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gridSpan w:val="2"/>
            <w:tcBorders>
              <w:top w:val="nil"/>
              <w:left w:val="nil"/>
              <w:bottom w:val="nil"/>
              <w:right w:val="nil"/>
            </w:tcBorders>
            <w:shd w:val="clear" w:color="auto" w:fill="auto"/>
            <w:noWrap/>
            <w:vAlign w:val="bottom"/>
            <w:hideMark/>
          </w:tcPr>
          <w:p w14:paraId="34952294"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585C4654"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6702F80E"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bottom"/>
            <w:hideMark/>
          </w:tcPr>
          <w:p w14:paraId="77F30E5E"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(15 596)</w:t>
            </w:r>
          </w:p>
        </w:tc>
        <w:tc>
          <w:tcPr>
            <w:tcW w:w="473" w:type="pct"/>
            <w:tcBorders>
              <w:top w:val="nil"/>
              <w:left w:val="nil"/>
              <w:bottom w:val="nil"/>
              <w:right w:val="nil"/>
            </w:tcBorders>
            <w:shd w:val="clear" w:color="auto" w:fill="auto"/>
            <w:noWrap/>
            <w:vAlign w:val="bottom"/>
            <w:hideMark/>
          </w:tcPr>
          <w:p w14:paraId="427B31D2"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6D307F1D" w14:textId="77777777" w:rsidTr="005C5B84">
        <w:trPr>
          <w:jc w:val="center"/>
        </w:trPr>
        <w:tc>
          <w:tcPr>
            <w:tcW w:w="2200" w:type="pct"/>
            <w:gridSpan w:val="2"/>
            <w:tcBorders>
              <w:top w:val="nil"/>
              <w:left w:val="nil"/>
              <w:bottom w:val="nil"/>
              <w:right w:val="nil"/>
            </w:tcBorders>
            <w:shd w:val="clear" w:color="auto" w:fill="auto"/>
            <w:noWrap/>
            <w:vAlign w:val="center"/>
            <w:hideMark/>
          </w:tcPr>
          <w:p w14:paraId="4383038E" w14:textId="77777777" w:rsidR="00834B83" w:rsidRPr="005269E6" w:rsidRDefault="00834B83" w:rsidP="005C5B84">
            <w:pPr>
              <w:pStyle w:val="Tabletexte"/>
              <w:spacing w:before="40" w:after="40" w:line="240" w:lineRule="exact"/>
              <w:rPr>
                <w:sz w:val="18"/>
                <w:szCs w:val="18"/>
                <w:lang w:eastAsia="en-GB" w:bidi="ar-EG"/>
              </w:rPr>
            </w:pPr>
            <w:r w:rsidRPr="005269E6">
              <w:rPr>
                <w:sz w:val="18"/>
                <w:szCs w:val="18"/>
                <w:rtl/>
                <w:lang w:val="en-GB" w:eastAsia="en-GB"/>
              </w:rPr>
              <w:t>فروق</w:t>
            </w:r>
            <w:r w:rsidRPr="005269E6">
              <w:rPr>
                <w:sz w:val="18"/>
                <w:szCs w:val="18"/>
                <w:rtl/>
                <w:lang w:val="en-GB" w:eastAsia="en-GB" w:bidi="ar-EG"/>
              </w:rPr>
              <w:t xml:space="preserve"> الكيانات</w:t>
            </w:r>
          </w:p>
        </w:tc>
        <w:tc>
          <w:tcPr>
            <w:tcW w:w="463" w:type="pct"/>
            <w:tcBorders>
              <w:top w:val="nil"/>
              <w:left w:val="nil"/>
              <w:bottom w:val="nil"/>
              <w:right w:val="nil"/>
            </w:tcBorders>
            <w:shd w:val="clear" w:color="auto" w:fill="auto"/>
            <w:noWrap/>
            <w:vAlign w:val="bottom"/>
            <w:hideMark/>
          </w:tcPr>
          <w:p w14:paraId="142C482A"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gridSpan w:val="2"/>
            <w:tcBorders>
              <w:top w:val="nil"/>
              <w:left w:val="nil"/>
              <w:bottom w:val="nil"/>
              <w:right w:val="nil"/>
            </w:tcBorders>
            <w:shd w:val="clear" w:color="auto" w:fill="auto"/>
            <w:noWrap/>
            <w:vAlign w:val="bottom"/>
            <w:hideMark/>
          </w:tcPr>
          <w:p w14:paraId="01D9241D"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024B3080"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19904851"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bottom"/>
            <w:hideMark/>
          </w:tcPr>
          <w:p w14:paraId="4F32FD2C" w14:textId="77777777" w:rsidR="00834B83" w:rsidRPr="005269E6" w:rsidRDefault="00834B83" w:rsidP="0031505F">
            <w:pPr>
              <w:pStyle w:val="Tabletexte"/>
              <w:spacing w:before="40" w:after="40" w:line="240" w:lineRule="exact"/>
              <w:jc w:val="left"/>
              <w:rPr>
                <w:sz w:val="18"/>
                <w:szCs w:val="18"/>
                <w:lang w:val="en-GB" w:eastAsia="en-GB"/>
              </w:rPr>
            </w:pPr>
            <w:r w:rsidRPr="005269E6">
              <w:rPr>
                <w:sz w:val="18"/>
                <w:szCs w:val="18"/>
                <w:lang w:val="en-GB" w:eastAsia="en-GB"/>
              </w:rPr>
              <w:t>(3 999)</w:t>
            </w:r>
          </w:p>
        </w:tc>
        <w:tc>
          <w:tcPr>
            <w:tcW w:w="473" w:type="pct"/>
            <w:tcBorders>
              <w:top w:val="nil"/>
              <w:left w:val="nil"/>
              <w:bottom w:val="nil"/>
              <w:right w:val="nil"/>
            </w:tcBorders>
            <w:shd w:val="clear" w:color="auto" w:fill="auto"/>
            <w:noWrap/>
            <w:vAlign w:val="bottom"/>
            <w:hideMark/>
          </w:tcPr>
          <w:p w14:paraId="72276A93"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654C1B31" w14:textId="77777777" w:rsidTr="005C5B84">
        <w:trPr>
          <w:jc w:val="center"/>
        </w:trPr>
        <w:tc>
          <w:tcPr>
            <w:tcW w:w="2200" w:type="pct"/>
            <w:gridSpan w:val="2"/>
            <w:tcBorders>
              <w:top w:val="nil"/>
              <w:left w:val="nil"/>
              <w:bottom w:val="nil"/>
              <w:right w:val="nil"/>
            </w:tcBorders>
            <w:shd w:val="clear" w:color="auto" w:fill="auto"/>
            <w:noWrap/>
            <w:vAlign w:val="bottom"/>
            <w:hideMark/>
          </w:tcPr>
          <w:p w14:paraId="78896328" w14:textId="77777777" w:rsidR="00834B83" w:rsidRPr="005269E6" w:rsidRDefault="00834B83" w:rsidP="005C5B84">
            <w:pPr>
              <w:pStyle w:val="Tabletexte"/>
              <w:spacing w:before="40" w:after="40" w:line="240" w:lineRule="exact"/>
              <w:rPr>
                <w:sz w:val="18"/>
                <w:szCs w:val="18"/>
                <w:lang w:val="en-GB" w:eastAsia="en-GB"/>
              </w:rPr>
            </w:pPr>
          </w:p>
        </w:tc>
        <w:tc>
          <w:tcPr>
            <w:tcW w:w="463" w:type="pct"/>
            <w:tcBorders>
              <w:top w:val="nil"/>
              <w:left w:val="nil"/>
              <w:bottom w:val="nil"/>
              <w:right w:val="nil"/>
            </w:tcBorders>
            <w:shd w:val="clear" w:color="auto" w:fill="auto"/>
            <w:noWrap/>
            <w:vAlign w:val="bottom"/>
            <w:hideMark/>
          </w:tcPr>
          <w:p w14:paraId="49ADFDD3"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gridSpan w:val="2"/>
            <w:tcBorders>
              <w:top w:val="nil"/>
              <w:left w:val="nil"/>
              <w:bottom w:val="nil"/>
              <w:right w:val="nil"/>
            </w:tcBorders>
            <w:shd w:val="clear" w:color="auto" w:fill="auto"/>
            <w:noWrap/>
            <w:vAlign w:val="bottom"/>
            <w:hideMark/>
          </w:tcPr>
          <w:p w14:paraId="32EF7114"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26D1D58C"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5AFA280F"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bottom"/>
            <w:hideMark/>
          </w:tcPr>
          <w:p w14:paraId="49DFBD3C"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bottom"/>
            <w:hideMark/>
          </w:tcPr>
          <w:p w14:paraId="276B9551"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37365F7B" w14:textId="77777777" w:rsidTr="005C5B84">
        <w:trPr>
          <w:jc w:val="center"/>
        </w:trPr>
        <w:tc>
          <w:tcPr>
            <w:tcW w:w="2200" w:type="pct"/>
            <w:gridSpan w:val="2"/>
            <w:tcBorders>
              <w:top w:val="nil"/>
              <w:left w:val="nil"/>
              <w:bottom w:val="nil"/>
              <w:right w:val="nil"/>
            </w:tcBorders>
            <w:shd w:val="clear" w:color="auto" w:fill="auto"/>
            <w:noWrap/>
            <w:vAlign w:val="bottom"/>
            <w:hideMark/>
          </w:tcPr>
          <w:p w14:paraId="33BC0DAE" w14:textId="77777777" w:rsidR="00834B83" w:rsidRPr="005269E6" w:rsidRDefault="00834B83" w:rsidP="005C5B84">
            <w:pPr>
              <w:spacing w:before="40" w:after="40" w:line="240" w:lineRule="exact"/>
              <w:rPr>
                <w:b/>
                <w:bCs/>
                <w:sz w:val="18"/>
                <w:szCs w:val="18"/>
                <w:lang w:val="en-GB" w:eastAsia="en-GB" w:bidi="ar-SY"/>
              </w:rPr>
            </w:pPr>
            <w:r w:rsidRPr="005269E6">
              <w:rPr>
                <w:b/>
                <w:bCs/>
                <w:sz w:val="18"/>
                <w:szCs w:val="18"/>
                <w:rtl/>
                <w:lang w:val="en-GB" w:eastAsia="en-GB" w:bidi="ar-SY"/>
              </w:rPr>
              <w:t>مجموع فروق المعايير المحاسبية الدولية للقطاع العام</w:t>
            </w:r>
          </w:p>
        </w:tc>
        <w:tc>
          <w:tcPr>
            <w:tcW w:w="463" w:type="pct"/>
            <w:tcBorders>
              <w:top w:val="nil"/>
              <w:left w:val="nil"/>
              <w:bottom w:val="nil"/>
              <w:right w:val="nil"/>
            </w:tcBorders>
            <w:shd w:val="clear" w:color="auto" w:fill="auto"/>
            <w:noWrap/>
            <w:vAlign w:val="bottom"/>
            <w:hideMark/>
          </w:tcPr>
          <w:p w14:paraId="50658EBF"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3" w:type="pct"/>
            <w:gridSpan w:val="2"/>
            <w:tcBorders>
              <w:top w:val="nil"/>
              <w:left w:val="nil"/>
              <w:bottom w:val="nil"/>
              <w:right w:val="nil"/>
            </w:tcBorders>
            <w:shd w:val="clear" w:color="auto" w:fill="auto"/>
            <w:noWrap/>
            <w:vAlign w:val="bottom"/>
            <w:hideMark/>
          </w:tcPr>
          <w:p w14:paraId="63221A9D"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3" w:type="pct"/>
            <w:tcBorders>
              <w:top w:val="nil"/>
              <w:left w:val="nil"/>
              <w:bottom w:val="nil"/>
              <w:right w:val="nil"/>
            </w:tcBorders>
            <w:shd w:val="clear" w:color="auto" w:fill="auto"/>
            <w:noWrap/>
            <w:vAlign w:val="bottom"/>
            <w:hideMark/>
          </w:tcPr>
          <w:p w14:paraId="2E63E216"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64" w:type="pct"/>
            <w:tcBorders>
              <w:top w:val="nil"/>
              <w:left w:val="nil"/>
              <w:bottom w:val="nil"/>
              <w:right w:val="nil"/>
            </w:tcBorders>
            <w:shd w:val="clear" w:color="auto" w:fill="auto"/>
            <w:noWrap/>
            <w:vAlign w:val="bottom"/>
            <w:hideMark/>
          </w:tcPr>
          <w:p w14:paraId="48E532CB"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73" w:type="pct"/>
            <w:tcBorders>
              <w:top w:val="nil"/>
              <w:left w:val="nil"/>
              <w:bottom w:val="nil"/>
              <w:right w:val="nil"/>
            </w:tcBorders>
            <w:shd w:val="clear" w:color="auto" w:fill="auto"/>
            <w:noWrap/>
            <w:vAlign w:val="bottom"/>
            <w:hideMark/>
          </w:tcPr>
          <w:p w14:paraId="1BDA768E"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(19 595)</w:t>
            </w:r>
          </w:p>
        </w:tc>
        <w:tc>
          <w:tcPr>
            <w:tcW w:w="473" w:type="pct"/>
            <w:tcBorders>
              <w:top w:val="nil"/>
              <w:left w:val="nil"/>
              <w:bottom w:val="nil"/>
              <w:right w:val="nil"/>
            </w:tcBorders>
            <w:shd w:val="clear" w:color="auto" w:fill="auto"/>
            <w:noWrap/>
            <w:vAlign w:val="bottom"/>
            <w:hideMark/>
          </w:tcPr>
          <w:p w14:paraId="2702F323" w14:textId="77777777" w:rsidR="00834B83" w:rsidRPr="005269E6" w:rsidRDefault="00834B83" w:rsidP="0031505F">
            <w:pPr>
              <w:pStyle w:val="Tabletexte"/>
              <w:spacing w:before="40" w:after="40" w:line="240" w:lineRule="exact"/>
              <w:jc w:val="left"/>
              <w:rPr>
                <w:b/>
                <w:bCs/>
                <w:sz w:val="18"/>
                <w:szCs w:val="18"/>
                <w:lang w:val="en-GB" w:eastAsia="en-GB"/>
              </w:rPr>
            </w:pPr>
          </w:p>
        </w:tc>
      </w:tr>
      <w:tr w:rsidR="00834B83" w:rsidRPr="005269E6" w14:paraId="607E9E4C" w14:textId="77777777" w:rsidTr="005C5B84">
        <w:trPr>
          <w:jc w:val="center"/>
        </w:trPr>
        <w:tc>
          <w:tcPr>
            <w:tcW w:w="2200" w:type="pct"/>
            <w:gridSpan w:val="2"/>
            <w:tcBorders>
              <w:top w:val="nil"/>
              <w:left w:val="nil"/>
              <w:bottom w:val="nil"/>
              <w:right w:val="nil"/>
            </w:tcBorders>
            <w:shd w:val="clear" w:color="auto" w:fill="auto"/>
            <w:noWrap/>
            <w:vAlign w:val="bottom"/>
            <w:hideMark/>
          </w:tcPr>
          <w:p w14:paraId="3BF9BC63" w14:textId="77777777" w:rsidR="00834B83" w:rsidRPr="005269E6" w:rsidRDefault="00834B83" w:rsidP="005C5B84">
            <w:pPr>
              <w:pStyle w:val="Tabletexte"/>
              <w:spacing w:before="40" w:after="40" w:line="240" w:lineRule="exact"/>
              <w:rPr>
                <w:sz w:val="18"/>
                <w:szCs w:val="18"/>
                <w:lang w:val="en-GB" w:eastAsia="en-GB"/>
              </w:rPr>
            </w:pPr>
          </w:p>
        </w:tc>
        <w:tc>
          <w:tcPr>
            <w:tcW w:w="463" w:type="pct"/>
            <w:tcBorders>
              <w:top w:val="nil"/>
              <w:left w:val="nil"/>
              <w:bottom w:val="nil"/>
              <w:right w:val="nil"/>
            </w:tcBorders>
            <w:shd w:val="clear" w:color="auto" w:fill="auto"/>
            <w:noWrap/>
            <w:vAlign w:val="bottom"/>
            <w:hideMark/>
          </w:tcPr>
          <w:p w14:paraId="76BCFF79"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gridSpan w:val="2"/>
            <w:tcBorders>
              <w:top w:val="nil"/>
              <w:left w:val="nil"/>
              <w:bottom w:val="nil"/>
              <w:right w:val="nil"/>
            </w:tcBorders>
            <w:shd w:val="clear" w:color="auto" w:fill="auto"/>
            <w:noWrap/>
            <w:vAlign w:val="bottom"/>
            <w:hideMark/>
          </w:tcPr>
          <w:p w14:paraId="4BA1B92C" w14:textId="77777777" w:rsidR="00834B83" w:rsidRPr="005269E6" w:rsidRDefault="00834B83" w:rsidP="0031505F">
            <w:pPr>
              <w:pStyle w:val="Tabletexte"/>
              <w:spacing w:before="40" w:after="40" w:line="240" w:lineRule="exact"/>
              <w:jc w:val="left"/>
              <w:rPr>
                <w:sz w:val="18"/>
                <w:szCs w:val="18"/>
                <w:lang w:val="en-GB" w:eastAsia="en-GB"/>
              </w:rPr>
            </w:pPr>
          </w:p>
        </w:tc>
        <w:tc>
          <w:tcPr>
            <w:tcW w:w="463" w:type="pct"/>
            <w:tcBorders>
              <w:top w:val="nil"/>
              <w:left w:val="nil"/>
              <w:bottom w:val="nil"/>
              <w:right w:val="nil"/>
            </w:tcBorders>
            <w:shd w:val="clear" w:color="auto" w:fill="auto"/>
            <w:noWrap/>
            <w:vAlign w:val="bottom"/>
            <w:hideMark/>
          </w:tcPr>
          <w:p w14:paraId="16499C56" w14:textId="77777777" w:rsidR="00834B83" w:rsidRPr="005269E6" w:rsidRDefault="00834B83" w:rsidP="0031505F">
            <w:pPr>
              <w:pStyle w:val="Tabletexte"/>
              <w:spacing w:before="40" w:after="40" w:line="240" w:lineRule="exact"/>
              <w:jc w:val="left"/>
              <w:rPr>
                <w:sz w:val="18"/>
                <w:szCs w:val="18"/>
                <w:lang w:val="en-GB" w:eastAsia="en-GB"/>
              </w:rPr>
            </w:pPr>
          </w:p>
        </w:tc>
        <w:tc>
          <w:tcPr>
            <w:tcW w:w="464" w:type="pct"/>
            <w:tcBorders>
              <w:top w:val="nil"/>
              <w:left w:val="nil"/>
              <w:bottom w:val="nil"/>
              <w:right w:val="nil"/>
            </w:tcBorders>
            <w:shd w:val="clear" w:color="auto" w:fill="auto"/>
            <w:noWrap/>
            <w:vAlign w:val="bottom"/>
            <w:hideMark/>
          </w:tcPr>
          <w:p w14:paraId="20FF506F"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bottom"/>
            <w:hideMark/>
          </w:tcPr>
          <w:p w14:paraId="7DBD66D8" w14:textId="77777777" w:rsidR="00834B83" w:rsidRPr="005269E6" w:rsidRDefault="00834B83" w:rsidP="0031505F">
            <w:pPr>
              <w:pStyle w:val="Tabletexte"/>
              <w:spacing w:before="40" w:after="40" w:line="240" w:lineRule="exact"/>
              <w:jc w:val="left"/>
              <w:rPr>
                <w:sz w:val="18"/>
                <w:szCs w:val="18"/>
                <w:lang w:val="en-GB" w:eastAsia="en-GB"/>
              </w:rPr>
            </w:pPr>
          </w:p>
        </w:tc>
        <w:tc>
          <w:tcPr>
            <w:tcW w:w="473" w:type="pct"/>
            <w:tcBorders>
              <w:top w:val="nil"/>
              <w:left w:val="nil"/>
              <w:bottom w:val="nil"/>
              <w:right w:val="nil"/>
            </w:tcBorders>
            <w:shd w:val="clear" w:color="auto" w:fill="auto"/>
            <w:noWrap/>
            <w:vAlign w:val="bottom"/>
            <w:hideMark/>
          </w:tcPr>
          <w:p w14:paraId="661F7955" w14:textId="77777777" w:rsidR="00834B83" w:rsidRPr="005269E6" w:rsidRDefault="00834B83" w:rsidP="0031505F">
            <w:pPr>
              <w:pStyle w:val="Tabletexte"/>
              <w:spacing w:before="40" w:after="40" w:line="240" w:lineRule="exact"/>
              <w:jc w:val="left"/>
              <w:rPr>
                <w:sz w:val="18"/>
                <w:szCs w:val="18"/>
                <w:lang w:val="en-GB" w:eastAsia="en-GB"/>
              </w:rPr>
            </w:pPr>
          </w:p>
        </w:tc>
      </w:tr>
      <w:tr w:rsidR="00834B83" w:rsidRPr="005269E6" w14:paraId="5FB2A3B9" w14:textId="77777777" w:rsidTr="005C5B84">
        <w:trPr>
          <w:jc w:val="center"/>
        </w:trPr>
        <w:tc>
          <w:tcPr>
            <w:tcW w:w="1906" w:type="pct"/>
            <w:tcBorders>
              <w:top w:val="nil"/>
              <w:left w:val="nil"/>
              <w:bottom w:val="nil"/>
              <w:right w:val="nil"/>
            </w:tcBorders>
            <w:shd w:val="clear" w:color="000000" w:fill="538DD5"/>
            <w:noWrap/>
            <w:vAlign w:val="center"/>
            <w:hideMark/>
          </w:tcPr>
          <w:p w14:paraId="748BC371" w14:textId="77777777" w:rsidR="00834B83" w:rsidRPr="005269E6" w:rsidRDefault="00834B83" w:rsidP="005C5B84">
            <w:pPr>
              <w:spacing w:before="40" w:after="40" w:line="240" w:lineRule="exact"/>
              <w:jc w:val="left"/>
              <w:rPr>
                <w:b/>
                <w:bCs/>
                <w:sz w:val="18"/>
                <w:szCs w:val="18"/>
                <w:lang w:val="en-GB" w:eastAsia="en-GB" w:bidi="ar-SY"/>
              </w:rPr>
            </w:pPr>
            <w:r w:rsidRPr="005269E6">
              <w:rPr>
                <w:b/>
                <w:bCs/>
                <w:sz w:val="18"/>
                <w:szCs w:val="18"/>
                <w:rtl/>
                <w:lang w:val="en-GB" w:eastAsia="en-GB" w:bidi="ar-SY"/>
              </w:rPr>
              <w:t>الفائض/العجز كما هو موضح في بيان الأداء المالي</w:t>
            </w:r>
          </w:p>
        </w:tc>
        <w:tc>
          <w:tcPr>
            <w:tcW w:w="1074" w:type="pct"/>
            <w:gridSpan w:val="3"/>
            <w:tcBorders>
              <w:top w:val="nil"/>
              <w:left w:val="nil"/>
              <w:bottom w:val="nil"/>
              <w:right w:val="nil"/>
            </w:tcBorders>
            <w:shd w:val="clear" w:color="000000" w:fill="538DD5"/>
            <w:noWrap/>
            <w:vAlign w:val="center"/>
            <w:hideMark/>
          </w:tcPr>
          <w:p w14:paraId="30D5AD3A"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1074" w:type="pct"/>
            <w:gridSpan w:val="3"/>
            <w:tcBorders>
              <w:top w:val="nil"/>
              <w:left w:val="nil"/>
              <w:bottom w:val="nil"/>
              <w:right w:val="nil"/>
            </w:tcBorders>
            <w:shd w:val="clear" w:color="000000" w:fill="538DD5"/>
            <w:noWrap/>
            <w:vAlign w:val="center"/>
            <w:hideMark/>
          </w:tcPr>
          <w:p w14:paraId="1063688F" w14:textId="77777777" w:rsidR="00834B83" w:rsidRPr="005269E6" w:rsidRDefault="00834B83" w:rsidP="0031505F">
            <w:pPr>
              <w:pStyle w:val="Tabletexte"/>
              <w:spacing w:before="40" w:after="40" w:line="240" w:lineRule="exact"/>
              <w:jc w:val="left"/>
              <w:rPr>
                <w:b/>
                <w:bCs/>
                <w:sz w:val="18"/>
                <w:szCs w:val="18"/>
                <w:lang w:val="en-GB" w:eastAsia="en-GB"/>
              </w:rPr>
            </w:pPr>
          </w:p>
        </w:tc>
        <w:tc>
          <w:tcPr>
            <w:tcW w:w="473" w:type="pct"/>
            <w:tcBorders>
              <w:top w:val="nil"/>
              <w:left w:val="nil"/>
              <w:bottom w:val="nil"/>
              <w:right w:val="nil"/>
            </w:tcBorders>
            <w:shd w:val="clear" w:color="000000" w:fill="538DD5"/>
            <w:noWrap/>
            <w:vAlign w:val="center"/>
            <w:hideMark/>
          </w:tcPr>
          <w:p w14:paraId="50AEEB4C" w14:textId="77777777" w:rsidR="00834B83" w:rsidRPr="005269E6" w:rsidRDefault="00834B83" w:rsidP="0031505F">
            <w:pPr>
              <w:pStyle w:val="Tabletexte"/>
              <w:spacing w:before="40" w:after="40" w:line="240" w:lineRule="exact"/>
              <w:jc w:val="left"/>
              <w:rPr>
                <w:b/>
                <w:bCs/>
                <w:sz w:val="18"/>
                <w:szCs w:val="18"/>
                <w:lang w:val="en-GB" w:eastAsia="en-GB"/>
              </w:rPr>
            </w:pPr>
            <w:r w:rsidRPr="005269E6">
              <w:rPr>
                <w:b/>
                <w:bCs/>
                <w:sz w:val="18"/>
                <w:szCs w:val="18"/>
                <w:lang w:val="en-GB" w:eastAsia="en-GB"/>
              </w:rPr>
              <w:t>(24 442)</w:t>
            </w:r>
          </w:p>
        </w:tc>
        <w:tc>
          <w:tcPr>
            <w:tcW w:w="473" w:type="pct"/>
            <w:tcBorders>
              <w:top w:val="nil"/>
              <w:left w:val="nil"/>
              <w:bottom w:val="nil"/>
              <w:right w:val="nil"/>
            </w:tcBorders>
            <w:shd w:val="clear" w:color="000000" w:fill="538DD5"/>
            <w:noWrap/>
            <w:vAlign w:val="bottom"/>
            <w:hideMark/>
          </w:tcPr>
          <w:p w14:paraId="6185A909" w14:textId="77777777" w:rsidR="00834B83" w:rsidRPr="005269E6" w:rsidRDefault="00834B83" w:rsidP="0031505F">
            <w:pPr>
              <w:pStyle w:val="Tabletexte"/>
              <w:spacing w:before="40" w:after="40" w:line="240" w:lineRule="exact"/>
              <w:jc w:val="left"/>
              <w:rPr>
                <w:b/>
                <w:bCs/>
                <w:sz w:val="18"/>
                <w:szCs w:val="18"/>
                <w:lang w:val="en-GB" w:eastAsia="en-GB"/>
              </w:rPr>
            </w:pPr>
          </w:p>
        </w:tc>
      </w:tr>
    </w:tbl>
    <w:p w14:paraId="633FC7CC" w14:textId="77777777" w:rsidR="00834B83" w:rsidRPr="005269E6" w:rsidRDefault="00834B83" w:rsidP="00834B83">
      <w:r w:rsidRPr="005269E6">
        <w:rPr>
          <w:i/>
          <w:iCs/>
          <w:rtl/>
          <w:lang w:bidi="ar"/>
        </w:rPr>
        <w:t>تشكل</w:t>
      </w:r>
      <w:r w:rsidRPr="005269E6">
        <w:rPr>
          <w:i/>
          <w:iCs/>
          <w:lang w:val="en" w:bidi="ar-SY"/>
        </w:rPr>
        <w:t xml:space="preserve"> </w:t>
      </w:r>
      <w:r w:rsidRPr="005269E6">
        <w:rPr>
          <w:i/>
          <w:iCs/>
          <w:rtl/>
          <w:lang w:bidi="ar"/>
        </w:rPr>
        <w:t>الملاحظات</w:t>
      </w:r>
      <w:r w:rsidRPr="005269E6">
        <w:rPr>
          <w:i/>
          <w:iCs/>
          <w:lang w:val="en" w:bidi="ar-SY"/>
        </w:rPr>
        <w:t xml:space="preserve"> </w:t>
      </w:r>
      <w:r w:rsidRPr="005269E6">
        <w:rPr>
          <w:i/>
          <w:iCs/>
          <w:rtl/>
          <w:lang w:bidi="ar"/>
        </w:rPr>
        <w:t>المرفقة</w:t>
      </w:r>
      <w:r w:rsidRPr="005269E6">
        <w:rPr>
          <w:i/>
          <w:iCs/>
          <w:lang w:val="en" w:bidi="ar-SY"/>
        </w:rPr>
        <w:t xml:space="preserve"> </w:t>
      </w:r>
      <w:r w:rsidRPr="005269E6">
        <w:rPr>
          <w:i/>
          <w:iCs/>
          <w:rtl/>
          <w:lang w:bidi="ar"/>
        </w:rPr>
        <w:t>جزءا</w:t>
      </w:r>
      <w:r w:rsidRPr="005269E6">
        <w:rPr>
          <w:i/>
          <w:iCs/>
          <w:lang w:val="en" w:bidi="ar-SY"/>
        </w:rPr>
        <w:t xml:space="preserve"> </w:t>
      </w:r>
      <w:r w:rsidRPr="005269E6">
        <w:rPr>
          <w:i/>
          <w:iCs/>
          <w:rtl/>
          <w:lang w:bidi="ar-EG"/>
        </w:rPr>
        <w:t xml:space="preserve">أساسياً </w:t>
      </w:r>
      <w:r w:rsidRPr="005269E6">
        <w:rPr>
          <w:i/>
          <w:iCs/>
          <w:rtl/>
          <w:lang w:bidi="ar"/>
        </w:rPr>
        <w:t>من</w:t>
      </w:r>
      <w:r w:rsidRPr="005269E6">
        <w:rPr>
          <w:i/>
          <w:iCs/>
          <w:lang w:val="en" w:bidi="ar-SY"/>
        </w:rPr>
        <w:t xml:space="preserve"> </w:t>
      </w:r>
      <w:r w:rsidRPr="005269E6">
        <w:rPr>
          <w:i/>
          <w:iCs/>
          <w:rtl/>
          <w:lang w:bidi="ar"/>
        </w:rPr>
        <w:t>هذه</w:t>
      </w:r>
      <w:r w:rsidRPr="005269E6">
        <w:rPr>
          <w:i/>
          <w:iCs/>
          <w:lang w:val="en" w:bidi="ar-SY"/>
        </w:rPr>
        <w:t xml:space="preserve"> </w:t>
      </w:r>
      <w:r w:rsidRPr="005269E6">
        <w:rPr>
          <w:i/>
          <w:iCs/>
          <w:rtl/>
          <w:lang w:bidi="ar"/>
        </w:rPr>
        <w:t>البيانات</w:t>
      </w:r>
      <w:r w:rsidRPr="005269E6">
        <w:rPr>
          <w:i/>
          <w:iCs/>
          <w:lang w:val="en" w:bidi="ar-SY"/>
        </w:rPr>
        <w:t xml:space="preserve"> </w:t>
      </w:r>
      <w:r w:rsidRPr="005269E6">
        <w:rPr>
          <w:i/>
          <w:iCs/>
          <w:rtl/>
          <w:lang w:bidi="ar"/>
        </w:rPr>
        <w:t>المالية</w:t>
      </w:r>
      <w:r w:rsidRPr="005269E6">
        <w:rPr>
          <w:i/>
          <w:iCs/>
          <w:lang w:val="en" w:bidi="ar-SY"/>
        </w:rPr>
        <w:t>.</w:t>
      </w:r>
    </w:p>
    <w:p w14:paraId="20E0C3EA" w14:textId="77777777" w:rsidR="00834B83" w:rsidRPr="005269E6" w:rsidRDefault="00834B83" w:rsidP="00834B83">
      <w:pPr>
        <w:rPr>
          <w:i/>
          <w:iCs/>
          <w:lang w:bidi="ar-SY"/>
        </w:rPr>
      </w:pPr>
      <w:r w:rsidRPr="005269E6">
        <w:rPr>
          <w:i/>
          <w:iCs/>
          <w:rtl/>
          <w:lang w:bidi="ar-SY"/>
        </w:rPr>
        <w:t>ولمزيد من المعلومات، انظر الملاحظة 25.</w:t>
      </w:r>
    </w:p>
    <w:p w14:paraId="69C8A393" w14:textId="77777777" w:rsidR="00834B83" w:rsidRPr="005269E6" w:rsidRDefault="00834B83" w:rsidP="00834B83">
      <w:pPr>
        <w:tabs>
          <w:tab w:val="clear" w:pos="794"/>
        </w:tabs>
        <w:spacing w:before="0" w:after="160" w:line="259" w:lineRule="auto"/>
        <w:jc w:val="left"/>
        <w:rPr>
          <w:rtl/>
          <w:lang w:bidi="ar-SY"/>
        </w:rPr>
      </w:pPr>
      <w:r w:rsidRPr="005269E6">
        <w:rPr>
          <w:rtl/>
          <w:lang w:bidi="ar-SY"/>
        </w:rPr>
        <w:br w:type="page"/>
      </w:r>
    </w:p>
    <w:p w14:paraId="513827C0" w14:textId="77777777" w:rsidR="00834B83" w:rsidRPr="005269E6" w:rsidRDefault="00834B83" w:rsidP="00834B83">
      <w:pPr>
        <w:pStyle w:val="Heading1"/>
        <w:rPr>
          <w:rtl/>
        </w:rPr>
      </w:pPr>
      <w:bookmarkStart w:id="76" w:name="_Toc387338321"/>
      <w:bookmarkStart w:id="77" w:name="_Toc397499184"/>
      <w:bookmarkStart w:id="78" w:name="_Toc397499897"/>
      <w:bookmarkStart w:id="79" w:name="_Toc419483231"/>
      <w:bookmarkStart w:id="80" w:name="_Toc452156141"/>
      <w:bookmarkStart w:id="81" w:name="_Toc452156598"/>
      <w:bookmarkStart w:id="82" w:name="_Toc482793691"/>
      <w:bookmarkStart w:id="83" w:name="_Toc511402205"/>
      <w:bookmarkStart w:id="84" w:name="_Toc511756642"/>
      <w:bookmarkStart w:id="85" w:name="_Toc520365436"/>
      <w:bookmarkStart w:id="86" w:name="_Toc9598875"/>
      <w:bookmarkStart w:id="87" w:name="_Toc9598971"/>
      <w:bookmarkStart w:id="88" w:name="_Toc9614684"/>
      <w:bookmarkStart w:id="89" w:name="_Toc9614761"/>
      <w:bookmarkStart w:id="90" w:name="_Toc42012328"/>
      <w:bookmarkStart w:id="91" w:name="_Toc42013348"/>
      <w:bookmarkStart w:id="92" w:name="_Toc42013521"/>
      <w:bookmarkStart w:id="93" w:name="_Toc42014517"/>
      <w:bookmarkStart w:id="94" w:name="_Toc74061038"/>
      <w:bookmarkStart w:id="95" w:name="_Toc74061160"/>
      <w:bookmarkStart w:id="96" w:name="_Toc74061549"/>
      <w:bookmarkStart w:id="97" w:name="_Toc162520618"/>
      <w:bookmarkStart w:id="98" w:name="_Toc329296003"/>
      <w:bookmarkStart w:id="99" w:name="_Toc358648322"/>
      <w:bookmarkStart w:id="100" w:name="_Toc358648521"/>
      <w:bookmarkStart w:id="101" w:name="_Toc387263369"/>
      <w:r w:rsidRPr="005269E6">
        <w:rPr>
          <w:rtl/>
        </w:rPr>
        <w:lastRenderedPageBreak/>
        <w:t>ملاحظات بشأن البيانات المالية</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259D96C" w14:textId="77777777" w:rsidR="00834B83" w:rsidRPr="005269E6" w:rsidRDefault="00834B83" w:rsidP="00696AA6">
      <w:pPr>
        <w:pStyle w:val="Heading5"/>
        <w:rPr>
          <w:rtl/>
        </w:rPr>
      </w:pPr>
      <w:bookmarkStart w:id="102" w:name="_Toc387338322"/>
      <w:bookmarkStart w:id="103" w:name="_Toc419484047"/>
      <w:bookmarkStart w:id="104" w:name="_Toc452156599"/>
      <w:bookmarkStart w:id="105" w:name="_Toc482792201"/>
      <w:bookmarkStart w:id="106" w:name="_Toc482793692"/>
      <w:bookmarkStart w:id="107" w:name="_Toc511402206"/>
      <w:bookmarkStart w:id="108" w:name="_Toc511756643"/>
      <w:bookmarkStart w:id="109" w:name="_Toc9614762"/>
      <w:bookmarkStart w:id="110" w:name="_Toc42013522"/>
      <w:bookmarkStart w:id="111" w:name="_Toc42014518"/>
      <w:bookmarkStart w:id="112" w:name="_Toc74061550"/>
      <w:bookmarkStart w:id="113" w:name="_Toc162520619"/>
      <w:r w:rsidRPr="005269E6">
        <w:rPr>
          <w:rtl/>
        </w:rPr>
        <w:t xml:space="preserve">الملاحظة </w:t>
      </w:r>
      <w:r w:rsidRPr="005269E6">
        <w:t>1</w:t>
      </w:r>
      <w:r w:rsidRPr="005269E6">
        <w:rPr>
          <w:rtl/>
        </w:rPr>
        <w:tab/>
      </w:r>
      <w:bookmarkEnd w:id="98"/>
      <w:bookmarkEnd w:id="99"/>
      <w:bookmarkEnd w:id="100"/>
      <w:bookmarkEnd w:id="101"/>
      <w:bookmarkEnd w:id="102"/>
      <w:bookmarkEnd w:id="103"/>
      <w:bookmarkEnd w:id="104"/>
      <w:r w:rsidRPr="005269E6">
        <w:rPr>
          <w:rtl/>
        </w:rPr>
        <w:t>أهداف الاتحاد</w:t>
      </w:r>
      <w:bookmarkEnd w:id="105"/>
      <w:bookmarkEnd w:id="106"/>
      <w:bookmarkEnd w:id="107"/>
      <w:bookmarkEnd w:id="108"/>
      <w:bookmarkEnd w:id="109"/>
      <w:bookmarkEnd w:id="110"/>
      <w:bookmarkEnd w:id="111"/>
      <w:bookmarkEnd w:id="112"/>
      <w:bookmarkEnd w:id="113"/>
    </w:p>
    <w:p w14:paraId="7BF6FAEB" w14:textId="77777777" w:rsidR="00834B83" w:rsidRPr="005269E6" w:rsidRDefault="00834B83" w:rsidP="00834B83">
      <w:pPr>
        <w:rPr>
          <w:spacing w:val="-2"/>
          <w:rtl/>
          <w:lang w:bidi="ar-EG"/>
        </w:rPr>
      </w:pPr>
      <w:r w:rsidRPr="005269E6">
        <w:rPr>
          <w:spacing w:val="-2"/>
          <w:rtl/>
          <w:lang w:bidi="ar-EG"/>
        </w:rPr>
        <w:t xml:space="preserve">الاتحاد الدولي للاتصالات </w:t>
      </w:r>
      <w:r w:rsidRPr="005269E6">
        <w:rPr>
          <w:spacing w:val="-2"/>
          <w:lang w:bidi="ar-EG"/>
        </w:rPr>
        <w:t>(ITU)</w:t>
      </w:r>
      <w:r w:rsidRPr="005269E6">
        <w:rPr>
          <w:spacing w:val="-2"/>
          <w:rtl/>
          <w:lang w:bidi="ar-EG"/>
        </w:rPr>
        <w:t xml:space="preserve"> هو وكالة متخصصة في </w:t>
      </w:r>
      <w:hyperlink r:id="rId14" w:history="1">
        <w:r w:rsidRPr="005269E6">
          <w:rPr>
            <w:color w:val="0000FF"/>
            <w:spacing w:val="-2"/>
            <w:u w:val="single"/>
            <w:rtl/>
            <w:lang w:bidi="ar-EG"/>
          </w:rPr>
          <w:t>منظومة الأمم المتحدة</w:t>
        </w:r>
      </w:hyperlink>
      <w:r w:rsidRPr="005269E6">
        <w:rPr>
          <w:spacing w:val="-2"/>
          <w:rtl/>
          <w:lang w:bidi="ar-EG"/>
        </w:rPr>
        <w:t xml:space="preserve"> بالنسبة لشؤون تكنولوجيا المعلومات والاتصالات </w:t>
      </w:r>
      <w:r w:rsidRPr="005269E6">
        <w:rPr>
          <w:spacing w:val="-2"/>
          <w:lang w:bidi="ar-EG"/>
        </w:rPr>
        <w:t>(ICT)</w:t>
      </w:r>
      <w:r w:rsidRPr="005269E6">
        <w:rPr>
          <w:spacing w:val="-2"/>
          <w:rtl/>
          <w:lang w:bidi="ar-EG"/>
        </w:rPr>
        <w:t xml:space="preserve">. ولما كان الاتحاد المحفل العالمي الذي تلتقي فيه السلطات العامة والقطاع الخاص، فإنه يتيح للعالم إمكانية التواصل وذلك في ثلاثة قطاعات أساسية، ألا وهي </w:t>
      </w:r>
      <w:hyperlink r:id="rId15" w:history="1">
        <w:r w:rsidRPr="005269E6">
          <w:rPr>
            <w:color w:val="0000FF"/>
            <w:spacing w:val="-2"/>
            <w:u w:val="single"/>
            <w:rtl/>
            <w:lang w:bidi="ar-EG"/>
          </w:rPr>
          <w:t xml:space="preserve">قطاع الاتصالات الراديوية </w:t>
        </w:r>
        <w:r w:rsidRPr="005269E6">
          <w:rPr>
            <w:color w:val="0000FF"/>
            <w:spacing w:val="-2"/>
            <w:u w:val="single"/>
            <w:lang w:bidi="ar-EG"/>
          </w:rPr>
          <w:t>(ITU-R)</w:t>
        </w:r>
      </w:hyperlink>
      <w:r w:rsidRPr="005269E6">
        <w:rPr>
          <w:spacing w:val="-2"/>
          <w:rtl/>
          <w:lang w:bidi="ar-EG"/>
        </w:rPr>
        <w:t xml:space="preserve"> </w:t>
      </w:r>
      <w:r w:rsidRPr="005269E6">
        <w:rPr>
          <w:spacing w:val="-2"/>
          <w:rtl/>
        </w:rPr>
        <w:t>و</w:t>
      </w:r>
      <w:hyperlink r:id="rId16" w:history="1">
        <w:r w:rsidRPr="005269E6">
          <w:rPr>
            <w:rStyle w:val="Hyperlink"/>
            <w:spacing w:val="-2"/>
            <w:rtl/>
          </w:rPr>
          <w:t>قطاع تقييس الاتصالات </w:t>
        </w:r>
        <w:r w:rsidRPr="005269E6">
          <w:rPr>
            <w:rStyle w:val="Hyperlink"/>
            <w:spacing w:val="-2"/>
          </w:rPr>
          <w:t>(ITU-T)</w:t>
        </w:r>
      </w:hyperlink>
      <w:r w:rsidRPr="005269E6">
        <w:rPr>
          <w:spacing w:val="-2"/>
          <w:rtl/>
          <w:lang w:bidi="ar-EG"/>
        </w:rPr>
        <w:t xml:space="preserve"> </w:t>
      </w:r>
      <w:r w:rsidRPr="005269E6">
        <w:rPr>
          <w:spacing w:val="-2"/>
          <w:rtl/>
        </w:rPr>
        <w:t>و</w:t>
      </w:r>
      <w:hyperlink r:id="rId17" w:history="1">
        <w:r w:rsidRPr="005269E6">
          <w:rPr>
            <w:rStyle w:val="Hyperlink"/>
            <w:spacing w:val="-2"/>
            <w:rtl/>
          </w:rPr>
          <w:t>قطاع تنمية الاتصالات </w:t>
        </w:r>
        <w:r w:rsidRPr="005269E6">
          <w:rPr>
            <w:rStyle w:val="Hyperlink"/>
            <w:spacing w:val="-2"/>
          </w:rPr>
          <w:t>(ITU-D)</w:t>
        </w:r>
      </w:hyperlink>
      <w:r w:rsidRPr="005269E6">
        <w:rPr>
          <w:spacing w:val="-2"/>
          <w:rtl/>
        </w:rPr>
        <w:t>.</w:t>
      </w:r>
      <w:r w:rsidRPr="005269E6">
        <w:rPr>
          <w:spacing w:val="-2"/>
          <w:rtl/>
          <w:lang w:bidi="ar-EG"/>
        </w:rPr>
        <w:t xml:space="preserve"> ويعترف الاتحاد لكل دولة اعترافاً كاملاً بحقها السيادي في تنظيم اتصالاتها.</w:t>
      </w:r>
    </w:p>
    <w:p w14:paraId="4D04FEC9" w14:textId="77777777" w:rsidR="00834B83" w:rsidRPr="005269E6" w:rsidRDefault="00834B83" w:rsidP="00834B83">
      <w:pPr>
        <w:rPr>
          <w:rtl/>
          <w:lang w:bidi="ar-EG"/>
        </w:rPr>
      </w:pPr>
      <w:r w:rsidRPr="005269E6">
        <w:rPr>
          <w:rtl/>
          <w:lang w:bidi="ar-EG"/>
        </w:rPr>
        <w:t xml:space="preserve">وكان الاتحاد، هو المسؤول الأول عن تنظيم </w:t>
      </w:r>
      <w:hyperlink r:id="rId18" w:history="1">
        <w:r w:rsidRPr="005269E6">
          <w:rPr>
            <w:color w:val="0000FF"/>
            <w:u w:val="single"/>
            <w:rtl/>
            <w:lang w:bidi="ar-EG"/>
          </w:rPr>
          <w:t>القمة العالمية لمجتمع المعلومات</w:t>
        </w:r>
      </w:hyperlink>
      <w:r w:rsidRPr="005269E6">
        <w:rPr>
          <w:rtl/>
          <w:lang w:bidi="ar-EG"/>
        </w:rPr>
        <w:t>.</w:t>
      </w:r>
    </w:p>
    <w:p w14:paraId="53AF30C5" w14:textId="77777777" w:rsidR="00834B83" w:rsidRPr="005269E6" w:rsidRDefault="00834B83" w:rsidP="00834B83">
      <w:pPr>
        <w:rPr>
          <w:rtl/>
          <w:lang w:bidi="ar-EG"/>
        </w:rPr>
      </w:pPr>
      <w:r w:rsidRPr="005269E6">
        <w:rPr>
          <w:rtl/>
          <w:lang w:bidi="ar-EG"/>
        </w:rPr>
        <w:t xml:space="preserve">ويتخذ الاتحاد مقره في ميدان الأمم في جنيف، سويسرا، </w:t>
      </w:r>
      <w:r w:rsidRPr="005269E6">
        <w:rPr>
          <w:lang w:bidi="ar-EG"/>
        </w:rPr>
        <w:t>(Place des Nations, 1211 Geneva 20, Switzerland)</w:t>
      </w:r>
      <w:r w:rsidRPr="005269E6">
        <w:rPr>
          <w:rtl/>
          <w:lang w:bidi="ar-EG"/>
        </w:rPr>
        <w:t xml:space="preserve">، ويضم </w:t>
      </w:r>
      <w:r w:rsidRPr="005269E6">
        <w:rPr>
          <w:lang w:bidi="ar-EG"/>
        </w:rPr>
        <w:t>193</w:t>
      </w:r>
      <w:r w:rsidRPr="005269E6">
        <w:rPr>
          <w:rtl/>
          <w:lang w:bidi="ar-EG"/>
        </w:rPr>
        <w:t> </w:t>
      </w:r>
      <w:hyperlink r:id="rId19" w:history="1">
        <w:r w:rsidRPr="005269E6">
          <w:rPr>
            <w:color w:val="0000FF"/>
            <w:u w:val="single"/>
            <w:rtl/>
            <w:lang w:bidi="ar-EG"/>
          </w:rPr>
          <w:t>دولة عضواً</w:t>
        </w:r>
      </w:hyperlink>
      <w:r w:rsidRPr="005269E6">
        <w:rPr>
          <w:rtl/>
          <w:lang w:bidi="ar-EG"/>
        </w:rPr>
        <w:t xml:space="preserve"> وما ينوف عن </w:t>
      </w:r>
      <w:r w:rsidRPr="005269E6">
        <w:rPr>
          <w:lang w:bidi="ar-EG"/>
        </w:rPr>
        <w:t>1 200</w:t>
      </w:r>
      <w:r w:rsidRPr="005269E6">
        <w:rPr>
          <w:rtl/>
          <w:lang w:bidi="ar-EG"/>
        </w:rPr>
        <w:t xml:space="preserve"> </w:t>
      </w:r>
      <w:hyperlink r:id="rId20" w:history="1">
        <w:r w:rsidRPr="005269E6">
          <w:rPr>
            <w:color w:val="0000FF"/>
            <w:u w:val="single"/>
            <w:rtl/>
            <w:lang w:bidi="ar-EG"/>
          </w:rPr>
          <w:t>عضو قطاع</w:t>
        </w:r>
      </w:hyperlink>
      <w:r w:rsidRPr="005269E6">
        <w:rPr>
          <w:rtl/>
          <w:lang w:bidi="ar-EG"/>
        </w:rPr>
        <w:t xml:space="preserve"> و</w:t>
      </w:r>
      <w:hyperlink r:id="rId21" w:history="1">
        <w:r w:rsidRPr="005269E6">
          <w:rPr>
            <w:rStyle w:val="Hyperlink"/>
            <w:rtl/>
            <w:lang w:bidi="ar-EG"/>
          </w:rPr>
          <w:t>منتسب</w:t>
        </w:r>
      </w:hyperlink>
      <w:r w:rsidRPr="005269E6">
        <w:rPr>
          <w:rtl/>
          <w:lang w:bidi="ar-EG"/>
        </w:rPr>
        <w:t xml:space="preserve"> و</w:t>
      </w:r>
      <w:hyperlink r:id="rId22" w:history="1">
        <w:r w:rsidRPr="005269E6">
          <w:rPr>
            <w:rStyle w:val="Hyperlink"/>
            <w:rtl/>
            <w:lang w:bidi="ar-EG"/>
          </w:rPr>
          <w:t>هيئة أكاديمية</w:t>
        </w:r>
      </w:hyperlink>
      <w:r w:rsidRPr="005269E6">
        <w:rPr>
          <w:rtl/>
          <w:lang w:bidi="ar-EG"/>
        </w:rPr>
        <w:t>. ولدى الاتحاد أربعة مكاتب إقليمية وثمانية مكاتب شبه إقليمية ومكتب اتصال لدى الأمم المتحدة في نيويورك ووحدة تنسيق في المقر لشؤون أوروبا.</w:t>
      </w:r>
    </w:p>
    <w:p w14:paraId="02EEE7E9" w14:textId="77777777" w:rsidR="00834B83" w:rsidRPr="005269E6" w:rsidRDefault="00834B83" w:rsidP="00834B83">
      <w:pPr>
        <w:rPr>
          <w:rtl/>
          <w:lang w:bidi="ar-EG"/>
        </w:rPr>
      </w:pPr>
      <w:r w:rsidRPr="005269E6">
        <w:rPr>
          <w:rtl/>
          <w:lang w:bidi="ar-EG"/>
        </w:rPr>
        <w:t>ويصبو الاتحاد إلى تحقيق الأهداف التالية:</w:t>
      </w:r>
    </w:p>
    <w:p w14:paraId="2243902A" w14:textId="77777777" w:rsidR="00834B83" w:rsidRPr="005269E6" w:rsidRDefault="00834B83" w:rsidP="00834B83">
      <w:pPr>
        <w:pStyle w:val="enumlev1"/>
        <w:rPr>
          <w:rtl/>
        </w:rPr>
      </w:pPr>
      <w:bookmarkStart w:id="114" w:name="_Toc520365437"/>
      <w:r w:rsidRPr="005269E6">
        <w:rPr>
          <w:rtl/>
        </w:rPr>
        <w:t>-</w:t>
      </w:r>
      <w:r w:rsidRPr="005269E6">
        <w:rPr>
          <w:rtl/>
        </w:rPr>
        <w:tab/>
        <w:t>الحفاظ على التعاون الدولي بين جميع دوله الأعضاء وتوسيعه، لتحسين الاتصالات بجميع أنواعها وترشيد استعمالها؛</w:t>
      </w:r>
      <w:bookmarkEnd w:id="114"/>
    </w:p>
    <w:p w14:paraId="14FE6FC8" w14:textId="77777777" w:rsidR="00834B83" w:rsidRPr="005269E6" w:rsidRDefault="00834B83" w:rsidP="00834B83">
      <w:pPr>
        <w:pStyle w:val="enumlev1"/>
        <w:rPr>
          <w:rtl/>
          <w:lang w:bidi="ar-EG"/>
        </w:rPr>
      </w:pPr>
      <w:bookmarkStart w:id="115" w:name="_Toc520365438"/>
      <w:r w:rsidRPr="005269E6">
        <w:rPr>
          <w:rtl/>
        </w:rPr>
        <w:t>-</w:t>
      </w:r>
      <w:r w:rsidRPr="005269E6">
        <w:rPr>
          <w:rtl/>
        </w:rPr>
        <w:tab/>
        <w:t>تشجيع تنمية الوسائل التقنية وتشغيلها أفضل تشغيل، بغية تحسين مردودية خدمات الاتصالات وزيادة فائدتها، وإتاحتها للجمهور إلى أقصى حد ممكن؛</w:t>
      </w:r>
      <w:bookmarkEnd w:id="115"/>
    </w:p>
    <w:p w14:paraId="001311F1" w14:textId="77777777" w:rsidR="00834B83" w:rsidRPr="005269E6" w:rsidRDefault="00834B83" w:rsidP="00834B83">
      <w:pPr>
        <w:pStyle w:val="enumlev1"/>
        <w:rPr>
          <w:rtl/>
        </w:rPr>
      </w:pPr>
      <w:bookmarkStart w:id="116" w:name="_Toc520365439"/>
      <w:r w:rsidRPr="005269E6">
        <w:rPr>
          <w:rtl/>
        </w:rPr>
        <w:t>-</w:t>
      </w:r>
      <w:r w:rsidRPr="005269E6">
        <w:rPr>
          <w:rtl/>
        </w:rPr>
        <w:tab/>
        <w:t>السعي إلى إيصال مزايا التكنولوجيات الجديدة في الاتصالات إلى جميع سكان العالم؛</w:t>
      </w:r>
      <w:bookmarkEnd w:id="116"/>
    </w:p>
    <w:p w14:paraId="76A40C8F" w14:textId="77777777" w:rsidR="00834B83" w:rsidRPr="005269E6" w:rsidRDefault="00834B83" w:rsidP="00834B83">
      <w:pPr>
        <w:pStyle w:val="enumlev1"/>
        <w:rPr>
          <w:rtl/>
        </w:rPr>
      </w:pPr>
      <w:bookmarkStart w:id="117" w:name="_Toc520365440"/>
      <w:r w:rsidRPr="005269E6">
        <w:rPr>
          <w:rtl/>
        </w:rPr>
        <w:t>-</w:t>
      </w:r>
      <w:r w:rsidRPr="005269E6">
        <w:rPr>
          <w:rtl/>
        </w:rPr>
        <w:tab/>
        <w:t>الترويج لاستعمال خدمات الاتصالات في سبيل تسهيل العلاقات السلمية؛</w:t>
      </w:r>
      <w:bookmarkEnd w:id="117"/>
    </w:p>
    <w:p w14:paraId="0E82CB21" w14:textId="77777777" w:rsidR="00834B83" w:rsidRPr="005269E6" w:rsidRDefault="00834B83" w:rsidP="00834B83">
      <w:pPr>
        <w:pStyle w:val="enumlev1"/>
        <w:rPr>
          <w:rtl/>
        </w:rPr>
      </w:pPr>
      <w:bookmarkStart w:id="118" w:name="_Toc520365441"/>
      <w:r w:rsidRPr="005269E6">
        <w:rPr>
          <w:rtl/>
        </w:rPr>
        <w:t>-</w:t>
      </w:r>
      <w:r w:rsidRPr="005269E6">
        <w:rPr>
          <w:rtl/>
        </w:rPr>
        <w:tab/>
        <w:t>تنسيق جهود الدول الأعضاء وتشجيع كل ما هو مثمر وبنّاء من تعاون وشراكة بين الدول الأعضاء وأعضاء القطاعات لبلوغ هذه الغايات؛</w:t>
      </w:r>
      <w:bookmarkEnd w:id="118"/>
    </w:p>
    <w:p w14:paraId="4AB777F2" w14:textId="77777777" w:rsidR="00834B83" w:rsidRPr="005269E6" w:rsidRDefault="00834B83" w:rsidP="00834B83">
      <w:pPr>
        <w:pStyle w:val="enumlev1"/>
        <w:rPr>
          <w:rtl/>
        </w:rPr>
      </w:pPr>
      <w:bookmarkStart w:id="119" w:name="_Toc520365442"/>
      <w:r w:rsidRPr="005269E6">
        <w:rPr>
          <w:rtl/>
        </w:rPr>
        <w:t>-</w:t>
      </w:r>
      <w:r w:rsidRPr="005269E6">
        <w:rPr>
          <w:rtl/>
        </w:rPr>
        <w:tab/>
      </w:r>
      <w:r w:rsidRPr="005269E6">
        <w:rPr>
          <w:rtl/>
          <w:lang w:bidi="ar-EG"/>
        </w:rPr>
        <w:t>و</w:t>
      </w:r>
      <w:r w:rsidRPr="005269E6">
        <w:rPr>
          <w:rtl/>
        </w:rPr>
        <w:t>الترويج على الصعيد الدولي لاعتماد نهج أوسع شمولاً في تناول مسائل الاتصالات نظراً للطابع العالمي الذي يتسم به اقتصاد المعلومات ومجتمع المعلومات، وذلك عن طريق التعاون مع المنظمات الدولية الحكومية الأخرى، الإقليمية منها والعالمية، ومع المنظمات غير الحكومية المهتمة بالاتصالات.</w:t>
      </w:r>
      <w:bookmarkEnd w:id="119"/>
    </w:p>
    <w:p w14:paraId="7B815946" w14:textId="77777777" w:rsidR="00834B83" w:rsidRPr="005269E6" w:rsidRDefault="00834B83" w:rsidP="00834B83">
      <w:pPr>
        <w:rPr>
          <w:rtl/>
          <w:lang w:bidi="ar-EG"/>
        </w:rPr>
      </w:pPr>
      <w:r w:rsidRPr="005269E6">
        <w:rPr>
          <w:rtl/>
          <w:lang w:bidi="ar-EG"/>
        </w:rPr>
        <w:t>ولهذا الغرض، يضطلع الاتحاد بوجه خاص بما يلي:</w:t>
      </w:r>
    </w:p>
    <w:p w14:paraId="2C4AD4E2" w14:textId="77777777" w:rsidR="00834B83" w:rsidRPr="005269E6" w:rsidRDefault="00834B83" w:rsidP="00834B83">
      <w:pPr>
        <w:pStyle w:val="enumlev1"/>
        <w:rPr>
          <w:rtl/>
        </w:rPr>
      </w:pPr>
      <w:bookmarkStart w:id="120" w:name="_Toc520365443"/>
      <w:r w:rsidRPr="005269E6">
        <w:rPr>
          <w:rtl/>
        </w:rPr>
        <w:t>-</w:t>
      </w:r>
      <w:r w:rsidRPr="005269E6">
        <w:rPr>
          <w:rtl/>
        </w:rPr>
        <w:tab/>
        <w:t>يقوم بتوزيع نطاقات ترددات الطيف الراديوي، وتعيين الترددات الراديوية، وتسجيل الترددات الراديوية المخصصة، وعندما يتعلق الأمر بالخدمات الفضائية يسجل كل المواقع المدارية ذات الصلة على مدار السواتل المستقرة بالنسبة إلى الأرض، إضافةً إلى الخصائص ذات الصلة والمتعلقة بسواتل في مدارات أخرى، لتجنب التداخلات الضارة بين محطات الاتصالات الراديوية لمختلف البلدان؛</w:t>
      </w:r>
      <w:bookmarkEnd w:id="120"/>
    </w:p>
    <w:p w14:paraId="4DD59EB8" w14:textId="77777777" w:rsidR="00834B83" w:rsidRPr="005269E6" w:rsidRDefault="00834B83" w:rsidP="00834B83">
      <w:pPr>
        <w:pStyle w:val="enumlev1"/>
        <w:rPr>
          <w:rtl/>
        </w:rPr>
      </w:pPr>
      <w:bookmarkStart w:id="121" w:name="_Toc520365444"/>
      <w:r w:rsidRPr="005269E6">
        <w:rPr>
          <w:rtl/>
        </w:rPr>
        <w:t>-</w:t>
      </w:r>
      <w:r w:rsidRPr="005269E6">
        <w:rPr>
          <w:rtl/>
        </w:rPr>
        <w:tab/>
        <w:t>ينسق الجهود لإزالة التداخلات الضارة بين محطات الاتصالات الراديوية لمختلف البلدان، ولتحسين استعمال طيف الترددات الراديوية من أجل خدمات الاتصالات الراديوية وتحسين استعمال مدار السواتل المستقرة بالنسبة إلى الأرض والمدارات الساتلية الأخرى؛</w:t>
      </w:r>
      <w:bookmarkEnd w:id="121"/>
    </w:p>
    <w:p w14:paraId="1736D0AA" w14:textId="77777777" w:rsidR="00834B83" w:rsidRPr="005269E6" w:rsidRDefault="00834B83" w:rsidP="00834B83">
      <w:pPr>
        <w:pStyle w:val="enumlev1"/>
        <w:rPr>
          <w:rtl/>
        </w:rPr>
      </w:pPr>
      <w:bookmarkStart w:id="122" w:name="_Toc520365445"/>
      <w:r w:rsidRPr="005269E6">
        <w:rPr>
          <w:rtl/>
        </w:rPr>
        <w:t>-</w:t>
      </w:r>
      <w:r w:rsidRPr="005269E6">
        <w:rPr>
          <w:rtl/>
        </w:rPr>
        <w:tab/>
        <w:t>يسهل تقييس الاتصالات على الصعيد العالمي مع نوعية خدمة مُرضية؛</w:t>
      </w:r>
      <w:bookmarkEnd w:id="122"/>
    </w:p>
    <w:p w14:paraId="2CEFB8BD" w14:textId="77777777" w:rsidR="00834B83" w:rsidRPr="005269E6" w:rsidRDefault="00834B83" w:rsidP="00834B83">
      <w:pPr>
        <w:pStyle w:val="enumlev1"/>
        <w:rPr>
          <w:rtl/>
        </w:rPr>
      </w:pPr>
      <w:bookmarkStart w:id="123" w:name="_Toc520365446"/>
      <w:r w:rsidRPr="005269E6">
        <w:rPr>
          <w:rtl/>
        </w:rPr>
        <w:t>-</w:t>
      </w:r>
      <w:r w:rsidRPr="005269E6">
        <w:rPr>
          <w:rtl/>
        </w:rPr>
        <w:tab/>
        <w:t>يشجع التعاون والتضامن الدوليين بغية تأمين المساعدة التقنية للبلدان النامية، وإقامة منشآت الاتصالات وشبكاتها في البلدان النامية، وتطويرها وتحسينها، بجميع الوسائل المتوفرة لديه، بما في ذلك مشاركته في برنامج الأمم المتحدة المناسب واستعمال موارده الخاصة حسب الحاجة؛</w:t>
      </w:r>
      <w:bookmarkEnd w:id="123"/>
    </w:p>
    <w:p w14:paraId="038F003B" w14:textId="77777777" w:rsidR="00834B83" w:rsidRPr="005269E6" w:rsidRDefault="00834B83" w:rsidP="00834B83">
      <w:pPr>
        <w:pStyle w:val="enumlev1"/>
        <w:rPr>
          <w:rtl/>
        </w:rPr>
      </w:pPr>
      <w:bookmarkStart w:id="124" w:name="_Toc520365447"/>
      <w:r w:rsidRPr="005269E6">
        <w:rPr>
          <w:rtl/>
        </w:rPr>
        <w:t>-</w:t>
      </w:r>
      <w:r w:rsidRPr="005269E6">
        <w:rPr>
          <w:rtl/>
        </w:rPr>
        <w:tab/>
        <w:t>ينسق الجهود لتحقيق الانسجام في تنمية وسائل الاتصالات، لا سيما الوسائل التي تستدعي تقنيات فضائية، حتى تتم الاستفادة المثلى مما توفره من إمكانيات؛</w:t>
      </w:r>
      <w:bookmarkEnd w:id="124"/>
    </w:p>
    <w:p w14:paraId="20089B8C" w14:textId="77777777" w:rsidR="00834B83" w:rsidRPr="005269E6" w:rsidRDefault="00834B83" w:rsidP="00834B83">
      <w:pPr>
        <w:pStyle w:val="enumlev1"/>
        <w:rPr>
          <w:rtl/>
        </w:rPr>
      </w:pPr>
      <w:bookmarkStart w:id="125" w:name="_Toc520365448"/>
      <w:r w:rsidRPr="005269E6">
        <w:rPr>
          <w:rtl/>
        </w:rPr>
        <w:t>-</w:t>
      </w:r>
      <w:r w:rsidRPr="005269E6">
        <w:rPr>
          <w:rtl/>
        </w:rPr>
        <w:tab/>
        <w:t>يشجع التعاون بين الدول الأعضاء وأعضاء القطاعات في سبيل إقرار معدلات للتعريفات في أدنى مستويات ممكنة تتلاءم مع تقديم خدمة جيدة وتأخذ في الاعتبار ضرورة وجود إدارة مالية مستقلة للاتصالات تقوم على أسس سليمة؛</w:t>
      </w:r>
      <w:bookmarkEnd w:id="125"/>
    </w:p>
    <w:p w14:paraId="0544019C" w14:textId="77777777" w:rsidR="00834B83" w:rsidRPr="005269E6" w:rsidRDefault="00834B83" w:rsidP="00834B83">
      <w:pPr>
        <w:pStyle w:val="enumlev1"/>
        <w:rPr>
          <w:rtl/>
        </w:rPr>
      </w:pPr>
      <w:bookmarkStart w:id="126" w:name="_Toc520365449"/>
      <w:r w:rsidRPr="005269E6">
        <w:rPr>
          <w:rtl/>
        </w:rPr>
        <w:t>-</w:t>
      </w:r>
      <w:r w:rsidRPr="005269E6">
        <w:rPr>
          <w:rtl/>
        </w:rPr>
        <w:tab/>
        <w:t>يعمل على اعتماد تدابير تُمكّن من تأمين سلامة الحياة البشرية بالتعاون بين خدمات الاتصالات؛</w:t>
      </w:r>
      <w:bookmarkEnd w:id="126"/>
    </w:p>
    <w:p w14:paraId="1CFE768B" w14:textId="77777777" w:rsidR="00834B83" w:rsidRPr="005269E6" w:rsidRDefault="00834B83" w:rsidP="00834B83">
      <w:pPr>
        <w:pStyle w:val="enumlev1"/>
        <w:rPr>
          <w:rtl/>
        </w:rPr>
      </w:pPr>
      <w:bookmarkStart w:id="127" w:name="_Toc520365450"/>
      <w:r w:rsidRPr="005269E6">
        <w:rPr>
          <w:rtl/>
        </w:rPr>
        <w:t>-</w:t>
      </w:r>
      <w:r w:rsidRPr="005269E6">
        <w:rPr>
          <w:rtl/>
        </w:rPr>
        <w:tab/>
        <w:t>يقوم في مجال الاتصالات بإجراء الدراسات وإقرار اللوائح التنظيمية واعتماد القرارات وصياغة التوصيات والآراء وجمع المعلومات ونشرها؛</w:t>
      </w:r>
      <w:bookmarkEnd w:id="127"/>
    </w:p>
    <w:p w14:paraId="6916872A" w14:textId="77777777" w:rsidR="00834B83" w:rsidRPr="005269E6" w:rsidRDefault="00834B83" w:rsidP="00834B83">
      <w:pPr>
        <w:pStyle w:val="enumlev1"/>
        <w:rPr>
          <w:rtl/>
        </w:rPr>
      </w:pPr>
      <w:bookmarkStart w:id="128" w:name="_Toc520365451"/>
      <w:r w:rsidRPr="005269E6">
        <w:rPr>
          <w:rtl/>
        </w:rPr>
        <w:lastRenderedPageBreak/>
        <w:t>-</w:t>
      </w:r>
      <w:r w:rsidRPr="005269E6">
        <w:rPr>
          <w:rtl/>
        </w:rPr>
        <w:tab/>
        <w:t xml:space="preserve">يعمل جاهداً مع هيئات التمويل والتنمية الدولية على وضع شروط ائتمان تفضيلية ومؤاتيه، تستخدم في تطوير مشاريع اجتماعية تهدف، </w:t>
      </w:r>
      <w:r w:rsidRPr="005269E6">
        <w:rPr>
          <w:i/>
          <w:iCs/>
          <w:rtl/>
        </w:rPr>
        <w:t>فيما تهدف</w:t>
      </w:r>
      <w:r w:rsidRPr="005269E6">
        <w:rPr>
          <w:rtl/>
        </w:rPr>
        <w:t>، إلى توسيع خدمات الاتصالات لتصل إلى أكثر المناطق عزلة في مختلف البلدان؛</w:t>
      </w:r>
      <w:bookmarkEnd w:id="128"/>
    </w:p>
    <w:p w14:paraId="204C39D7" w14:textId="77777777" w:rsidR="00834B83" w:rsidRPr="005269E6" w:rsidRDefault="00834B83" w:rsidP="00834B83">
      <w:pPr>
        <w:pStyle w:val="enumlev1"/>
        <w:rPr>
          <w:rtl/>
        </w:rPr>
      </w:pPr>
      <w:bookmarkStart w:id="129" w:name="_Toc520365452"/>
      <w:r w:rsidRPr="005269E6">
        <w:rPr>
          <w:rtl/>
        </w:rPr>
        <w:t>-</w:t>
      </w:r>
      <w:r w:rsidRPr="005269E6">
        <w:rPr>
          <w:rtl/>
        </w:rPr>
        <w:tab/>
        <w:t>يشجع مشاركة الكيانات المعنية في أنشطة الاتحاد، والتعاون مع المنظمات الإقليمية وغيرها من المنظمات بغية بلوغ أهداف الاتحاد.</w:t>
      </w:r>
      <w:bookmarkEnd w:id="129"/>
    </w:p>
    <w:p w14:paraId="2753AFF1" w14:textId="77777777" w:rsidR="00834B83" w:rsidRPr="005269E6" w:rsidRDefault="00834B83" w:rsidP="00834B83">
      <w:pPr>
        <w:rPr>
          <w:rtl/>
        </w:rPr>
      </w:pPr>
      <w:r w:rsidRPr="005269E6">
        <w:rPr>
          <w:rtl/>
        </w:rPr>
        <w:t>ومؤتمر المندوبين المفوضين هو الهيئة العليا في الاتحاد. وهو إذ يُدعى إلى الانعقاد كل أربع سنوات، يقوم بما يلي:</w:t>
      </w:r>
    </w:p>
    <w:p w14:paraId="50918B4A" w14:textId="77777777" w:rsidR="00834B83" w:rsidRPr="005269E6" w:rsidRDefault="00834B83" w:rsidP="00834B83">
      <w:pPr>
        <w:pStyle w:val="enumlev1"/>
        <w:rPr>
          <w:rtl/>
        </w:rPr>
      </w:pPr>
      <w:bookmarkStart w:id="130" w:name="_Toc520365453"/>
      <w:r w:rsidRPr="005269E6">
        <w:sym w:font="Symbol" w:char="F0B7"/>
      </w:r>
      <w:r w:rsidRPr="005269E6">
        <w:rPr>
          <w:rtl/>
        </w:rPr>
        <w:tab/>
        <w:t>يضع السياسات العامة للاتحاد؛</w:t>
      </w:r>
      <w:bookmarkEnd w:id="130"/>
    </w:p>
    <w:p w14:paraId="7A996E72" w14:textId="77777777" w:rsidR="00834B83" w:rsidRPr="005269E6" w:rsidRDefault="00834B83" w:rsidP="00834B83">
      <w:pPr>
        <w:pStyle w:val="enumlev1"/>
        <w:rPr>
          <w:rtl/>
        </w:rPr>
      </w:pPr>
      <w:bookmarkStart w:id="131" w:name="_Toc520365454"/>
      <w:r w:rsidRPr="005269E6">
        <w:sym w:font="Symbol" w:char="F0B7"/>
      </w:r>
      <w:r w:rsidRPr="005269E6">
        <w:rPr>
          <w:rtl/>
        </w:rPr>
        <w:tab/>
        <w:t>ويعتمد الخطتين الاستراتيجية والمالية لفترة أربع سنوات؛</w:t>
      </w:r>
      <w:bookmarkEnd w:id="131"/>
    </w:p>
    <w:p w14:paraId="6B2F0013" w14:textId="77777777" w:rsidR="00834B83" w:rsidRPr="005269E6" w:rsidRDefault="00834B83" w:rsidP="00834B83">
      <w:pPr>
        <w:rPr>
          <w:rtl/>
        </w:rPr>
      </w:pPr>
      <w:bookmarkStart w:id="132" w:name="_Toc520365455"/>
      <w:r w:rsidRPr="005269E6">
        <w:sym w:font="Symbol" w:char="F0B7"/>
      </w:r>
      <w:r w:rsidRPr="005269E6">
        <w:rPr>
          <w:rtl/>
        </w:rPr>
        <w:tab/>
        <w:t>وينتخب فريق الإدارة العليا للمنظمة والدول الأعضاء في </w:t>
      </w:r>
      <w:hyperlink r:id="rId23" w:history="1">
        <w:r w:rsidRPr="005269E6">
          <w:rPr>
            <w:rStyle w:val="Hyperlink"/>
            <w:rtl/>
          </w:rPr>
          <w:t>المجلس</w:t>
        </w:r>
      </w:hyperlink>
      <w:r w:rsidRPr="005269E6">
        <w:rPr>
          <w:rtl/>
        </w:rPr>
        <w:t xml:space="preserve"> وأعضاء </w:t>
      </w:r>
      <w:hyperlink r:id="rId24" w:history="1">
        <w:r w:rsidRPr="005269E6">
          <w:rPr>
            <w:rStyle w:val="Hyperlink"/>
            <w:rtl/>
          </w:rPr>
          <w:t>لجنة لوائح الراديو</w:t>
        </w:r>
      </w:hyperlink>
      <w:r w:rsidRPr="005269E6">
        <w:rPr>
          <w:rtl/>
        </w:rPr>
        <w:t>.</w:t>
      </w:r>
      <w:bookmarkEnd w:id="132"/>
    </w:p>
    <w:p w14:paraId="0522D211" w14:textId="77777777" w:rsidR="00834B83" w:rsidRPr="005269E6" w:rsidRDefault="00834B83" w:rsidP="00834B83">
      <w:pPr>
        <w:rPr>
          <w:rtl/>
          <w:lang w:bidi="ar-EG"/>
        </w:rPr>
      </w:pPr>
      <w:r w:rsidRPr="005269E6">
        <w:rPr>
          <w:rtl/>
          <w:lang w:bidi="ar-EG"/>
        </w:rPr>
        <w:t>ومؤتمر المندوبين المفوضين هو الحدث الرئيسي الذي تقرر خلاله الدول الأعضاء الدور المستقبلي للمنظمة، ويتحدد بذلك نفوذ المنظمة وقدرتها على التأثير على تنمية تكنولوجيا المعلومات والاتصالات على الصعيد العالمي.</w:t>
      </w:r>
    </w:p>
    <w:p w14:paraId="23E17EB7" w14:textId="77777777" w:rsidR="00834B83" w:rsidRPr="005269E6" w:rsidRDefault="00834B83" w:rsidP="00834B83">
      <w:pPr>
        <w:rPr>
          <w:rtl/>
          <w:lang w:bidi="ar-EG"/>
        </w:rPr>
      </w:pPr>
      <w:r w:rsidRPr="005269E6">
        <w:rPr>
          <w:rtl/>
          <w:lang w:bidi="ar-EG"/>
        </w:rPr>
        <w:t>ويشارك أيضاً أعضاء القطاعات والمنظمات الإقليمية للاتصالات والمنظمات الحكومية الدولية، إلى جانب منظمة الأمم المتحدة ووكالاتها المتخصصة، في أعمال المؤتمر بصفة مراقب.</w:t>
      </w:r>
    </w:p>
    <w:p w14:paraId="1CC6F039" w14:textId="77777777" w:rsidR="00834B83" w:rsidRPr="005269E6" w:rsidRDefault="00834B83" w:rsidP="00696AA6">
      <w:pPr>
        <w:pStyle w:val="Heading5"/>
      </w:pPr>
      <w:bookmarkStart w:id="133" w:name="_Toc162520620"/>
      <w:r w:rsidRPr="005269E6">
        <w:rPr>
          <w:rtl/>
        </w:rPr>
        <w:t xml:space="preserve">الملاحظة </w:t>
      </w:r>
      <w:r w:rsidRPr="005269E6">
        <w:t>2</w:t>
      </w:r>
      <w:r w:rsidRPr="005269E6">
        <w:rPr>
          <w:rtl/>
        </w:rPr>
        <w:tab/>
        <w:t>أساس الإعداد والعرض</w:t>
      </w:r>
      <w:bookmarkEnd w:id="133"/>
    </w:p>
    <w:p w14:paraId="16FA87F6" w14:textId="77777777" w:rsidR="00834B83" w:rsidRPr="005269E6" w:rsidRDefault="00834B83" w:rsidP="00834B83">
      <w:pPr>
        <w:rPr>
          <w:rtl/>
        </w:rPr>
      </w:pPr>
      <w:r w:rsidRPr="005269E6">
        <w:rPr>
          <w:rtl/>
        </w:rPr>
        <w:t>أعدت البيانات المالية لعام 2022 على أساس الاستحقاق وفقاً للمعايير المحاسبية الدولية للقطاع العام (</w:t>
      </w:r>
      <w:r w:rsidRPr="005269E6">
        <w:rPr>
          <w:lang w:bidi="ar-SY"/>
        </w:rPr>
        <w:t>IPSAS</w:t>
      </w:r>
      <w:r w:rsidRPr="005269E6">
        <w:rPr>
          <w:rtl/>
        </w:rPr>
        <w:t xml:space="preserve">) التي وضعها ووافق عليها المجلس الدولي للمعايير المحاسبية للقطاع العام </w:t>
      </w:r>
      <w:r w:rsidRPr="005269E6">
        <w:t>(IPSASB)</w:t>
      </w:r>
      <w:r w:rsidRPr="005269E6">
        <w:rPr>
          <w:rtl/>
        </w:rPr>
        <w:t>. و</w:t>
      </w:r>
      <w:r w:rsidRPr="005269E6">
        <w:rPr>
          <w:rtl/>
          <w:lang w:bidi="ar-EG"/>
        </w:rPr>
        <w:t xml:space="preserve">تمتد </w:t>
      </w:r>
      <w:r w:rsidRPr="005269E6">
        <w:rPr>
          <w:rtl/>
        </w:rPr>
        <w:t xml:space="preserve">السنة المالية من </w:t>
      </w:r>
      <w:bookmarkStart w:id="134" w:name="_Hlk160608588"/>
      <w:r w:rsidRPr="005269E6">
        <w:rPr>
          <w:rtl/>
        </w:rPr>
        <w:t xml:space="preserve">شهر </w:t>
      </w:r>
      <w:bookmarkEnd w:id="134"/>
      <w:r w:rsidRPr="005269E6">
        <w:rPr>
          <w:rtl/>
        </w:rPr>
        <w:t>يناير إلى شهر ديسمبر. وقد أعدت هذه النماذج باستخدام اصطلاح التكاليف التاريخية. وتسجَّل الاستثمارات والقروض بالقيمة العادلة والتكلفة المستهلَكة على التوالي.</w:t>
      </w:r>
    </w:p>
    <w:p w14:paraId="243EA643" w14:textId="383835B3" w:rsidR="00834B83" w:rsidRPr="005269E6" w:rsidRDefault="00834B83" w:rsidP="00834B83">
      <w:pPr>
        <w:rPr>
          <w:rtl/>
        </w:rPr>
      </w:pPr>
      <w:r w:rsidRPr="005269E6">
        <w:rPr>
          <w:rtl/>
          <w:lang w:bidi="ar"/>
        </w:rPr>
        <w:t>وتنص</w:t>
      </w:r>
      <w:r w:rsidRPr="005269E6">
        <w:rPr>
          <w:lang w:val="en" w:bidi="ar-SY"/>
        </w:rPr>
        <w:t xml:space="preserve"> </w:t>
      </w:r>
      <w:r w:rsidRPr="005269E6">
        <w:rPr>
          <w:rtl/>
          <w:lang w:bidi="ar"/>
        </w:rPr>
        <w:t>اللوائح</w:t>
      </w:r>
      <w:r w:rsidRPr="005269E6">
        <w:rPr>
          <w:lang w:val="en" w:bidi="ar-SY"/>
        </w:rPr>
        <w:t xml:space="preserve"> </w:t>
      </w:r>
      <w:r w:rsidRPr="005269E6">
        <w:rPr>
          <w:rtl/>
          <w:lang w:bidi="ar"/>
        </w:rPr>
        <w:t>المالية</w:t>
      </w:r>
      <w:r w:rsidRPr="005269E6">
        <w:rPr>
          <w:lang w:val="en" w:bidi="ar-SY"/>
        </w:rPr>
        <w:t xml:space="preserve"> </w:t>
      </w:r>
      <w:r w:rsidRPr="005269E6">
        <w:rPr>
          <w:rtl/>
          <w:lang w:bidi="ar"/>
        </w:rPr>
        <w:t>والقواعد</w:t>
      </w:r>
      <w:r w:rsidRPr="005269E6">
        <w:rPr>
          <w:lang w:val="en" w:bidi="ar-SY"/>
        </w:rPr>
        <w:t xml:space="preserve"> </w:t>
      </w:r>
      <w:r w:rsidRPr="005269E6">
        <w:rPr>
          <w:rtl/>
          <w:lang w:bidi="ar"/>
        </w:rPr>
        <w:t>المالية</w:t>
      </w:r>
      <w:r w:rsidRPr="005269E6">
        <w:rPr>
          <w:lang w:val="en" w:bidi="ar-SY"/>
        </w:rPr>
        <w:t xml:space="preserve"> </w:t>
      </w:r>
      <w:r w:rsidRPr="005269E6">
        <w:rPr>
          <w:rtl/>
          <w:lang w:bidi="ar"/>
        </w:rPr>
        <w:t>للاتحاد</w:t>
      </w:r>
      <w:r w:rsidRPr="005269E6">
        <w:rPr>
          <w:lang w:val="en" w:bidi="ar-SY"/>
        </w:rPr>
        <w:t xml:space="preserve"> </w:t>
      </w:r>
      <w:r w:rsidRPr="005269E6">
        <w:rPr>
          <w:rtl/>
          <w:lang w:bidi="ar"/>
        </w:rPr>
        <w:t>على</w:t>
      </w:r>
      <w:r w:rsidRPr="005269E6">
        <w:rPr>
          <w:lang w:val="en" w:bidi="ar-SY"/>
        </w:rPr>
        <w:t xml:space="preserve"> </w:t>
      </w:r>
      <w:r w:rsidRPr="005269E6">
        <w:rPr>
          <w:rtl/>
          <w:lang w:bidi="ar"/>
        </w:rPr>
        <w:t>فترة</w:t>
      </w:r>
      <w:r w:rsidRPr="005269E6">
        <w:rPr>
          <w:lang w:val="en" w:bidi="ar-SY"/>
        </w:rPr>
        <w:t xml:space="preserve"> </w:t>
      </w:r>
      <w:r w:rsidRPr="005269E6">
        <w:rPr>
          <w:rtl/>
          <w:lang w:bidi="ar"/>
        </w:rPr>
        <w:t>ميزانية</w:t>
      </w:r>
      <w:r w:rsidRPr="005269E6">
        <w:rPr>
          <w:lang w:val="en" w:bidi="ar-SY"/>
        </w:rPr>
        <w:t xml:space="preserve"> </w:t>
      </w:r>
      <w:r w:rsidRPr="005269E6">
        <w:rPr>
          <w:rtl/>
          <w:lang w:bidi="ar"/>
        </w:rPr>
        <w:t>لفترة</w:t>
      </w:r>
      <w:r w:rsidRPr="005269E6">
        <w:rPr>
          <w:lang w:val="en" w:bidi="ar-SY"/>
        </w:rPr>
        <w:t xml:space="preserve"> </w:t>
      </w:r>
      <w:r w:rsidRPr="005269E6">
        <w:rPr>
          <w:rtl/>
          <w:lang w:bidi="ar"/>
        </w:rPr>
        <w:t>سنتين؛</w:t>
      </w:r>
      <w:r w:rsidRPr="005269E6">
        <w:rPr>
          <w:lang w:val="en" w:bidi="ar-SY"/>
        </w:rPr>
        <w:t xml:space="preserve"> </w:t>
      </w:r>
      <w:r w:rsidRPr="005269E6">
        <w:rPr>
          <w:rtl/>
          <w:lang w:bidi="ar"/>
        </w:rPr>
        <w:t>ولكن توخياً</w:t>
      </w:r>
      <w:r w:rsidR="00B448E3" w:rsidRPr="005269E6">
        <w:rPr>
          <w:rFonts w:hint="cs"/>
          <w:rtl/>
          <w:lang w:bidi="ar"/>
        </w:rPr>
        <w:t xml:space="preserve"> لل</w:t>
      </w:r>
      <w:r w:rsidRPr="005269E6">
        <w:rPr>
          <w:rtl/>
          <w:lang w:bidi="ar"/>
        </w:rPr>
        <w:t>تنفيذ</w:t>
      </w:r>
      <w:r w:rsidRPr="005269E6">
        <w:rPr>
          <w:lang w:val="en" w:bidi="ar-SY"/>
        </w:rPr>
        <w:t xml:space="preserve"> </w:t>
      </w:r>
      <w:r w:rsidRPr="005269E6">
        <w:rPr>
          <w:rtl/>
          <w:lang w:bidi="ar"/>
        </w:rPr>
        <w:t>الكامل</w:t>
      </w:r>
      <w:r w:rsidRPr="005269E6">
        <w:rPr>
          <w:lang w:val="en" w:bidi="ar-SY"/>
        </w:rPr>
        <w:t xml:space="preserve"> </w:t>
      </w:r>
      <w:r w:rsidRPr="005269E6">
        <w:rPr>
          <w:rtl/>
          <w:lang w:bidi="ar"/>
        </w:rPr>
        <w:t>للمعايير</w:t>
      </w:r>
      <w:r w:rsidRPr="005269E6">
        <w:rPr>
          <w:lang w:val="en" w:bidi="ar-SY"/>
        </w:rPr>
        <w:t xml:space="preserve"> </w:t>
      </w:r>
      <w:r w:rsidRPr="005269E6">
        <w:rPr>
          <w:rtl/>
          <w:lang w:bidi="ar"/>
        </w:rPr>
        <w:t>المحاسبية</w:t>
      </w:r>
      <w:r w:rsidRPr="005269E6">
        <w:rPr>
          <w:lang w:val="en" w:bidi="ar-SY"/>
        </w:rPr>
        <w:t xml:space="preserve"> </w:t>
      </w:r>
      <w:r w:rsidRPr="005269E6">
        <w:rPr>
          <w:rtl/>
          <w:lang w:bidi="ar"/>
        </w:rPr>
        <w:t>الدولية للقطاع العام،</w:t>
      </w:r>
      <w:r w:rsidRPr="005269E6">
        <w:rPr>
          <w:lang w:val="en" w:bidi="ar-SY"/>
        </w:rPr>
        <w:t xml:space="preserve"> </w:t>
      </w:r>
      <w:r w:rsidRPr="005269E6">
        <w:rPr>
          <w:rtl/>
          <w:lang w:bidi="ar"/>
        </w:rPr>
        <w:t>تُعرض</w:t>
      </w:r>
      <w:r w:rsidRPr="005269E6">
        <w:rPr>
          <w:lang w:val="en" w:bidi="ar-SY"/>
        </w:rPr>
        <w:t xml:space="preserve"> </w:t>
      </w:r>
      <w:r w:rsidRPr="005269E6">
        <w:rPr>
          <w:rtl/>
          <w:lang w:bidi="ar"/>
        </w:rPr>
        <w:t>البيانات</w:t>
      </w:r>
      <w:r w:rsidRPr="005269E6">
        <w:rPr>
          <w:lang w:val="en" w:bidi="ar-SY"/>
        </w:rPr>
        <w:t xml:space="preserve"> </w:t>
      </w:r>
      <w:r w:rsidRPr="005269E6">
        <w:rPr>
          <w:rtl/>
          <w:lang w:bidi="ar"/>
        </w:rPr>
        <w:t>المالية</w:t>
      </w:r>
      <w:r w:rsidRPr="005269E6">
        <w:rPr>
          <w:lang w:val="en" w:bidi="ar-SY"/>
        </w:rPr>
        <w:t xml:space="preserve"> </w:t>
      </w:r>
      <w:r w:rsidRPr="005269E6">
        <w:rPr>
          <w:rtl/>
          <w:lang w:bidi="ar"/>
        </w:rPr>
        <w:t>على</w:t>
      </w:r>
      <w:r w:rsidRPr="005269E6">
        <w:rPr>
          <w:lang w:val="en" w:bidi="ar-SY"/>
        </w:rPr>
        <w:t xml:space="preserve"> </w:t>
      </w:r>
      <w:r w:rsidRPr="005269E6">
        <w:rPr>
          <w:rtl/>
          <w:lang w:bidi="ar"/>
        </w:rPr>
        <w:t>أساس</w:t>
      </w:r>
      <w:r w:rsidRPr="005269E6">
        <w:rPr>
          <w:lang w:val="en" w:bidi="ar-SY"/>
        </w:rPr>
        <w:t xml:space="preserve"> </w:t>
      </w:r>
      <w:r w:rsidRPr="005269E6">
        <w:rPr>
          <w:rtl/>
          <w:lang w:bidi="ar"/>
        </w:rPr>
        <w:t>سنوي</w:t>
      </w:r>
      <w:r w:rsidRPr="005269E6">
        <w:rPr>
          <w:lang w:val="en" w:bidi="ar-SY"/>
        </w:rPr>
        <w:t xml:space="preserve">. </w:t>
      </w:r>
      <w:r w:rsidRPr="005269E6">
        <w:rPr>
          <w:rtl/>
          <w:lang w:bidi="ar"/>
        </w:rPr>
        <w:t>وتُعرض</w:t>
      </w:r>
      <w:r w:rsidRPr="005269E6">
        <w:rPr>
          <w:lang w:val="en" w:bidi="ar-SY"/>
        </w:rPr>
        <w:t xml:space="preserve"> </w:t>
      </w:r>
      <w:r w:rsidRPr="005269E6">
        <w:rPr>
          <w:rtl/>
          <w:lang w:bidi="ar"/>
        </w:rPr>
        <w:t>البيانات</w:t>
      </w:r>
      <w:r w:rsidRPr="005269E6">
        <w:rPr>
          <w:lang w:val="en" w:bidi="ar-SY"/>
        </w:rPr>
        <w:t xml:space="preserve"> </w:t>
      </w:r>
      <w:r w:rsidRPr="005269E6">
        <w:rPr>
          <w:rtl/>
          <w:lang w:bidi="ar"/>
        </w:rPr>
        <w:t>المالية</w:t>
      </w:r>
      <w:r w:rsidRPr="005269E6">
        <w:rPr>
          <w:lang w:val="en" w:bidi="ar-SY"/>
        </w:rPr>
        <w:t xml:space="preserve"> </w:t>
      </w:r>
      <w:r w:rsidRPr="005269E6">
        <w:rPr>
          <w:rtl/>
          <w:lang w:bidi="ar"/>
        </w:rPr>
        <w:t>بالفرنك</w:t>
      </w:r>
      <w:r w:rsidRPr="005269E6">
        <w:rPr>
          <w:lang w:val="en" w:bidi="ar-SY"/>
        </w:rPr>
        <w:t xml:space="preserve"> </w:t>
      </w:r>
      <w:r w:rsidRPr="005269E6">
        <w:rPr>
          <w:rtl/>
          <w:lang w:bidi="ar"/>
        </w:rPr>
        <w:t>السويسري،</w:t>
      </w:r>
      <w:r w:rsidRPr="005269E6">
        <w:rPr>
          <w:lang w:val="en" w:bidi="ar-SY"/>
        </w:rPr>
        <w:t xml:space="preserve"> </w:t>
      </w:r>
      <w:r w:rsidRPr="005269E6">
        <w:rPr>
          <w:rtl/>
          <w:lang w:bidi="ar"/>
        </w:rPr>
        <w:t>وهو</w:t>
      </w:r>
      <w:r w:rsidRPr="005269E6">
        <w:rPr>
          <w:lang w:val="en" w:bidi="ar-SY"/>
        </w:rPr>
        <w:t xml:space="preserve"> </w:t>
      </w:r>
      <w:r w:rsidRPr="005269E6">
        <w:rPr>
          <w:rtl/>
          <w:lang w:bidi="ar"/>
        </w:rPr>
        <w:t>عملة</w:t>
      </w:r>
      <w:r w:rsidRPr="005269E6">
        <w:rPr>
          <w:lang w:val="en" w:bidi="ar-SY"/>
        </w:rPr>
        <w:t xml:space="preserve"> </w:t>
      </w:r>
      <w:r w:rsidRPr="005269E6">
        <w:rPr>
          <w:rtl/>
          <w:lang w:bidi="ar"/>
        </w:rPr>
        <w:t>التقارير</w:t>
      </w:r>
      <w:r w:rsidRPr="005269E6">
        <w:rPr>
          <w:lang w:val="en" w:bidi="ar-SY"/>
        </w:rPr>
        <w:t xml:space="preserve"> </w:t>
      </w:r>
      <w:r w:rsidRPr="005269E6">
        <w:rPr>
          <w:rtl/>
          <w:lang w:bidi="ar"/>
        </w:rPr>
        <w:t>والعملة</w:t>
      </w:r>
      <w:r w:rsidRPr="005269E6">
        <w:rPr>
          <w:lang w:val="en" w:bidi="ar-SY"/>
        </w:rPr>
        <w:t xml:space="preserve"> </w:t>
      </w:r>
      <w:r w:rsidRPr="005269E6">
        <w:rPr>
          <w:rtl/>
          <w:lang w:bidi="ar"/>
        </w:rPr>
        <w:t>الوظيفية</w:t>
      </w:r>
      <w:r w:rsidRPr="005269E6">
        <w:rPr>
          <w:lang w:val="en" w:bidi="ar-SY"/>
        </w:rPr>
        <w:t xml:space="preserve"> </w:t>
      </w:r>
      <w:r w:rsidRPr="005269E6">
        <w:rPr>
          <w:rtl/>
          <w:lang w:bidi="ar"/>
        </w:rPr>
        <w:t>للاتحاد</w:t>
      </w:r>
      <w:r w:rsidRPr="005269E6">
        <w:rPr>
          <w:lang w:val="en" w:bidi="ar-SY"/>
        </w:rPr>
        <w:t>.</w:t>
      </w:r>
    </w:p>
    <w:p w14:paraId="127D0D2B" w14:textId="77777777" w:rsidR="00834B83" w:rsidRPr="005269E6" w:rsidRDefault="00834B83" w:rsidP="00834B83">
      <w:pPr>
        <w:rPr>
          <w:rtl/>
        </w:rPr>
      </w:pPr>
      <w:r w:rsidRPr="005269E6">
        <w:rPr>
          <w:rtl/>
          <w:lang w:bidi="ar"/>
        </w:rPr>
        <w:t>وقد طبق</w:t>
      </w:r>
      <w:r w:rsidRPr="005269E6">
        <w:rPr>
          <w:lang w:val="en" w:bidi="ar-SY"/>
        </w:rPr>
        <w:t xml:space="preserve"> </w:t>
      </w:r>
      <w:r w:rsidRPr="005269E6">
        <w:rPr>
          <w:rtl/>
          <w:lang w:bidi="ar"/>
        </w:rPr>
        <w:t>الاتحاد</w:t>
      </w:r>
      <w:r w:rsidRPr="005269E6">
        <w:rPr>
          <w:lang w:val="en" w:bidi="ar-SY"/>
        </w:rPr>
        <w:t xml:space="preserve"> </w:t>
      </w:r>
      <w:r w:rsidRPr="005269E6">
        <w:rPr>
          <w:rtl/>
          <w:lang w:bidi="ar"/>
        </w:rPr>
        <w:t>متطلبات</w:t>
      </w:r>
      <w:r w:rsidRPr="005269E6">
        <w:rPr>
          <w:lang w:val="en" w:bidi="ar-SY"/>
        </w:rPr>
        <w:t xml:space="preserve"> </w:t>
      </w:r>
      <w:r w:rsidRPr="005269E6">
        <w:rPr>
          <w:rtl/>
          <w:lang w:bidi="ar"/>
        </w:rPr>
        <w:t>المعايير</w:t>
      </w:r>
      <w:r w:rsidRPr="005269E6">
        <w:rPr>
          <w:lang w:val="en" w:bidi="ar-SY"/>
        </w:rPr>
        <w:t xml:space="preserve"> </w:t>
      </w:r>
      <w:r w:rsidRPr="005269E6">
        <w:rPr>
          <w:rtl/>
          <w:lang w:bidi="ar"/>
        </w:rPr>
        <w:t>المحاسبية</w:t>
      </w:r>
      <w:r w:rsidRPr="005269E6">
        <w:rPr>
          <w:lang w:val="en" w:bidi="ar-SY"/>
        </w:rPr>
        <w:t xml:space="preserve"> </w:t>
      </w:r>
      <w:r w:rsidRPr="005269E6">
        <w:rPr>
          <w:rtl/>
          <w:lang w:bidi="ar"/>
        </w:rPr>
        <w:t>الدولية</w:t>
      </w:r>
      <w:r w:rsidRPr="005269E6">
        <w:rPr>
          <w:lang w:val="en" w:bidi="ar-SY"/>
        </w:rPr>
        <w:t xml:space="preserve"> </w:t>
      </w:r>
      <w:r w:rsidRPr="005269E6">
        <w:rPr>
          <w:rtl/>
          <w:lang w:bidi="ar"/>
        </w:rPr>
        <w:t>للقطاع</w:t>
      </w:r>
      <w:r w:rsidRPr="005269E6">
        <w:rPr>
          <w:lang w:val="en" w:bidi="ar-SY"/>
        </w:rPr>
        <w:t xml:space="preserve"> </w:t>
      </w:r>
      <w:r w:rsidRPr="005269E6">
        <w:rPr>
          <w:rtl/>
          <w:lang w:bidi="ar"/>
        </w:rPr>
        <w:t>العام</w:t>
      </w:r>
      <w:r w:rsidRPr="005269E6">
        <w:rPr>
          <w:lang w:val="en" w:bidi="ar-SY"/>
        </w:rPr>
        <w:t xml:space="preserve"> </w:t>
      </w:r>
      <w:r w:rsidRPr="005269E6">
        <w:rPr>
          <w:rtl/>
          <w:lang w:bidi="ar"/>
        </w:rPr>
        <w:t>السارية</w:t>
      </w:r>
      <w:r w:rsidRPr="005269E6">
        <w:rPr>
          <w:lang w:val="en" w:bidi="ar-SY"/>
        </w:rPr>
        <w:t xml:space="preserve"> </w:t>
      </w:r>
      <w:r w:rsidRPr="005269E6">
        <w:rPr>
          <w:rtl/>
          <w:lang w:bidi="ar"/>
        </w:rPr>
        <w:t>في</w:t>
      </w:r>
      <w:r w:rsidRPr="005269E6">
        <w:rPr>
          <w:lang w:val="en" w:bidi="ar-SY"/>
        </w:rPr>
        <w:t xml:space="preserve"> 1 </w:t>
      </w:r>
      <w:r w:rsidRPr="005269E6">
        <w:rPr>
          <w:rtl/>
          <w:lang w:bidi="ar"/>
        </w:rPr>
        <w:t>يناير</w:t>
      </w:r>
      <w:r w:rsidRPr="005269E6">
        <w:rPr>
          <w:lang w:val="en" w:bidi="ar-SY"/>
        </w:rPr>
        <w:t xml:space="preserve"> 2022 </w:t>
      </w:r>
      <w:r w:rsidRPr="005269E6">
        <w:rPr>
          <w:rtl/>
          <w:lang w:bidi="ar"/>
        </w:rPr>
        <w:t>والتزم بها،</w:t>
      </w:r>
      <w:r w:rsidRPr="005269E6">
        <w:rPr>
          <w:lang w:val="en" w:bidi="ar-SY"/>
        </w:rPr>
        <w:t xml:space="preserve"> </w:t>
      </w:r>
      <w:r w:rsidRPr="005269E6">
        <w:rPr>
          <w:rtl/>
          <w:lang w:bidi="ar"/>
        </w:rPr>
        <w:t>ويرد</w:t>
      </w:r>
      <w:r w:rsidRPr="005269E6">
        <w:rPr>
          <w:lang w:val="en" w:bidi="ar-SY"/>
        </w:rPr>
        <w:t xml:space="preserve"> </w:t>
      </w:r>
      <w:r w:rsidRPr="005269E6">
        <w:rPr>
          <w:rtl/>
        </w:rPr>
        <w:t>المبادئ المحاسبية</w:t>
      </w:r>
      <w:r w:rsidRPr="005269E6">
        <w:rPr>
          <w:lang w:val="en" w:bidi="ar-SY"/>
        </w:rPr>
        <w:t xml:space="preserve"> </w:t>
      </w:r>
      <w:r w:rsidRPr="005269E6">
        <w:rPr>
          <w:rtl/>
          <w:lang w:bidi="ar"/>
        </w:rPr>
        <w:t>المطبقة</w:t>
      </w:r>
      <w:r w:rsidRPr="005269E6">
        <w:rPr>
          <w:lang w:val="en" w:bidi="ar-SY"/>
        </w:rPr>
        <w:t xml:space="preserve"> </w:t>
      </w:r>
      <w:r w:rsidRPr="005269E6">
        <w:rPr>
          <w:rtl/>
          <w:lang w:bidi="ar"/>
        </w:rPr>
        <w:t>في</w:t>
      </w:r>
      <w:r w:rsidRPr="005269E6">
        <w:rPr>
          <w:lang w:val="en" w:bidi="ar-SY"/>
        </w:rPr>
        <w:t xml:space="preserve"> </w:t>
      </w:r>
      <w:r w:rsidRPr="005269E6">
        <w:rPr>
          <w:rtl/>
          <w:lang w:bidi="ar"/>
        </w:rPr>
        <w:t>الملاحظة 3.</w:t>
      </w:r>
      <w:r w:rsidRPr="005269E6">
        <w:rPr>
          <w:rtl/>
        </w:rPr>
        <w:t xml:space="preserve"> وتقرَّب القيم إلى أقرب ألف، ويعبر عنها أيضاً بملايين و/أو آلاف الفرنكات السويسرية ما لم يُنص على خلاف ذلك.</w:t>
      </w:r>
    </w:p>
    <w:p w14:paraId="626EE045" w14:textId="77777777" w:rsidR="00834B83" w:rsidRPr="005269E6" w:rsidRDefault="00834B83" w:rsidP="00834B83">
      <w:pPr>
        <w:rPr>
          <w:spacing w:val="2"/>
          <w:lang w:bidi="ar-SY"/>
        </w:rPr>
      </w:pPr>
      <w:r w:rsidRPr="005269E6">
        <w:rPr>
          <w:spacing w:val="2"/>
          <w:rtl/>
        </w:rPr>
        <w:t>وأعد الاتحاد البيانات المالية على أساس أنه سيستمر في العمل كمؤسسة عاملة، بعد أن تؤخذ في الاعتبار المؤثرات القائمة والمتوقعة لحالات عدم اليقين ذات الصلة بأنشطة المنظمة. ولا يزال الاتحاد يحظى بدعم من الدول الأعضاء لميزانيته المعتمدة لعام 2024، ويراقب النفقات لضمان إمكانية إدارة الوضع المالي والتدفقات النقدية في إطار الميزانيات والاحتياطيات المعتمدة للاتحاد.</w:t>
      </w:r>
    </w:p>
    <w:p w14:paraId="529E9301" w14:textId="77777777" w:rsidR="00834B83" w:rsidRPr="005269E6" w:rsidRDefault="00834B83" w:rsidP="00834B83">
      <w:pPr>
        <w:pStyle w:val="Headingb"/>
        <w:rPr>
          <w:lang w:bidi="ar-SY"/>
        </w:rPr>
      </w:pPr>
      <w:r w:rsidRPr="005269E6">
        <w:rPr>
          <w:rtl/>
          <w:lang w:bidi="ar-SY"/>
        </w:rPr>
        <w:t>الأحكام والتقديرات الرئيسية</w:t>
      </w:r>
    </w:p>
    <w:p w14:paraId="287A6255" w14:textId="519F9F74" w:rsidR="00834B83" w:rsidRPr="005269E6" w:rsidRDefault="00834B83" w:rsidP="00834B83">
      <w:pPr>
        <w:rPr>
          <w:lang w:bidi="ar-SY"/>
        </w:rPr>
      </w:pPr>
      <w:r w:rsidRPr="005269E6">
        <w:rPr>
          <w:rtl/>
        </w:rPr>
        <w:t>تتضمن البيانات المالية مبالغ تستند إلى أحكام وتقديرات وافتراضات الإدارة. وتبيَّن التغييرات في التقديرات في الفترة التي تصبح معروفة فيها. وتشمل التقديرات والافتراضات المهمة ما يلي: القياس ال</w:t>
      </w:r>
      <w:r w:rsidR="0059394B" w:rsidRPr="005269E6">
        <w:rPr>
          <w:rFonts w:hint="cs"/>
          <w:rtl/>
        </w:rPr>
        <w:t>إكتواري</w:t>
      </w:r>
      <w:r w:rsidRPr="005269E6">
        <w:rPr>
          <w:rtl/>
        </w:rPr>
        <w:t xml:space="preserve"> لاستحقاقات الموظفين؛ واختيار العمر الإنتاجي وأسلوب إهلاك/استهلاك الممتلكات والمنشآت والمعدات/الأصول غير المادية؛ وانخفاض قيمة الأصول؛ وتصنيف الصكوك المالية؛ وتقييم الأصول الاستثمارية؛ وإثبات الإيرادات؛ والأصول والخصوم المشروطة. وبعد النتائج الأولية للمراجعة الخارجية للحسابات لعام 2022، استعرض الاتحاد وراجع بعض السياسات المحاسبية الرئيسية وتطبيقها،</w:t>
      </w:r>
      <w:r w:rsidRPr="005269E6">
        <w:rPr>
          <w:rtl/>
          <w:lang w:bidi="ar-SY"/>
        </w:rPr>
        <w:t xml:space="preserve"> </w:t>
      </w:r>
      <w:r w:rsidRPr="005269E6">
        <w:rPr>
          <w:rtl/>
        </w:rPr>
        <w:t>وسعى إلى تعزيز إقرارات البيانات المالية. وتفصل الملاحظة 30 التغييرات المحددة التي يرد عرضها في هذه البيانات المالية وتعديلات السنة السابقة المرتبطة بها.</w:t>
      </w:r>
    </w:p>
    <w:p w14:paraId="7A1B2FF7" w14:textId="77777777" w:rsidR="00834B83" w:rsidRPr="005269E6" w:rsidRDefault="00834B83" w:rsidP="00834B83">
      <w:pPr>
        <w:pStyle w:val="Headingb"/>
        <w:rPr>
          <w:lang w:bidi="ar-SY"/>
        </w:rPr>
      </w:pPr>
      <w:r w:rsidRPr="005269E6">
        <w:rPr>
          <w:rtl/>
          <w:lang w:bidi="ar-SY"/>
        </w:rPr>
        <w:t>التغييرات المحاسبية المقبلة</w:t>
      </w:r>
    </w:p>
    <w:p w14:paraId="000C15D0" w14:textId="77777777" w:rsidR="00834B83" w:rsidRPr="005269E6" w:rsidRDefault="00834B83" w:rsidP="00B448E3">
      <w:pPr>
        <w:spacing w:after="120"/>
        <w:rPr>
          <w:lang w:bidi="ar-EG"/>
        </w:rPr>
      </w:pPr>
      <w:r w:rsidRPr="005269E6">
        <w:rPr>
          <w:rtl/>
        </w:rPr>
        <w:t>حتى 31 ديسمبر 2022، وهو تاريخ بيان الوضع المالي، صدرت المعايير المحاسبية الدولية التالية للقطاع العام (IPSAS)، ولكنها لم تكن سارية المفعول:</w:t>
      </w:r>
    </w:p>
    <w:tbl>
      <w:tblPr>
        <w:tblStyle w:val="TableGrid"/>
        <w:bidiVisual/>
        <w:tblW w:w="5000" w:type="pct"/>
        <w:jc w:val="center"/>
        <w:tblLayout w:type="fixed"/>
        <w:tblLook w:val="06A0" w:firstRow="1" w:lastRow="0" w:firstColumn="1" w:lastColumn="0" w:noHBand="1" w:noVBand="1"/>
      </w:tblPr>
      <w:tblGrid>
        <w:gridCol w:w="1182"/>
        <w:gridCol w:w="2072"/>
        <w:gridCol w:w="1559"/>
        <w:gridCol w:w="4816"/>
      </w:tblGrid>
      <w:tr w:rsidR="00834B83" w:rsidRPr="005269E6" w14:paraId="36E810C5" w14:textId="77777777" w:rsidTr="00B448E3">
        <w:trPr>
          <w:trHeight w:val="300"/>
          <w:tblHeader/>
          <w:jc w:val="center"/>
        </w:trPr>
        <w:tc>
          <w:tcPr>
            <w:tcW w:w="1182" w:type="dxa"/>
            <w:shd w:val="clear" w:color="auto" w:fill="538DD5"/>
          </w:tcPr>
          <w:p w14:paraId="6AAD826F" w14:textId="77777777" w:rsidR="00834B83" w:rsidRPr="005269E6" w:rsidRDefault="00834B83" w:rsidP="00AF61A6">
            <w:pPr>
              <w:pStyle w:val="TableHead"/>
              <w:spacing w:before="40" w:after="40"/>
              <w:rPr>
                <w:sz w:val="18"/>
                <w:szCs w:val="18"/>
                <w:rtl/>
                <w:lang w:bidi="ar-EG"/>
              </w:rPr>
            </w:pPr>
            <w:r w:rsidRPr="005269E6">
              <w:rPr>
                <w:sz w:val="18"/>
                <w:szCs w:val="18"/>
                <w:rtl/>
                <w:lang w:bidi="ar-EG"/>
              </w:rPr>
              <w:lastRenderedPageBreak/>
              <w:t>المعيار</w:t>
            </w:r>
          </w:p>
        </w:tc>
        <w:tc>
          <w:tcPr>
            <w:tcW w:w="2072" w:type="dxa"/>
            <w:shd w:val="clear" w:color="auto" w:fill="538DD5"/>
          </w:tcPr>
          <w:p w14:paraId="1D71CD2C" w14:textId="77777777" w:rsidR="00834B83" w:rsidRPr="005269E6" w:rsidRDefault="00834B83" w:rsidP="00AF61A6">
            <w:pPr>
              <w:pStyle w:val="TableHead"/>
              <w:spacing w:before="40" w:after="40"/>
              <w:rPr>
                <w:sz w:val="18"/>
                <w:szCs w:val="18"/>
              </w:rPr>
            </w:pPr>
            <w:r w:rsidRPr="005269E6">
              <w:rPr>
                <w:sz w:val="18"/>
                <w:szCs w:val="18"/>
                <w:rtl/>
              </w:rPr>
              <w:t>العنوان</w:t>
            </w:r>
          </w:p>
        </w:tc>
        <w:tc>
          <w:tcPr>
            <w:tcW w:w="1559" w:type="dxa"/>
            <w:shd w:val="clear" w:color="auto" w:fill="538DD5"/>
          </w:tcPr>
          <w:p w14:paraId="31D8C0DD" w14:textId="77777777" w:rsidR="00834B83" w:rsidRPr="005269E6" w:rsidRDefault="00834B83" w:rsidP="00AF61A6">
            <w:pPr>
              <w:pStyle w:val="TableHead"/>
              <w:spacing w:before="40" w:after="40"/>
              <w:rPr>
                <w:sz w:val="18"/>
                <w:szCs w:val="18"/>
              </w:rPr>
            </w:pPr>
            <w:r w:rsidRPr="005269E6">
              <w:rPr>
                <w:sz w:val="18"/>
                <w:szCs w:val="18"/>
                <w:rtl/>
                <w:lang w:bidi="ar-SY"/>
              </w:rPr>
              <w:t>التاريخ الفعلي</w:t>
            </w:r>
          </w:p>
        </w:tc>
        <w:tc>
          <w:tcPr>
            <w:tcW w:w="4816" w:type="dxa"/>
            <w:shd w:val="clear" w:color="auto" w:fill="538DD5"/>
          </w:tcPr>
          <w:p w14:paraId="636BBABF" w14:textId="77777777" w:rsidR="00834B83" w:rsidRPr="005269E6" w:rsidRDefault="00834B83" w:rsidP="00AF61A6">
            <w:pPr>
              <w:pStyle w:val="TableHead"/>
              <w:spacing w:before="40" w:after="40"/>
              <w:rPr>
                <w:sz w:val="18"/>
                <w:szCs w:val="18"/>
              </w:rPr>
            </w:pPr>
            <w:r w:rsidRPr="005269E6">
              <w:rPr>
                <w:sz w:val="18"/>
                <w:szCs w:val="18"/>
                <w:rtl/>
                <w:lang w:bidi="ar-SY"/>
              </w:rPr>
              <w:t>الأثر المحتمل في سنة الاعتماد</w:t>
            </w:r>
          </w:p>
        </w:tc>
      </w:tr>
      <w:tr w:rsidR="00834B83" w:rsidRPr="005269E6" w14:paraId="51AEB2AB" w14:textId="77777777" w:rsidTr="00B448E3">
        <w:trPr>
          <w:jc w:val="center"/>
        </w:trPr>
        <w:tc>
          <w:tcPr>
            <w:tcW w:w="1182" w:type="dxa"/>
          </w:tcPr>
          <w:p w14:paraId="7FD8382B" w14:textId="7BA596DC" w:rsidR="00834B83" w:rsidRPr="005269E6" w:rsidRDefault="00834B83" w:rsidP="00AF61A6">
            <w:pPr>
              <w:spacing w:before="40" w:after="40" w:line="260" w:lineRule="exact"/>
              <w:rPr>
                <w:sz w:val="18"/>
                <w:szCs w:val="18"/>
              </w:rPr>
            </w:pPr>
            <w:bookmarkStart w:id="135" w:name="lt_pId402"/>
            <w:r w:rsidRPr="005269E6">
              <w:rPr>
                <w:sz w:val="18"/>
                <w:szCs w:val="18"/>
              </w:rPr>
              <w:t>IPSAS 41</w:t>
            </w:r>
            <w:bookmarkEnd w:id="135"/>
          </w:p>
        </w:tc>
        <w:tc>
          <w:tcPr>
            <w:tcW w:w="2072" w:type="dxa"/>
          </w:tcPr>
          <w:p w14:paraId="24EFCB53" w14:textId="77777777" w:rsidR="00834B83" w:rsidRPr="005269E6" w:rsidRDefault="00834B83" w:rsidP="00AF61A6">
            <w:pPr>
              <w:spacing w:before="40" w:after="40" w:line="260" w:lineRule="exact"/>
              <w:rPr>
                <w:sz w:val="18"/>
                <w:szCs w:val="18"/>
              </w:rPr>
            </w:pPr>
            <w:r w:rsidRPr="005269E6">
              <w:rPr>
                <w:sz w:val="18"/>
                <w:szCs w:val="18"/>
                <w:rtl/>
              </w:rPr>
              <w:t>الصكوك المالية</w:t>
            </w:r>
          </w:p>
        </w:tc>
        <w:tc>
          <w:tcPr>
            <w:tcW w:w="1559" w:type="dxa"/>
          </w:tcPr>
          <w:p w14:paraId="1E57F2D1" w14:textId="77777777" w:rsidR="00834B83" w:rsidRPr="005269E6" w:rsidRDefault="00834B83" w:rsidP="00AF61A6">
            <w:pPr>
              <w:spacing w:before="40" w:after="40" w:line="260" w:lineRule="exact"/>
              <w:rPr>
                <w:sz w:val="18"/>
                <w:szCs w:val="18"/>
                <w:rtl/>
              </w:rPr>
            </w:pPr>
            <w:r w:rsidRPr="005269E6">
              <w:rPr>
                <w:sz w:val="18"/>
                <w:szCs w:val="18"/>
                <w:rtl/>
              </w:rPr>
              <w:t xml:space="preserve">01 </w:t>
            </w:r>
            <w:bookmarkStart w:id="136" w:name="lt_pId405"/>
            <w:r w:rsidRPr="005269E6">
              <w:rPr>
                <w:sz w:val="18"/>
                <w:szCs w:val="18"/>
                <w:rtl/>
              </w:rPr>
              <w:t>يناير 2023</w:t>
            </w:r>
            <w:bookmarkEnd w:id="136"/>
          </w:p>
        </w:tc>
        <w:tc>
          <w:tcPr>
            <w:tcW w:w="4816" w:type="dxa"/>
          </w:tcPr>
          <w:p w14:paraId="2F0AF03A" w14:textId="77777777" w:rsidR="00834B83" w:rsidRPr="005269E6" w:rsidRDefault="00834B83" w:rsidP="00AF61A6">
            <w:pPr>
              <w:spacing w:before="40" w:after="40" w:line="260" w:lineRule="exact"/>
              <w:rPr>
                <w:sz w:val="18"/>
                <w:szCs w:val="18"/>
              </w:rPr>
            </w:pPr>
            <w:r w:rsidRPr="005269E6">
              <w:rPr>
                <w:sz w:val="18"/>
                <w:szCs w:val="18"/>
                <w:rtl/>
              </w:rPr>
              <w:t>سيحل هذا المعيار محل المعيار IPSAS 29 (الصكوك المالية) الذي يضع مبادئ الإبلاغ المالي عن الأصول المالية والخصوم المالية لتقييم المبالغ والتوقيت وعدم اليقين في التدفقات النقدية المستقبلية للكيان. وقد قدرت المنظمة أن اعتماد المعيار سيكون له تأثير على مذكرة الإفصاح عن البيانات المالية، لأنه سيؤدي إلى تغييرات في المصطلحات وتطلُّب حسابات الخسارة الائتمانية المتوقعة (ECL). ويقوم الاتحاد حالياً بالتحديد الكمي لتأثير هذا المعيار على حساباته المالية.</w:t>
            </w:r>
          </w:p>
        </w:tc>
      </w:tr>
      <w:tr w:rsidR="00834B83" w:rsidRPr="005269E6" w14:paraId="64CF5B14" w14:textId="77777777" w:rsidTr="00B448E3">
        <w:trPr>
          <w:trHeight w:val="300"/>
          <w:jc w:val="center"/>
        </w:trPr>
        <w:tc>
          <w:tcPr>
            <w:tcW w:w="1182" w:type="dxa"/>
          </w:tcPr>
          <w:p w14:paraId="36091C8B" w14:textId="2FCA64CF" w:rsidR="00834B83" w:rsidRPr="005269E6" w:rsidRDefault="00834B83" w:rsidP="00AF61A6">
            <w:pPr>
              <w:spacing w:before="40" w:after="40" w:line="260" w:lineRule="exact"/>
              <w:rPr>
                <w:sz w:val="18"/>
                <w:szCs w:val="18"/>
              </w:rPr>
            </w:pPr>
            <w:bookmarkStart w:id="137" w:name="lt_pId409"/>
            <w:r w:rsidRPr="005269E6">
              <w:rPr>
                <w:sz w:val="18"/>
                <w:szCs w:val="18"/>
              </w:rPr>
              <w:t>IPSAS 42</w:t>
            </w:r>
            <w:bookmarkEnd w:id="137"/>
          </w:p>
        </w:tc>
        <w:tc>
          <w:tcPr>
            <w:tcW w:w="2072" w:type="dxa"/>
          </w:tcPr>
          <w:p w14:paraId="1698D2D8" w14:textId="77777777" w:rsidR="00834B83" w:rsidRPr="005269E6" w:rsidRDefault="00834B83" w:rsidP="00AF61A6">
            <w:pPr>
              <w:spacing w:before="40" w:after="40" w:line="260" w:lineRule="exact"/>
              <w:rPr>
                <w:sz w:val="18"/>
                <w:szCs w:val="18"/>
              </w:rPr>
            </w:pPr>
            <w:r w:rsidRPr="005269E6">
              <w:rPr>
                <w:sz w:val="18"/>
                <w:szCs w:val="18"/>
                <w:rtl/>
              </w:rPr>
              <w:t>الفوائد الاجتماعية</w:t>
            </w:r>
          </w:p>
        </w:tc>
        <w:tc>
          <w:tcPr>
            <w:tcW w:w="1559" w:type="dxa"/>
          </w:tcPr>
          <w:p w14:paraId="7FDD73D8" w14:textId="77777777" w:rsidR="00834B83" w:rsidRPr="005269E6" w:rsidRDefault="00834B83" w:rsidP="00AF61A6">
            <w:pPr>
              <w:spacing w:before="40" w:after="40" w:line="260" w:lineRule="exact"/>
              <w:rPr>
                <w:sz w:val="18"/>
                <w:szCs w:val="18"/>
              </w:rPr>
            </w:pPr>
            <w:r w:rsidRPr="005269E6">
              <w:rPr>
                <w:sz w:val="18"/>
                <w:szCs w:val="18"/>
                <w:rtl/>
              </w:rPr>
              <w:t>01 يناير 2023</w:t>
            </w:r>
          </w:p>
        </w:tc>
        <w:tc>
          <w:tcPr>
            <w:tcW w:w="4816" w:type="dxa"/>
          </w:tcPr>
          <w:p w14:paraId="6DB21B54" w14:textId="77777777" w:rsidR="00834B83" w:rsidRPr="005269E6" w:rsidRDefault="00834B83" w:rsidP="00AF61A6">
            <w:pPr>
              <w:spacing w:before="40" w:after="40" w:line="260" w:lineRule="exact"/>
              <w:rPr>
                <w:sz w:val="18"/>
                <w:szCs w:val="18"/>
              </w:rPr>
            </w:pPr>
            <w:r w:rsidRPr="005269E6">
              <w:rPr>
                <w:sz w:val="18"/>
                <w:szCs w:val="18"/>
                <w:rtl/>
              </w:rPr>
              <w:t>يحدد هذا المعيار المبادئ والمتطلبات المتعلقة بالاعتراف بالمزايا الاجتماعية وقياسها وعرضها في البيانات المالية. ولا يتوقع أن يؤثر هذا المعيار على البيانات المالية للمنظمة.</w:t>
            </w:r>
          </w:p>
        </w:tc>
      </w:tr>
      <w:tr w:rsidR="00834B83" w:rsidRPr="005269E6" w14:paraId="3C7A734D" w14:textId="77777777" w:rsidTr="00B448E3">
        <w:trPr>
          <w:jc w:val="center"/>
        </w:trPr>
        <w:tc>
          <w:tcPr>
            <w:tcW w:w="1182" w:type="dxa"/>
          </w:tcPr>
          <w:p w14:paraId="01E5E7F5" w14:textId="4122580A" w:rsidR="00834B83" w:rsidRPr="005269E6" w:rsidRDefault="00834B83" w:rsidP="00AF61A6">
            <w:pPr>
              <w:spacing w:before="40" w:after="40" w:line="260" w:lineRule="exact"/>
              <w:rPr>
                <w:sz w:val="18"/>
                <w:szCs w:val="18"/>
              </w:rPr>
            </w:pPr>
            <w:bookmarkStart w:id="138" w:name="lt_pId415"/>
            <w:r w:rsidRPr="005269E6">
              <w:rPr>
                <w:sz w:val="18"/>
                <w:szCs w:val="18"/>
              </w:rPr>
              <w:t>IPSAS 43</w:t>
            </w:r>
            <w:bookmarkEnd w:id="138"/>
          </w:p>
        </w:tc>
        <w:tc>
          <w:tcPr>
            <w:tcW w:w="2072" w:type="dxa"/>
          </w:tcPr>
          <w:p w14:paraId="6C0065BD" w14:textId="0C4C0345" w:rsidR="00834B83" w:rsidRPr="005269E6" w:rsidRDefault="00834B83" w:rsidP="00AF61A6">
            <w:pPr>
              <w:spacing w:before="40" w:after="40" w:line="260" w:lineRule="exact"/>
              <w:rPr>
                <w:sz w:val="18"/>
                <w:szCs w:val="18"/>
              </w:rPr>
            </w:pPr>
            <w:r w:rsidRPr="005269E6">
              <w:rPr>
                <w:sz w:val="18"/>
                <w:szCs w:val="18"/>
                <w:rtl/>
              </w:rPr>
              <w:t>عقود ال</w:t>
            </w:r>
            <w:r w:rsidR="00620B89" w:rsidRPr="005269E6">
              <w:rPr>
                <w:rFonts w:hint="cs"/>
                <w:sz w:val="18"/>
                <w:szCs w:val="18"/>
                <w:rtl/>
              </w:rPr>
              <w:t>إ</w:t>
            </w:r>
            <w:r w:rsidRPr="005269E6">
              <w:rPr>
                <w:sz w:val="18"/>
                <w:szCs w:val="18"/>
                <w:rtl/>
              </w:rPr>
              <w:t>يجار</w:t>
            </w:r>
          </w:p>
        </w:tc>
        <w:tc>
          <w:tcPr>
            <w:tcW w:w="1559" w:type="dxa"/>
          </w:tcPr>
          <w:p w14:paraId="664BE54B" w14:textId="77777777" w:rsidR="00834B83" w:rsidRPr="005269E6" w:rsidRDefault="00834B83" w:rsidP="00AF61A6">
            <w:pPr>
              <w:spacing w:before="40" w:after="40" w:line="260" w:lineRule="exact"/>
              <w:rPr>
                <w:sz w:val="18"/>
                <w:szCs w:val="18"/>
              </w:rPr>
            </w:pPr>
            <w:r w:rsidRPr="005269E6">
              <w:rPr>
                <w:sz w:val="18"/>
                <w:szCs w:val="18"/>
                <w:rtl/>
              </w:rPr>
              <w:t>01 يناير 2025</w:t>
            </w:r>
          </w:p>
        </w:tc>
        <w:tc>
          <w:tcPr>
            <w:tcW w:w="4816" w:type="dxa"/>
          </w:tcPr>
          <w:p w14:paraId="08A852BB" w14:textId="77777777" w:rsidR="00834B83" w:rsidRPr="005269E6" w:rsidRDefault="00834B83" w:rsidP="00AF61A6">
            <w:pPr>
              <w:spacing w:before="40" w:after="40" w:line="260" w:lineRule="exact"/>
              <w:rPr>
                <w:sz w:val="18"/>
                <w:szCs w:val="18"/>
              </w:rPr>
            </w:pPr>
            <w:r w:rsidRPr="005269E6">
              <w:rPr>
                <w:sz w:val="18"/>
                <w:szCs w:val="18"/>
                <w:rtl/>
              </w:rPr>
              <w:t>يحل محل المعيار IPSAS 13 (عقود الإيجار) ويطرح نموذج حق الاستخدام للإيجارات. وهو يحدد مبادئ الاعتراف بالإيجارات وقياسها وعرضها والإفصاح عنها. ولا يؤثر هذا المعيار الجديد حالياً تأثيراً كبيراً على البيانات المالية للاتحاد لأن الاتحاد ليست لديه عقود إيجار في الوقت الحاضر. ولكن بالنظر إلى تطوير هذا المعيار الجديد وجال تطبيقه، سيستعرض الاتحاد بعناية سياساته وأنظمته المحاسبية ليكون جاهزا لدخول هذا المعيار حيز النفاذ.</w:t>
            </w:r>
          </w:p>
        </w:tc>
      </w:tr>
      <w:tr w:rsidR="00834B83" w:rsidRPr="005269E6" w14:paraId="7FC48853" w14:textId="77777777" w:rsidTr="00B448E3">
        <w:trPr>
          <w:trHeight w:val="300"/>
          <w:jc w:val="center"/>
        </w:trPr>
        <w:tc>
          <w:tcPr>
            <w:tcW w:w="1182" w:type="dxa"/>
          </w:tcPr>
          <w:p w14:paraId="40A6209F" w14:textId="3EA9D7AF" w:rsidR="00834B83" w:rsidRPr="005269E6" w:rsidRDefault="00834B83" w:rsidP="00AF61A6">
            <w:pPr>
              <w:spacing w:before="40" w:after="40" w:line="260" w:lineRule="exact"/>
              <w:rPr>
                <w:sz w:val="18"/>
                <w:szCs w:val="18"/>
              </w:rPr>
            </w:pPr>
            <w:bookmarkStart w:id="139" w:name="lt_pId422"/>
            <w:r w:rsidRPr="005269E6">
              <w:rPr>
                <w:sz w:val="18"/>
                <w:szCs w:val="18"/>
              </w:rPr>
              <w:t>IPSAS 44</w:t>
            </w:r>
            <w:bookmarkEnd w:id="139"/>
          </w:p>
        </w:tc>
        <w:tc>
          <w:tcPr>
            <w:tcW w:w="2072" w:type="dxa"/>
          </w:tcPr>
          <w:p w14:paraId="403E50D3" w14:textId="77777777" w:rsidR="00834B83" w:rsidRPr="005269E6" w:rsidRDefault="00834B83" w:rsidP="00AF61A6">
            <w:pPr>
              <w:spacing w:before="40" w:after="40" w:line="260" w:lineRule="exact"/>
              <w:rPr>
                <w:sz w:val="18"/>
                <w:szCs w:val="18"/>
              </w:rPr>
            </w:pPr>
            <w:r w:rsidRPr="005269E6">
              <w:rPr>
                <w:sz w:val="18"/>
                <w:szCs w:val="18"/>
                <w:rtl/>
              </w:rPr>
              <w:t>الأصول غير الجارية المحتفظ بها للبيع والعمليات المتوقفة</w:t>
            </w:r>
          </w:p>
        </w:tc>
        <w:tc>
          <w:tcPr>
            <w:tcW w:w="1559" w:type="dxa"/>
          </w:tcPr>
          <w:p w14:paraId="31AF790F" w14:textId="77777777" w:rsidR="00834B83" w:rsidRPr="005269E6" w:rsidRDefault="00834B83" w:rsidP="00AF61A6">
            <w:pPr>
              <w:spacing w:before="40" w:after="40" w:line="260" w:lineRule="exact"/>
              <w:rPr>
                <w:sz w:val="18"/>
                <w:szCs w:val="18"/>
              </w:rPr>
            </w:pPr>
            <w:r w:rsidRPr="005269E6">
              <w:rPr>
                <w:sz w:val="18"/>
                <w:szCs w:val="18"/>
                <w:rtl/>
              </w:rPr>
              <w:t>01 يناير 2025</w:t>
            </w:r>
          </w:p>
        </w:tc>
        <w:tc>
          <w:tcPr>
            <w:tcW w:w="4816" w:type="dxa"/>
          </w:tcPr>
          <w:p w14:paraId="33C3F616" w14:textId="77777777" w:rsidR="00834B83" w:rsidRPr="005269E6" w:rsidRDefault="00834B83" w:rsidP="00AF61A6">
            <w:pPr>
              <w:spacing w:before="40" w:after="40" w:line="260" w:lineRule="exact"/>
              <w:rPr>
                <w:sz w:val="18"/>
                <w:szCs w:val="18"/>
              </w:rPr>
            </w:pPr>
            <w:r w:rsidRPr="005269E6">
              <w:rPr>
                <w:sz w:val="18"/>
                <w:szCs w:val="18"/>
                <w:rtl/>
              </w:rPr>
              <w:t>يحدد هذا المعيار الجديد محاسبة الأصول المحتفظ بها للبيع وعرض العمليات المتوقفة والإفصاح عنها. وسيجرى تحليل لتقييم الأثر المحتمل على البيانات المالية للاتحاد.</w:t>
            </w:r>
          </w:p>
        </w:tc>
      </w:tr>
      <w:tr w:rsidR="00834B83" w:rsidRPr="005269E6" w14:paraId="2570BBFD" w14:textId="77777777" w:rsidTr="00B448E3">
        <w:trPr>
          <w:trHeight w:val="300"/>
          <w:jc w:val="center"/>
        </w:trPr>
        <w:tc>
          <w:tcPr>
            <w:tcW w:w="1182" w:type="dxa"/>
          </w:tcPr>
          <w:p w14:paraId="31AECC4B" w14:textId="28044B1E" w:rsidR="00834B83" w:rsidRPr="005269E6" w:rsidRDefault="00834B83" w:rsidP="00AF61A6">
            <w:pPr>
              <w:spacing w:before="40" w:after="40" w:line="260" w:lineRule="exact"/>
              <w:rPr>
                <w:sz w:val="18"/>
                <w:szCs w:val="18"/>
              </w:rPr>
            </w:pPr>
            <w:bookmarkStart w:id="140" w:name="lt_pId428"/>
            <w:r w:rsidRPr="005269E6">
              <w:rPr>
                <w:sz w:val="18"/>
                <w:szCs w:val="18"/>
              </w:rPr>
              <w:t>IPASA 45</w:t>
            </w:r>
            <w:bookmarkEnd w:id="140"/>
          </w:p>
        </w:tc>
        <w:tc>
          <w:tcPr>
            <w:tcW w:w="2072" w:type="dxa"/>
          </w:tcPr>
          <w:p w14:paraId="19E021B4" w14:textId="77777777" w:rsidR="00834B83" w:rsidRPr="005269E6" w:rsidRDefault="00834B83" w:rsidP="00AF61A6">
            <w:pPr>
              <w:spacing w:before="40" w:after="40" w:line="260" w:lineRule="exact"/>
              <w:jc w:val="left"/>
              <w:rPr>
                <w:sz w:val="18"/>
                <w:szCs w:val="18"/>
              </w:rPr>
            </w:pPr>
            <w:r w:rsidRPr="005269E6">
              <w:rPr>
                <w:sz w:val="18"/>
                <w:szCs w:val="18"/>
                <w:rtl/>
              </w:rPr>
              <w:t>الممتلكات والمنشآت والمعدات</w:t>
            </w:r>
          </w:p>
        </w:tc>
        <w:tc>
          <w:tcPr>
            <w:tcW w:w="1559" w:type="dxa"/>
          </w:tcPr>
          <w:p w14:paraId="4679C2AB" w14:textId="77777777" w:rsidR="00834B83" w:rsidRPr="005269E6" w:rsidRDefault="00834B83" w:rsidP="00AF61A6">
            <w:pPr>
              <w:spacing w:before="40" w:after="40" w:line="260" w:lineRule="exact"/>
              <w:rPr>
                <w:sz w:val="18"/>
                <w:szCs w:val="18"/>
              </w:rPr>
            </w:pPr>
            <w:r w:rsidRPr="005269E6">
              <w:rPr>
                <w:sz w:val="18"/>
                <w:szCs w:val="18"/>
                <w:rtl/>
              </w:rPr>
              <w:t>01 يناير 2025</w:t>
            </w:r>
          </w:p>
        </w:tc>
        <w:tc>
          <w:tcPr>
            <w:tcW w:w="4816" w:type="dxa"/>
          </w:tcPr>
          <w:p w14:paraId="482DF083" w14:textId="77777777" w:rsidR="00834B83" w:rsidRPr="005269E6" w:rsidRDefault="00834B83" w:rsidP="00AF61A6">
            <w:pPr>
              <w:spacing w:before="40" w:after="40" w:line="260" w:lineRule="exact"/>
              <w:rPr>
                <w:sz w:val="18"/>
                <w:szCs w:val="18"/>
              </w:rPr>
            </w:pPr>
            <w:r w:rsidRPr="005269E6">
              <w:rPr>
                <w:sz w:val="18"/>
                <w:szCs w:val="18"/>
                <w:rtl/>
              </w:rPr>
              <w:t>يحل المعيار IPSAS 45 محل المعيار IPSAS 17 بشأن الممتلكات والمنشآت والمعدات بإضافة القيمة التشغيلية الحالية كأساس للقياس في نموذج القيمة الحالية المحدث للأصول ضمن مجال تطبيقه، وتحديد خصائص الأصول الموروثة وأصول البنية التحتية، وإضافة توجيهات جديدة بشأن كيفية الاعتراف بهذه الأنواع المهمة من أصول القطاع العام وقياسها. ويقوم الاتحاد حالياً بالتحديد الكمي لتأثير هذا المعيار على حساباته المالية.</w:t>
            </w:r>
          </w:p>
        </w:tc>
      </w:tr>
      <w:tr w:rsidR="00834B83" w:rsidRPr="005269E6" w14:paraId="142807F3" w14:textId="77777777" w:rsidTr="00B448E3">
        <w:trPr>
          <w:trHeight w:val="300"/>
          <w:jc w:val="center"/>
        </w:trPr>
        <w:tc>
          <w:tcPr>
            <w:tcW w:w="1182" w:type="dxa"/>
          </w:tcPr>
          <w:p w14:paraId="70E8B00D" w14:textId="231B997C" w:rsidR="00834B83" w:rsidRPr="005269E6" w:rsidRDefault="00834B83" w:rsidP="00AF61A6">
            <w:pPr>
              <w:spacing w:before="40" w:after="40" w:line="260" w:lineRule="exact"/>
              <w:rPr>
                <w:sz w:val="18"/>
                <w:szCs w:val="18"/>
              </w:rPr>
            </w:pPr>
            <w:bookmarkStart w:id="141" w:name="lt_pId434"/>
            <w:r w:rsidRPr="005269E6">
              <w:rPr>
                <w:sz w:val="18"/>
                <w:szCs w:val="18"/>
              </w:rPr>
              <w:t>IPSAS 46</w:t>
            </w:r>
            <w:bookmarkEnd w:id="141"/>
          </w:p>
        </w:tc>
        <w:tc>
          <w:tcPr>
            <w:tcW w:w="2072" w:type="dxa"/>
          </w:tcPr>
          <w:p w14:paraId="29B6C614" w14:textId="77777777" w:rsidR="00834B83" w:rsidRPr="005269E6" w:rsidRDefault="00834B83" w:rsidP="00AF61A6">
            <w:pPr>
              <w:spacing w:before="40" w:after="40" w:line="260" w:lineRule="exact"/>
              <w:rPr>
                <w:sz w:val="18"/>
                <w:szCs w:val="18"/>
              </w:rPr>
            </w:pPr>
            <w:r w:rsidRPr="005269E6">
              <w:rPr>
                <w:sz w:val="18"/>
                <w:szCs w:val="18"/>
                <w:rtl/>
              </w:rPr>
              <w:t>قياس</w:t>
            </w:r>
          </w:p>
        </w:tc>
        <w:tc>
          <w:tcPr>
            <w:tcW w:w="1559" w:type="dxa"/>
          </w:tcPr>
          <w:p w14:paraId="63D9C1B5" w14:textId="77777777" w:rsidR="00834B83" w:rsidRPr="005269E6" w:rsidRDefault="00834B83" w:rsidP="00AF61A6">
            <w:pPr>
              <w:spacing w:before="40" w:after="40" w:line="260" w:lineRule="exact"/>
              <w:rPr>
                <w:sz w:val="18"/>
                <w:szCs w:val="18"/>
              </w:rPr>
            </w:pPr>
            <w:r w:rsidRPr="005269E6">
              <w:rPr>
                <w:sz w:val="18"/>
                <w:szCs w:val="18"/>
                <w:rtl/>
              </w:rPr>
              <w:t>01 يناير 2025</w:t>
            </w:r>
          </w:p>
        </w:tc>
        <w:tc>
          <w:tcPr>
            <w:tcW w:w="4816" w:type="dxa"/>
          </w:tcPr>
          <w:p w14:paraId="33E931CB" w14:textId="77777777" w:rsidR="00834B83" w:rsidRPr="005269E6" w:rsidRDefault="00834B83" w:rsidP="00AF61A6">
            <w:pPr>
              <w:spacing w:before="40" w:after="40" w:line="260" w:lineRule="exact"/>
              <w:rPr>
                <w:spacing w:val="-2"/>
                <w:sz w:val="18"/>
                <w:szCs w:val="18"/>
              </w:rPr>
            </w:pPr>
            <w:r w:rsidRPr="005269E6">
              <w:rPr>
                <w:spacing w:val="-2"/>
                <w:sz w:val="18"/>
                <w:szCs w:val="18"/>
                <w:rtl/>
              </w:rPr>
              <w:t xml:space="preserve">يقدم المعيار </w:t>
            </w:r>
            <w:r w:rsidRPr="005269E6">
              <w:rPr>
                <w:spacing w:val="-2"/>
                <w:sz w:val="18"/>
                <w:szCs w:val="18"/>
              </w:rPr>
              <w:t>IPSAS 46</w:t>
            </w:r>
            <w:r w:rsidRPr="005269E6">
              <w:rPr>
                <w:spacing w:val="-2"/>
                <w:sz w:val="18"/>
                <w:szCs w:val="18"/>
                <w:rtl/>
              </w:rPr>
              <w:t xml:space="preserve"> توجيهات جديدة في معيار واحد يتناول كيفية تطبيق قواعد القياس الشائعة الاستعمال في الممارسة العملية. وهو يقدم إرشادات عامة بشأن القيمة العادلة لأول مرة، ويعرِّف بالقيمة التشغيلية الجارية التي تشكل أساس قياس القيمة الجارية الخاصة بالقطاع العام متناولاً آراء المستفيدين بشأن الحاجة إلى أساس بديل لقياس القيمة الجارية للوقوف على القيمة العادلة لبعض أصول القطاع العام. ويقوم الاتحاد حالياً بالتحديد الكمي لتأثير هذا المعيار على حساباته المالية.</w:t>
            </w:r>
          </w:p>
        </w:tc>
      </w:tr>
      <w:tr w:rsidR="00834B83" w:rsidRPr="005269E6" w14:paraId="03563529" w14:textId="77777777" w:rsidTr="00B448E3">
        <w:trPr>
          <w:trHeight w:val="300"/>
          <w:jc w:val="center"/>
        </w:trPr>
        <w:tc>
          <w:tcPr>
            <w:tcW w:w="1182" w:type="dxa"/>
          </w:tcPr>
          <w:p w14:paraId="5EC5A887" w14:textId="4100FEF5" w:rsidR="00834B83" w:rsidRPr="005269E6" w:rsidRDefault="00834B83" w:rsidP="00AF61A6">
            <w:pPr>
              <w:spacing w:before="40" w:after="40" w:line="260" w:lineRule="exact"/>
              <w:rPr>
                <w:sz w:val="18"/>
                <w:szCs w:val="18"/>
              </w:rPr>
            </w:pPr>
            <w:bookmarkStart w:id="142" w:name="lt_pId441"/>
            <w:r w:rsidRPr="005269E6">
              <w:rPr>
                <w:sz w:val="18"/>
                <w:szCs w:val="18"/>
              </w:rPr>
              <w:t>IPSAS 47</w:t>
            </w:r>
            <w:bookmarkEnd w:id="142"/>
          </w:p>
        </w:tc>
        <w:tc>
          <w:tcPr>
            <w:tcW w:w="2072" w:type="dxa"/>
          </w:tcPr>
          <w:p w14:paraId="5FDF262C" w14:textId="77777777" w:rsidR="00834B83" w:rsidRPr="005269E6" w:rsidRDefault="00834B83" w:rsidP="00AF61A6">
            <w:pPr>
              <w:spacing w:before="40" w:after="40" w:line="260" w:lineRule="exact"/>
              <w:rPr>
                <w:sz w:val="18"/>
                <w:szCs w:val="18"/>
              </w:rPr>
            </w:pPr>
            <w:r w:rsidRPr="005269E6">
              <w:rPr>
                <w:sz w:val="18"/>
                <w:szCs w:val="18"/>
                <w:rtl/>
              </w:rPr>
              <w:t>الايرادات</w:t>
            </w:r>
          </w:p>
        </w:tc>
        <w:tc>
          <w:tcPr>
            <w:tcW w:w="1559" w:type="dxa"/>
          </w:tcPr>
          <w:p w14:paraId="0EC84BBE" w14:textId="77777777" w:rsidR="00834B83" w:rsidRPr="005269E6" w:rsidRDefault="00834B83" w:rsidP="00AF61A6">
            <w:pPr>
              <w:spacing w:before="40" w:after="40" w:line="260" w:lineRule="exact"/>
              <w:rPr>
                <w:sz w:val="18"/>
                <w:szCs w:val="18"/>
              </w:rPr>
            </w:pPr>
            <w:r w:rsidRPr="005269E6">
              <w:rPr>
                <w:sz w:val="18"/>
                <w:szCs w:val="18"/>
                <w:rtl/>
              </w:rPr>
              <w:t>01 يناير 2026</w:t>
            </w:r>
          </w:p>
        </w:tc>
        <w:tc>
          <w:tcPr>
            <w:tcW w:w="4816" w:type="dxa"/>
          </w:tcPr>
          <w:p w14:paraId="350E5EC3" w14:textId="77777777" w:rsidR="00834B83" w:rsidRPr="005269E6" w:rsidRDefault="00834B83" w:rsidP="00AF61A6">
            <w:pPr>
              <w:spacing w:before="40" w:after="40" w:line="260" w:lineRule="exact"/>
              <w:rPr>
                <w:spacing w:val="-2"/>
                <w:sz w:val="18"/>
                <w:szCs w:val="18"/>
              </w:rPr>
            </w:pPr>
            <w:r w:rsidRPr="005269E6">
              <w:rPr>
                <w:spacing w:val="-2"/>
                <w:sz w:val="18"/>
                <w:szCs w:val="18"/>
                <w:rtl/>
              </w:rPr>
              <w:t>المعيار IPSAS 47 بشأن الإيرادات هو مصدر وحيد للتوجيه المحاسبي للإيرادات في القطاع العام، وهو يعرض نموذجين للمحاسبة يقومان على وجود ترتيب ملزم. ويقدم هذا المعيار الجديد توجيهات مركزة لمساعدة الكيانات على تطبيق مبادئ لحساب معاملات إيرادات القطاع العام. ويقوم الاتحاد حالياً بالتحديد الكمي لتأثير هذا المعيار على حساباته المالية.</w:t>
            </w:r>
          </w:p>
        </w:tc>
      </w:tr>
      <w:tr w:rsidR="00834B83" w:rsidRPr="005269E6" w14:paraId="2F4BED7D" w14:textId="77777777" w:rsidTr="00B448E3">
        <w:trPr>
          <w:trHeight w:val="300"/>
          <w:jc w:val="center"/>
        </w:trPr>
        <w:tc>
          <w:tcPr>
            <w:tcW w:w="1182" w:type="dxa"/>
          </w:tcPr>
          <w:p w14:paraId="1D4222F7" w14:textId="13223937" w:rsidR="00834B83" w:rsidRPr="005269E6" w:rsidRDefault="00834B83" w:rsidP="00AF61A6">
            <w:pPr>
              <w:spacing w:before="40" w:after="40" w:line="260" w:lineRule="exact"/>
              <w:rPr>
                <w:sz w:val="18"/>
                <w:szCs w:val="18"/>
              </w:rPr>
            </w:pPr>
            <w:bookmarkStart w:id="143" w:name="lt_pId448"/>
            <w:r w:rsidRPr="005269E6">
              <w:rPr>
                <w:sz w:val="18"/>
                <w:szCs w:val="18"/>
              </w:rPr>
              <w:t>IPSAS 48</w:t>
            </w:r>
            <w:bookmarkEnd w:id="143"/>
          </w:p>
        </w:tc>
        <w:tc>
          <w:tcPr>
            <w:tcW w:w="2072" w:type="dxa"/>
          </w:tcPr>
          <w:p w14:paraId="0D4412A2" w14:textId="77777777" w:rsidR="00834B83" w:rsidRPr="005269E6" w:rsidRDefault="00834B83" w:rsidP="00AF61A6">
            <w:pPr>
              <w:spacing w:before="40" w:after="40" w:line="260" w:lineRule="exact"/>
              <w:rPr>
                <w:sz w:val="18"/>
                <w:szCs w:val="18"/>
              </w:rPr>
            </w:pPr>
            <w:r w:rsidRPr="005269E6">
              <w:rPr>
                <w:sz w:val="18"/>
                <w:szCs w:val="18"/>
                <w:rtl/>
              </w:rPr>
              <w:t>نفقات التحويل</w:t>
            </w:r>
          </w:p>
        </w:tc>
        <w:tc>
          <w:tcPr>
            <w:tcW w:w="1559" w:type="dxa"/>
          </w:tcPr>
          <w:p w14:paraId="078B8D79" w14:textId="77777777" w:rsidR="00834B83" w:rsidRPr="005269E6" w:rsidRDefault="00834B83" w:rsidP="00AF61A6">
            <w:pPr>
              <w:spacing w:before="40" w:after="40" w:line="260" w:lineRule="exact"/>
              <w:rPr>
                <w:sz w:val="18"/>
                <w:szCs w:val="18"/>
              </w:rPr>
            </w:pPr>
            <w:r w:rsidRPr="005269E6">
              <w:rPr>
                <w:sz w:val="18"/>
                <w:szCs w:val="18"/>
                <w:rtl/>
              </w:rPr>
              <w:t>01 يناير 2026</w:t>
            </w:r>
          </w:p>
        </w:tc>
        <w:tc>
          <w:tcPr>
            <w:tcW w:w="4816" w:type="dxa"/>
          </w:tcPr>
          <w:p w14:paraId="0FBF0C6A" w14:textId="77777777" w:rsidR="00834B83" w:rsidRPr="005269E6" w:rsidRDefault="00834B83" w:rsidP="00AF61A6">
            <w:pPr>
              <w:spacing w:before="40" w:after="40" w:line="260" w:lineRule="exact"/>
              <w:rPr>
                <w:spacing w:val="-2"/>
                <w:sz w:val="18"/>
                <w:szCs w:val="18"/>
              </w:rPr>
            </w:pPr>
            <w:r w:rsidRPr="005269E6">
              <w:rPr>
                <w:spacing w:val="-2"/>
                <w:sz w:val="18"/>
                <w:szCs w:val="18"/>
                <w:rtl/>
              </w:rPr>
              <w:t>المعيار 48 IPSAS بشأن نفقات التحويل يقدم توجيهات محاسبية لنفقات التحويل التي تمثل جزءاً كبيراً من النفقات لكثير من كيانات القطاع العام. ويسد هذا المعيار الجديد فجوة كبيرة في أدبيات المجلس الدولي للمعايير المحاسبية للقطاع العام (IPSASB) ويقدم توجيهات لمساعدة الكيانات في حساب معاملات نفقات التحويل في القطاع العام. ويقوم الاتحاد حالياً بالتحديد الكمي لتأثير هذا المعيار على حساباته المالية.</w:t>
            </w:r>
          </w:p>
        </w:tc>
      </w:tr>
    </w:tbl>
    <w:p w14:paraId="0EE2A9FB" w14:textId="77777777" w:rsidR="00834B83" w:rsidRPr="005269E6" w:rsidRDefault="00834B83" w:rsidP="00B448E3">
      <w:pPr>
        <w:spacing w:before="240"/>
        <w:rPr>
          <w:rtl/>
          <w:lang w:bidi="ar-EG"/>
        </w:rPr>
      </w:pPr>
      <w:r w:rsidRPr="005269E6">
        <w:rPr>
          <w:rtl/>
          <w:lang w:bidi="ar-EG"/>
        </w:rPr>
        <w:t>ويواصل الاتحاد تقييم تأثير المعايير المذكورة أعلاه على البيانات المالية المستقبلية قبل تاريخ سريانها.</w:t>
      </w:r>
    </w:p>
    <w:p w14:paraId="289FC64C" w14:textId="77777777" w:rsidR="00834B83" w:rsidRPr="005269E6" w:rsidRDefault="00834B83" w:rsidP="00834B83">
      <w:pPr>
        <w:rPr>
          <w:rtl/>
          <w:lang w:bidi="ar-EG"/>
        </w:rPr>
      </w:pPr>
      <w:r w:rsidRPr="005269E6">
        <w:rPr>
          <w:rtl/>
          <w:lang w:bidi="ar-EG"/>
        </w:rPr>
        <w:lastRenderedPageBreak/>
        <w:t>وعلاوةً على ذلك، يراقب الاتحاد تطور تواريخ سريان المعايير وينشط في المشاركة في أعمال مجلس المعايير المحاسبية الدولية للقطاع العام من خلال فريق المهام المعني بالمعايير المحاسبية في منظومة الأمم المتحدة، متنبهاً إلى أن تطبيقها قد يؤثر على البيانات المالية للاتحاد في المستقبل.</w:t>
      </w:r>
    </w:p>
    <w:p w14:paraId="1487095C" w14:textId="77777777" w:rsidR="00834B83" w:rsidRPr="005269E6" w:rsidRDefault="00834B83" w:rsidP="00696AA6">
      <w:pPr>
        <w:pStyle w:val="Heading5"/>
      </w:pPr>
      <w:bookmarkStart w:id="144" w:name="_Toc162520621"/>
      <w:r w:rsidRPr="005269E6">
        <w:rPr>
          <w:rtl/>
        </w:rPr>
        <w:t>الملاحظة 3</w:t>
      </w:r>
      <w:r w:rsidRPr="005269E6">
        <w:rPr>
          <w:rtl/>
        </w:rPr>
        <w:tab/>
        <w:t>سياسات محاسبية مهمة</w:t>
      </w:r>
      <w:bookmarkEnd w:id="144"/>
    </w:p>
    <w:p w14:paraId="1B7EC74C" w14:textId="77777777" w:rsidR="00834B83" w:rsidRPr="005269E6" w:rsidRDefault="00834B83" w:rsidP="00834B83">
      <w:pPr>
        <w:pStyle w:val="Heading2"/>
      </w:pPr>
      <w:r w:rsidRPr="005269E6">
        <w:rPr>
          <w:rtl/>
        </w:rPr>
        <w:t>1.3</w:t>
      </w:r>
      <w:r w:rsidRPr="005269E6">
        <w:rPr>
          <w:rtl/>
        </w:rPr>
        <w:tab/>
      </w:r>
      <w:bookmarkStart w:id="145" w:name="_Toc329296006"/>
      <w:bookmarkStart w:id="146" w:name="_Toc358648325"/>
      <w:bookmarkStart w:id="147" w:name="_Toc358648524"/>
      <w:bookmarkStart w:id="148" w:name="_Toc387338325"/>
      <w:bookmarkStart w:id="149" w:name="_Toc419484050"/>
      <w:bookmarkStart w:id="150" w:name="_Toc452156602"/>
      <w:bookmarkStart w:id="151" w:name="_Toc482793694"/>
      <w:bookmarkStart w:id="152" w:name="_Toc511402208"/>
      <w:bookmarkStart w:id="153" w:name="_Toc511756645"/>
      <w:bookmarkStart w:id="154" w:name="_Toc520365456"/>
      <w:bookmarkStart w:id="155" w:name="_Toc9614764"/>
      <w:bookmarkStart w:id="156" w:name="_Toc42013524"/>
      <w:bookmarkStart w:id="157" w:name="_Toc42014520"/>
      <w:bookmarkStart w:id="158" w:name="_Toc74061552"/>
      <w:r w:rsidRPr="005269E6">
        <w:rPr>
          <w:u w:val="single"/>
          <w:rtl/>
        </w:rPr>
        <w:t>العملات الأجنبية</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9B05CEA" w14:textId="77777777" w:rsidR="00834B83" w:rsidRPr="005269E6" w:rsidRDefault="00834B83" w:rsidP="00834B83">
      <w:r w:rsidRPr="005269E6">
        <w:rPr>
          <w:rtl/>
          <w:lang w:bidi="ar-EG"/>
        </w:rPr>
        <w:t xml:space="preserve">الفرنك السويسري </w:t>
      </w:r>
      <w:r w:rsidRPr="00F95576">
        <w:rPr>
          <w:lang w:bidi="ar-EG"/>
        </w:rPr>
        <w:t>(CHF)</w:t>
      </w:r>
      <w:r w:rsidRPr="005269E6">
        <w:rPr>
          <w:rtl/>
          <w:lang w:bidi="ar-EG"/>
        </w:rPr>
        <w:t xml:space="preserve"> هو العملة الوظيفية للاتحاد وهو العملة المستخدمة في تقديم البيانات المالية.</w:t>
      </w:r>
      <w:r w:rsidRPr="005269E6">
        <w:rPr>
          <w:lang w:bidi="ar-EG"/>
        </w:rPr>
        <w:t xml:space="preserve"> </w:t>
      </w:r>
      <w:r w:rsidRPr="005269E6">
        <w:rPr>
          <w:rtl/>
          <w:lang w:bidi="ar-EG"/>
        </w:rPr>
        <w:t>وتحوّل العمليات التي تتم بعملات أخرى غير الفرنك السويسري إلى هذه العملة بمعدل سعر الصرف التشغيلي للأمم المتحدة </w:t>
      </w:r>
      <w:r w:rsidRPr="00F95576">
        <w:rPr>
          <w:lang w:bidi="ar-EG"/>
        </w:rPr>
        <w:t>(UNORE)</w:t>
      </w:r>
      <w:r w:rsidRPr="005269E6">
        <w:rPr>
          <w:rtl/>
          <w:lang w:bidi="ar-EG"/>
        </w:rPr>
        <w:t xml:space="preserve"> المعمول به في تاريخ المعاملة. وتحوّل الموجودات والالتزامات النقدية بالعملات الأجنبية إلى الفرنك السويسري بمعدل سعر الصرف التشغيلي للأمم المتحدة المعمول به في تاريخ اختتام الفترة المالية. وتُدرج في بيان الأداء المالي الخسائر والأرباح، سواء المحققة أم غير المحققة، المترتبة على تنفيذ هذه العمليات بحكم سعر الصرف وعلى التحويل في تاريخ قيد الموجودات والالتزامات بهذه العملات.</w:t>
      </w:r>
    </w:p>
    <w:p w14:paraId="2DE96097" w14:textId="77777777" w:rsidR="00834B83" w:rsidRPr="005269E6" w:rsidRDefault="00834B83" w:rsidP="00834B83">
      <w:pPr>
        <w:pStyle w:val="Heading2"/>
      </w:pPr>
      <w:r w:rsidRPr="005269E6">
        <w:rPr>
          <w:rtl/>
        </w:rPr>
        <w:t>2.3</w:t>
      </w:r>
      <w:r w:rsidRPr="005269E6">
        <w:rPr>
          <w:rtl/>
        </w:rPr>
        <w:tab/>
      </w:r>
      <w:r w:rsidRPr="005269E6">
        <w:rPr>
          <w:u w:val="single"/>
          <w:rtl/>
        </w:rPr>
        <w:t>الصكوك المالية</w:t>
      </w:r>
    </w:p>
    <w:p w14:paraId="6D2B43B0" w14:textId="77777777" w:rsidR="00834B83" w:rsidRPr="005269E6" w:rsidRDefault="00834B83" w:rsidP="00834B83">
      <w:pPr>
        <w:rPr>
          <w:spacing w:val="-2"/>
          <w:rtl/>
          <w:lang w:bidi="ar-SY"/>
        </w:rPr>
      </w:pPr>
      <w:r w:rsidRPr="005269E6">
        <w:rPr>
          <w:spacing w:val="-2"/>
          <w:rtl/>
          <w:lang w:bidi="ar-SY"/>
        </w:rPr>
        <w:t>تشمل الصكوك المالية للاتحاد الأموال النقدية والإيداعات قصيرة الأجل وعوائد</w:t>
      </w:r>
      <w:r w:rsidRPr="005269E6">
        <w:rPr>
          <w:rtl/>
        </w:rPr>
        <w:t xml:space="preserve"> </w:t>
      </w:r>
      <w:r w:rsidRPr="005269E6">
        <w:rPr>
          <w:spacing w:val="-2"/>
          <w:rtl/>
          <w:lang w:bidi="ar-SY"/>
        </w:rPr>
        <w:t>الاستثمارات</w:t>
      </w:r>
      <w:r w:rsidRPr="005269E6">
        <w:rPr>
          <w:rtl/>
        </w:rPr>
        <w:t xml:space="preserve"> </w:t>
      </w:r>
      <w:r w:rsidRPr="005269E6">
        <w:rPr>
          <w:spacing w:val="-2"/>
          <w:rtl/>
          <w:lang w:bidi="ar-SY"/>
        </w:rPr>
        <w:t>المستحقة القبض من عمليات تبادلية ومن عمليات غير تبادلية والتداولات المستحقة الدفع والديون</w:t>
      </w:r>
      <w:r w:rsidRPr="005269E6">
        <w:rPr>
          <w:spacing w:val="-2"/>
          <w:rtl/>
          <w:lang w:bidi="ar-EG"/>
        </w:rPr>
        <w:t> </w:t>
      </w:r>
      <w:r w:rsidRPr="005269E6">
        <w:rPr>
          <w:spacing w:val="-2"/>
          <w:rtl/>
          <w:lang w:bidi="ar-SY"/>
        </w:rPr>
        <w:t>والقروض.</w:t>
      </w:r>
    </w:p>
    <w:p w14:paraId="2FD0B80A" w14:textId="77777777" w:rsidR="00834B83" w:rsidRPr="005269E6" w:rsidRDefault="00834B83" w:rsidP="00834B83">
      <w:pPr>
        <w:pStyle w:val="HeadingI"/>
      </w:pPr>
      <w:r w:rsidRPr="005269E6">
        <w:rPr>
          <w:i w:val="0"/>
          <w:iCs w:val="0"/>
          <w:rtl/>
        </w:rPr>
        <w:t>1.2.3</w:t>
      </w:r>
      <w:r w:rsidRPr="005269E6">
        <w:rPr>
          <w:rtl/>
        </w:rPr>
        <w:tab/>
      </w:r>
      <w:bookmarkStart w:id="159" w:name="_Toc387338327"/>
      <w:bookmarkStart w:id="160" w:name="_Toc419484052"/>
      <w:bookmarkStart w:id="161" w:name="_Toc452156604"/>
      <w:bookmarkStart w:id="162" w:name="_Toc482792203"/>
      <w:bookmarkStart w:id="163" w:name="_Toc520365458"/>
      <w:r w:rsidRPr="005269E6">
        <w:rPr>
          <w:rtl/>
          <w:lang w:eastAsia="en-US"/>
        </w:rPr>
        <w:t xml:space="preserve">الأموال النقدية وما </w:t>
      </w:r>
      <w:bookmarkEnd w:id="159"/>
      <w:bookmarkEnd w:id="160"/>
      <w:bookmarkEnd w:id="161"/>
      <w:bookmarkEnd w:id="162"/>
      <w:r w:rsidRPr="005269E6">
        <w:rPr>
          <w:rtl/>
          <w:lang w:eastAsia="en-US"/>
        </w:rPr>
        <w:t>يعادلها</w:t>
      </w:r>
      <w:bookmarkEnd w:id="163"/>
    </w:p>
    <w:p w14:paraId="75313045" w14:textId="77777777" w:rsidR="00834B83" w:rsidRPr="005269E6" w:rsidRDefault="00834B83" w:rsidP="00834B83">
      <w:pPr>
        <w:rPr>
          <w:lang w:bidi="ar-SY"/>
        </w:rPr>
      </w:pPr>
      <w:r w:rsidRPr="005269E6">
        <w:rPr>
          <w:rtl/>
          <w:lang w:bidi="ar-SY"/>
        </w:rPr>
        <w:t>تشمل الأموال النقدية وما يعادلها النقد الموجود والنقد في الحسابات المصرفية والودائع.</w:t>
      </w:r>
    </w:p>
    <w:p w14:paraId="7B15C2B2" w14:textId="77777777" w:rsidR="00834B83" w:rsidRPr="005269E6" w:rsidRDefault="00834B83" w:rsidP="00834B83">
      <w:pPr>
        <w:pStyle w:val="HeadingI"/>
      </w:pPr>
      <w:r w:rsidRPr="005269E6">
        <w:rPr>
          <w:i w:val="0"/>
          <w:iCs w:val="0"/>
          <w:rtl/>
        </w:rPr>
        <w:t>2.2.3</w:t>
      </w:r>
      <w:r w:rsidRPr="005269E6">
        <w:rPr>
          <w:rtl/>
        </w:rPr>
        <w:tab/>
        <w:t>الاستثمارات</w:t>
      </w:r>
    </w:p>
    <w:p w14:paraId="0CDB1BC8" w14:textId="77777777" w:rsidR="00834B83" w:rsidRPr="005269E6" w:rsidRDefault="00834B83" w:rsidP="00834B83">
      <w:pPr>
        <w:rPr>
          <w:spacing w:val="-4"/>
          <w:rtl/>
          <w:lang w:bidi="ar-SY"/>
        </w:rPr>
      </w:pPr>
      <w:r w:rsidRPr="005269E6">
        <w:rPr>
          <w:spacing w:val="-4"/>
          <w:rtl/>
          <w:lang w:bidi="ar-SY"/>
        </w:rPr>
        <w:t>إيداعات لأجل مسمى، من ثلاثة إلى تسعة أشهر على درجة عالية من السيولة، يمكن تحويلها إلى مبلغ نقدي معروف وتخضع لعنصر مخاطرة مهمل من حيث تغير القيمة وتفيد كأصول مالية بقيمة منصفة من خلال الفائض أو العجز عند الاحتساب الأولي.</w:t>
      </w:r>
      <w:r w:rsidRPr="005269E6">
        <w:rPr>
          <w:spacing w:val="-4"/>
          <w:lang w:bidi="ar-SY"/>
        </w:rPr>
        <w:t xml:space="preserve"> </w:t>
      </w:r>
      <w:r w:rsidRPr="005269E6">
        <w:rPr>
          <w:spacing w:val="-4"/>
          <w:rtl/>
          <w:lang w:bidi="ar-SY"/>
        </w:rPr>
        <w:t>وتعرض الاستثمارات في الميزانية العمومية في شكل أصول جارية أو غير جارية تبعاً لما إذا كان تاريخ استحقاقها أقل أو أكثر من سنة.</w:t>
      </w:r>
    </w:p>
    <w:p w14:paraId="4CC57789" w14:textId="77777777" w:rsidR="00834B83" w:rsidRPr="005269E6" w:rsidRDefault="00834B83" w:rsidP="00834B83">
      <w:pPr>
        <w:rPr>
          <w:lang w:bidi="ar-SY"/>
        </w:rPr>
      </w:pPr>
      <w:r w:rsidRPr="005269E6">
        <w:rPr>
          <w:rtl/>
          <w:lang w:bidi="ar-EG"/>
        </w:rPr>
        <w:t>وتُستثمر أموال الاتحاد لتحقيق الأهداف التالية:</w:t>
      </w:r>
    </w:p>
    <w:p w14:paraId="4E879F3B" w14:textId="77777777" w:rsidR="00834B83" w:rsidRPr="005269E6" w:rsidRDefault="00834B83" w:rsidP="00834B83">
      <w:pPr>
        <w:pStyle w:val="enumlev1"/>
        <w:rPr>
          <w:spacing w:val="-2"/>
        </w:rPr>
      </w:pPr>
      <w:r w:rsidRPr="005269E6">
        <w:rPr>
          <w:spacing w:val="-2"/>
        </w:rPr>
        <w:sym w:font="Symbol" w:char="F0B7"/>
      </w:r>
      <w:r w:rsidRPr="005269E6">
        <w:rPr>
          <w:spacing w:val="-2"/>
        </w:rPr>
        <w:tab/>
      </w:r>
      <w:r w:rsidRPr="005269E6">
        <w:rPr>
          <w:spacing w:val="-2"/>
          <w:rtl/>
          <w:lang w:bidi="ar-EG"/>
        </w:rPr>
        <w:t>الحفاظ على رأس المال. ويكتسي مقصد الحفاظ على رأس المال أهمية قصوى وهو الهدف الرئيسي لسياسة الاستثمار؛</w:t>
      </w:r>
    </w:p>
    <w:p w14:paraId="43F479D1" w14:textId="77777777" w:rsidR="00834B83" w:rsidRPr="005269E6" w:rsidRDefault="00834B83" w:rsidP="00834B83">
      <w:pPr>
        <w:pStyle w:val="enumlev1"/>
      </w:pPr>
      <w:r w:rsidRPr="005269E6">
        <w:sym w:font="Symbol" w:char="F0B7"/>
      </w:r>
      <w:r w:rsidRPr="005269E6">
        <w:tab/>
      </w:r>
      <w:r w:rsidRPr="005269E6">
        <w:rPr>
          <w:rtl/>
          <w:lang w:bidi="ar-EG"/>
        </w:rPr>
        <w:t>الحفاظ على السيولة الكافية لسداد بجميع مدفوعات الخصوم في الوقت المحدد؛</w:t>
      </w:r>
    </w:p>
    <w:p w14:paraId="14F22989" w14:textId="77777777" w:rsidR="00834B83" w:rsidRPr="005269E6" w:rsidRDefault="00834B83" w:rsidP="00834B83">
      <w:pPr>
        <w:pStyle w:val="enumlev1"/>
      </w:pPr>
      <w:r w:rsidRPr="005269E6">
        <w:sym w:font="Symbol" w:char="F0B7"/>
      </w:r>
      <w:r w:rsidRPr="005269E6">
        <w:tab/>
      </w:r>
      <w:r w:rsidRPr="005269E6">
        <w:rPr>
          <w:rtl/>
          <w:lang w:bidi="ar-EG"/>
        </w:rPr>
        <w:t>تحقيق عائد الدخل الأمثل، بما يتناسب مع المتطلبات المذكورة أعلاه بشأن الحفاظ على رأس المال والسيولة.</w:t>
      </w:r>
    </w:p>
    <w:p w14:paraId="293021BF" w14:textId="1FE464E6" w:rsidR="00834B83" w:rsidRPr="005269E6" w:rsidRDefault="00834B83" w:rsidP="00834B83">
      <w:pPr>
        <w:rPr>
          <w:lang w:bidi="ar-EG"/>
        </w:rPr>
      </w:pPr>
      <w:r w:rsidRPr="005269E6">
        <w:rPr>
          <w:rtl/>
          <w:lang w:bidi="ar-EG"/>
        </w:rPr>
        <w:t>وتعطى دائما</w:t>
      </w:r>
      <w:r w:rsidR="00130E20" w:rsidRPr="005269E6">
        <w:rPr>
          <w:rFonts w:hint="cs"/>
          <w:rtl/>
          <w:lang w:bidi="ar-EG"/>
        </w:rPr>
        <w:t>ً</w:t>
      </w:r>
      <w:r w:rsidRPr="005269E6">
        <w:rPr>
          <w:rtl/>
          <w:lang w:bidi="ar-EG"/>
        </w:rPr>
        <w:t xml:space="preserve"> الأولوية لجودة الاستثمارات وأمنها وسيولتها على معدل عوائد الاستثمارات.</w:t>
      </w:r>
    </w:p>
    <w:p w14:paraId="368B5FF9" w14:textId="77777777" w:rsidR="00834B83" w:rsidRPr="005269E6" w:rsidRDefault="00834B83" w:rsidP="00834B83">
      <w:pPr>
        <w:pStyle w:val="HeadingI"/>
      </w:pPr>
      <w:r w:rsidRPr="005269E6">
        <w:rPr>
          <w:i w:val="0"/>
          <w:iCs w:val="0"/>
          <w:rtl/>
        </w:rPr>
        <w:t>3.2.3</w:t>
      </w:r>
      <w:r w:rsidRPr="005269E6">
        <w:rPr>
          <w:rtl/>
        </w:rPr>
        <w:tab/>
      </w:r>
      <w:r w:rsidRPr="005269E6">
        <w:rPr>
          <w:rtl/>
          <w:lang w:eastAsia="en-US"/>
        </w:rPr>
        <w:t>الخصوم المالية الأخرى وقرض مؤسسة مباني المنظمات الدولية (</w:t>
      </w:r>
      <w:r w:rsidRPr="005269E6">
        <w:rPr>
          <w:lang w:eastAsia="en-US"/>
        </w:rPr>
        <w:t>FIPOI</w:t>
      </w:r>
      <w:r w:rsidRPr="005269E6">
        <w:rPr>
          <w:rtl/>
          <w:lang w:eastAsia="en-US"/>
        </w:rPr>
        <w:t>)</w:t>
      </w:r>
    </w:p>
    <w:p w14:paraId="1BEDA728" w14:textId="77777777" w:rsidR="00834B83" w:rsidRPr="005269E6" w:rsidRDefault="00834B83" w:rsidP="00834B83">
      <w:pPr>
        <w:rPr>
          <w:rtl/>
          <w:lang w:bidi="ar-SY"/>
        </w:rPr>
      </w:pPr>
      <w:r w:rsidRPr="005269E6">
        <w:rPr>
          <w:rtl/>
          <w:lang w:bidi="ar-SY"/>
        </w:rPr>
        <w:t>تتألف الخصوم المالية من القروض والذمم الدائنة</w:t>
      </w:r>
      <w:r w:rsidRPr="005269E6">
        <w:rPr>
          <w:rtl/>
        </w:rPr>
        <w:t xml:space="preserve"> </w:t>
      </w:r>
      <w:r w:rsidRPr="005269E6">
        <w:rPr>
          <w:rtl/>
          <w:lang w:bidi="ar-SY"/>
        </w:rPr>
        <w:t>الأخرى للتمويل والموردين والمعاملات. وهي تعرض في الميزانية العمومية في شكل خصوم جارية أو غير جارية تبعاً لما إذا كان استحقاقها أقل أو أكثر من</w:t>
      </w:r>
      <w:r w:rsidRPr="005269E6">
        <w:rPr>
          <w:rtl/>
          <w:lang w:bidi="ar-EG"/>
        </w:rPr>
        <w:t> </w:t>
      </w:r>
      <w:r w:rsidRPr="005269E6">
        <w:rPr>
          <w:rtl/>
          <w:lang w:bidi="ar-SY"/>
        </w:rPr>
        <w:t>سنة.</w:t>
      </w:r>
    </w:p>
    <w:p w14:paraId="073258E4" w14:textId="77777777" w:rsidR="00834B83" w:rsidRPr="005269E6" w:rsidRDefault="00834B83" w:rsidP="00834B83">
      <w:pPr>
        <w:rPr>
          <w:lang w:bidi="ar-EG"/>
        </w:rPr>
      </w:pPr>
      <w:r w:rsidRPr="005269E6">
        <w:rPr>
          <w:rtl/>
          <w:lang w:bidi="ar-EG"/>
        </w:rPr>
        <w:t>وتتألف المبالغ المبينة في القروض الواردة في هذه البيانات المالية من قروض بدون فوائد اقترضها الاتحاد من مؤسسة مباني المنظمات الدولية فيما يتعلق بتمويل تشييد مباني الاتحاد.</w:t>
      </w:r>
    </w:p>
    <w:p w14:paraId="3188CE83" w14:textId="77777777" w:rsidR="00834B83" w:rsidRPr="005269E6" w:rsidRDefault="00834B83" w:rsidP="00834B83">
      <w:pPr>
        <w:rPr>
          <w:lang w:bidi="ar-EG"/>
        </w:rPr>
      </w:pPr>
      <w:r w:rsidRPr="005269E6">
        <w:rPr>
          <w:rtl/>
          <w:lang w:bidi="ar-EG"/>
        </w:rPr>
        <w:t xml:space="preserve">وفي عام 2022، نفذ الاتحاد تغييراً في سياسة المحاسبة فيما يتعلق بالقروض. ففي السابق، كان الاتحاد يحسب القروض بقيمتها الاسمية بدلاً من قيمتها العادلة. وتقاس في البداية سياسة المحاسبة المراجعة بشأن القروض الميسَّرة بالقيمة العادلة. وقد خُصم المبلغ المستحق للقروض باستخدام معدل الفائدة على سندات الاتحاد السويسري لمدة 30 عاما البالغ </w:t>
      </w:r>
      <w:r w:rsidRPr="005269E6">
        <w:rPr>
          <w:lang w:bidi="ar-EG"/>
        </w:rPr>
        <w:t>1,476</w:t>
      </w:r>
      <w:r w:rsidRPr="005269E6">
        <w:rPr>
          <w:rtl/>
          <w:lang w:bidi="ar-EG"/>
        </w:rPr>
        <w:t xml:space="preserve"> في المائة في ديسمبر 2022 (-</w:t>
      </w:r>
      <w:r w:rsidRPr="005269E6">
        <w:rPr>
          <w:lang w:bidi="ar-EG"/>
        </w:rPr>
        <w:t>0,095</w:t>
      </w:r>
      <w:r w:rsidRPr="005269E6">
        <w:rPr>
          <w:rtl/>
          <w:lang w:bidi="ar-EG"/>
        </w:rPr>
        <w:t xml:space="preserve"> في المائة عام 2021). وقد روجعت هذه الحسابات في عام 2022 مع إعادة بيان لاحقة للمعاملات المحاسبية لتبين القيمة العادلة للقروض غير المسددة للاتحاد. ويرد مزيد من التفاصيل في الملاحظتين 17 و30 (التي تبين تأثير تغيير </w:t>
      </w:r>
      <w:bookmarkStart w:id="164" w:name="_Hlk160674765"/>
      <w:r w:rsidRPr="005269E6">
        <w:rPr>
          <w:rtl/>
          <w:lang w:bidi="ar-EG"/>
        </w:rPr>
        <w:t>سياسة المحاسبة</w:t>
      </w:r>
      <w:bookmarkEnd w:id="164"/>
      <w:r w:rsidRPr="005269E6">
        <w:rPr>
          <w:rtl/>
          <w:lang w:bidi="ar-EG"/>
        </w:rPr>
        <w:t>).</w:t>
      </w:r>
    </w:p>
    <w:p w14:paraId="68674D75" w14:textId="77777777" w:rsidR="00834B83" w:rsidRPr="005269E6" w:rsidRDefault="00834B83" w:rsidP="00834B83">
      <w:pPr>
        <w:rPr>
          <w:lang w:bidi="ar-EG"/>
        </w:rPr>
      </w:pPr>
      <w:r w:rsidRPr="005269E6">
        <w:rPr>
          <w:rtl/>
          <w:lang w:bidi="ar-EG"/>
        </w:rPr>
        <w:lastRenderedPageBreak/>
        <w:t>مناطق مباني مقر الاتحاد الواقعة على الأرض التي يملكها كانتون جنيف. يتمتع الاتحاد الدولي للاتصالات بحقوق سطح الأرض التي يملكها كانتون جنيف. وبموجب اتفاق حقوق الانتفاع من سطح</w:t>
      </w:r>
      <w:r w:rsidRPr="005269E6">
        <w:rPr>
          <w:rtl/>
        </w:rPr>
        <w:t xml:space="preserve"> </w:t>
      </w:r>
      <w:r w:rsidRPr="005269E6">
        <w:rPr>
          <w:rtl/>
          <w:lang w:bidi="ar-EG"/>
        </w:rPr>
        <w:t xml:space="preserve">الأرض ("حقوق الانتفاع من المساحة") للاتحاد حقوق استخدام الأرض حتى 31 ديسمبر 2079. ولا يملك الاتحاد الأرض، وقد منحت حقوق الانتفاع من سطح </w:t>
      </w:r>
      <w:bookmarkStart w:id="165" w:name="_Hlk160675082"/>
      <w:r w:rsidRPr="005269E6">
        <w:rPr>
          <w:rtl/>
          <w:lang w:bidi="ar-EG"/>
        </w:rPr>
        <w:t xml:space="preserve">الأرض </w:t>
      </w:r>
      <w:bookmarkEnd w:id="165"/>
      <w:r w:rsidRPr="005269E6">
        <w:rPr>
          <w:rtl/>
          <w:lang w:bidi="ar-EG"/>
        </w:rPr>
        <w:t>دون أي تكلفة. ولم يُعترف بأي قيمة للأرض لأن المنظمة لا تملك القدرة على التصرف في هذه الحقوق في معاملة تجارية. والعمر المفيد المستخدم لحساب استهلاك مباني مقر الاتحاد هو أقل عمر مفيد للمكونات ذات الصلة من مبنى مقر الاتحاد أو مدة الاتفاق</w:t>
      </w:r>
      <w:r w:rsidRPr="005269E6">
        <w:rPr>
          <w:rtl/>
        </w:rPr>
        <w:t xml:space="preserve"> </w:t>
      </w:r>
      <w:r w:rsidRPr="005269E6">
        <w:rPr>
          <w:rtl/>
          <w:lang w:bidi="ar-EG"/>
        </w:rPr>
        <w:t>الأساسي بشأن حقوق الانتفاع من سطح</w:t>
      </w:r>
      <w:r w:rsidRPr="005269E6">
        <w:rPr>
          <w:rtl/>
        </w:rPr>
        <w:t xml:space="preserve"> </w:t>
      </w:r>
      <w:r w:rsidRPr="005269E6">
        <w:rPr>
          <w:rtl/>
          <w:lang w:bidi="ar-EG"/>
        </w:rPr>
        <w:t>الأرض.</w:t>
      </w:r>
    </w:p>
    <w:p w14:paraId="5E13617C" w14:textId="77777777" w:rsidR="00834B83" w:rsidRPr="005269E6" w:rsidRDefault="00834B83" w:rsidP="00834B83">
      <w:pPr>
        <w:pStyle w:val="HeadingI"/>
      </w:pPr>
      <w:r w:rsidRPr="005269E6">
        <w:rPr>
          <w:i w:val="0"/>
          <w:iCs w:val="0"/>
          <w:rtl/>
        </w:rPr>
        <w:t>4.2.3</w:t>
      </w:r>
      <w:r w:rsidRPr="005269E6">
        <w:rPr>
          <w:rtl/>
        </w:rPr>
        <w:tab/>
      </w:r>
      <w:r w:rsidRPr="005269E6">
        <w:rPr>
          <w:rtl/>
          <w:lang w:eastAsia="en-US" w:bidi="ar"/>
        </w:rPr>
        <w:t>الذمم</w:t>
      </w:r>
      <w:r w:rsidRPr="005269E6">
        <w:rPr>
          <w:lang w:val="en" w:eastAsia="en-US"/>
        </w:rPr>
        <w:t xml:space="preserve"> </w:t>
      </w:r>
      <w:r w:rsidRPr="005269E6">
        <w:rPr>
          <w:rtl/>
          <w:lang w:eastAsia="en-US" w:bidi="ar"/>
        </w:rPr>
        <w:t>المدينة</w:t>
      </w:r>
    </w:p>
    <w:p w14:paraId="288FC60A" w14:textId="77777777" w:rsidR="00834B83" w:rsidRPr="005269E6" w:rsidRDefault="00834B83" w:rsidP="00834B83">
      <w:pPr>
        <w:rPr>
          <w:rtl/>
          <w:lang w:bidi="ar-EG"/>
        </w:rPr>
      </w:pPr>
      <w:r w:rsidRPr="005269E6">
        <w:rPr>
          <w:rtl/>
          <w:lang w:bidi="ar-EG"/>
        </w:rPr>
        <w:t xml:space="preserve">تصنَّف </w:t>
      </w:r>
      <w:r w:rsidRPr="005269E6">
        <w:rPr>
          <w:rtl/>
          <w:lang w:bidi="ar"/>
        </w:rPr>
        <w:t>ذمم</w:t>
      </w:r>
      <w:r w:rsidRPr="005269E6">
        <w:rPr>
          <w:lang w:val="en" w:bidi="ar-EG"/>
        </w:rPr>
        <w:t xml:space="preserve"> </w:t>
      </w:r>
      <w:r w:rsidRPr="005269E6">
        <w:rPr>
          <w:rtl/>
          <w:lang w:bidi="ar-EG"/>
        </w:rPr>
        <w:t>الاتحاد</w:t>
      </w:r>
      <w:r w:rsidRPr="005269E6">
        <w:rPr>
          <w:rtl/>
        </w:rPr>
        <w:t xml:space="preserve"> </w:t>
      </w:r>
      <w:r w:rsidRPr="005269E6">
        <w:rPr>
          <w:rtl/>
          <w:lang w:bidi="ar-EG"/>
        </w:rPr>
        <w:t>المدينة على أنها مبالغ مستحقة القبض والقروض هي أصول مالية غير مشتقة لها تواريخ استحقاق محددة أو قابلة للتحديد وليست متداولة في سوق ناشطة. وهي تنشأ عندما يدخل الاتحاد في تعاقد مع طرف آخر وإلى أن يتم تنفيذ التحويلات النقدية المرتبطة بهذه الأصول المالية وإلى أن تتحول إلى الاتحاد أيضاً المخاطر والمزايا المرتبطة بهذه الأصول. وتُدرج هذه الأصول في الأصول الجارية، باستثناء الأصول التي يفوق استحقاقها اثني عشر شهراً بعد تاريخ إقفال الحساب. وتُصنف هذه الأخيرة في فئة الأصول غير الجارية.</w:t>
      </w:r>
    </w:p>
    <w:p w14:paraId="2EAD2801" w14:textId="77777777" w:rsidR="00834B83" w:rsidRPr="005269E6" w:rsidRDefault="00834B83" w:rsidP="00834B83">
      <w:pPr>
        <w:rPr>
          <w:spacing w:val="-4"/>
          <w:rtl/>
          <w:lang w:bidi="ar-EG"/>
        </w:rPr>
      </w:pPr>
      <w:r w:rsidRPr="005269E6">
        <w:rPr>
          <w:spacing w:val="-4"/>
          <w:rtl/>
          <w:lang w:bidi="ar-EG"/>
        </w:rPr>
        <w:t>وتُصنف الذمم المدينة في فئتين متمايزتين هما: الذمم المدينة الناشئة عن معاملات تبادلية، من قبيل الذمم المدينة الناشئة عن بيع المنشورات أو عن بطاقات التبليغ عن شبكات ساتلية؛ والذمم المدينة غير التبادلية، لا سيما الذمم المدينة المرتبطة بالمساهمات المدفوعة للاتحاد. وكذلك</w:t>
      </w:r>
      <w:r w:rsidRPr="005269E6">
        <w:rPr>
          <w:rtl/>
        </w:rPr>
        <w:t xml:space="preserve"> </w:t>
      </w:r>
      <w:r w:rsidRPr="005269E6">
        <w:rPr>
          <w:spacing w:val="-4"/>
          <w:rtl/>
          <w:lang w:bidi="ar-EG"/>
        </w:rPr>
        <w:t>المساهمات الطوعية وأعمال الرعاية.</w:t>
      </w:r>
    </w:p>
    <w:p w14:paraId="43E474F2" w14:textId="77777777" w:rsidR="00834B83" w:rsidRPr="005269E6" w:rsidRDefault="00834B83" w:rsidP="00834B83">
      <w:pPr>
        <w:rPr>
          <w:rtl/>
          <w:lang w:bidi="ar-EG"/>
        </w:rPr>
      </w:pPr>
      <w:r w:rsidRPr="005269E6">
        <w:rPr>
          <w:rtl/>
          <w:lang w:bidi="ar"/>
        </w:rPr>
        <w:t>وتثبت</w:t>
      </w:r>
      <w:r w:rsidRPr="005269E6">
        <w:rPr>
          <w:lang w:val="en" w:bidi="ar-SY"/>
        </w:rPr>
        <w:t xml:space="preserve"> </w:t>
      </w:r>
      <w:r w:rsidRPr="005269E6">
        <w:rPr>
          <w:rtl/>
          <w:lang w:bidi="ar"/>
        </w:rPr>
        <w:t>الذمم</w:t>
      </w:r>
      <w:r w:rsidRPr="005269E6">
        <w:rPr>
          <w:lang w:val="en" w:bidi="ar-SY"/>
        </w:rPr>
        <w:t xml:space="preserve"> </w:t>
      </w:r>
      <w:r w:rsidRPr="005269E6">
        <w:rPr>
          <w:rtl/>
          <w:lang w:bidi="ar"/>
        </w:rPr>
        <w:t>المدينة</w:t>
      </w:r>
      <w:r w:rsidRPr="005269E6">
        <w:rPr>
          <w:lang w:val="en" w:bidi="ar-SY"/>
        </w:rPr>
        <w:t xml:space="preserve"> </w:t>
      </w:r>
      <w:r w:rsidRPr="005269E6">
        <w:rPr>
          <w:rtl/>
          <w:lang w:bidi="ar"/>
        </w:rPr>
        <w:t xml:space="preserve">بالتكلفة </w:t>
      </w:r>
      <w:r w:rsidRPr="005269E6">
        <w:rPr>
          <w:rtl/>
          <w:lang w:bidi="ar-EG"/>
        </w:rPr>
        <w:t xml:space="preserve">المستهلَكة. ويعدَّل ذلك مقابل </w:t>
      </w:r>
      <w:r w:rsidRPr="005269E6">
        <w:rPr>
          <w:rtl/>
          <w:lang w:bidi="ar"/>
        </w:rPr>
        <w:t>الاعتماد</w:t>
      </w:r>
      <w:r w:rsidRPr="005269E6">
        <w:rPr>
          <w:lang w:val="en" w:bidi="ar-EG"/>
        </w:rPr>
        <w:t xml:space="preserve"> </w:t>
      </w:r>
      <w:r w:rsidRPr="005269E6">
        <w:rPr>
          <w:rtl/>
          <w:lang w:bidi="ar"/>
        </w:rPr>
        <w:t>المخصص</w:t>
      </w:r>
      <w:r w:rsidRPr="005269E6">
        <w:rPr>
          <w:lang w:val="en" w:bidi="ar-EG"/>
        </w:rPr>
        <w:t xml:space="preserve"> </w:t>
      </w:r>
      <w:r w:rsidRPr="005269E6">
        <w:rPr>
          <w:rtl/>
          <w:lang w:bidi="ar"/>
        </w:rPr>
        <w:t>للديون</w:t>
      </w:r>
      <w:r w:rsidRPr="005269E6">
        <w:rPr>
          <w:lang w:val="en" w:bidi="ar-EG"/>
        </w:rPr>
        <w:t xml:space="preserve"> </w:t>
      </w:r>
      <w:r w:rsidRPr="005269E6">
        <w:rPr>
          <w:rtl/>
          <w:lang w:bidi="ar"/>
        </w:rPr>
        <w:t>المشكوك</w:t>
      </w:r>
      <w:r w:rsidRPr="005269E6">
        <w:rPr>
          <w:lang w:val="en" w:bidi="ar-EG"/>
        </w:rPr>
        <w:t xml:space="preserve"> </w:t>
      </w:r>
      <w:r w:rsidRPr="005269E6">
        <w:rPr>
          <w:rtl/>
          <w:lang w:bidi="ar"/>
        </w:rPr>
        <w:t>في تحصيلها</w:t>
      </w:r>
      <w:r w:rsidRPr="005269E6">
        <w:rPr>
          <w:lang w:val="en" w:bidi="ar-EG"/>
        </w:rPr>
        <w:t xml:space="preserve"> </w:t>
      </w:r>
      <w:r w:rsidRPr="005269E6">
        <w:rPr>
          <w:rtl/>
          <w:lang w:bidi="ar-EG"/>
        </w:rPr>
        <w:t xml:space="preserve">عند استعراض الديون </w:t>
      </w:r>
      <w:r w:rsidRPr="005269E6">
        <w:rPr>
          <w:rtl/>
          <w:lang w:bidi="ar"/>
        </w:rPr>
        <w:t>المشكوك</w:t>
      </w:r>
      <w:r w:rsidRPr="005269E6">
        <w:rPr>
          <w:lang w:val="en" w:bidi="ar-EG"/>
        </w:rPr>
        <w:t xml:space="preserve"> </w:t>
      </w:r>
      <w:r w:rsidRPr="005269E6">
        <w:rPr>
          <w:rtl/>
          <w:lang w:bidi="ar"/>
        </w:rPr>
        <w:t>في تحصيلها</w:t>
      </w:r>
      <w:r w:rsidRPr="005269E6">
        <w:rPr>
          <w:lang w:val="en" w:bidi="ar-EG"/>
        </w:rPr>
        <w:t xml:space="preserve"> </w:t>
      </w:r>
      <w:r w:rsidRPr="005269E6">
        <w:rPr>
          <w:rtl/>
          <w:lang w:bidi="ar-EG"/>
        </w:rPr>
        <w:t>وقت إقفال الحسابات سنوياً.</w:t>
      </w:r>
    </w:p>
    <w:p w14:paraId="2E6745CD" w14:textId="77777777" w:rsidR="00834B83" w:rsidRPr="005269E6" w:rsidRDefault="00834B83" w:rsidP="00834B83">
      <w:pPr>
        <w:rPr>
          <w:rtl/>
          <w:lang w:bidi="ar-SY"/>
        </w:rPr>
      </w:pPr>
      <w:r w:rsidRPr="005269E6">
        <w:rPr>
          <w:rtl/>
          <w:lang w:bidi="ar-EG"/>
        </w:rPr>
        <w:t>ويقيِّم الاتحاد في كل تاريخ إبلاغ ما إذا كانت هناك أدلة موضوعية على انخفاض قيمة أحد الأصول المالية.</w:t>
      </w:r>
      <w:r w:rsidRPr="005269E6">
        <w:rPr>
          <w:rtl/>
          <w:lang w:val="en" w:bidi="ar-EG"/>
        </w:rPr>
        <w:t xml:space="preserve"> </w:t>
      </w:r>
      <w:r w:rsidRPr="005269E6">
        <w:rPr>
          <w:rtl/>
          <w:lang w:bidi="ar-EG"/>
        </w:rPr>
        <w:t>ويُعتبر تراجع قيمة الأصل المالي أو مجموعة من الأصول المالية إذا، وفقط إذا، كان هناك دليل موضوعي على انخفاض القيمة نتيجة لحدث واحد أو أكثر، يحدث بعد التثبيت الأولي للأصل، وله تأثير على التدفقات النقدية المستقبلية المقدرة للأصل المالي أو مجموعة الأصول المالية التي يمكن تقديرها بشكل موثوق.</w:t>
      </w:r>
      <w:r w:rsidRPr="005269E6">
        <w:rPr>
          <w:rtl/>
          <w:lang w:val="en" w:bidi="ar-EG"/>
        </w:rPr>
        <w:t xml:space="preserve"> </w:t>
      </w:r>
      <w:r w:rsidRPr="005269E6">
        <w:rPr>
          <w:rtl/>
          <w:lang w:bidi="ar-EG"/>
        </w:rPr>
        <w:t>وتخفَّض القيمة الدفترية للأصل من خلال استخدام حساب بدلات ويثبَّت مبلغ الخسارة في الفائض أو العجز.</w:t>
      </w:r>
      <w:r w:rsidRPr="005269E6">
        <w:rPr>
          <w:rtl/>
          <w:lang w:val="en" w:bidi="ar-EG"/>
        </w:rPr>
        <w:t xml:space="preserve"> </w:t>
      </w:r>
      <w:r w:rsidRPr="005269E6">
        <w:rPr>
          <w:rtl/>
          <w:lang w:bidi="ar-EG"/>
        </w:rPr>
        <w:t>وإذا زاد أو نقص، في سنة لاحقة، مبلغ خسارة انخفاض القيمة المقدرة بسبب حدث وقع بعد تثبيت الانخفاض في القيمة، تزاد أو تخفَّض خسارة انخفاض القيمة المثبتة سابقاً بتعديل حساب البدلات. وفي حال استرداد الشطب لاحقاً، يُدرج الاسترداد في الإيرادات بفائض أو عجز.</w:t>
      </w:r>
    </w:p>
    <w:p w14:paraId="4AED93CD" w14:textId="77777777" w:rsidR="00834B83" w:rsidRPr="005269E6" w:rsidRDefault="00834B83" w:rsidP="00834B83">
      <w:pPr>
        <w:pStyle w:val="Headingb"/>
        <w:rPr>
          <w:rtl/>
        </w:rPr>
      </w:pPr>
      <w:bookmarkStart w:id="166" w:name="_Toc329296008"/>
      <w:bookmarkStart w:id="167" w:name="_Toc358648327"/>
      <w:bookmarkStart w:id="168" w:name="_Toc358648526"/>
      <w:bookmarkStart w:id="169" w:name="_Toc387338331"/>
      <w:bookmarkStart w:id="170" w:name="_Toc419484056"/>
      <w:bookmarkStart w:id="171" w:name="_Toc452156608"/>
      <w:bookmarkStart w:id="172" w:name="_Toc482793696"/>
      <w:bookmarkStart w:id="173" w:name="_Toc511402210"/>
      <w:bookmarkStart w:id="174" w:name="_Toc511756647"/>
      <w:bookmarkStart w:id="175" w:name="_Toc520365462"/>
      <w:bookmarkStart w:id="176" w:name="_Toc9614766"/>
      <w:bookmarkStart w:id="177" w:name="_Toc42013526"/>
      <w:bookmarkStart w:id="178" w:name="_Toc42014522"/>
      <w:bookmarkStart w:id="179" w:name="_Toc74061554"/>
      <w:r w:rsidRPr="005269E6">
        <w:rPr>
          <w:rtl/>
        </w:rPr>
        <w:t xml:space="preserve">تحديد الاحتياطي المخصص لاستهلاك </w:t>
      </w:r>
      <w:bookmarkEnd w:id="166"/>
      <w:bookmarkEnd w:id="167"/>
      <w:bookmarkEnd w:id="168"/>
      <w:r w:rsidRPr="005269E6">
        <w:rPr>
          <w:rtl/>
        </w:rPr>
        <w:t>المستحقات</w:t>
      </w:r>
      <w:bookmarkEnd w:id="169"/>
      <w:bookmarkEnd w:id="170"/>
      <w:bookmarkEnd w:id="171"/>
      <w:bookmarkEnd w:id="172"/>
      <w:bookmarkEnd w:id="173"/>
      <w:bookmarkEnd w:id="174"/>
      <w:bookmarkEnd w:id="175"/>
      <w:bookmarkEnd w:id="176"/>
      <w:bookmarkEnd w:id="177"/>
      <w:bookmarkEnd w:id="178"/>
      <w:bookmarkEnd w:id="179"/>
    </w:p>
    <w:p w14:paraId="174C0082" w14:textId="77777777" w:rsidR="00834B83" w:rsidRPr="005269E6" w:rsidRDefault="00834B83" w:rsidP="00834B83">
      <w:pPr>
        <w:rPr>
          <w:spacing w:val="-4"/>
          <w:rtl/>
          <w:lang w:bidi="ar-EG"/>
        </w:rPr>
      </w:pPr>
      <w:r w:rsidRPr="005269E6">
        <w:rPr>
          <w:spacing w:val="-4"/>
          <w:rtl/>
          <w:lang w:bidi="ar-EG"/>
        </w:rPr>
        <w:t>تُقيّم الحاجة إلى إنشاء أو تعديل احتياطي ما لاستهلاك الأصول تبعاً لطبيعة المستحقات، وذلك على أساس فئات المستحقات التالية:</w:t>
      </w:r>
    </w:p>
    <w:p w14:paraId="59BC3751" w14:textId="77777777" w:rsidR="00834B83" w:rsidRPr="005269E6" w:rsidRDefault="00834B83" w:rsidP="00834B83">
      <w:pPr>
        <w:keepNext/>
        <w:keepLines/>
        <w:spacing w:before="160"/>
        <w:rPr>
          <w:rtl/>
          <w:lang w:bidi="ar-EG"/>
        </w:rPr>
      </w:pPr>
      <w:r w:rsidRPr="005269E6">
        <w:rPr>
          <w:lang w:bidi="ar-EG"/>
        </w:rPr>
        <w:t>1</w:t>
      </w:r>
      <w:r w:rsidRPr="005269E6">
        <w:rPr>
          <w:rtl/>
          <w:lang w:bidi="ar-EG"/>
        </w:rPr>
        <w:tab/>
        <w:t>الدول الأعضاء</w:t>
      </w:r>
    </w:p>
    <w:p w14:paraId="24A31231" w14:textId="77777777" w:rsidR="00834B83" w:rsidRPr="005269E6" w:rsidRDefault="00834B83" w:rsidP="00834B83">
      <w:pPr>
        <w:rPr>
          <w:rtl/>
          <w:lang w:bidi="ar-EG"/>
        </w:rPr>
      </w:pPr>
      <w:r w:rsidRPr="005269E6">
        <w:rPr>
          <w:rtl/>
          <w:lang w:bidi="ar-EG"/>
        </w:rPr>
        <w:t xml:space="preserve">وفقاً للرقم </w:t>
      </w:r>
      <w:r w:rsidRPr="005269E6">
        <w:rPr>
          <w:lang w:bidi="ar-EG"/>
        </w:rPr>
        <w:t>169</w:t>
      </w:r>
      <w:r w:rsidRPr="005269E6">
        <w:rPr>
          <w:rtl/>
          <w:lang w:bidi="ar-EG"/>
        </w:rPr>
        <w:t xml:space="preserve"> من المادة </w:t>
      </w:r>
      <w:r w:rsidRPr="005269E6">
        <w:rPr>
          <w:lang w:bidi="ar-EG"/>
        </w:rPr>
        <w:t>28</w:t>
      </w:r>
      <w:r w:rsidRPr="005269E6">
        <w:rPr>
          <w:rtl/>
          <w:lang w:bidi="ar-EG"/>
        </w:rPr>
        <w:t xml:space="preserve"> من دستور الاتحاد، كل دولة من الدول الأعضاء تتأخر في مدفوعاتها للاتحاد تفقد حقها في التصويت المشار إليه في الرقمين </w:t>
      </w:r>
      <w:r w:rsidRPr="005269E6">
        <w:rPr>
          <w:lang w:bidi="ar-EG"/>
        </w:rPr>
        <w:t>27</w:t>
      </w:r>
      <w:r w:rsidRPr="005269E6">
        <w:rPr>
          <w:rtl/>
          <w:lang w:bidi="ar-EG"/>
        </w:rPr>
        <w:t xml:space="preserve"> و</w:t>
      </w:r>
      <w:r w:rsidRPr="005269E6">
        <w:rPr>
          <w:lang w:bidi="ar-EG"/>
        </w:rPr>
        <w:t>28</w:t>
      </w:r>
      <w:r w:rsidRPr="005269E6">
        <w:rPr>
          <w:rtl/>
          <w:lang w:bidi="ar-EG"/>
        </w:rPr>
        <w:t xml:space="preserve"> من هذا الدستور، عندما يعادل مبلغ متأخراتها أو يفوق مبلغ المساهمات المستحقة عليها عن السنتين السابقتين.</w:t>
      </w:r>
    </w:p>
    <w:p w14:paraId="1EFDADA1" w14:textId="77777777" w:rsidR="00834B83" w:rsidRPr="005269E6" w:rsidRDefault="00834B83" w:rsidP="00834B83">
      <w:pPr>
        <w:rPr>
          <w:rtl/>
          <w:lang w:bidi="ar-EG"/>
        </w:rPr>
      </w:pPr>
      <w:r w:rsidRPr="005269E6">
        <w:rPr>
          <w:rtl/>
          <w:lang w:bidi="ar-EG"/>
        </w:rPr>
        <w:t>واستناداً إلى هذه الفقرة، يُنشأ احتياطي بشأن الدول الأعضاء التي تفوق متأخراتها سنتين. ويتم التقييم والمتابعة على أساس التبليغ المالي، ويصدر هذا التبليغ كل ثلاثة أشهر. ويُحسب انخفاض القيمة على أساس تبليغ الأشهر الثلاثة الأخيرة من السنة، ويصدر هذا التبليغ في مطلع السنة التالية.</w:t>
      </w:r>
    </w:p>
    <w:p w14:paraId="04FACC70" w14:textId="77777777" w:rsidR="00834B83" w:rsidRPr="005269E6" w:rsidRDefault="00834B83" w:rsidP="00834B83">
      <w:pPr>
        <w:rPr>
          <w:rtl/>
          <w:lang w:bidi="ar-SY"/>
        </w:rPr>
      </w:pPr>
      <w:r w:rsidRPr="005269E6">
        <w:rPr>
          <w:rtl/>
          <w:lang w:bidi="ar-SY"/>
        </w:rPr>
        <w:t>ومبلغ الانخفاض في القيمة يساوي 100 في المائة من الدين الذي ظل غير مدفوع ، بالإضافة إلى الفائدة على المتأخرات المحملة منذ أن أصبح السداد متأخراً لأول مرة لجميع الأعضاء الذين تساوي أو تزيد ديونهم مبلغ المساهمة المستحقة عن السنتين السابقتين وفقاً للمادة 28 من الدستور.</w:t>
      </w:r>
    </w:p>
    <w:p w14:paraId="24819B16" w14:textId="77777777" w:rsidR="00834B83" w:rsidRPr="005269E6" w:rsidRDefault="00834B83" w:rsidP="00834B83">
      <w:pPr>
        <w:keepNext/>
        <w:keepLines/>
        <w:spacing w:before="160"/>
        <w:rPr>
          <w:rtl/>
          <w:lang w:bidi="ar-EG"/>
        </w:rPr>
      </w:pPr>
      <w:r w:rsidRPr="005269E6">
        <w:rPr>
          <w:rtl/>
          <w:lang w:bidi="ar-EG"/>
        </w:rPr>
        <w:t>2</w:t>
      </w:r>
      <w:r w:rsidRPr="005269E6">
        <w:rPr>
          <w:rtl/>
          <w:lang w:bidi="ar-EG"/>
        </w:rPr>
        <w:tab/>
        <w:t>أعضاء القطاعات والمنتسبون والهيئات الأكاديمية</w:t>
      </w:r>
    </w:p>
    <w:p w14:paraId="1B276FE3" w14:textId="51094F17" w:rsidR="00834B83" w:rsidRPr="005269E6" w:rsidRDefault="00834B83" w:rsidP="00834B83">
      <w:pPr>
        <w:rPr>
          <w:rtl/>
          <w:lang w:bidi="ar-EG"/>
        </w:rPr>
      </w:pPr>
      <w:r w:rsidRPr="005269E6">
        <w:rPr>
          <w:rtl/>
          <w:lang w:bidi="ar-EG"/>
        </w:rPr>
        <w:t xml:space="preserve">فيما يتعلق بأعضاء القطاعات والمنتسبين، تنص الفقرة </w:t>
      </w:r>
      <w:r w:rsidRPr="005269E6">
        <w:rPr>
          <w:lang w:bidi="ar-EG"/>
        </w:rPr>
        <w:t>6</w:t>
      </w:r>
      <w:r w:rsidRPr="005269E6">
        <w:rPr>
          <w:rtl/>
          <w:lang w:bidi="ar-EG"/>
        </w:rPr>
        <w:t xml:space="preserve"> من </w:t>
      </w:r>
      <w:r w:rsidRPr="005269E6">
        <w:rPr>
          <w:i/>
          <w:iCs/>
          <w:rtl/>
          <w:lang w:bidi="ar-EG"/>
        </w:rPr>
        <w:t>"يقـرر"</w:t>
      </w:r>
      <w:r w:rsidRPr="005269E6">
        <w:rPr>
          <w:rtl/>
          <w:lang w:bidi="ar-EG"/>
        </w:rPr>
        <w:t xml:space="preserve"> من القرار </w:t>
      </w:r>
      <w:r w:rsidRPr="005269E6">
        <w:rPr>
          <w:lang w:bidi="ar-EG"/>
        </w:rPr>
        <w:t>152</w:t>
      </w:r>
      <w:r w:rsidRPr="005269E6">
        <w:rPr>
          <w:rtl/>
          <w:lang w:bidi="ar-EG"/>
        </w:rPr>
        <w:t xml:space="preserve"> (المراجَع في بوسان، </w:t>
      </w:r>
      <w:r w:rsidRPr="005269E6">
        <w:rPr>
          <w:lang w:bidi="ar-EG"/>
        </w:rPr>
        <w:t>2014</w:t>
      </w:r>
      <w:r w:rsidRPr="005269E6">
        <w:rPr>
          <w:rtl/>
          <w:lang w:bidi="ar-EG"/>
        </w:rPr>
        <w:t>)،</w:t>
      </w:r>
      <w:r w:rsidRPr="005269E6">
        <w:rPr>
          <w:rtl/>
        </w:rPr>
        <w:t xml:space="preserve"> في حالة التأخر عن الدفع، على تعليق المشاركة في أعمال الاتحاد بعد ستة أشهر (</w:t>
      </w:r>
      <w:r w:rsidRPr="005269E6">
        <w:rPr>
          <w:lang w:bidi="ar-EG"/>
        </w:rPr>
        <w:t>180</w:t>
      </w:r>
      <w:r w:rsidRPr="005269E6">
        <w:rPr>
          <w:rtl/>
        </w:rPr>
        <w:t xml:space="preserve"> يوماً) من تاريخ استحقاق المساهمة السنوية، </w:t>
      </w:r>
      <w:r w:rsidRPr="005269E6">
        <w:rPr>
          <w:rtl/>
        </w:rPr>
        <w:lastRenderedPageBreak/>
        <w:t>وإذا</w:t>
      </w:r>
      <w:r w:rsidR="00EA3E1D" w:rsidRPr="005269E6">
        <w:rPr>
          <w:rFonts w:hint="cs"/>
          <w:rtl/>
        </w:rPr>
        <w:t> </w:t>
      </w:r>
      <w:r w:rsidRPr="005269E6">
        <w:rPr>
          <w:rtl/>
        </w:rPr>
        <w:t>لم يكن ثمة جدول للسداد جرى التفاوض بشأنه والموافقة عليه، على أن يُستبعد عضو القطاع أو المنتسب بسبب عدم الدفع بعد ثلاثة أشهر (</w:t>
      </w:r>
      <w:r w:rsidRPr="005269E6">
        <w:rPr>
          <w:lang w:bidi="ar-EG"/>
        </w:rPr>
        <w:t>90</w:t>
      </w:r>
      <w:r w:rsidRPr="005269E6">
        <w:rPr>
          <w:rtl/>
        </w:rPr>
        <w:t> يوماً) من تاريخ استلام التبليغ بتعليق المشاركة</w:t>
      </w:r>
      <w:r w:rsidRPr="005269E6">
        <w:rPr>
          <w:rtl/>
          <w:lang w:bidi="ar-EG"/>
        </w:rPr>
        <w:t>.</w:t>
      </w:r>
    </w:p>
    <w:p w14:paraId="52FC2996" w14:textId="77777777" w:rsidR="00834B83" w:rsidRPr="005269E6" w:rsidRDefault="00834B83" w:rsidP="00834B83">
      <w:pPr>
        <w:rPr>
          <w:rtl/>
          <w:lang w:bidi="ar-EG"/>
        </w:rPr>
      </w:pPr>
      <w:r w:rsidRPr="005269E6">
        <w:rPr>
          <w:rtl/>
          <w:lang w:bidi="ar-EG"/>
        </w:rPr>
        <w:t>ويُحتسب احتياطي لكل المستحقات غير المدفوعة، بما فيها الفوائد المستحقة لأكثر من سنتين، بنسبة </w:t>
      </w:r>
      <w:r w:rsidRPr="005269E6">
        <w:rPr>
          <w:lang w:bidi="ar-EG"/>
        </w:rPr>
        <w:t>%100</w:t>
      </w:r>
      <w:r w:rsidRPr="005269E6">
        <w:rPr>
          <w:rtl/>
          <w:lang w:bidi="ar-EG"/>
        </w:rPr>
        <w:t>.</w:t>
      </w:r>
    </w:p>
    <w:p w14:paraId="2ED43C54" w14:textId="77777777" w:rsidR="00834B83" w:rsidRPr="005269E6" w:rsidRDefault="00834B83" w:rsidP="00834B83">
      <w:pPr>
        <w:keepNext/>
        <w:keepLines/>
        <w:spacing w:before="160"/>
        <w:rPr>
          <w:lang w:bidi="ar-EG"/>
        </w:rPr>
      </w:pPr>
      <w:r w:rsidRPr="005269E6">
        <w:rPr>
          <w:lang w:bidi="ar-EG"/>
        </w:rPr>
        <w:t>3</w:t>
      </w:r>
      <w:r w:rsidRPr="005269E6">
        <w:rPr>
          <w:rtl/>
          <w:lang w:bidi="ar-EG"/>
        </w:rPr>
        <w:tab/>
        <w:t xml:space="preserve">إيرادات معالجة بطاقات التبليغ عن الشبكات الساتلية </w:t>
      </w:r>
      <w:r w:rsidRPr="005269E6">
        <w:rPr>
          <w:lang w:bidi="ar-EG"/>
        </w:rPr>
        <w:t>(SNF)</w:t>
      </w:r>
    </w:p>
    <w:p w14:paraId="1F1B3E61" w14:textId="77777777" w:rsidR="00834B83" w:rsidRPr="005269E6" w:rsidRDefault="00834B83" w:rsidP="00834B83">
      <w:pPr>
        <w:rPr>
          <w:rtl/>
          <w:lang w:bidi="ar-EG"/>
        </w:rPr>
      </w:pPr>
      <w:r w:rsidRPr="005269E6">
        <w:rPr>
          <w:rtl/>
          <w:lang w:bidi="ar-EG"/>
        </w:rPr>
        <w:t xml:space="preserve">يُنشئ الاتحاد احتياطياً لفواتير معالجة بطاقات التبليغ عن الشبكات الساتلية، وفي حالة التأخر عن الدفع تترتب على هذه الفواتير فائدة قدرها </w:t>
      </w:r>
      <w:r w:rsidRPr="005269E6">
        <w:rPr>
          <w:lang w:bidi="ar-EG"/>
        </w:rPr>
        <w:t>%6</w:t>
      </w:r>
      <w:r w:rsidRPr="005269E6">
        <w:rPr>
          <w:rtl/>
          <w:lang w:bidi="ar-EG"/>
        </w:rPr>
        <w:t xml:space="preserve"> اعتباراً من تاريخ الاستحقاق. وبما أن الفواتير تستحق الدفع خلال ستة أشهر، يُشكل لها احتياطي بنسبة </w:t>
      </w:r>
      <w:r w:rsidRPr="005269E6">
        <w:rPr>
          <w:lang w:bidi="ar-EG"/>
        </w:rPr>
        <w:t>%100</w:t>
      </w:r>
      <w:r w:rsidRPr="005269E6">
        <w:rPr>
          <w:rtl/>
          <w:lang w:bidi="ar-EG"/>
        </w:rPr>
        <w:t xml:space="preserve"> في </w:t>
      </w:r>
      <w:r w:rsidRPr="005269E6">
        <w:rPr>
          <w:lang w:bidi="ar-EG"/>
        </w:rPr>
        <w:t>31</w:t>
      </w:r>
      <w:r w:rsidRPr="005269E6">
        <w:rPr>
          <w:rtl/>
          <w:lang w:bidi="ar-EG"/>
        </w:rPr>
        <w:t xml:space="preserve"> ديسمبر من السنة التالية لإصدارها.</w:t>
      </w:r>
    </w:p>
    <w:p w14:paraId="7334DD3C" w14:textId="77777777" w:rsidR="00834B83" w:rsidRPr="005269E6" w:rsidRDefault="00834B83" w:rsidP="00834B83">
      <w:pPr>
        <w:keepNext/>
        <w:keepLines/>
        <w:spacing w:before="160"/>
        <w:rPr>
          <w:rtl/>
          <w:lang w:bidi="ar-EG"/>
        </w:rPr>
      </w:pPr>
      <w:r w:rsidRPr="005269E6">
        <w:rPr>
          <w:lang w:bidi="ar-EG"/>
        </w:rPr>
        <w:t>4</w:t>
      </w:r>
      <w:r w:rsidRPr="005269E6">
        <w:rPr>
          <w:rtl/>
          <w:lang w:bidi="ar-EG"/>
        </w:rPr>
        <w:tab/>
        <w:t>المنشورات</w:t>
      </w:r>
    </w:p>
    <w:p w14:paraId="4E184A5F" w14:textId="77777777" w:rsidR="00834B83" w:rsidRPr="005269E6" w:rsidRDefault="00834B83" w:rsidP="00834B83">
      <w:pPr>
        <w:rPr>
          <w:lang w:bidi="ar-EG"/>
        </w:rPr>
      </w:pPr>
      <w:r w:rsidRPr="005269E6">
        <w:rPr>
          <w:rtl/>
          <w:lang w:bidi="ar-EG"/>
        </w:rPr>
        <w:t>تُدفع قيمة المنشورات في أغلب الأحوال سلفاً، باستثناء ما تشتريه إدارات الدول الأعضاء. وتشكيل هذا الاحتياطي مماثل للمبدأ المطبق على مساهمات الدول الأعضاء وأعضاء القطاعات.</w:t>
      </w:r>
    </w:p>
    <w:p w14:paraId="14E9F6DB" w14:textId="77777777" w:rsidR="00834B83" w:rsidRPr="005269E6" w:rsidRDefault="00834B83" w:rsidP="00834B83">
      <w:pPr>
        <w:pStyle w:val="Heading2"/>
      </w:pPr>
      <w:r w:rsidRPr="005269E6">
        <w:rPr>
          <w:rtl/>
        </w:rPr>
        <w:t>3.3</w:t>
      </w:r>
      <w:r w:rsidRPr="005269E6">
        <w:rPr>
          <w:rtl/>
        </w:rPr>
        <w:tab/>
      </w:r>
      <w:r w:rsidRPr="005269E6">
        <w:rPr>
          <w:u w:val="single"/>
          <w:rtl/>
        </w:rPr>
        <w:t>المخزونات</w:t>
      </w:r>
    </w:p>
    <w:p w14:paraId="6EAFE8F3" w14:textId="77777777" w:rsidR="00834B83" w:rsidRPr="005269E6" w:rsidRDefault="00834B83" w:rsidP="00834B83">
      <w:pPr>
        <w:rPr>
          <w:rtl/>
          <w:lang w:bidi="ar-EG"/>
        </w:rPr>
      </w:pPr>
      <w:r w:rsidRPr="005269E6">
        <w:rPr>
          <w:rtl/>
          <w:lang w:bidi="ar-EG"/>
        </w:rPr>
        <w:t>تتكون المخزونات من المنشورات ومن التذكارات التي تحمل شعار الاتحاد ومن مستودعات اللوازم القابلة للاستهلاك ومن المواد الأولية للصيانة ومن مخزونات قطع التبديل غير المخصصة لصيانة أصول بعينها.</w:t>
      </w:r>
    </w:p>
    <w:p w14:paraId="6D88B7B9" w14:textId="77777777" w:rsidR="00834B83" w:rsidRPr="005269E6" w:rsidRDefault="00834B83" w:rsidP="00834B83">
      <w:pPr>
        <w:rPr>
          <w:rtl/>
          <w:lang w:bidi="ar-EG"/>
        </w:rPr>
      </w:pPr>
      <w:r w:rsidRPr="005269E6">
        <w:rPr>
          <w:rtl/>
          <w:lang w:bidi="ar-EG"/>
        </w:rPr>
        <w:t>وبالنسبة للسلع المستهلكة تقدر قيمة المخزونات بطريقة التكلفة المتوسطة المرجّحة. وتتبع الطريقة ذاتها بالنسبة لكل المخزونات التي لها طابع واستخدام مماثلين في المنظمة.</w:t>
      </w:r>
    </w:p>
    <w:p w14:paraId="30FD2161" w14:textId="77777777" w:rsidR="00834B83" w:rsidRPr="005269E6" w:rsidRDefault="00834B83" w:rsidP="00834B83">
      <w:pPr>
        <w:rPr>
          <w:rtl/>
          <w:lang w:bidi="ar-EG"/>
        </w:rPr>
      </w:pPr>
      <w:r w:rsidRPr="005269E6">
        <w:rPr>
          <w:rtl/>
          <w:lang w:bidi="ar-EG"/>
        </w:rPr>
        <w:t xml:space="preserve">ويتم تقدير قيمة المنشورات بحسب تكلفة معيارية تقوم على أساس مقياس يحدّث سنوياً. ولا تشمل التكلفة المعيارية التكاليف المباشرة للموظفين، ومع ذلك فإن تكلفة الورق تزاد بنسبة </w:t>
      </w:r>
      <w:r w:rsidRPr="005269E6">
        <w:rPr>
          <w:lang w:val="fr-CH" w:bidi="ar-EG"/>
        </w:rPr>
        <w:t>%253</w:t>
      </w:r>
      <w:r w:rsidRPr="005269E6">
        <w:rPr>
          <w:rtl/>
          <w:lang w:bidi="ar-EG"/>
        </w:rPr>
        <w:t>، وهو ما يمثل التكاليف المباشرة المرتبطة بعملية الاستنساخ. ويمثل صافي القيمة القابلة للتحقيق سعر البيع التقديري مطروحاً منه التكاليف المقدرة لإنتاج المنشورات وتسويقها وبيعها وتوزيعها.</w:t>
      </w:r>
    </w:p>
    <w:p w14:paraId="79F652BD" w14:textId="77777777" w:rsidR="00834B83" w:rsidRPr="005269E6" w:rsidRDefault="00834B83" w:rsidP="00834B83">
      <w:pPr>
        <w:rPr>
          <w:rtl/>
          <w:lang w:bidi="ar-EG"/>
        </w:rPr>
      </w:pPr>
      <w:r w:rsidRPr="005269E6">
        <w:rPr>
          <w:rtl/>
          <w:lang w:bidi="ar-SY"/>
        </w:rPr>
        <w:t>وعندما توزع مخزونات المنشورات بتكلفة صفرية أو رمزية، فإنها تقدر بأقل التكاليف أو بقيمة صافية يمكن تحقيقها.</w:t>
      </w:r>
    </w:p>
    <w:p w14:paraId="79D107F4" w14:textId="77777777" w:rsidR="00834B83" w:rsidRPr="005269E6" w:rsidRDefault="00834B83" w:rsidP="00834B83">
      <w:pPr>
        <w:rPr>
          <w:lang w:bidi="ar-EG"/>
        </w:rPr>
      </w:pPr>
      <w:r w:rsidRPr="005269E6">
        <w:rPr>
          <w:rtl/>
          <w:lang w:bidi="ar-EG"/>
        </w:rPr>
        <w:t>وتتم عملية جرد مادي سنوياً لكل المخزونات. وفي تاريخ اختتام كل عملية، وإذا توفر أي دليل يشير إلى احتمال تراجع في قيمة المخزونات، عندئذ تخفَّض قيمتها.</w:t>
      </w:r>
      <w:r w:rsidRPr="005269E6">
        <w:rPr>
          <w:rtl/>
        </w:rPr>
        <w:t xml:space="preserve"> و</w:t>
      </w:r>
      <w:r w:rsidRPr="005269E6">
        <w:rPr>
          <w:rtl/>
          <w:lang w:bidi="ar-EG"/>
        </w:rPr>
        <w:t>تقدَّر قيمة المنشورات على مرحلتين: الأولى على أساس أي ضرر يتحدد أثناء التقييم المادي السنوي، ثم فيما يتعلق بتقادم المنشورات. وتقرر المنظمة أيضاً ما إذا تناقصت خسارة قيمة محسوبة سابقاً أم تلاشت. فإذا وجد دليل من هذا القبيل، يتم تقدير وتحديث القيمة الصافية المحققة أو تكلفة استبدال المخزونات.</w:t>
      </w:r>
    </w:p>
    <w:p w14:paraId="632B2009" w14:textId="77777777" w:rsidR="00834B83" w:rsidRPr="005269E6" w:rsidRDefault="00834B83" w:rsidP="00834B83">
      <w:pPr>
        <w:rPr>
          <w:rtl/>
          <w:lang w:bidi="ar-EG"/>
        </w:rPr>
      </w:pPr>
      <w:r w:rsidRPr="005269E6">
        <w:rPr>
          <w:rtl/>
          <w:lang w:bidi="ar-EG"/>
        </w:rPr>
        <w:t>أما المنشورات والمقالات التي لا يقترح بيعها أو توزيعها مجاناً فينخفض صافي قيمتها المحاسبية إلى الصفر.</w:t>
      </w:r>
    </w:p>
    <w:p w14:paraId="0878F7FA" w14:textId="77777777" w:rsidR="00834B83" w:rsidRPr="005269E6" w:rsidRDefault="00834B83" w:rsidP="00834B83">
      <w:pPr>
        <w:pStyle w:val="Heading2"/>
      </w:pPr>
      <w:r w:rsidRPr="005269E6">
        <w:rPr>
          <w:rtl/>
        </w:rPr>
        <w:t>4.3</w:t>
      </w:r>
      <w:r w:rsidRPr="005269E6">
        <w:rPr>
          <w:rtl/>
        </w:rPr>
        <w:tab/>
      </w:r>
      <w:r w:rsidRPr="005269E6">
        <w:rPr>
          <w:u w:val="single"/>
          <w:rtl/>
        </w:rPr>
        <w:t>الأصول المادية</w:t>
      </w:r>
    </w:p>
    <w:p w14:paraId="23CDEB38" w14:textId="5A3F5AD6" w:rsidR="00834B83" w:rsidRPr="005269E6" w:rsidRDefault="00834B83" w:rsidP="00834B83">
      <w:pPr>
        <w:rPr>
          <w:rtl/>
          <w:lang w:bidi="ar-EG"/>
        </w:rPr>
      </w:pPr>
      <w:r w:rsidRPr="005269E6">
        <w:rPr>
          <w:rtl/>
          <w:lang w:bidi="ar-EG"/>
        </w:rPr>
        <w:t xml:space="preserve">تُقدر قيمة </w:t>
      </w:r>
      <w:r w:rsidR="00086B63">
        <w:rPr>
          <w:rFonts w:hint="cs"/>
          <w:rtl/>
          <w:lang w:bidi="ar-EG"/>
        </w:rPr>
        <w:t xml:space="preserve">الممتلكات والمعدات </w:t>
      </w:r>
      <w:r w:rsidRPr="005269E6">
        <w:rPr>
          <w:rtl/>
          <w:lang w:bidi="ar-EG"/>
        </w:rPr>
        <w:t>التي يملكها الاتحاد بقيمتها التاريخية بعد أن يُخصم منها تراكم الاستهلاك والخسائر في القيمة.</w:t>
      </w:r>
    </w:p>
    <w:p w14:paraId="2DC57C11" w14:textId="77777777" w:rsidR="00834B83" w:rsidRPr="005269E6" w:rsidRDefault="00834B83" w:rsidP="00834B83">
      <w:pPr>
        <w:rPr>
          <w:i/>
          <w:iCs/>
          <w:rtl/>
          <w:lang w:bidi="ar-SY"/>
        </w:rPr>
      </w:pPr>
      <w:r w:rsidRPr="005269E6">
        <w:rPr>
          <w:rtl/>
          <w:lang w:bidi="ar-EG"/>
        </w:rPr>
        <w:tab/>
      </w:r>
      <w:r w:rsidRPr="005269E6">
        <w:rPr>
          <w:i/>
          <w:iCs/>
          <w:rtl/>
        </w:rPr>
        <w:t>الإضافات</w:t>
      </w:r>
    </w:p>
    <w:p w14:paraId="0C355EE9" w14:textId="77777777" w:rsidR="00834B83" w:rsidRPr="005269E6" w:rsidRDefault="00834B83" w:rsidP="00834B83">
      <w:pPr>
        <w:rPr>
          <w:rtl/>
          <w:lang w:bidi="ar-EG"/>
        </w:rPr>
      </w:pPr>
      <w:r w:rsidRPr="005269E6">
        <w:rPr>
          <w:rtl/>
          <w:lang w:bidi="ar-EG"/>
        </w:rPr>
        <w:t>تثبت تكلفة بند من بنود الممتلكات والمنشآت والمعدات (</w:t>
      </w:r>
      <w:r w:rsidRPr="005269E6">
        <w:rPr>
          <w:lang w:bidi="ar-EG"/>
        </w:rPr>
        <w:t>PP&amp;E</w:t>
      </w:r>
      <w:r w:rsidRPr="005269E6">
        <w:rPr>
          <w:rtl/>
          <w:lang w:bidi="ar-EG"/>
        </w:rPr>
        <w:t>) كأصل إذا كان من المحتمل أن تتدفق منافع اقتصادية مستقبلية أو خدمة محتملة مرتبطة بهذا البند إلى الاتحاد وأمكن قياس تكلفة البند بشكل موثوق. وعند التبرع بأصل، تقاس تكلفته الأولية على أنها القيمة العادلة للأصل في تاريخ الاستحواذ.</w:t>
      </w:r>
    </w:p>
    <w:p w14:paraId="7686D61A" w14:textId="77777777" w:rsidR="00834B83" w:rsidRPr="005269E6" w:rsidRDefault="00834B83" w:rsidP="00834B83">
      <w:pPr>
        <w:rPr>
          <w:i/>
          <w:iCs/>
          <w:lang w:bidi="ar-EG"/>
        </w:rPr>
      </w:pPr>
      <w:r w:rsidRPr="005269E6">
        <w:rPr>
          <w:rtl/>
          <w:lang w:bidi="ar-EG"/>
        </w:rPr>
        <w:tab/>
      </w:r>
      <w:r w:rsidRPr="005269E6">
        <w:rPr>
          <w:i/>
          <w:iCs/>
          <w:rtl/>
          <w:lang w:bidi="ar-SY"/>
        </w:rPr>
        <w:t>التخلص</w:t>
      </w:r>
    </w:p>
    <w:p w14:paraId="2DD08BE6" w14:textId="77777777" w:rsidR="00834B83" w:rsidRPr="005269E6" w:rsidRDefault="00834B83" w:rsidP="00834B83">
      <w:pPr>
        <w:rPr>
          <w:rtl/>
          <w:lang w:bidi="ar-EG"/>
        </w:rPr>
      </w:pPr>
      <w:r w:rsidRPr="005269E6">
        <w:rPr>
          <w:rtl/>
          <w:lang w:bidi="ar-EG"/>
        </w:rPr>
        <w:t>تتحدد الأرباح والخسائر عند التخلص من خلال مقارنة الريع بالقيمة الدفترية للأصل، وتضمينها في بيان الأداء المالي.</w:t>
      </w:r>
    </w:p>
    <w:p w14:paraId="3493B220" w14:textId="77777777" w:rsidR="00834B83" w:rsidRPr="005269E6" w:rsidRDefault="00834B83" w:rsidP="00834B83">
      <w:pPr>
        <w:rPr>
          <w:i/>
          <w:iCs/>
          <w:rtl/>
          <w:lang w:bidi="ar-EG"/>
        </w:rPr>
      </w:pPr>
      <w:r w:rsidRPr="005269E6">
        <w:rPr>
          <w:rtl/>
          <w:lang w:bidi="ar-EG"/>
        </w:rPr>
        <w:tab/>
      </w:r>
      <w:r w:rsidRPr="005269E6">
        <w:rPr>
          <w:i/>
          <w:iCs/>
          <w:rtl/>
          <w:lang w:bidi="ar-SY"/>
        </w:rPr>
        <w:t>التكاليف اللاحقة</w:t>
      </w:r>
    </w:p>
    <w:p w14:paraId="2125389D" w14:textId="77777777" w:rsidR="00834B83" w:rsidRPr="005269E6" w:rsidRDefault="00834B83" w:rsidP="00834B83">
      <w:pPr>
        <w:rPr>
          <w:rtl/>
          <w:lang w:bidi="ar-EG"/>
        </w:rPr>
      </w:pPr>
      <w:r w:rsidRPr="005269E6">
        <w:rPr>
          <w:rtl/>
          <w:lang w:bidi="ar-EG"/>
        </w:rPr>
        <w:t>لا تقيَّد قيمة التكاليف المتكبدة بعد الحيازة الأولية إلا إذا كان من المحتمل أن تتدفق في المستقبل إلى الاتحاد الفوائد الاقتصادية أو إمكانات الخدمة المرتبطة بهذا البند وأمكن قياس تكلفة البند بشكل موثوق.</w:t>
      </w:r>
    </w:p>
    <w:p w14:paraId="2BF9A159" w14:textId="77777777" w:rsidR="00834B83" w:rsidRPr="005269E6" w:rsidRDefault="00834B83" w:rsidP="00834B83">
      <w:pPr>
        <w:rPr>
          <w:rtl/>
          <w:lang w:bidi="ar-EG"/>
        </w:rPr>
      </w:pPr>
      <w:r w:rsidRPr="005269E6">
        <w:rPr>
          <w:rtl/>
          <w:lang w:bidi="ar-EG"/>
        </w:rPr>
        <w:lastRenderedPageBreak/>
        <w:t xml:space="preserve">وتُحتسب الممتلكات التي تساوي قيمتها أو تفوق </w:t>
      </w:r>
      <w:r w:rsidRPr="005269E6">
        <w:rPr>
          <w:lang w:bidi="ar-EG"/>
        </w:rPr>
        <w:t>5 000</w:t>
      </w:r>
      <w:r w:rsidRPr="005269E6">
        <w:rPr>
          <w:rtl/>
          <w:lang w:bidi="ar-EG"/>
        </w:rPr>
        <w:t xml:space="preserve"> فرنك سويسري وقت استلامها وتُستهلك خطياً بعد ذلك.</w:t>
      </w:r>
    </w:p>
    <w:p w14:paraId="22AFA3A8" w14:textId="77777777" w:rsidR="00834B83" w:rsidRPr="005269E6" w:rsidRDefault="00834B83" w:rsidP="00834B83">
      <w:pPr>
        <w:rPr>
          <w:rtl/>
          <w:lang w:bidi="ar-EG"/>
        </w:rPr>
      </w:pPr>
      <w:r w:rsidRPr="005269E6">
        <w:rPr>
          <w:rtl/>
          <w:lang w:bidi="ar-EG"/>
        </w:rPr>
        <w:t xml:space="preserve">وعندما تتألف الأصول الثابتة من عدة مكونات مهمة تتفاوت أعمارها الإنتاجية، يثبَّت كل مكون على حدة. </w:t>
      </w:r>
      <w:r w:rsidRPr="005269E6">
        <w:rPr>
          <w:rtl/>
          <w:lang w:bidi="ar"/>
        </w:rPr>
        <w:t>ويُحسب</w:t>
      </w:r>
      <w:r w:rsidRPr="005269E6">
        <w:rPr>
          <w:lang w:val="en" w:bidi="ar-EG"/>
        </w:rPr>
        <w:t xml:space="preserve"> </w:t>
      </w:r>
      <w:r w:rsidRPr="005269E6">
        <w:rPr>
          <w:rtl/>
          <w:lang w:bidi="ar-EG"/>
        </w:rPr>
        <w:t xml:space="preserve">الاستهلاك بأسلوب خطي تبعاً </w:t>
      </w:r>
      <w:r w:rsidRPr="005269E6">
        <w:rPr>
          <w:rtl/>
          <w:lang w:bidi="ar"/>
        </w:rPr>
        <w:t>للعمر</w:t>
      </w:r>
      <w:r w:rsidRPr="005269E6">
        <w:rPr>
          <w:lang w:val="en" w:bidi="ar-EG"/>
        </w:rPr>
        <w:t xml:space="preserve"> </w:t>
      </w:r>
      <w:r w:rsidRPr="005269E6">
        <w:rPr>
          <w:rtl/>
          <w:lang w:bidi="ar"/>
        </w:rPr>
        <w:t>الإنتاجي</w:t>
      </w:r>
      <w:r w:rsidRPr="005269E6">
        <w:rPr>
          <w:lang w:val="en" w:bidi="ar-EG"/>
        </w:rPr>
        <w:t xml:space="preserve"> </w:t>
      </w:r>
      <w:r w:rsidRPr="005269E6">
        <w:rPr>
          <w:rtl/>
          <w:lang w:bidi="ar"/>
        </w:rPr>
        <w:t>المقدر</w:t>
      </w:r>
      <w:r w:rsidRPr="005269E6">
        <w:rPr>
          <w:lang w:val="en" w:bidi="ar-EG"/>
        </w:rPr>
        <w:t xml:space="preserve"> </w:t>
      </w:r>
      <w:r w:rsidRPr="005269E6">
        <w:rPr>
          <w:rtl/>
          <w:lang w:bidi="ar"/>
        </w:rPr>
        <w:t>لكل</w:t>
      </w:r>
      <w:r w:rsidRPr="005269E6">
        <w:rPr>
          <w:lang w:val="en" w:bidi="ar-EG"/>
        </w:rPr>
        <w:t xml:space="preserve"> </w:t>
      </w:r>
      <w:r w:rsidRPr="005269E6">
        <w:rPr>
          <w:rtl/>
          <w:lang w:bidi="ar"/>
        </w:rPr>
        <w:t>بند،</w:t>
      </w:r>
      <w:r w:rsidRPr="005269E6">
        <w:rPr>
          <w:lang w:val="en" w:bidi="ar-EG"/>
        </w:rPr>
        <w:t xml:space="preserve"> </w:t>
      </w:r>
      <w:r w:rsidRPr="005269E6">
        <w:rPr>
          <w:rtl/>
          <w:lang w:bidi="ar-EG"/>
        </w:rPr>
        <w:t xml:space="preserve">مع مراعاة فترة متبقية نهائية إذا اقتضى الأمر. وتُستعرض القيم المتبقية </w:t>
      </w:r>
      <w:r w:rsidRPr="005269E6">
        <w:rPr>
          <w:rtl/>
          <w:lang w:bidi="ar"/>
        </w:rPr>
        <w:t>والعمر</w:t>
      </w:r>
      <w:r w:rsidRPr="005269E6">
        <w:rPr>
          <w:lang w:val="en" w:bidi="ar-EG"/>
        </w:rPr>
        <w:t xml:space="preserve"> </w:t>
      </w:r>
      <w:r w:rsidRPr="005269E6">
        <w:rPr>
          <w:rtl/>
          <w:lang w:bidi="ar"/>
        </w:rPr>
        <w:t>الإنتاجي</w:t>
      </w:r>
      <w:r w:rsidRPr="005269E6">
        <w:rPr>
          <w:lang w:val="en" w:bidi="ar-EG"/>
        </w:rPr>
        <w:t xml:space="preserve"> </w:t>
      </w:r>
      <w:r w:rsidRPr="005269E6">
        <w:rPr>
          <w:rtl/>
          <w:lang w:bidi="ar-EG"/>
        </w:rPr>
        <w:t xml:space="preserve">وأساليب استهلاك الأصول، وتُعدّل عند اللزوم، </w:t>
      </w:r>
      <w:r w:rsidRPr="005269E6">
        <w:rPr>
          <w:rtl/>
          <w:lang w:bidi="ar"/>
        </w:rPr>
        <w:t>،</w:t>
      </w:r>
      <w:r w:rsidRPr="005269E6">
        <w:rPr>
          <w:lang w:val="en" w:bidi="ar-EG"/>
        </w:rPr>
        <w:t xml:space="preserve"> </w:t>
      </w:r>
      <w:r w:rsidRPr="005269E6">
        <w:rPr>
          <w:rtl/>
          <w:lang w:bidi="ar"/>
        </w:rPr>
        <w:t>عند</w:t>
      </w:r>
      <w:r w:rsidRPr="005269E6">
        <w:rPr>
          <w:lang w:val="en" w:bidi="ar-EG"/>
        </w:rPr>
        <w:t xml:space="preserve"> </w:t>
      </w:r>
      <w:r w:rsidRPr="005269E6">
        <w:rPr>
          <w:rtl/>
          <w:lang w:bidi="ar"/>
        </w:rPr>
        <w:t>كل</w:t>
      </w:r>
      <w:r w:rsidRPr="005269E6">
        <w:rPr>
          <w:lang w:val="en" w:bidi="ar-EG"/>
        </w:rPr>
        <w:t xml:space="preserve"> </w:t>
      </w:r>
      <w:r w:rsidRPr="005269E6">
        <w:rPr>
          <w:rtl/>
          <w:lang w:bidi="ar"/>
        </w:rPr>
        <w:t>إغلاق</w:t>
      </w:r>
      <w:r w:rsidRPr="005269E6">
        <w:rPr>
          <w:lang w:val="en" w:bidi="ar-EG"/>
        </w:rPr>
        <w:t xml:space="preserve"> </w:t>
      </w:r>
      <w:r w:rsidRPr="005269E6">
        <w:rPr>
          <w:rtl/>
          <w:lang w:bidi="ar"/>
        </w:rPr>
        <w:t>سنوي</w:t>
      </w:r>
      <w:r w:rsidRPr="005269E6">
        <w:rPr>
          <w:rtl/>
          <w:lang w:bidi="ar-EG"/>
        </w:rPr>
        <w:t xml:space="preserve"> للحسابات.</w:t>
      </w:r>
    </w:p>
    <w:p w14:paraId="47263315" w14:textId="77777777" w:rsidR="00834B83" w:rsidRPr="005269E6" w:rsidRDefault="00834B83" w:rsidP="00834B83">
      <w:pPr>
        <w:rPr>
          <w:rtl/>
          <w:lang w:bidi="ar-EG"/>
        </w:rPr>
      </w:pPr>
      <w:r w:rsidRPr="005269E6">
        <w:rPr>
          <w:rtl/>
          <w:lang w:bidi="ar-EG"/>
        </w:rPr>
        <w:t>والممتلكات والمعدات التي تم الحصول عليها فيما يتعلق بالمشاريع المنفذة في إطار أنشطة من خارج الميزانية (وخاصة مشاريع برنامج الأمم المتحدة الإنمائي والمشاريع المنفذة وطنيا والمساهمات الطوعية) تثبَّت بالكامل كنفقات في بيان الأداء المالي عند الإقفال الشهري بعد الحيازة نظراً لأن الاتحاد لا يتحكم فيها.</w:t>
      </w:r>
    </w:p>
    <w:p w14:paraId="1F82784F" w14:textId="77777777" w:rsidR="00834B83" w:rsidRPr="005269E6" w:rsidRDefault="00834B83" w:rsidP="006B5F24">
      <w:pPr>
        <w:spacing w:after="120"/>
        <w:rPr>
          <w:rtl/>
          <w:lang w:bidi="ar-EG"/>
        </w:rPr>
      </w:pPr>
      <w:r w:rsidRPr="005269E6">
        <w:rPr>
          <w:rtl/>
          <w:lang w:bidi="ar-EG"/>
        </w:rPr>
        <w:t>ويوضح الجدول أدناه العمر الفعلي المفيد للأصول.</w:t>
      </w:r>
    </w:p>
    <w:tbl>
      <w:tblPr>
        <w:bidiVisual/>
        <w:tblW w:w="3973" w:type="pct"/>
        <w:jc w:val="center"/>
        <w:tblLook w:val="04A0" w:firstRow="1" w:lastRow="0" w:firstColumn="1" w:lastColumn="0" w:noHBand="0" w:noVBand="1"/>
      </w:tblPr>
      <w:tblGrid>
        <w:gridCol w:w="5280"/>
        <w:gridCol w:w="2379"/>
      </w:tblGrid>
      <w:tr w:rsidR="00834B83" w:rsidRPr="005269E6" w14:paraId="7258659E" w14:textId="77777777" w:rsidTr="005C5B84">
        <w:trPr>
          <w:tblHeader/>
          <w:jc w:val="center"/>
        </w:trPr>
        <w:tc>
          <w:tcPr>
            <w:tcW w:w="3447" w:type="pct"/>
            <w:shd w:val="clear" w:color="auto" w:fill="538DD5"/>
            <w:vAlign w:val="center"/>
          </w:tcPr>
          <w:p w14:paraId="6B4E33B5" w14:textId="77777777" w:rsidR="00834B83" w:rsidRPr="005269E6" w:rsidRDefault="00834B83" w:rsidP="005C5B84">
            <w:pPr>
              <w:pStyle w:val="TableHead"/>
              <w:spacing w:line="192" w:lineRule="auto"/>
              <w:rPr>
                <w:sz w:val="18"/>
                <w:szCs w:val="18"/>
                <w:lang w:eastAsia="fr-FR"/>
              </w:rPr>
            </w:pPr>
            <w:r w:rsidRPr="005269E6">
              <w:rPr>
                <w:sz w:val="18"/>
                <w:szCs w:val="18"/>
                <w:rtl/>
              </w:rPr>
              <w:t>فئات الأصول وفروعها</w:t>
            </w:r>
          </w:p>
        </w:tc>
        <w:tc>
          <w:tcPr>
            <w:tcW w:w="1553" w:type="pct"/>
            <w:shd w:val="clear" w:color="auto" w:fill="538DD5"/>
          </w:tcPr>
          <w:p w14:paraId="32228BC2" w14:textId="77777777" w:rsidR="00834B83" w:rsidRPr="005269E6" w:rsidRDefault="00834B83" w:rsidP="005C5B84">
            <w:pPr>
              <w:pStyle w:val="TableHead"/>
              <w:spacing w:line="192" w:lineRule="auto"/>
              <w:rPr>
                <w:sz w:val="18"/>
                <w:szCs w:val="18"/>
              </w:rPr>
            </w:pPr>
            <w:r w:rsidRPr="005269E6">
              <w:rPr>
                <w:sz w:val="18"/>
                <w:szCs w:val="18"/>
                <w:rtl/>
                <w:lang w:bidi="ar"/>
              </w:rPr>
              <w:t>العمر</w:t>
            </w:r>
            <w:r w:rsidRPr="005269E6">
              <w:rPr>
                <w:sz w:val="18"/>
                <w:szCs w:val="18"/>
                <w:lang w:val="en"/>
              </w:rPr>
              <w:t xml:space="preserve"> </w:t>
            </w:r>
            <w:r w:rsidRPr="005269E6">
              <w:rPr>
                <w:sz w:val="18"/>
                <w:szCs w:val="18"/>
                <w:rtl/>
                <w:lang w:bidi="ar"/>
              </w:rPr>
              <w:t xml:space="preserve">المفيد </w:t>
            </w:r>
            <w:r w:rsidRPr="005269E6">
              <w:rPr>
                <w:sz w:val="18"/>
                <w:szCs w:val="18"/>
                <w:rtl/>
              </w:rPr>
              <w:t>المقدَّر (بالسنوات)</w:t>
            </w:r>
          </w:p>
        </w:tc>
      </w:tr>
      <w:tr w:rsidR="00834B83" w:rsidRPr="005269E6" w14:paraId="6ADF8C83" w14:textId="77777777" w:rsidTr="005C5B84">
        <w:trPr>
          <w:jc w:val="center"/>
        </w:trPr>
        <w:tc>
          <w:tcPr>
            <w:tcW w:w="3447" w:type="pct"/>
          </w:tcPr>
          <w:p w14:paraId="443F5DED" w14:textId="77777777" w:rsidR="00834B83" w:rsidRPr="005269E6" w:rsidRDefault="00834B83" w:rsidP="005C5B84">
            <w:pPr>
              <w:pStyle w:val="Tabletexte"/>
              <w:rPr>
                <w:b/>
                <w:bCs/>
                <w:sz w:val="18"/>
                <w:szCs w:val="18"/>
                <w:rtl/>
                <w:lang w:eastAsia="fr-FR"/>
              </w:rPr>
            </w:pPr>
            <w:r w:rsidRPr="005269E6">
              <w:rPr>
                <w:b/>
                <w:bCs/>
                <w:sz w:val="18"/>
                <w:szCs w:val="18"/>
                <w:rtl/>
                <w:lang w:eastAsia="fr-FR"/>
              </w:rPr>
              <w:t>المباني</w:t>
            </w:r>
          </w:p>
        </w:tc>
        <w:tc>
          <w:tcPr>
            <w:tcW w:w="1553" w:type="pct"/>
          </w:tcPr>
          <w:p w14:paraId="4E032CEE" w14:textId="77777777" w:rsidR="00834B83" w:rsidRPr="005269E6" w:rsidRDefault="00834B83" w:rsidP="006B5F24">
            <w:pPr>
              <w:pStyle w:val="Tabletexte"/>
              <w:ind w:left="567"/>
              <w:jc w:val="center"/>
              <w:rPr>
                <w:rFonts w:eastAsia="Times New Roman"/>
                <w:sz w:val="18"/>
                <w:szCs w:val="18"/>
                <w:lang w:val="fr-FR" w:eastAsia="en-US" w:bidi="ar-EG"/>
              </w:rPr>
            </w:pPr>
          </w:p>
        </w:tc>
      </w:tr>
      <w:tr w:rsidR="00834B83" w:rsidRPr="005269E6" w14:paraId="7DD7D606" w14:textId="77777777" w:rsidTr="005C5B84">
        <w:trPr>
          <w:jc w:val="center"/>
        </w:trPr>
        <w:tc>
          <w:tcPr>
            <w:tcW w:w="3447" w:type="pct"/>
          </w:tcPr>
          <w:p w14:paraId="1D1E6691" w14:textId="77777777" w:rsidR="00834B83" w:rsidRPr="005269E6" w:rsidRDefault="00834B83" w:rsidP="005C5B84">
            <w:pPr>
              <w:pStyle w:val="Tabletexte"/>
              <w:tabs>
                <w:tab w:val="clear" w:pos="794"/>
                <w:tab w:val="left" w:pos="599"/>
              </w:tabs>
              <w:ind w:left="310"/>
              <w:rPr>
                <w:sz w:val="18"/>
                <w:szCs w:val="18"/>
                <w:lang w:eastAsia="fr-FR"/>
              </w:rPr>
            </w:pPr>
            <w:r w:rsidRPr="005269E6">
              <w:rPr>
                <w:sz w:val="18"/>
                <w:szCs w:val="18"/>
                <w:rtl/>
                <w:lang w:eastAsia="fr-FR"/>
              </w:rPr>
              <w:t>-</w:t>
            </w:r>
            <w:r w:rsidRPr="005269E6">
              <w:rPr>
                <w:sz w:val="18"/>
                <w:szCs w:val="18"/>
                <w:lang w:eastAsia="fr-FR"/>
              </w:rPr>
              <w:tab/>
            </w:r>
            <w:r w:rsidRPr="005269E6">
              <w:rPr>
                <w:sz w:val="18"/>
                <w:szCs w:val="18"/>
                <w:rtl/>
                <w:lang w:eastAsia="fr-FR"/>
              </w:rPr>
              <w:t>الهيكل</w:t>
            </w:r>
          </w:p>
        </w:tc>
        <w:tc>
          <w:tcPr>
            <w:tcW w:w="1553" w:type="pct"/>
          </w:tcPr>
          <w:p w14:paraId="32518E96"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60</w:t>
            </w:r>
          </w:p>
        </w:tc>
      </w:tr>
      <w:tr w:rsidR="00834B83" w:rsidRPr="005269E6" w14:paraId="1CC0302F" w14:textId="77777777" w:rsidTr="005C5B84">
        <w:trPr>
          <w:jc w:val="center"/>
        </w:trPr>
        <w:tc>
          <w:tcPr>
            <w:tcW w:w="3447" w:type="pct"/>
          </w:tcPr>
          <w:p w14:paraId="5C3A9399" w14:textId="77777777" w:rsidR="00834B83" w:rsidRPr="005269E6" w:rsidRDefault="00834B83" w:rsidP="005C5B84">
            <w:pPr>
              <w:pStyle w:val="Tabletexte"/>
              <w:tabs>
                <w:tab w:val="clear" w:pos="794"/>
                <w:tab w:val="left" w:pos="599"/>
              </w:tabs>
              <w:ind w:left="310"/>
              <w:rPr>
                <w:sz w:val="18"/>
                <w:szCs w:val="18"/>
                <w:lang w:eastAsia="fr-FR"/>
              </w:rPr>
            </w:pPr>
            <w:r w:rsidRPr="005269E6">
              <w:rPr>
                <w:sz w:val="18"/>
                <w:szCs w:val="18"/>
                <w:rtl/>
                <w:lang w:eastAsia="fr-FR"/>
              </w:rPr>
              <w:t>-</w:t>
            </w:r>
            <w:r w:rsidRPr="005269E6">
              <w:rPr>
                <w:sz w:val="18"/>
                <w:szCs w:val="18"/>
                <w:lang w:eastAsia="fr-FR"/>
              </w:rPr>
              <w:tab/>
            </w:r>
            <w:r w:rsidRPr="005269E6">
              <w:rPr>
                <w:sz w:val="18"/>
                <w:szCs w:val="18"/>
                <w:rtl/>
                <w:lang w:eastAsia="fr-FR"/>
              </w:rPr>
              <w:t>الغلاف (الأسطح وطبقة العزل الحراري والمائي ...)</w:t>
            </w:r>
          </w:p>
        </w:tc>
        <w:tc>
          <w:tcPr>
            <w:tcW w:w="1553" w:type="pct"/>
          </w:tcPr>
          <w:p w14:paraId="4E3D3251"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40</w:t>
            </w:r>
          </w:p>
        </w:tc>
      </w:tr>
      <w:tr w:rsidR="00834B83" w:rsidRPr="005269E6" w14:paraId="1A20680F" w14:textId="77777777" w:rsidTr="005C5B84">
        <w:trPr>
          <w:jc w:val="center"/>
        </w:trPr>
        <w:tc>
          <w:tcPr>
            <w:tcW w:w="3447" w:type="pct"/>
          </w:tcPr>
          <w:p w14:paraId="14053DFD" w14:textId="77777777" w:rsidR="00834B83" w:rsidRPr="005269E6" w:rsidRDefault="00834B83" w:rsidP="005C5B84">
            <w:pPr>
              <w:pStyle w:val="Tabletexte"/>
              <w:tabs>
                <w:tab w:val="clear" w:pos="794"/>
                <w:tab w:val="left" w:pos="599"/>
              </w:tabs>
              <w:ind w:left="310"/>
              <w:rPr>
                <w:sz w:val="18"/>
                <w:szCs w:val="18"/>
                <w:lang w:eastAsia="fr-FR"/>
              </w:rPr>
            </w:pPr>
            <w:r w:rsidRPr="005269E6">
              <w:rPr>
                <w:sz w:val="18"/>
                <w:szCs w:val="18"/>
                <w:rtl/>
                <w:lang w:eastAsia="fr-FR"/>
              </w:rPr>
              <w:t>-</w:t>
            </w:r>
            <w:r w:rsidRPr="005269E6">
              <w:rPr>
                <w:sz w:val="18"/>
                <w:szCs w:val="18"/>
                <w:lang w:eastAsia="fr-FR"/>
              </w:rPr>
              <w:tab/>
            </w:r>
            <w:r w:rsidRPr="005269E6">
              <w:rPr>
                <w:sz w:val="18"/>
                <w:szCs w:val="18"/>
                <w:rtl/>
                <w:lang w:eastAsia="fr-FR"/>
              </w:rPr>
              <w:t>الغلاف (الواجهات المعدنية وإطارات النوافذ من الألمنيوم ...)</w:t>
            </w:r>
          </w:p>
        </w:tc>
        <w:tc>
          <w:tcPr>
            <w:tcW w:w="1553" w:type="pct"/>
          </w:tcPr>
          <w:p w14:paraId="2827CE41"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40</w:t>
            </w:r>
          </w:p>
        </w:tc>
      </w:tr>
      <w:tr w:rsidR="00834B83" w:rsidRPr="005269E6" w14:paraId="67777044" w14:textId="77777777" w:rsidTr="005C5B84">
        <w:trPr>
          <w:jc w:val="center"/>
        </w:trPr>
        <w:tc>
          <w:tcPr>
            <w:tcW w:w="3447" w:type="pct"/>
          </w:tcPr>
          <w:p w14:paraId="6844D61F" w14:textId="77777777" w:rsidR="00834B83" w:rsidRPr="005269E6" w:rsidRDefault="00834B83" w:rsidP="005C5B84">
            <w:pPr>
              <w:pStyle w:val="Tabletexte"/>
              <w:tabs>
                <w:tab w:val="clear" w:pos="794"/>
                <w:tab w:val="left" w:pos="599"/>
              </w:tabs>
              <w:ind w:left="310"/>
              <w:rPr>
                <w:sz w:val="18"/>
                <w:szCs w:val="18"/>
                <w:lang w:eastAsia="fr-FR"/>
              </w:rPr>
            </w:pPr>
            <w:r w:rsidRPr="005269E6">
              <w:rPr>
                <w:sz w:val="18"/>
                <w:szCs w:val="18"/>
                <w:rtl/>
                <w:lang w:eastAsia="fr-FR"/>
              </w:rPr>
              <w:t>-</w:t>
            </w:r>
            <w:r w:rsidRPr="005269E6">
              <w:rPr>
                <w:sz w:val="18"/>
                <w:szCs w:val="18"/>
                <w:lang w:eastAsia="fr-FR"/>
              </w:rPr>
              <w:tab/>
            </w:r>
            <w:r w:rsidRPr="005269E6">
              <w:rPr>
                <w:sz w:val="18"/>
                <w:szCs w:val="18"/>
                <w:rtl/>
                <w:lang w:eastAsia="fr-FR"/>
              </w:rPr>
              <w:t>التركيبات الداخلية (الأرضية والتقسيمات ...)</w:t>
            </w:r>
          </w:p>
        </w:tc>
        <w:tc>
          <w:tcPr>
            <w:tcW w:w="1553" w:type="pct"/>
          </w:tcPr>
          <w:p w14:paraId="33D758D3"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25</w:t>
            </w:r>
          </w:p>
        </w:tc>
      </w:tr>
      <w:tr w:rsidR="00834B83" w:rsidRPr="005269E6" w14:paraId="4159ED9A" w14:textId="77777777" w:rsidTr="005C5B84">
        <w:trPr>
          <w:jc w:val="center"/>
        </w:trPr>
        <w:tc>
          <w:tcPr>
            <w:tcW w:w="3447" w:type="pct"/>
          </w:tcPr>
          <w:p w14:paraId="6C1AC3D5" w14:textId="77777777" w:rsidR="00834B83" w:rsidRPr="005269E6" w:rsidRDefault="00834B83" w:rsidP="005C5B84">
            <w:pPr>
              <w:pStyle w:val="Tabletexte"/>
              <w:tabs>
                <w:tab w:val="clear" w:pos="794"/>
                <w:tab w:val="left" w:pos="599"/>
              </w:tabs>
              <w:ind w:left="310"/>
              <w:rPr>
                <w:sz w:val="18"/>
                <w:szCs w:val="18"/>
                <w:lang w:eastAsia="fr-FR"/>
              </w:rPr>
            </w:pPr>
            <w:r w:rsidRPr="005269E6">
              <w:rPr>
                <w:sz w:val="18"/>
                <w:szCs w:val="18"/>
                <w:rtl/>
                <w:lang w:eastAsia="fr-FR"/>
              </w:rPr>
              <w:t>-</w:t>
            </w:r>
            <w:r w:rsidRPr="005269E6">
              <w:rPr>
                <w:sz w:val="18"/>
                <w:szCs w:val="18"/>
                <w:lang w:eastAsia="fr-FR"/>
              </w:rPr>
              <w:tab/>
            </w:r>
            <w:r w:rsidRPr="005269E6">
              <w:rPr>
                <w:sz w:val="18"/>
                <w:szCs w:val="18"/>
                <w:rtl/>
                <w:lang w:eastAsia="fr-FR"/>
              </w:rPr>
              <w:t>التركيبات الداخلية (غلاف الأرضية والجدران والسقوف ...)</w:t>
            </w:r>
          </w:p>
        </w:tc>
        <w:tc>
          <w:tcPr>
            <w:tcW w:w="1553" w:type="pct"/>
          </w:tcPr>
          <w:p w14:paraId="59D7A821"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25</w:t>
            </w:r>
          </w:p>
        </w:tc>
      </w:tr>
      <w:tr w:rsidR="00834B83" w:rsidRPr="005269E6" w14:paraId="40B3C47E" w14:textId="77777777" w:rsidTr="005C5B84">
        <w:trPr>
          <w:jc w:val="center"/>
        </w:trPr>
        <w:tc>
          <w:tcPr>
            <w:tcW w:w="3447" w:type="pct"/>
          </w:tcPr>
          <w:p w14:paraId="31FD1133" w14:textId="77777777" w:rsidR="00834B83" w:rsidRPr="005269E6" w:rsidRDefault="00834B83" w:rsidP="005C5B84">
            <w:pPr>
              <w:pStyle w:val="Tabletexte"/>
              <w:tabs>
                <w:tab w:val="clear" w:pos="794"/>
                <w:tab w:val="left" w:pos="599"/>
              </w:tabs>
              <w:ind w:left="310"/>
              <w:rPr>
                <w:sz w:val="18"/>
                <w:szCs w:val="18"/>
                <w:lang w:eastAsia="fr-FR"/>
              </w:rPr>
            </w:pPr>
            <w:r w:rsidRPr="005269E6">
              <w:rPr>
                <w:sz w:val="18"/>
                <w:szCs w:val="18"/>
                <w:rtl/>
                <w:lang w:eastAsia="fr-FR"/>
              </w:rPr>
              <w:t>-</w:t>
            </w:r>
            <w:r w:rsidRPr="005269E6">
              <w:rPr>
                <w:sz w:val="18"/>
                <w:szCs w:val="18"/>
                <w:lang w:eastAsia="fr-FR"/>
              </w:rPr>
              <w:tab/>
            </w:r>
            <w:r w:rsidRPr="005269E6">
              <w:rPr>
                <w:sz w:val="18"/>
                <w:szCs w:val="18"/>
                <w:rtl/>
                <w:lang w:eastAsia="fr-FR"/>
              </w:rPr>
              <w:t>المعدات الخاصة</w:t>
            </w:r>
          </w:p>
        </w:tc>
        <w:tc>
          <w:tcPr>
            <w:tcW w:w="1553" w:type="pct"/>
          </w:tcPr>
          <w:p w14:paraId="5489ACB7"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25</w:t>
            </w:r>
          </w:p>
        </w:tc>
      </w:tr>
      <w:tr w:rsidR="00834B83" w:rsidRPr="005269E6" w14:paraId="6ABB2D14" w14:textId="77777777" w:rsidTr="005C5B84">
        <w:trPr>
          <w:jc w:val="center"/>
        </w:trPr>
        <w:tc>
          <w:tcPr>
            <w:tcW w:w="3447" w:type="pct"/>
          </w:tcPr>
          <w:p w14:paraId="4B85F1B6" w14:textId="77777777" w:rsidR="00834B83" w:rsidRPr="005269E6" w:rsidRDefault="00834B83" w:rsidP="005C5B84">
            <w:pPr>
              <w:pStyle w:val="Tabletexte"/>
              <w:tabs>
                <w:tab w:val="clear" w:pos="794"/>
                <w:tab w:val="left" w:pos="599"/>
              </w:tabs>
              <w:ind w:left="310"/>
              <w:rPr>
                <w:sz w:val="18"/>
                <w:szCs w:val="18"/>
                <w:rtl/>
                <w:lang w:eastAsia="fr-FR"/>
              </w:rPr>
            </w:pPr>
            <w:r w:rsidRPr="005269E6">
              <w:rPr>
                <w:sz w:val="18"/>
                <w:szCs w:val="18"/>
                <w:rtl/>
                <w:lang w:eastAsia="fr-FR"/>
              </w:rPr>
              <w:t>-</w:t>
            </w:r>
            <w:r w:rsidRPr="005269E6">
              <w:rPr>
                <w:sz w:val="18"/>
                <w:szCs w:val="18"/>
                <w:lang w:eastAsia="fr-FR"/>
              </w:rPr>
              <w:tab/>
            </w:r>
            <w:r w:rsidRPr="005269E6">
              <w:rPr>
                <w:sz w:val="18"/>
                <w:szCs w:val="18"/>
                <w:rtl/>
                <w:lang w:eastAsia="fr-FR"/>
              </w:rPr>
              <w:t>التمديدات التقنية (الكهرباء)</w:t>
            </w:r>
          </w:p>
        </w:tc>
        <w:tc>
          <w:tcPr>
            <w:tcW w:w="1553" w:type="pct"/>
          </w:tcPr>
          <w:p w14:paraId="6C96A815"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50</w:t>
            </w:r>
          </w:p>
        </w:tc>
      </w:tr>
      <w:tr w:rsidR="00834B83" w:rsidRPr="005269E6" w14:paraId="377DD0A0" w14:textId="77777777" w:rsidTr="005C5B84">
        <w:trPr>
          <w:jc w:val="center"/>
        </w:trPr>
        <w:tc>
          <w:tcPr>
            <w:tcW w:w="3447" w:type="pct"/>
          </w:tcPr>
          <w:p w14:paraId="29BD576C" w14:textId="77777777" w:rsidR="00834B83" w:rsidRPr="005269E6" w:rsidRDefault="00834B83" w:rsidP="005C5B84">
            <w:pPr>
              <w:pStyle w:val="Tabletexte"/>
              <w:tabs>
                <w:tab w:val="clear" w:pos="794"/>
                <w:tab w:val="left" w:pos="599"/>
              </w:tabs>
              <w:ind w:left="310"/>
              <w:rPr>
                <w:sz w:val="18"/>
                <w:szCs w:val="18"/>
                <w:lang w:eastAsia="fr-FR"/>
              </w:rPr>
            </w:pPr>
            <w:r w:rsidRPr="005269E6">
              <w:rPr>
                <w:sz w:val="18"/>
                <w:szCs w:val="18"/>
                <w:rtl/>
                <w:lang w:eastAsia="fr-FR"/>
              </w:rPr>
              <w:t>-</w:t>
            </w:r>
            <w:r w:rsidRPr="005269E6">
              <w:rPr>
                <w:sz w:val="18"/>
                <w:szCs w:val="18"/>
                <w:lang w:eastAsia="fr-FR"/>
              </w:rPr>
              <w:tab/>
            </w:r>
            <w:r w:rsidRPr="005269E6">
              <w:rPr>
                <w:sz w:val="18"/>
                <w:szCs w:val="18"/>
                <w:rtl/>
                <w:lang w:eastAsia="fr-FR"/>
              </w:rPr>
              <w:t>التمديدات التقنية (الصحية)</w:t>
            </w:r>
          </w:p>
        </w:tc>
        <w:tc>
          <w:tcPr>
            <w:tcW w:w="1553" w:type="pct"/>
          </w:tcPr>
          <w:p w14:paraId="5FCF8713"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40</w:t>
            </w:r>
          </w:p>
        </w:tc>
      </w:tr>
      <w:tr w:rsidR="00834B83" w:rsidRPr="005269E6" w14:paraId="3297537C" w14:textId="77777777" w:rsidTr="005C5B84">
        <w:trPr>
          <w:jc w:val="center"/>
        </w:trPr>
        <w:tc>
          <w:tcPr>
            <w:tcW w:w="3447" w:type="pct"/>
          </w:tcPr>
          <w:p w14:paraId="70B9531A" w14:textId="77777777" w:rsidR="00834B83" w:rsidRPr="005269E6" w:rsidRDefault="00834B83" w:rsidP="005C5B84">
            <w:pPr>
              <w:pStyle w:val="Tabletexte"/>
              <w:tabs>
                <w:tab w:val="clear" w:pos="794"/>
                <w:tab w:val="left" w:pos="599"/>
              </w:tabs>
              <w:ind w:left="310"/>
              <w:rPr>
                <w:sz w:val="18"/>
                <w:szCs w:val="18"/>
                <w:lang w:eastAsia="fr-FR"/>
              </w:rPr>
            </w:pPr>
            <w:r w:rsidRPr="005269E6">
              <w:rPr>
                <w:sz w:val="18"/>
                <w:szCs w:val="18"/>
                <w:rtl/>
                <w:lang w:eastAsia="fr-FR"/>
              </w:rPr>
              <w:t>-</w:t>
            </w:r>
            <w:r w:rsidRPr="005269E6">
              <w:rPr>
                <w:sz w:val="18"/>
                <w:szCs w:val="18"/>
                <w:lang w:eastAsia="fr-FR"/>
              </w:rPr>
              <w:tab/>
            </w:r>
            <w:r w:rsidRPr="005269E6">
              <w:rPr>
                <w:sz w:val="18"/>
                <w:szCs w:val="18"/>
                <w:rtl/>
                <w:lang w:eastAsia="fr-FR"/>
              </w:rPr>
              <w:t>التمديدات التقنية (التدفئة والتهوية)</w:t>
            </w:r>
          </w:p>
        </w:tc>
        <w:tc>
          <w:tcPr>
            <w:tcW w:w="1553" w:type="pct"/>
          </w:tcPr>
          <w:p w14:paraId="10B60981"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30</w:t>
            </w:r>
          </w:p>
        </w:tc>
      </w:tr>
      <w:tr w:rsidR="00834B83" w:rsidRPr="005269E6" w14:paraId="68B46700" w14:textId="77777777" w:rsidTr="005C5B84">
        <w:trPr>
          <w:jc w:val="center"/>
        </w:trPr>
        <w:tc>
          <w:tcPr>
            <w:tcW w:w="3447" w:type="pct"/>
          </w:tcPr>
          <w:p w14:paraId="726A89AB" w14:textId="77777777" w:rsidR="00834B83" w:rsidRPr="005269E6" w:rsidRDefault="00834B83" w:rsidP="005C5B84">
            <w:pPr>
              <w:pStyle w:val="Tabletexte"/>
              <w:tabs>
                <w:tab w:val="clear" w:pos="794"/>
                <w:tab w:val="left" w:pos="599"/>
              </w:tabs>
              <w:ind w:left="310"/>
              <w:rPr>
                <w:sz w:val="18"/>
                <w:szCs w:val="18"/>
                <w:lang w:eastAsia="fr-FR"/>
              </w:rPr>
            </w:pPr>
            <w:r w:rsidRPr="005269E6">
              <w:rPr>
                <w:sz w:val="18"/>
                <w:szCs w:val="18"/>
                <w:rtl/>
                <w:lang w:eastAsia="fr-FR"/>
              </w:rPr>
              <w:t>-</w:t>
            </w:r>
            <w:r w:rsidRPr="005269E6">
              <w:rPr>
                <w:sz w:val="18"/>
                <w:szCs w:val="18"/>
                <w:lang w:eastAsia="fr-FR"/>
              </w:rPr>
              <w:tab/>
            </w:r>
            <w:r w:rsidRPr="005269E6">
              <w:rPr>
                <w:sz w:val="18"/>
                <w:szCs w:val="18"/>
                <w:rtl/>
                <w:lang w:eastAsia="fr-FR"/>
              </w:rPr>
              <w:t>مرافق النقل</w:t>
            </w:r>
          </w:p>
        </w:tc>
        <w:tc>
          <w:tcPr>
            <w:tcW w:w="1553" w:type="pct"/>
          </w:tcPr>
          <w:p w14:paraId="7C306C37"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40</w:t>
            </w:r>
          </w:p>
        </w:tc>
      </w:tr>
      <w:tr w:rsidR="00834B83" w:rsidRPr="005269E6" w14:paraId="6BDB8CA6" w14:textId="77777777" w:rsidTr="005C5B84">
        <w:trPr>
          <w:jc w:val="center"/>
        </w:trPr>
        <w:tc>
          <w:tcPr>
            <w:tcW w:w="3447" w:type="pct"/>
          </w:tcPr>
          <w:p w14:paraId="6BE04FED" w14:textId="77777777" w:rsidR="00834B83" w:rsidRPr="005269E6" w:rsidRDefault="00834B83" w:rsidP="005C5B84">
            <w:pPr>
              <w:pStyle w:val="Tabletexte"/>
              <w:tabs>
                <w:tab w:val="clear" w:pos="794"/>
                <w:tab w:val="left" w:pos="599"/>
              </w:tabs>
              <w:ind w:left="310"/>
              <w:rPr>
                <w:sz w:val="18"/>
                <w:szCs w:val="18"/>
                <w:rtl/>
                <w:lang w:eastAsia="fr-FR" w:bidi="ar-EG"/>
              </w:rPr>
            </w:pPr>
            <w:r w:rsidRPr="005269E6">
              <w:rPr>
                <w:sz w:val="18"/>
                <w:szCs w:val="18"/>
                <w:rtl/>
                <w:lang w:eastAsia="fr-FR"/>
              </w:rPr>
              <w:t>-</w:t>
            </w:r>
            <w:r w:rsidRPr="005269E6">
              <w:rPr>
                <w:sz w:val="18"/>
                <w:szCs w:val="18"/>
                <w:lang w:eastAsia="fr-FR"/>
              </w:rPr>
              <w:tab/>
            </w:r>
            <w:r w:rsidRPr="005269E6">
              <w:rPr>
                <w:sz w:val="18"/>
                <w:szCs w:val="18"/>
                <w:rtl/>
                <w:lang w:eastAsia="fr-FR" w:bidi="ar-EG"/>
              </w:rPr>
              <w:t>أصول المباني الأخرى</w:t>
            </w:r>
          </w:p>
        </w:tc>
        <w:tc>
          <w:tcPr>
            <w:tcW w:w="1553" w:type="pct"/>
          </w:tcPr>
          <w:p w14:paraId="17672AA4" w14:textId="77777777" w:rsidR="00834B83" w:rsidRPr="005269E6" w:rsidRDefault="00834B83" w:rsidP="00CF6D39">
            <w:pPr>
              <w:pStyle w:val="Tabletexte"/>
              <w:ind w:left="567"/>
              <w:jc w:val="left"/>
              <w:rPr>
                <w:rFonts w:eastAsia="Times New Roman"/>
                <w:sz w:val="18"/>
                <w:szCs w:val="18"/>
                <w:lang w:val="fr-FR" w:eastAsia="en-US" w:bidi="ar-EG"/>
              </w:rPr>
            </w:pPr>
          </w:p>
        </w:tc>
      </w:tr>
      <w:tr w:rsidR="00834B83" w:rsidRPr="005269E6" w14:paraId="3168A259" w14:textId="77777777" w:rsidTr="005C5B84">
        <w:trPr>
          <w:jc w:val="center"/>
        </w:trPr>
        <w:tc>
          <w:tcPr>
            <w:tcW w:w="3447" w:type="pct"/>
          </w:tcPr>
          <w:p w14:paraId="60AFA98C" w14:textId="77777777" w:rsidR="00834B83" w:rsidRPr="005269E6" w:rsidRDefault="00834B83" w:rsidP="005C5B84">
            <w:pPr>
              <w:pStyle w:val="Tabletexte"/>
              <w:rPr>
                <w:sz w:val="18"/>
                <w:szCs w:val="18"/>
                <w:lang w:eastAsia="fr-FR" w:bidi="ar-EG"/>
              </w:rPr>
            </w:pPr>
          </w:p>
        </w:tc>
        <w:tc>
          <w:tcPr>
            <w:tcW w:w="1553" w:type="pct"/>
          </w:tcPr>
          <w:p w14:paraId="4E0859C4" w14:textId="77777777" w:rsidR="00834B83" w:rsidRPr="005269E6" w:rsidRDefault="00834B83" w:rsidP="00CF6D39">
            <w:pPr>
              <w:pStyle w:val="Tabletexte"/>
              <w:ind w:left="567"/>
              <w:jc w:val="left"/>
              <w:rPr>
                <w:rFonts w:eastAsia="Times New Roman"/>
                <w:sz w:val="18"/>
                <w:szCs w:val="18"/>
                <w:lang w:val="fr-FR" w:eastAsia="en-US" w:bidi="ar-EG"/>
              </w:rPr>
            </w:pPr>
          </w:p>
        </w:tc>
      </w:tr>
      <w:tr w:rsidR="00834B83" w:rsidRPr="005269E6" w14:paraId="110A80C5" w14:textId="77777777" w:rsidTr="005C5B84">
        <w:trPr>
          <w:jc w:val="center"/>
        </w:trPr>
        <w:tc>
          <w:tcPr>
            <w:tcW w:w="3447" w:type="pct"/>
          </w:tcPr>
          <w:p w14:paraId="16290AA0" w14:textId="77777777" w:rsidR="00834B83" w:rsidRPr="005269E6" w:rsidRDefault="00834B83" w:rsidP="005C5B84">
            <w:pPr>
              <w:pStyle w:val="Tabletexte"/>
              <w:rPr>
                <w:b/>
                <w:bCs/>
                <w:sz w:val="18"/>
                <w:szCs w:val="18"/>
                <w:rtl/>
                <w:lang w:eastAsia="fr-FR"/>
              </w:rPr>
            </w:pPr>
            <w:r w:rsidRPr="005269E6">
              <w:rPr>
                <w:b/>
                <w:bCs/>
                <w:sz w:val="18"/>
                <w:szCs w:val="18"/>
                <w:rtl/>
                <w:lang w:eastAsia="fr-FR"/>
              </w:rPr>
              <w:t>التجهيزات الآلية والمعدات</w:t>
            </w:r>
          </w:p>
        </w:tc>
        <w:tc>
          <w:tcPr>
            <w:tcW w:w="1553" w:type="pct"/>
          </w:tcPr>
          <w:p w14:paraId="3F894AE1"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5</w:t>
            </w:r>
          </w:p>
        </w:tc>
      </w:tr>
      <w:tr w:rsidR="00834B83" w:rsidRPr="005269E6" w14:paraId="4D20412D" w14:textId="77777777" w:rsidTr="005C5B84">
        <w:trPr>
          <w:jc w:val="center"/>
        </w:trPr>
        <w:tc>
          <w:tcPr>
            <w:tcW w:w="3447" w:type="pct"/>
          </w:tcPr>
          <w:p w14:paraId="5AFAAFAD" w14:textId="77777777" w:rsidR="00834B83" w:rsidRPr="005269E6" w:rsidRDefault="00834B83" w:rsidP="005C5B84">
            <w:pPr>
              <w:pStyle w:val="Tabletexte"/>
              <w:rPr>
                <w:b/>
                <w:bCs/>
                <w:sz w:val="18"/>
                <w:szCs w:val="18"/>
                <w:rtl/>
                <w:lang w:eastAsia="fr-FR"/>
              </w:rPr>
            </w:pPr>
          </w:p>
        </w:tc>
        <w:tc>
          <w:tcPr>
            <w:tcW w:w="1553" w:type="pct"/>
          </w:tcPr>
          <w:p w14:paraId="5E325CD5" w14:textId="77777777" w:rsidR="00834B83" w:rsidRPr="005269E6" w:rsidRDefault="00834B83" w:rsidP="00CF6D39">
            <w:pPr>
              <w:pStyle w:val="Tabletexte"/>
              <w:ind w:left="567"/>
              <w:jc w:val="left"/>
              <w:rPr>
                <w:sz w:val="18"/>
                <w:szCs w:val="18"/>
                <w:lang w:eastAsia="fr-FR"/>
              </w:rPr>
            </w:pPr>
          </w:p>
        </w:tc>
      </w:tr>
      <w:tr w:rsidR="00834B83" w:rsidRPr="005269E6" w14:paraId="6DE8ACE1" w14:textId="77777777" w:rsidTr="005C5B84">
        <w:trPr>
          <w:jc w:val="center"/>
        </w:trPr>
        <w:tc>
          <w:tcPr>
            <w:tcW w:w="3447" w:type="pct"/>
          </w:tcPr>
          <w:p w14:paraId="69714778" w14:textId="77777777" w:rsidR="00834B83" w:rsidRPr="005269E6" w:rsidRDefault="00834B83" w:rsidP="005C5B84">
            <w:pPr>
              <w:pStyle w:val="Tabletexte"/>
              <w:rPr>
                <w:b/>
                <w:bCs/>
                <w:sz w:val="18"/>
                <w:szCs w:val="18"/>
                <w:rtl/>
                <w:lang w:eastAsia="fr-FR"/>
              </w:rPr>
            </w:pPr>
            <w:r w:rsidRPr="005269E6">
              <w:rPr>
                <w:b/>
                <w:bCs/>
                <w:sz w:val="18"/>
                <w:szCs w:val="18"/>
                <w:rtl/>
                <w:lang w:eastAsia="fr-FR"/>
              </w:rPr>
              <w:t>الأثاث وتجهيزات المكاتب</w:t>
            </w:r>
          </w:p>
        </w:tc>
        <w:tc>
          <w:tcPr>
            <w:tcW w:w="1553" w:type="pct"/>
          </w:tcPr>
          <w:p w14:paraId="39CFA48E"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5</w:t>
            </w:r>
          </w:p>
        </w:tc>
      </w:tr>
      <w:tr w:rsidR="00834B83" w:rsidRPr="005269E6" w14:paraId="7651379C" w14:textId="77777777" w:rsidTr="005C5B84">
        <w:trPr>
          <w:jc w:val="center"/>
        </w:trPr>
        <w:tc>
          <w:tcPr>
            <w:tcW w:w="3447" w:type="pct"/>
          </w:tcPr>
          <w:p w14:paraId="123D3704" w14:textId="77777777" w:rsidR="00834B83" w:rsidRPr="005269E6" w:rsidRDefault="00834B83" w:rsidP="005C5B84">
            <w:pPr>
              <w:pStyle w:val="Tabletexte"/>
              <w:rPr>
                <w:b/>
                <w:bCs/>
                <w:sz w:val="18"/>
                <w:szCs w:val="18"/>
                <w:rtl/>
                <w:lang w:eastAsia="fr-FR"/>
              </w:rPr>
            </w:pPr>
          </w:p>
        </w:tc>
        <w:tc>
          <w:tcPr>
            <w:tcW w:w="1553" w:type="pct"/>
          </w:tcPr>
          <w:p w14:paraId="517450EB" w14:textId="77777777" w:rsidR="00834B83" w:rsidRPr="005269E6" w:rsidRDefault="00834B83" w:rsidP="00CF6D39">
            <w:pPr>
              <w:pStyle w:val="Tabletexte"/>
              <w:ind w:left="567"/>
              <w:jc w:val="left"/>
              <w:rPr>
                <w:sz w:val="18"/>
                <w:szCs w:val="18"/>
                <w:lang w:eastAsia="fr-FR"/>
              </w:rPr>
            </w:pPr>
          </w:p>
        </w:tc>
      </w:tr>
      <w:tr w:rsidR="00834B83" w:rsidRPr="005269E6" w14:paraId="495B9E27" w14:textId="77777777" w:rsidTr="005C5B84">
        <w:trPr>
          <w:jc w:val="center"/>
        </w:trPr>
        <w:tc>
          <w:tcPr>
            <w:tcW w:w="3447" w:type="pct"/>
          </w:tcPr>
          <w:p w14:paraId="24CF5F9F" w14:textId="77777777" w:rsidR="00834B83" w:rsidRPr="005269E6" w:rsidRDefault="00834B83" w:rsidP="005C5B84">
            <w:pPr>
              <w:pStyle w:val="Tabletexte"/>
              <w:rPr>
                <w:b/>
                <w:bCs/>
                <w:sz w:val="18"/>
                <w:szCs w:val="18"/>
                <w:rtl/>
                <w:lang w:eastAsia="fr-FR"/>
              </w:rPr>
            </w:pPr>
            <w:r w:rsidRPr="005269E6">
              <w:rPr>
                <w:b/>
                <w:bCs/>
                <w:sz w:val="18"/>
                <w:szCs w:val="18"/>
                <w:rtl/>
                <w:lang w:eastAsia="fr-FR"/>
              </w:rPr>
              <w:t>المرْكبات الآلية</w:t>
            </w:r>
          </w:p>
        </w:tc>
        <w:tc>
          <w:tcPr>
            <w:tcW w:w="1553" w:type="pct"/>
          </w:tcPr>
          <w:p w14:paraId="42942BA8"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5</w:t>
            </w:r>
          </w:p>
        </w:tc>
      </w:tr>
      <w:tr w:rsidR="00834B83" w:rsidRPr="005269E6" w14:paraId="35A66C12" w14:textId="77777777" w:rsidTr="005C5B84">
        <w:trPr>
          <w:jc w:val="center"/>
        </w:trPr>
        <w:tc>
          <w:tcPr>
            <w:tcW w:w="3447" w:type="pct"/>
          </w:tcPr>
          <w:p w14:paraId="5ACF1B01" w14:textId="77777777" w:rsidR="00834B83" w:rsidRPr="005269E6" w:rsidRDefault="00834B83" w:rsidP="005C5B84">
            <w:pPr>
              <w:pStyle w:val="Tabletexte"/>
              <w:rPr>
                <w:b/>
                <w:bCs/>
                <w:sz w:val="18"/>
                <w:szCs w:val="18"/>
                <w:rtl/>
                <w:lang w:eastAsia="fr-FR"/>
              </w:rPr>
            </w:pPr>
          </w:p>
        </w:tc>
        <w:tc>
          <w:tcPr>
            <w:tcW w:w="1553" w:type="pct"/>
          </w:tcPr>
          <w:p w14:paraId="564BD139" w14:textId="77777777" w:rsidR="00834B83" w:rsidRPr="005269E6" w:rsidRDefault="00834B83" w:rsidP="00CF6D39">
            <w:pPr>
              <w:pStyle w:val="Tabletexte"/>
              <w:ind w:left="567"/>
              <w:jc w:val="left"/>
              <w:rPr>
                <w:sz w:val="18"/>
                <w:szCs w:val="18"/>
                <w:lang w:eastAsia="fr-FR"/>
              </w:rPr>
            </w:pPr>
          </w:p>
        </w:tc>
      </w:tr>
      <w:tr w:rsidR="00834B83" w:rsidRPr="005269E6" w14:paraId="280D1B1E" w14:textId="77777777" w:rsidTr="005C5B84">
        <w:trPr>
          <w:jc w:val="center"/>
        </w:trPr>
        <w:tc>
          <w:tcPr>
            <w:tcW w:w="3447" w:type="pct"/>
          </w:tcPr>
          <w:p w14:paraId="4C8CCBC0" w14:textId="77777777" w:rsidR="00834B83" w:rsidRPr="005269E6" w:rsidRDefault="00834B83" w:rsidP="005C5B84">
            <w:pPr>
              <w:pStyle w:val="Tabletexte"/>
              <w:rPr>
                <w:b/>
                <w:bCs/>
                <w:sz w:val="18"/>
                <w:szCs w:val="18"/>
                <w:lang w:eastAsia="fr-FR"/>
              </w:rPr>
            </w:pPr>
            <w:r w:rsidRPr="005269E6">
              <w:rPr>
                <w:b/>
                <w:bCs/>
                <w:sz w:val="18"/>
                <w:szCs w:val="18"/>
                <w:rtl/>
                <w:lang w:eastAsia="fr-FR"/>
              </w:rPr>
              <w:t>المعدات الحاسوبية</w:t>
            </w:r>
          </w:p>
        </w:tc>
        <w:tc>
          <w:tcPr>
            <w:tcW w:w="1553" w:type="pct"/>
          </w:tcPr>
          <w:p w14:paraId="50715D17"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3</w:t>
            </w:r>
          </w:p>
        </w:tc>
      </w:tr>
      <w:tr w:rsidR="00834B83" w:rsidRPr="005269E6" w14:paraId="2BC07599" w14:textId="77777777" w:rsidTr="005C5B84">
        <w:trPr>
          <w:jc w:val="center"/>
        </w:trPr>
        <w:tc>
          <w:tcPr>
            <w:tcW w:w="3447" w:type="pct"/>
          </w:tcPr>
          <w:p w14:paraId="19D6069F" w14:textId="77777777" w:rsidR="00834B83" w:rsidRPr="005269E6" w:rsidRDefault="00834B83" w:rsidP="005C5B84">
            <w:pPr>
              <w:pStyle w:val="Tabletexte"/>
              <w:rPr>
                <w:b/>
                <w:bCs/>
                <w:sz w:val="18"/>
                <w:szCs w:val="18"/>
                <w:lang w:eastAsia="fr-FR" w:bidi="ar-EG"/>
              </w:rPr>
            </w:pPr>
          </w:p>
        </w:tc>
        <w:tc>
          <w:tcPr>
            <w:tcW w:w="1553" w:type="pct"/>
          </w:tcPr>
          <w:p w14:paraId="42C8C87F" w14:textId="77777777" w:rsidR="00834B83" w:rsidRPr="005269E6" w:rsidRDefault="00834B83" w:rsidP="00CF6D39">
            <w:pPr>
              <w:pStyle w:val="Tabletexte"/>
              <w:ind w:left="567"/>
              <w:jc w:val="left"/>
              <w:rPr>
                <w:sz w:val="18"/>
                <w:szCs w:val="18"/>
                <w:lang w:eastAsia="fr-FR" w:bidi="ar-EG"/>
              </w:rPr>
            </w:pPr>
          </w:p>
        </w:tc>
      </w:tr>
      <w:tr w:rsidR="00834B83" w:rsidRPr="005269E6" w14:paraId="0CB40655" w14:textId="77777777" w:rsidTr="005C5B84">
        <w:trPr>
          <w:jc w:val="center"/>
        </w:trPr>
        <w:tc>
          <w:tcPr>
            <w:tcW w:w="3447" w:type="pct"/>
          </w:tcPr>
          <w:p w14:paraId="116C30AC" w14:textId="77777777" w:rsidR="00834B83" w:rsidRPr="005269E6" w:rsidRDefault="00834B83" w:rsidP="005C5B84">
            <w:pPr>
              <w:pStyle w:val="Tabletexte"/>
              <w:rPr>
                <w:b/>
                <w:bCs/>
                <w:sz w:val="18"/>
                <w:szCs w:val="18"/>
                <w:lang w:eastAsia="fr-FR"/>
              </w:rPr>
            </w:pPr>
            <w:r w:rsidRPr="005269E6">
              <w:rPr>
                <w:b/>
                <w:bCs/>
                <w:sz w:val="18"/>
                <w:szCs w:val="18"/>
                <w:rtl/>
                <w:lang w:eastAsia="fr-FR"/>
              </w:rPr>
              <w:t>التراخيص والبرمجيات</w:t>
            </w:r>
          </w:p>
        </w:tc>
        <w:tc>
          <w:tcPr>
            <w:tcW w:w="1553" w:type="pct"/>
          </w:tcPr>
          <w:p w14:paraId="7E93F1E6" w14:textId="77777777" w:rsidR="00834B83" w:rsidRPr="005269E6" w:rsidRDefault="00834B83" w:rsidP="00CF6D39">
            <w:pPr>
              <w:pStyle w:val="Tabletexte"/>
              <w:ind w:left="567"/>
              <w:jc w:val="left"/>
              <w:rPr>
                <w:rFonts w:eastAsia="Times New Roman"/>
                <w:sz w:val="18"/>
                <w:szCs w:val="18"/>
                <w:lang w:val="fr-FR" w:eastAsia="en-US" w:bidi="ar-EG"/>
              </w:rPr>
            </w:pPr>
            <w:r w:rsidRPr="005269E6">
              <w:rPr>
                <w:sz w:val="18"/>
                <w:szCs w:val="18"/>
                <w:lang w:eastAsia="fr-FR"/>
              </w:rPr>
              <w:t>3</w:t>
            </w:r>
          </w:p>
        </w:tc>
      </w:tr>
    </w:tbl>
    <w:p w14:paraId="7163B56E" w14:textId="77777777" w:rsidR="00834B83" w:rsidRPr="005269E6" w:rsidRDefault="00834B83" w:rsidP="00834B83">
      <w:pPr>
        <w:spacing w:before="240"/>
        <w:rPr>
          <w:rtl/>
          <w:lang w:bidi="ar-EG"/>
        </w:rPr>
      </w:pPr>
      <w:r w:rsidRPr="005269E6">
        <w:rPr>
          <w:rtl/>
          <w:lang w:bidi="ar-EG"/>
        </w:rPr>
        <w:t xml:space="preserve">ويقوم الاتحاد، عند كل إقفال سنوي للحسابات، بتفحّص ما إذا كان هنالك أي دليل يشير إلى أن أياً من الأصول قد فقد أياً من قيمته. فإذا وُجد مؤشر من هذا القبيل، تُقدّر القيمة التي يمكن استعادتها من الأصل وتُقيّد خسارة القيمة في بيان الأداء المالي عندما يفوق المبلغ الدفتري المبلغ الذي يمكن استعادته. </w:t>
      </w:r>
      <w:r w:rsidRPr="005269E6">
        <w:rPr>
          <w:rtl/>
          <w:lang w:bidi="ar-SY"/>
        </w:rPr>
        <w:t>ولم يكن هناك مؤشر لانخفاض القيمة خلال عام 2022.</w:t>
      </w:r>
    </w:p>
    <w:p w14:paraId="193432E7" w14:textId="77777777" w:rsidR="00834B83" w:rsidRPr="005269E6" w:rsidRDefault="00834B83" w:rsidP="00834B83">
      <w:pPr>
        <w:pStyle w:val="Heading2"/>
        <w:rPr>
          <w:rtl/>
          <w:lang w:eastAsia="en-US"/>
        </w:rPr>
      </w:pPr>
      <w:bookmarkStart w:id="180" w:name="_Toc329296013"/>
      <w:bookmarkStart w:id="181" w:name="_Toc358648333"/>
      <w:bookmarkStart w:id="182" w:name="_Toc358648532"/>
      <w:bookmarkStart w:id="183" w:name="_Toc387338336"/>
      <w:bookmarkStart w:id="184" w:name="_Toc419484061"/>
      <w:bookmarkStart w:id="185" w:name="_Toc452156613"/>
      <w:bookmarkStart w:id="186" w:name="_Toc482793701"/>
      <w:bookmarkStart w:id="187" w:name="_Toc511402215"/>
      <w:bookmarkStart w:id="188" w:name="_Toc511756652"/>
      <w:bookmarkStart w:id="189" w:name="_Toc520365467"/>
      <w:bookmarkStart w:id="190" w:name="_Toc9614771"/>
      <w:bookmarkStart w:id="191" w:name="_Toc42014527"/>
      <w:bookmarkStart w:id="192" w:name="_Toc74061559"/>
      <w:r w:rsidRPr="005269E6">
        <w:rPr>
          <w:rtl/>
        </w:rPr>
        <w:lastRenderedPageBreak/>
        <w:t>5.3</w:t>
      </w:r>
      <w:r w:rsidRPr="005269E6">
        <w:rPr>
          <w:rtl/>
        </w:rPr>
        <w:tab/>
      </w:r>
      <w:r w:rsidRPr="005269E6">
        <w:rPr>
          <w:u w:val="single"/>
          <w:rtl/>
          <w:lang w:eastAsia="en-US"/>
        </w:rPr>
        <w:t>الأصول غير المادية</w:t>
      </w:r>
      <w:bookmarkEnd w:id="180"/>
      <w:bookmarkEnd w:id="181"/>
      <w:bookmarkEnd w:id="182"/>
      <w:bookmarkEnd w:id="183"/>
      <w:bookmarkEnd w:id="184"/>
      <w:bookmarkEnd w:id="185"/>
      <w:bookmarkEnd w:id="186"/>
      <w:bookmarkEnd w:id="187"/>
      <w:bookmarkEnd w:id="188"/>
      <w:bookmarkEnd w:id="189"/>
      <w:bookmarkEnd w:id="190"/>
      <w:bookmarkEnd w:id="191"/>
      <w:bookmarkEnd w:id="192"/>
    </w:p>
    <w:p w14:paraId="029177CD" w14:textId="77777777" w:rsidR="00834B83" w:rsidRPr="005269E6" w:rsidRDefault="00834B83" w:rsidP="00834B83">
      <w:pPr>
        <w:rPr>
          <w:spacing w:val="-2"/>
          <w:rtl/>
          <w:lang w:bidi="ar-SY"/>
        </w:rPr>
      </w:pPr>
      <w:r w:rsidRPr="005269E6">
        <w:rPr>
          <w:spacing w:val="-2"/>
          <w:rtl/>
          <w:lang w:bidi="ar-EG"/>
        </w:rPr>
        <w:t xml:space="preserve">تُدرج الأصول غير المادية، وهي تتألف من تراخيص وبرمجيات معلوماتية، تكون قيمتها أعلى من </w:t>
      </w:r>
      <w:r w:rsidRPr="005269E6">
        <w:rPr>
          <w:spacing w:val="-2"/>
          <w:lang w:bidi="ar-EG"/>
        </w:rPr>
        <w:t>50 000</w:t>
      </w:r>
      <w:r w:rsidRPr="005269E6">
        <w:rPr>
          <w:spacing w:val="-2"/>
          <w:rtl/>
          <w:lang w:bidi="ar-EG"/>
        </w:rPr>
        <w:t xml:space="preserve"> فرنك سويسري، على أساس قيمتها التاريخية ويُخصم مجموع الاستهلاكات والخسائر الممكنة في قيمتها. وتُستهلك قيمة التراخيص والبرمجيات والبراءات وحقوق الملكية على أساس معدل خطي على امتداد ثلاث</w:t>
      </w:r>
      <w:r w:rsidRPr="005269E6">
        <w:rPr>
          <w:rtl/>
          <w:lang w:bidi="ar-EG"/>
        </w:rPr>
        <w:t> </w:t>
      </w:r>
      <w:r w:rsidRPr="005269E6">
        <w:rPr>
          <w:spacing w:val="-2"/>
          <w:rtl/>
          <w:lang w:bidi="ar-EG"/>
        </w:rPr>
        <w:t xml:space="preserve">سنوات. وتقيد </w:t>
      </w:r>
      <w:r w:rsidRPr="005269E6">
        <w:rPr>
          <w:spacing w:val="-2"/>
          <w:rtl/>
          <w:lang w:bidi="ar-SY"/>
        </w:rPr>
        <w:t xml:space="preserve">الأصول غير </w:t>
      </w:r>
      <w:r w:rsidRPr="005269E6">
        <w:rPr>
          <w:spacing w:val="-2"/>
          <w:rtl/>
          <w:lang w:bidi="ar-EG"/>
        </w:rPr>
        <w:t>المادية</w:t>
      </w:r>
      <w:r w:rsidRPr="005269E6">
        <w:rPr>
          <w:spacing w:val="-2"/>
          <w:rtl/>
          <w:lang w:bidi="ar-SY"/>
        </w:rPr>
        <w:t xml:space="preserve"> في البيانات المالية إذا كان من المحتمل أن تتدفق</w:t>
      </w:r>
      <w:r w:rsidRPr="005269E6">
        <w:rPr>
          <w:rtl/>
        </w:rPr>
        <w:t xml:space="preserve"> </w:t>
      </w:r>
      <w:r w:rsidRPr="005269E6">
        <w:rPr>
          <w:spacing w:val="-2"/>
          <w:rtl/>
          <w:lang w:bidi="ar-SY"/>
        </w:rPr>
        <w:t>إلى الاتحاد الفوائد الاقتصادية المتوقعة أو إمكانات الخدمة</w:t>
      </w:r>
      <w:r w:rsidRPr="005269E6">
        <w:rPr>
          <w:rtl/>
        </w:rPr>
        <w:t xml:space="preserve"> </w:t>
      </w:r>
      <w:r w:rsidRPr="005269E6">
        <w:rPr>
          <w:spacing w:val="-2"/>
          <w:rtl/>
          <w:lang w:bidi="ar-SY"/>
        </w:rPr>
        <w:t>في المستقبل وأمكن قياس المبلغ بشكل موثوق.</w:t>
      </w:r>
    </w:p>
    <w:p w14:paraId="21ADA993" w14:textId="77777777" w:rsidR="00834B83" w:rsidRPr="005269E6" w:rsidRDefault="00834B83" w:rsidP="00834B83">
      <w:pPr>
        <w:rPr>
          <w:rtl/>
          <w:lang w:bidi="ar-EG"/>
        </w:rPr>
      </w:pPr>
      <w:r w:rsidRPr="005269E6">
        <w:rPr>
          <w:rtl/>
          <w:lang w:bidi="ar-EG"/>
        </w:rPr>
        <w:t xml:space="preserve">وتُقيد قيمة جميع التكاليف التي تساوي أو تقل عن </w:t>
      </w:r>
      <w:r w:rsidRPr="005269E6">
        <w:rPr>
          <w:lang w:bidi="ar-EG"/>
        </w:rPr>
        <w:t>50 000</w:t>
      </w:r>
      <w:r w:rsidRPr="005269E6">
        <w:rPr>
          <w:rtl/>
          <w:lang w:bidi="ar-EG"/>
        </w:rPr>
        <w:t xml:space="preserve"> فرنك سويسري وقت استلام الموجودات وتُدرج كلياً بمثابة نفقات في بيان الأداء المالي عند إقفال الحساب في الشهر الذي يلي حيازتها.</w:t>
      </w:r>
    </w:p>
    <w:p w14:paraId="1E4F256D" w14:textId="77777777" w:rsidR="00834B83" w:rsidRPr="005269E6" w:rsidRDefault="00834B83" w:rsidP="00834B83">
      <w:pPr>
        <w:rPr>
          <w:rtl/>
          <w:lang w:bidi="ar-EG"/>
        </w:rPr>
      </w:pPr>
      <w:r w:rsidRPr="005269E6">
        <w:rPr>
          <w:rtl/>
          <w:lang w:bidi="ar-EG"/>
        </w:rPr>
        <w:t>وتقيد قيمة البرمجيات المطورة داخل الاتحاد إذا كان من المحتمل أن الاتحاد سوف يستفيد من المنافع الاقتصادية المستقبلية أو احتمال الخدمة المنسوبة إليها. وتقيد تكاليف التطوير التي يمكن أن تعزى مباشرةً إلى تصميم واختبار منتجات البرمجيات المحددة والفريدة التي يسيطر عليها الاتحاد كأصول غير مادية عندما تستوفى المعايير التالية في تاريخ الإقفال:</w:t>
      </w:r>
    </w:p>
    <w:p w14:paraId="5D5B99D7" w14:textId="77777777" w:rsidR="00834B83" w:rsidRPr="005269E6" w:rsidRDefault="00834B83" w:rsidP="00834B83">
      <w:pPr>
        <w:pStyle w:val="enumlev1"/>
        <w:rPr>
          <w:rtl/>
        </w:rPr>
      </w:pPr>
      <w:bookmarkStart w:id="193" w:name="_Toc520365468"/>
      <w:r w:rsidRPr="005269E6">
        <w:rPr>
          <w:rtl/>
        </w:rPr>
        <w:t>-</w:t>
      </w:r>
      <w:r w:rsidRPr="005269E6">
        <w:rPr>
          <w:rtl/>
        </w:rPr>
        <w:tab/>
        <w:t>من الممكن تقنياً استكمال منتج البرمجيات بحيث تكون متاحة للاستعمال؛</w:t>
      </w:r>
      <w:bookmarkEnd w:id="193"/>
    </w:p>
    <w:p w14:paraId="1E29C5BE" w14:textId="77777777" w:rsidR="00834B83" w:rsidRPr="005269E6" w:rsidRDefault="00834B83" w:rsidP="00834B83">
      <w:pPr>
        <w:pStyle w:val="enumlev1"/>
        <w:rPr>
          <w:rtl/>
        </w:rPr>
      </w:pPr>
      <w:bookmarkStart w:id="194" w:name="_Toc520365469"/>
      <w:r w:rsidRPr="005269E6">
        <w:rPr>
          <w:rtl/>
        </w:rPr>
        <w:t>-</w:t>
      </w:r>
      <w:r w:rsidRPr="005269E6">
        <w:rPr>
          <w:rtl/>
        </w:rPr>
        <w:tab/>
        <w:t>تعتزم إدارة الاتحاد أن تستكمل منتج البرمجيات أو تستعمله أو تبيعه؛</w:t>
      </w:r>
      <w:bookmarkEnd w:id="194"/>
    </w:p>
    <w:p w14:paraId="4393CE6F" w14:textId="77777777" w:rsidR="00834B83" w:rsidRPr="005269E6" w:rsidRDefault="00834B83" w:rsidP="00834B83">
      <w:pPr>
        <w:pStyle w:val="enumlev1"/>
        <w:rPr>
          <w:rtl/>
        </w:rPr>
      </w:pPr>
      <w:bookmarkStart w:id="195" w:name="_Toc520365470"/>
      <w:r w:rsidRPr="005269E6">
        <w:rPr>
          <w:rtl/>
        </w:rPr>
        <w:t>-</w:t>
      </w:r>
      <w:r w:rsidRPr="005269E6">
        <w:rPr>
          <w:rtl/>
        </w:rPr>
        <w:tab/>
        <w:t>ثمة قدرة على استعمال أو بيع منتج البرمجيات؛</w:t>
      </w:r>
      <w:bookmarkEnd w:id="195"/>
    </w:p>
    <w:p w14:paraId="18634BF2" w14:textId="77777777" w:rsidR="00834B83" w:rsidRPr="005269E6" w:rsidRDefault="00834B83" w:rsidP="00834B83">
      <w:pPr>
        <w:pStyle w:val="enumlev1"/>
        <w:rPr>
          <w:rtl/>
        </w:rPr>
      </w:pPr>
      <w:bookmarkStart w:id="196" w:name="_Toc520365471"/>
      <w:r w:rsidRPr="005269E6">
        <w:rPr>
          <w:rtl/>
        </w:rPr>
        <w:t>-</w:t>
      </w:r>
      <w:r w:rsidRPr="005269E6">
        <w:rPr>
          <w:rtl/>
        </w:rPr>
        <w:tab/>
        <w:t>يمكن البرهان على قدرة منتج البرمجيات على توليد منافع اقتصادية مستقبلية محتملة؛</w:t>
      </w:r>
      <w:bookmarkEnd w:id="196"/>
    </w:p>
    <w:p w14:paraId="346551AA" w14:textId="77777777" w:rsidR="00834B83" w:rsidRPr="005269E6" w:rsidRDefault="00834B83" w:rsidP="00834B83">
      <w:pPr>
        <w:pStyle w:val="enumlev1"/>
        <w:rPr>
          <w:rtl/>
        </w:rPr>
      </w:pPr>
      <w:bookmarkStart w:id="197" w:name="_Toc520365472"/>
      <w:r w:rsidRPr="005269E6">
        <w:rPr>
          <w:rtl/>
        </w:rPr>
        <w:t>-</w:t>
      </w:r>
      <w:r w:rsidRPr="005269E6">
        <w:rPr>
          <w:rtl/>
        </w:rPr>
        <w:tab/>
        <w:t>تتوفر الموارد الكافية التقنية والمالية وغيرها لإكمال تطوير واستخدام أو بيع منتج البرمجيات، ويمكن بشكل موثوق قياس النفقات المنسوبة إلى منتج البرمجيات أثناء تطويره.</w:t>
      </w:r>
      <w:bookmarkEnd w:id="197"/>
    </w:p>
    <w:p w14:paraId="2DFABCED" w14:textId="77777777" w:rsidR="00834B83" w:rsidRPr="005269E6" w:rsidRDefault="00834B83" w:rsidP="00834B83">
      <w:pPr>
        <w:rPr>
          <w:rtl/>
          <w:lang w:bidi="ar-EG"/>
        </w:rPr>
      </w:pPr>
      <w:r w:rsidRPr="005269E6">
        <w:rPr>
          <w:rtl/>
          <w:lang w:bidi="ar-EG"/>
        </w:rPr>
        <w:t>تتضمن التكاليف التي يمكن أن تعزى مباشرةً، والتي تقيد كجزء من منتج البرمجيات، تكاليف الموظفين المعنيين بتطوير البرمجيات وجزءاً مناسباً من المصروفات الثابتة ذات الصلة.</w:t>
      </w:r>
    </w:p>
    <w:p w14:paraId="072EA598" w14:textId="77777777" w:rsidR="00834B83" w:rsidRPr="005269E6" w:rsidRDefault="00834B83" w:rsidP="00834B83">
      <w:pPr>
        <w:rPr>
          <w:rtl/>
          <w:lang w:bidi="ar-EG"/>
        </w:rPr>
      </w:pPr>
      <w:r w:rsidRPr="005269E6">
        <w:rPr>
          <w:rtl/>
          <w:lang w:bidi="ar-EG"/>
        </w:rPr>
        <w:t>تقيد نفقات التطوير الأخرى التي لا تفي بهذه المعايير كمصروف عند تكبدها. ولا تقيد تكاليف التطوير المقيدة سابقاً ضمن الأصول في فترة لاحقة.</w:t>
      </w:r>
    </w:p>
    <w:p w14:paraId="2393755D" w14:textId="77777777" w:rsidR="00834B83" w:rsidRPr="005269E6" w:rsidRDefault="00834B83" w:rsidP="00834B83">
      <w:pPr>
        <w:rPr>
          <w:spacing w:val="-4"/>
          <w:rtl/>
          <w:lang w:bidi="ar-EG"/>
        </w:rPr>
      </w:pPr>
      <w:r w:rsidRPr="005269E6">
        <w:rPr>
          <w:spacing w:val="-4"/>
          <w:rtl/>
          <w:lang w:bidi="ar-EG"/>
        </w:rPr>
        <w:t>تستهلك تكاليف تطوير البرمجيات الحاسوبية المقيدة ضمن الأصول على امتداد حياتها المفيدة المقدرة، والتي لا تتجاوز ثلاث</w:t>
      </w:r>
      <w:r w:rsidRPr="005269E6">
        <w:rPr>
          <w:rtl/>
          <w:lang w:bidi="ar-EG"/>
        </w:rPr>
        <w:t> </w:t>
      </w:r>
      <w:r w:rsidRPr="005269E6">
        <w:rPr>
          <w:spacing w:val="-4"/>
          <w:rtl/>
          <w:lang w:bidi="ar-EG"/>
        </w:rPr>
        <w:t>سنوات.</w:t>
      </w:r>
    </w:p>
    <w:p w14:paraId="6B0A2CA7" w14:textId="77777777" w:rsidR="00834B83" w:rsidRPr="005269E6" w:rsidRDefault="00834B83" w:rsidP="00834B83">
      <w:pPr>
        <w:rPr>
          <w:rtl/>
          <w:lang w:bidi="ar-EG"/>
        </w:rPr>
      </w:pPr>
      <w:r w:rsidRPr="005269E6">
        <w:rPr>
          <w:rtl/>
          <w:lang w:bidi="ar-EG"/>
        </w:rPr>
        <w:t>وتقيد التكاليف المرتبطة بصيانة البرمجيات الحاسوبية كمصروف عند تكبدها.</w:t>
      </w:r>
    </w:p>
    <w:p w14:paraId="005FE188" w14:textId="77777777" w:rsidR="00834B83" w:rsidRPr="005269E6" w:rsidRDefault="00834B83" w:rsidP="00834B83">
      <w:pPr>
        <w:pStyle w:val="Heading2"/>
        <w:rPr>
          <w:u w:val="single"/>
          <w:rtl/>
          <w:lang w:eastAsia="en-US"/>
        </w:rPr>
      </w:pPr>
      <w:bookmarkStart w:id="198" w:name="_Toc329296014"/>
      <w:bookmarkStart w:id="199" w:name="_Toc358648334"/>
      <w:bookmarkStart w:id="200" w:name="_Toc358648533"/>
      <w:bookmarkStart w:id="201" w:name="_Toc387338337"/>
      <w:bookmarkStart w:id="202" w:name="_Toc419484062"/>
      <w:bookmarkStart w:id="203" w:name="_Toc452156614"/>
      <w:bookmarkStart w:id="204" w:name="_Toc482793702"/>
      <w:bookmarkStart w:id="205" w:name="_Toc511402216"/>
      <w:bookmarkStart w:id="206" w:name="_Toc511756653"/>
      <w:bookmarkStart w:id="207" w:name="_Toc520365473"/>
      <w:bookmarkStart w:id="208" w:name="_Toc9614772"/>
      <w:bookmarkStart w:id="209" w:name="_Toc42014528"/>
      <w:bookmarkStart w:id="210" w:name="_Toc74061560"/>
      <w:r w:rsidRPr="005269E6">
        <w:rPr>
          <w:rtl/>
        </w:rPr>
        <w:t>6.3</w:t>
      </w:r>
      <w:r w:rsidRPr="005269E6">
        <w:rPr>
          <w:rtl/>
        </w:rPr>
        <w:tab/>
      </w:r>
      <w:r w:rsidRPr="005269E6">
        <w:rPr>
          <w:u w:val="single"/>
          <w:rtl/>
          <w:lang w:eastAsia="en-US"/>
        </w:rPr>
        <w:t>الأرصدة الاحتياطية</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795BD061" w14:textId="77777777" w:rsidR="00834B83" w:rsidRPr="005269E6" w:rsidRDefault="00834B83" w:rsidP="00834B83">
      <w:pPr>
        <w:rPr>
          <w:rtl/>
          <w:lang w:bidi="ar-EG"/>
        </w:rPr>
      </w:pPr>
      <w:r w:rsidRPr="005269E6">
        <w:rPr>
          <w:rtl/>
          <w:lang w:bidi="ar-EG"/>
        </w:rPr>
        <w:t>تشمل الأرصدة الاحتياطية الالتزامات التي لا تكون نتيجتها أو موعد استحقاقها أو مبلغها المستحق مؤكداً. وهي تُدرج في البيان المالي عندما يكون لدى الاتحاد التزام قانوني أو ضمني ناتج عن حدث في الماضي، وعندما يُحتمل أن تدعو الحاجة إلى تحرير موارد من أجل الوفاء بهذا الالتزام، وعندما يمكن تقدير مبلغ الالتزام على نحو موثوق.</w:t>
      </w:r>
    </w:p>
    <w:p w14:paraId="52561F5C" w14:textId="77777777" w:rsidR="00834B83" w:rsidRPr="005269E6" w:rsidRDefault="00834B83" w:rsidP="00834B83">
      <w:pPr>
        <w:pStyle w:val="Heading2"/>
        <w:rPr>
          <w:rtl/>
          <w:lang w:eastAsia="en-US"/>
        </w:rPr>
      </w:pPr>
      <w:bookmarkStart w:id="211" w:name="_Toc329296015"/>
      <w:bookmarkStart w:id="212" w:name="_Toc358648335"/>
      <w:bookmarkStart w:id="213" w:name="_Toc358648534"/>
      <w:bookmarkStart w:id="214" w:name="_Toc387338338"/>
      <w:bookmarkStart w:id="215" w:name="_Toc419484063"/>
      <w:bookmarkStart w:id="216" w:name="_Toc452156615"/>
      <w:bookmarkStart w:id="217" w:name="_Toc482793703"/>
      <w:bookmarkStart w:id="218" w:name="_Toc511402217"/>
      <w:bookmarkStart w:id="219" w:name="_Toc511756654"/>
      <w:bookmarkStart w:id="220" w:name="_Toc520365474"/>
      <w:bookmarkStart w:id="221" w:name="_Toc9614773"/>
      <w:bookmarkStart w:id="222" w:name="_Toc42014529"/>
      <w:bookmarkStart w:id="223" w:name="_Toc74061561"/>
      <w:r w:rsidRPr="005269E6">
        <w:rPr>
          <w:rtl/>
        </w:rPr>
        <w:t>7.3</w:t>
      </w:r>
      <w:r w:rsidRPr="005269E6">
        <w:rPr>
          <w:rtl/>
        </w:rPr>
        <w:tab/>
      </w:r>
      <w:r w:rsidRPr="005269E6">
        <w:rPr>
          <w:u w:val="single"/>
          <w:rtl/>
          <w:lang w:eastAsia="en-US"/>
        </w:rPr>
        <w:t xml:space="preserve">الأصول والخصوم </w:t>
      </w:r>
      <w:bookmarkEnd w:id="211"/>
      <w:bookmarkEnd w:id="212"/>
      <w:bookmarkEnd w:id="213"/>
      <w:bookmarkEnd w:id="214"/>
      <w:bookmarkEnd w:id="215"/>
      <w:bookmarkEnd w:id="216"/>
      <w:bookmarkEnd w:id="217"/>
      <w:bookmarkEnd w:id="218"/>
      <w:bookmarkEnd w:id="219"/>
      <w:bookmarkEnd w:id="220"/>
      <w:bookmarkEnd w:id="221"/>
      <w:bookmarkEnd w:id="222"/>
      <w:bookmarkEnd w:id="223"/>
      <w:r w:rsidRPr="005269E6">
        <w:rPr>
          <w:u w:val="single"/>
          <w:rtl/>
          <w:lang w:eastAsia="en-US"/>
        </w:rPr>
        <w:t>المشروطة</w:t>
      </w:r>
    </w:p>
    <w:p w14:paraId="4CFDF9E4" w14:textId="77777777" w:rsidR="00834B83" w:rsidRPr="005269E6" w:rsidRDefault="00834B83" w:rsidP="00834B83">
      <w:pPr>
        <w:rPr>
          <w:rtl/>
          <w:lang w:bidi="ar-EG"/>
        </w:rPr>
      </w:pPr>
      <w:r w:rsidRPr="005269E6">
        <w:rPr>
          <w:rtl/>
          <w:lang w:bidi="ar-EG"/>
        </w:rPr>
        <w:t>الأصول والخصوم المشروطة هي حقوق أو التزامات ممكنة ناجمة عن أحداث ماضية ولا يتأكد وجودها إلا بحدوث أو عدم حدوث حدث أو عدة أحداث مقبلة غير أكيدة ليس للاتحاد عليها سيطرة كاملة.</w:t>
      </w:r>
    </w:p>
    <w:p w14:paraId="46688821" w14:textId="77777777" w:rsidR="00834B83" w:rsidRPr="005269E6" w:rsidRDefault="00834B83" w:rsidP="00834B83">
      <w:pPr>
        <w:rPr>
          <w:rtl/>
          <w:lang w:bidi="ar-EG"/>
        </w:rPr>
      </w:pPr>
      <w:r w:rsidRPr="005269E6">
        <w:rPr>
          <w:rtl/>
          <w:lang w:bidi="ar-SY"/>
        </w:rPr>
        <w:t>ويُفصح عن الالتزامات المشروطة عندما يكون الالتزام الممكن غير مؤكد ولكن يمكن قياسه، أو عندما يكون الاتحاد ملتزما حالياً ولكنه لا يستطيع أن يقيس بشكل موثوق التدفق المحتمل للموارد الخارجة. وفي 31 ديسمبر 2022، لم يكن لدى الاتحاد أي التزامات مشروطة معروفة.</w:t>
      </w:r>
    </w:p>
    <w:p w14:paraId="333B2DD6" w14:textId="77777777" w:rsidR="00834B83" w:rsidRPr="005269E6" w:rsidRDefault="00834B83" w:rsidP="00834B83">
      <w:pPr>
        <w:pStyle w:val="Heading2"/>
        <w:rPr>
          <w:rtl/>
          <w:lang w:eastAsia="en-US"/>
        </w:rPr>
      </w:pPr>
      <w:bookmarkStart w:id="224" w:name="_Toc329296016"/>
      <w:bookmarkStart w:id="225" w:name="_Toc358648336"/>
      <w:bookmarkStart w:id="226" w:name="_Toc358648535"/>
      <w:bookmarkStart w:id="227" w:name="_Toc387338339"/>
      <w:bookmarkStart w:id="228" w:name="_Toc419484064"/>
      <w:bookmarkStart w:id="229" w:name="_Toc452156616"/>
      <w:bookmarkStart w:id="230" w:name="_Toc482793704"/>
      <w:bookmarkStart w:id="231" w:name="_Toc511402218"/>
      <w:bookmarkStart w:id="232" w:name="_Toc511756655"/>
      <w:bookmarkStart w:id="233" w:name="_Toc520365475"/>
      <w:bookmarkStart w:id="234" w:name="_Toc9614774"/>
      <w:bookmarkStart w:id="235" w:name="_Toc42014530"/>
      <w:bookmarkStart w:id="236" w:name="_Toc74061562"/>
      <w:r w:rsidRPr="005269E6">
        <w:rPr>
          <w:rtl/>
        </w:rPr>
        <w:t>8.3</w:t>
      </w:r>
      <w:r w:rsidRPr="005269E6">
        <w:rPr>
          <w:rtl/>
        </w:rPr>
        <w:tab/>
      </w:r>
      <w:r w:rsidRPr="005269E6">
        <w:rPr>
          <w:u w:val="single"/>
          <w:rtl/>
          <w:lang w:eastAsia="en-US"/>
        </w:rPr>
        <w:t>استحقاقات الموظفين</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005A280A" w14:textId="77777777" w:rsidR="00834B83" w:rsidRPr="005269E6" w:rsidRDefault="00834B83" w:rsidP="00834B83">
      <w:pPr>
        <w:keepNext/>
        <w:rPr>
          <w:rtl/>
          <w:lang w:bidi="ar-EG"/>
        </w:rPr>
      </w:pPr>
      <w:r w:rsidRPr="005269E6">
        <w:rPr>
          <w:rtl/>
          <w:lang w:bidi="ar-EG"/>
        </w:rPr>
        <w:t>تُحتسب الاستحقاقات المستحقة للموظفين التالي ذكرها:</w:t>
      </w:r>
    </w:p>
    <w:p w14:paraId="1DBEAB14" w14:textId="77777777" w:rsidR="00834B83" w:rsidRPr="005269E6" w:rsidRDefault="00834B83" w:rsidP="00834B83">
      <w:pPr>
        <w:pStyle w:val="enumlev1"/>
        <w:rPr>
          <w:rtl/>
          <w:lang w:bidi="ar-SA"/>
        </w:rPr>
      </w:pPr>
      <w:bookmarkStart w:id="237" w:name="_Toc520365476"/>
      <w:r w:rsidRPr="005269E6">
        <w:rPr>
          <w:rtl/>
        </w:rPr>
        <w:t>-</w:t>
      </w:r>
      <w:r w:rsidRPr="005269E6">
        <w:rPr>
          <w:rtl/>
        </w:rPr>
        <w:tab/>
      </w:r>
      <w:bookmarkEnd w:id="237"/>
      <w:r w:rsidRPr="005269E6">
        <w:rPr>
          <w:rtl/>
          <w:lang w:bidi="ar-SA"/>
        </w:rPr>
        <w:t xml:space="preserve">تُتوقع تسوية استحقاقات الموظفين قصيرة الأجل في غضون 12 شهراً من تاريخ الإبلاغ وتقاس بقيمها الاسمية استناداً إلى الاستحقاقات المتراكمة بمعدلات الأجور الجارية. وتشمل استحقاقات الموظفين بعقود قصيرة الأجل استحقاقات العمل لأول مرة (مُنح </w:t>
      </w:r>
      <w:r w:rsidRPr="005269E6">
        <w:rPr>
          <w:rtl/>
          <w:lang w:bidi="ar-EG"/>
        </w:rPr>
        <w:t>الانتداب</w:t>
      </w:r>
      <w:r w:rsidRPr="005269E6">
        <w:rPr>
          <w:rtl/>
          <w:lang w:bidi="ar-SA"/>
        </w:rPr>
        <w:t xml:space="preserve">) والاستحقاقات الشهرية العادية (الأجور والمرتبات والبدلات) وغيرها </w:t>
      </w:r>
      <w:r w:rsidRPr="005269E6">
        <w:rPr>
          <w:rtl/>
          <w:lang w:bidi="ar-SA"/>
        </w:rPr>
        <w:lastRenderedPageBreak/>
        <w:t xml:space="preserve">من الاستحقاقات (منحة التعليم، وإجازة زيارة الوطن، وما إلى ذلك). وتثبَّت النفقات عندما يقدم الموظفون الخدمة إلى الاتحاد وتثبَّت الالتزامات المتعلقة باستحقاق لم </w:t>
      </w:r>
      <w:r w:rsidRPr="005269E6">
        <w:rPr>
          <w:rtl/>
          <w:lang w:bidi="ar"/>
        </w:rPr>
        <w:t>تتم</w:t>
      </w:r>
      <w:r w:rsidRPr="005269E6">
        <w:rPr>
          <w:lang w:val="en" w:bidi="ar-SA"/>
        </w:rPr>
        <w:t xml:space="preserve"> </w:t>
      </w:r>
      <w:r w:rsidRPr="005269E6">
        <w:rPr>
          <w:rtl/>
          <w:lang w:bidi="ar"/>
        </w:rPr>
        <w:t>تسويته</w:t>
      </w:r>
      <w:r w:rsidRPr="005269E6">
        <w:rPr>
          <w:lang w:val="en" w:bidi="ar-SA"/>
        </w:rPr>
        <w:t xml:space="preserve"> </w:t>
      </w:r>
      <w:r w:rsidRPr="005269E6">
        <w:rPr>
          <w:rtl/>
          <w:lang w:bidi="ar-SA"/>
        </w:rPr>
        <w:t>في تاريخ الإبلاغ.</w:t>
      </w:r>
    </w:p>
    <w:p w14:paraId="36B5CE86" w14:textId="77777777" w:rsidR="00834B83" w:rsidRPr="005269E6" w:rsidRDefault="00834B83" w:rsidP="00834B83">
      <w:pPr>
        <w:pStyle w:val="enumlev1"/>
        <w:rPr>
          <w:rtl/>
        </w:rPr>
      </w:pPr>
      <w:bookmarkStart w:id="238" w:name="_Toc520365477"/>
      <w:r w:rsidRPr="005269E6">
        <w:rPr>
          <w:rtl/>
        </w:rPr>
        <w:t>-</w:t>
      </w:r>
      <w:r w:rsidRPr="005269E6">
        <w:rPr>
          <w:rtl/>
        </w:rPr>
        <w:tab/>
        <w:t>الاستحقاقات المستحقة في الأجل الطويل بسبب احتمال تأجيل الاستحقاقات المكتسبة أثناء الفترة أو الفترات المالية السابقة؛</w:t>
      </w:r>
      <w:bookmarkEnd w:id="238"/>
    </w:p>
    <w:p w14:paraId="77C0ABA4" w14:textId="77777777" w:rsidR="00834B83" w:rsidRPr="005269E6" w:rsidRDefault="00834B83" w:rsidP="00834B83">
      <w:pPr>
        <w:pStyle w:val="enumlev1"/>
        <w:rPr>
          <w:rtl/>
        </w:rPr>
      </w:pPr>
      <w:bookmarkStart w:id="239" w:name="_Toc520365478"/>
      <w:r w:rsidRPr="005269E6">
        <w:rPr>
          <w:rtl/>
        </w:rPr>
        <w:t>-</w:t>
      </w:r>
      <w:r w:rsidRPr="005269E6">
        <w:rPr>
          <w:rtl/>
        </w:rPr>
        <w:tab/>
        <w:t>الاستحقاقات طويلة الأجل ما بعد الخدمة.</w:t>
      </w:r>
      <w:bookmarkEnd w:id="239"/>
    </w:p>
    <w:p w14:paraId="35859EED" w14:textId="77777777" w:rsidR="00834B83" w:rsidRPr="005269E6" w:rsidRDefault="00834B83" w:rsidP="00834B83">
      <w:pPr>
        <w:keepNext/>
        <w:rPr>
          <w:rtl/>
          <w:lang w:bidi="ar-EG"/>
        </w:rPr>
      </w:pPr>
      <w:r w:rsidRPr="005269E6">
        <w:rPr>
          <w:rtl/>
          <w:lang w:bidi="ar-EG"/>
        </w:rPr>
        <w:t>وتشمل الاستحقاقات المستحقة في الأجل الطويل ما يلي:</w:t>
      </w:r>
    </w:p>
    <w:p w14:paraId="622EB6BF" w14:textId="1A37A561" w:rsidR="00834B83" w:rsidRPr="005269E6" w:rsidRDefault="00834B83" w:rsidP="00834B83">
      <w:pPr>
        <w:pStyle w:val="enumlev1"/>
        <w:rPr>
          <w:rtl/>
        </w:rPr>
      </w:pPr>
      <w:r w:rsidRPr="005269E6">
        <w:rPr>
          <w:rtl/>
        </w:rPr>
        <w:t>-</w:t>
      </w:r>
      <w:r w:rsidRPr="005269E6">
        <w:rPr>
          <w:rtl/>
        </w:rPr>
        <w:tab/>
      </w:r>
      <w:r w:rsidRPr="005269E6">
        <w:rPr>
          <w:rtl/>
          <w:lang w:bidi="ar-SA"/>
        </w:rPr>
        <w:t xml:space="preserve">استحقاقات الموظفين الأخرى طويلة الأجل هي استحقاقات تُتوقع تسويتها بعد أكثر من 12 شهراً من نهاية الفترة المشمولة بالتقرير وتتعلق بمُنح الإعادة إلى الوطن والإجازات المتراكمة. والخصوم المثبَّتة لمُنح الإعادة إلى الوطن هي القيمة الحالية لالتزامات الاستحقاقات المحددة في تاريخ الإبلاغ. ويحسب خبير </w:t>
      </w:r>
      <w:r w:rsidR="0059394B" w:rsidRPr="005269E6">
        <w:rPr>
          <w:rtl/>
          <w:lang w:bidi="ar-SA"/>
        </w:rPr>
        <w:t>إكتواري</w:t>
      </w:r>
      <w:r w:rsidRPr="005269E6">
        <w:rPr>
          <w:rtl/>
          <w:lang w:bidi="ar-SA"/>
        </w:rPr>
        <w:t xml:space="preserve"> مستقل هذا الالتزام باستخدام أسلوب الائتمان للوحدة المتوقعة. وترد في بيان الأداء المالي تكلفة الفائدة وتكاليف الخدمة الجارية والمكاسب أو الخسائر ال</w:t>
      </w:r>
      <w:r w:rsidR="0059394B" w:rsidRPr="005269E6">
        <w:rPr>
          <w:rtl/>
          <w:lang w:bidi="ar-SA"/>
        </w:rPr>
        <w:t>إكتواري</w:t>
      </w:r>
      <w:r w:rsidRPr="005269E6">
        <w:rPr>
          <w:rtl/>
          <w:lang w:bidi="ar-SA"/>
        </w:rPr>
        <w:t>ة الناشئة عن التغيرات في الافتراضات ال</w:t>
      </w:r>
      <w:r w:rsidR="0059394B" w:rsidRPr="005269E6">
        <w:rPr>
          <w:rtl/>
          <w:lang w:bidi="ar-SA"/>
        </w:rPr>
        <w:t>إكتواري</w:t>
      </w:r>
      <w:r w:rsidRPr="005269E6">
        <w:rPr>
          <w:rtl/>
          <w:lang w:bidi="ar-SA"/>
        </w:rPr>
        <w:t xml:space="preserve">ة أو </w:t>
      </w:r>
      <w:r w:rsidRPr="005269E6">
        <w:rPr>
          <w:rtl/>
          <w:lang w:bidi="ar"/>
        </w:rPr>
        <w:t>تسويات</w:t>
      </w:r>
      <w:r w:rsidRPr="005269E6">
        <w:rPr>
          <w:lang w:val="en" w:bidi="ar-SA"/>
        </w:rPr>
        <w:t xml:space="preserve"> </w:t>
      </w:r>
      <w:r w:rsidRPr="005269E6">
        <w:rPr>
          <w:rtl/>
          <w:lang w:bidi="ar"/>
        </w:rPr>
        <w:t>الخبرة</w:t>
      </w:r>
      <w:r w:rsidRPr="005269E6">
        <w:rPr>
          <w:rtl/>
          <w:lang w:bidi="ar-SA"/>
        </w:rPr>
        <w:t>.</w:t>
      </w:r>
    </w:p>
    <w:p w14:paraId="3525B69F" w14:textId="77777777" w:rsidR="00834B83" w:rsidRPr="005269E6" w:rsidRDefault="00834B83" w:rsidP="00834B83">
      <w:pPr>
        <w:pStyle w:val="enumlev1"/>
        <w:rPr>
          <w:rtl/>
        </w:rPr>
      </w:pPr>
      <w:bookmarkStart w:id="240" w:name="_Toc520365482"/>
      <w:r w:rsidRPr="005269E6">
        <w:rPr>
          <w:rtl/>
        </w:rPr>
        <w:t>-</w:t>
      </w:r>
      <w:r w:rsidRPr="005269E6">
        <w:rPr>
          <w:rtl/>
        </w:rPr>
        <w:tab/>
        <w:t xml:space="preserve">الالتزامات المرتبطة بالتأمين الصحي بعد انتهاء الخدمة </w:t>
      </w:r>
      <w:r w:rsidRPr="005269E6">
        <w:rPr>
          <w:lang w:val="fr-CH"/>
        </w:rPr>
        <w:t>(ASHI)</w:t>
      </w:r>
      <w:r w:rsidRPr="005269E6">
        <w:rPr>
          <w:rtl/>
        </w:rPr>
        <w:t>؛</w:t>
      </w:r>
      <w:bookmarkEnd w:id="240"/>
    </w:p>
    <w:p w14:paraId="02DBC78F" w14:textId="77777777" w:rsidR="00834B83" w:rsidRPr="005269E6" w:rsidRDefault="00834B83" w:rsidP="00834B83">
      <w:pPr>
        <w:pStyle w:val="enumlev1"/>
        <w:rPr>
          <w:rtl/>
        </w:rPr>
      </w:pPr>
      <w:bookmarkStart w:id="241" w:name="_Toc520365483"/>
      <w:r w:rsidRPr="005269E6">
        <w:rPr>
          <w:rtl/>
        </w:rPr>
        <w:t>-</w:t>
      </w:r>
      <w:r w:rsidRPr="005269E6">
        <w:rPr>
          <w:rtl/>
        </w:rPr>
        <w:tab/>
        <w:t>الالتزامات المرتبطة بالخطة القديمة للمعاشات التقاعدية بغية تحديد التزامات الاتحاد في تاريخ اختتام الفترة المالية.</w:t>
      </w:r>
      <w:bookmarkEnd w:id="241"/>
    </w:p>
    <w:p w14:paraId="44836B9A" w14:textId="77777777" w:rsidR="00834B83" w:rsidRPr="005269E6" w:rsidRDefault="00834B83" w:rsidP="00834B83">
      <w:pPr>
        <w:rPr>
          <w:rtl/>
          <w:lang w:bidi="ar-EG"/>
        </w:rPr>
      </w:pPr>
      <w:r w:rsidRPr="005269E6">
        <w:rPr>
          <w:rtl/>
          <w:lang w:bidi="ar-EG"/>
        </w:rPr>
        <w:t>والاتحاد الدولي للاتصالات منظمة عضو في صندوق الأمم المتحدة المشترك للمعاشات التقاعدية </w:t>
      </w:r>
      <w:r w:rsidRPr="005269E6">
        <w:rPr>
          <w:lang w:bidi="ar-EG"/>
        </w:rPr>
        <w:t>(UNJSPF)</w:t>
      </w:r>
      <w:r w:rsidRPr="005269E6">
        <w:rPr>
          <w:rtl/>
          <w:lang w:bidi="ar-EG"/>
        </w:rPr>
        <w:t xml:space="preserve">، الذي أنشأته الجمعية العامة للأمم المتحدة لتوفير استحقاقات التقاعد والوفاة والعجز وما يتصل بها للموظفين. والصندوق هو خطة استحقاقات محددة ممولة متعددة أرباب العمل. وكما هو محدد في المادة </w:t>
      </w:r>
      <w:r w:rsidRPr="005269E6">
        <w:rPr>
          <w:lang w:bidi="ar-EG"/>
        </w:rPr>
        <w:t>3</w:t>
      </w:r>
      <w:r w:rsidRPr="005269E6">
        <w:rPr>
          <w:rtl/>
          <w:lang w:bidi="ar-EG"/>
        </w:rPr>
        <w:t> (ب)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 المتخصصة.</w:t>
      </w:r>
    </w:p>
    <w:p w14:paraId="00C3C4B3" w14:textId="45FD8590" w:rsidR="00834B83" w:rsidRPr="005269E6" w:rsidRDefault="00834B83" w:rsidP="00834B83">
      <w:pPr>
        <w:rPr>
          <w:rtl/>
          <w:lang w:bidi="ar-EG"/>
        </w:rPr>
      </w:pPr>
      <w:r w:rsidRPr="005269E6">
        <w:rPr>
          <w:rtl/>
          <w:lang w:bidi="ar-EG"/>
        </w:rPr>
        <w:t xml:space="preserve">وتعرّض الخطة المنظمات المشاركة إلى مخاطر </w:t>
      </w:r>
      <w:r w:rsidR="0059394B" w:rsidRPr="005269E6">
        <w:rPr>
          <w:rtl/>
          <w:lang w:bidi="ar-EG"/>
        </w:rPr>
        <w:t>إكتواري</w:t>
      </w:r>
      <w:r w:rsidRPr="005269E6">
        <w:rPr>
          <w:rtl/>
          <w:lang w:bidi="ar-EG"/>
        </w:rPr>
        <w:t>ة مرتبطة بالموظفين الحاليين والسابقين في المنظمات الأخرى المشاركة في الصندوق، ونتيجةً لذلك لا يوجد أساس متسق وموثوق لتخصيص الالتزامات وأصول الخطة، وتكاليف فرادى المنظمات المشاركة في الخطة. ومن ثم فإن الاتحاد الدولي للاتصالات والصندوق المشترك للمعاشات التقاعدية لموظفي الأمم المتحدة، على غرار المنظمات الأخرى المشاركة في الصندوق، لا يمكنهما تحديد الحصة النسبية</w:t>
      </w:r>
      <w:r w:rsidRPr="005269E6">
        <w:rPr>
          <w:rtl/>
        </w:rPr>
        <w:t xml:space="preserve"> ل</w:t>
      </w:r>
      <w:r w:rsidRPr="005269E6">
        <w:rPr>
          <w:rtl/>
          <w:lang w:bidi="ar-EG"/>
        </w:rPr>
        <w:t xml:space="preserve">لاتحاد الدولي للاتصالات في الالتزام بالاستحقاقات المحددة، وبأصول الخطة والتكاليف المرتبطة بالخطة بقدر كافٍ من الموثوقية للأغراض المحاسبية. ولذا فإن الاتحاد الدولي للاتصالات يتعامل مع هذه الخطة كما لو كانت خطة مساهمات محددة تماشياً مع متطلبات المعيار </w:t>
      </w:r>
      <w:r w:rsidRPr="005269E6">
        <w:rPr>
          <w:lang w:val="fr-CH" w:bidi="ar-EG"/>
        </w:rPr>
        <w:t>IPSAS 39</w:t>
      </w:r>
      <w:r w:rsidRPr="005269E6">
        <w:rPr>
          <w:rtl/>
          <w:lang w:bidi="ar-EG"/>
        </w:rPr>
        <w:t xml:space="preserve"> بشأن استحقاقات الموظفين. وتُدرج مساهمات الاتحاد الدولي للاتصالات في الخطة خلال الفترة المالية بمثابة نفقات في بيان الأداء المالي.</w:t>
      </w:r>
    </w:p>
    <w:p w14:paraId="715DB1A9" w14:textId="6F54B3BF" w:rsidR="00834B83" w:rsidRPr="005269E6" w:rsidRDefault="00834B83" w:rsidP="00834B83">
      <w:pPr>
        <w:rPr>
          <w:rtl/>
          <w:lang w:bidi="ar-EG"/>
        </w:rPr>
      </w:pPr>
      <w:r w:rsidRPr="005269E6">
        <w:rPr>
          <w:rtl/>
          <w:lang w:bidi="ar-EG"/>
        </w:rPr>
        <w:t>واعتباراً من 1 يناير 2020، انضم الاتحاد الدولي للاتصالات إلى جمعية التأمين التعاوني لموظفي الأمم المتحدة (</w:t>
      </w:r>
      <w:r w:rsidRPr="005269E6">
        <w:rPr>
          <w:lang w:bidi="ar-EG"/>
        </w:rPr>
        <w:t>UNSMIS</w:t>
      </w:r>
      <w:r w:rsidRPr="005269E6">
        <w:rPr>
          <w:rtl/>
          <w:lang w:bidi="ar-EG"/>
        </w:rPr>
        <w:t>). وتخضع الالتزامات بموجب خطة التأمين الصحي بعد انتهاء الخدمة </w:t>
      </w:r>
      <w:r w:rsidRPr="005269E6">
        <w:rPr>
          <w:lang w:bidi="ar-EG"/>
        </w:rPr>
        <w:t>(ASHI)</w:t>
      </w:r>
      <w:r w:rsidRPr="005269E6">
        <w:rPr>
          <w:rtl/>
          <w:lang w:bidi="ar-EG"/>
        </w:rPr>
        <w:t xml:space="preserve"> لدراسة </w:t>
      </w:r>
      <w:r w:rsidR="0059394B" w:rsidRPr="005269E6">
        <w:rPr>
          <w:rtl/>
          <w:lang w:bidi="ar-EG"/>
        </w:rPr>
        <w:t>إكتواري</w:t>
      </w:r>
      <w:r w:rsidRPr="005269E6">
        <w:rPr>
          <w:rtl/>
          <w:lang w:bidi="ar-EG"/>
        </w:rPr>
        <w:t xml:space="preserve">ة وفق المعيار </w:t>
      </w:r>
      <w:r w:rsidRPr="005269E6">
        <w:rPr>
          <w:lang w:bidi="ar-EG"/>
        </w:rPr>
        <w:t>IPSAS 39</w:t>
      </w:r>
      <w:r w:rsidRPr="005269E6">
        <w:rPr>
          <w:rtl/>
          <w:lang w:bidi="ar-EG"/>
        </w:rPr>
        <w:t xml:space="preserve"> بغية تحديد واحتساب مقدار التزامات الاتحاد المقبلة المتعلقة بهذه الاستحقاقات.</w:t>
      </w:r>
    </w:p>
    <w:p w14:paraId="327587CC" w14:textId="186BC70F" w:rsidR="00834B83" w:rsidRPr="005269E6" w:rsidRDefault="00834B83" w:rsidP="00834B83">
      <w:pPr>
        <w:rPr>
          <w:rtl/>
          <w:lang w:bidi="ar-SY"/>
        </w:rPr>
      </w:pPr>
      <w:r w:rsidRPr="005269E6">
        <w:rPr>
          <w:rtl/>
          <w:lang w:bidi="ar-SY"/>
        </w:rPr>
        <w:t>والتزامات التأمين الصحي بعد انتهاء الخدمة (</w:t>
      </w:r>
      <w:r w:rsidRPr="005269E6">
        <w:rPr>
          <w:lang w:bidi="ar-SY"/>
        </w:rPr>
        <w:t>ASHI</w:t>
      </w:r>
      <w:r w:rsidRPr="005269E6">
        <w:rPr>
          <w:rtl/>
          <w:lang w:bidi="ar-SY"/>
        </w:rPr>
        <w:t>) لدى الاتحاد تعطي الحق في الاستفادة من تغطية التأمين الصحي بعد انتهاء الخدمة المكتسبة والمتراكمة أثناء الخدمة النشيطة للمتقاعدين في المنظمة.</w:t>
      </w:r>
      <w:r w:rsidRPr="005269E6">
        <w:rPr>
          <w:rtl/>
          <w:lang w:bidi="ar"/>
        </w:rPr>
        <w:t xml:space="preserve"> والخصوم</w:t>
      </w:r>
      <w:r w:rsidRPr="005269E6">
        <w:rPr>
          <w:lang w:val="en" w:bidi="ar-SY"/>
        </w:rPr>
        <w:t xml:space="preserve"> </w:t>
      </w:r>
      <w:r w:rsidRPr="005269E6">
        <w:rPr>
          <w:rtl/>
          <w:lang w:bidi="ar-SY"/>
        </w:rPr>
        <w:t>المثبَّتة لهذه الخطة هي القيمة الحالية لالتزامات الاستحقاقات المحددة في تاريخ الإبلاغ.</w:t>
      </w:r>
      <w:r w:rsidRPr="005269E6">
        <w:rPr>
          <w:rtl/>
        </w:rPr>
        <w:t xml:space="preserve"> ويحسب خبير </w:t>
      </w:r>
      <w:r w:rsidR="0059394B" w:rsidRPr="005269E6">
        <w:rPr>
          <w:rtl/>
        </w:rPr>
        <w:t>إكتواري</w:t>
      </w:r>
      <w:r w:rsidRPr="005269E6">
        <w:rPr>
          <w:rtl/>
        </w:rPr>
        <w:t xml:space="preserve"> مستقل هذا الالتزام باستخدام أسلوب الائتمان للوحدة المتوقعة. وترد في بيان الأداء المالي تكلفة الفائدة وتكاليف الخدمة الجارية</w:t>
      </w:r>
      <w:r w:rsidRPr="005269E6">
        <w:rPr>
          <w:rtl/>
          <w:lang w:bidi="ar-SY"/>
        </w:rPr>
        <w:t xml:space="preserve"> كمكون من مكونات تكاليف الموظفين. </w:t>
      </w:r>
      <w:r w:rsidRPr="005269E6">
        <w:rPr>
          <w:rtl/>
          <w:lang w:bidi="ar"/>
        </w:rPr>
        <w:t>وتقيَّد</w:t>
      </w:r>
      <w:r w:rsidRPr="005269E6">
        <w:rPr>
          <w:lang w:val="en" w:bidi="ar-SY"/>
        </w:rPr>
        <w:t xml:space="preserve"> </w:t>
      </w:r>
      <w:r w:rsidRPr="005269E6">
        <w:rPr>
          <w:rtl/>
          <w:lang w:bidi="ar"/>
        </w:rPr>
        <w:t>الأرباح</w:t>
      </w:r>
      <w:r w:rsidRPr="005269E6">
        <w:rPr>
          <w:lang w:val="en" w:bidi="ar-SY"/>
        </w:rPr>
        <w:t xml:space="preserve"> </w:t>
      </w:r>
      <w:r w:rsidRPr="005269E6">
        <w:rPr>
          <w:rtl/>
          <w:lang w:bidi="ar"/>
        </w:rPr>
        <w:t>أو</w:t>
      </w:r>
      <w:r w:rsidRPr="005269E6">
        <w:rPr>
          <w:lang w:val="en" w:bidi="ar-SY"/>
        </w:rPr>
        <w:t xml:space="preserve"> </w:t>
      </w:r>
      <w:r w:rsidRPr="005269E6">
        <w:rPr>
          <w:rtl/>
          <w:lang w:bidi="ar"/>
        </w:rPr>
        <w:t>الخسائر</w:t>
      </w:r>
      <w:r w:rsidRPr="005269E6">
        <w:rPr>
          <w:lang w:val="en" w:bidi="ar-SY"/>
        </w:rPr>
        <w:t xml:space="preserve"> </w:t>
      </w:r>
      <w:r w:rsidRPr="005269E6">
        <w:rPr>
          <w:rtl/>
          <w:lang w:bidi="ar"/>
        </w:rPr>
        <w:t>ال</w:t>
      </w:r>
      <w:r w:rsidR="0059394B" w:rsidRPr="005269E6">
        <w:rPr>
          <w:rtl/>
          <w:lang w:bidi="ar"/>
        </w:rPr>
        <w:t>إكتواري</w:t>
      </w:r>
      <w:r w:rsidRPr="005269E6">
        <w:rPr>
          <w:rtl/>
          <w:lang w:bidi="ar"/>
        </w:rPr>
        <w:t>ة</w:t>
      </w:r>
      <w:r w:rsidRPr="005269E6">
        <w:rPr>
          <w:lang w:val="en" w:bidi="ar-SY"/>
        </w:rPr>
        <w:t xml:space="preserve"> </w:t>
      </w:r>
      <w:r w:rsidRPr="005269E6">
        <w:rPr>
          <w:rtl/>
          <w:lang w:bidi="ar"/>
        </w:rPr>
        <w:t>الناشئة</w:t>
      </w:r>
      <w:r w:rsidRPr="005269E6">
        <w:rPr>
          <w:lang w:val="en" w:bidi="ar-SY"/>
        </w:rPr>
        <w:t xml:space="preserve"> </w:t>
      </w:r>
      <w:r w:rsidRPr="005269E6">
        <w:rPr>
          <w:rtl/>
          <w:lang w:bidi="ar"/>
        </w:rPr>
        <w:t>عن</w:t>
      </w:r>
      <w:r w:rsidRPr="005269E6">
        <w:rPr>
          <w:lang w:val="en" w:bidi="ar-SY"/>
        </w:rPr>
        <w:t xml:space="preserve"> </w:t>
      </w:r>
      <w:r w:rsidRPr="005269E6">
        <w:rPr>
          <w:rtl/>
          <w:lang w:bidi="ar"/>
        </w:rPr>
        <w:t>التغيرات</w:t>
      </w:r>
      <w:r w:rsidRPr="005269E6">
        <w:rPr>
          <w:lang w:val="en" w:bidi="ar-SY"/>
        </w:rPr>
        <w:t xml:space="preserve"> </w:t>
      </w:r>
      <w:r w:rsidRPr="005269E6">
        <w:rPr>
          <w:rtl/>
          <w:lang w:bidi="ar"/>
        </w:rPr>
        <w:t>في</w:t>
      </w:r>
      <w:r w:rsidRPr="005269E6">
        <w:rPr>
          <w:lang w:val="en" w:bidi="ar-SY"/>
        </w:rPr>
        <w:t xml:space="preserve"> </w:t>
      </w:r>
      <w:r w:rsidRPr="005269E6">
        <w:rPr>
          <w:rtl/>
          <w:lang w:bidi="ar"/>
        </w:rPr>
        <w:t>الافتراضات</w:t>
      </w:r>
      <w:r w:rsidRPr="005269E6">
        <w:rPr>
          <w:lang w:val="en" w:bidi="ar-SY"/>
        </w:rPr>
        <w:t xml:space="preserve"> </w:t>
      </w:r>
      <w:r w:rsidRPr="005269E6">
        <w:rPr>
          <w:rtl/>
          <w:lang w:bidi="ar"/>
        </w:rPr>
        <w:t>ال</w:t>
      </w:r>
      <w:r w:rsidR="0059394B" w:rsidRPr="005269E6">
        <w:rPr>
          <w:rtl/>
          <w:lang w:bidi="ar"/>
        </w:rPr>
        <w:t>إكتواري</w:t>
      </w:r>
      <w:r w:rsidRPr="005269E6">
        <w:rPr>
          <w:rtl/>
          <w:lang w:bidi="ar"/>
        </w:rPr>
        <w:t>ة</w:t>
      </w:r>
      <w:r w:rsidRPr="005269E6">
        <w:rPr>
          <w:lang w:val="en" w:bidi="ar-SY"/>
        </w:rPr>
        <w:t xml:space="preserve"> </w:t>
      </w:r>
      <w:r w:rsidRPr="005269E6">
        <w:rPr>
          <w:rtl/>
          <w:lang w:bidi="ar"/>
        </w:rPr>
        <w:t>أو</w:t>
      </w:r>
      <w:r w:rsidRPr="005269E6">
        <w:rPr>
          <w:lang w:val="en" w:bidi="ar-SY"/>
        </w:rPr>
        <w:t xml:space="preserve"> </w:t>
      </w:r>
      <w:r w:rsidRPr="005269E6">
        <w:rPr>
          <w:rtl/>
          <w:lang w:bidi="ar"/>
        </w:rPr>
        <w:t>تسويات</w:t>
      </w:r>
      <w:r w:rsidRPr="005269E6">
        <w:rPr>
          <w:lang w:val="en" w:bidi="ar-SY"/>
        </w:rPr>
        <w:t xml:space="preserve"> </w:t>
      </w:r>
      <w:r w:rsidRPr="005269E6">
        <w:rPr>
          <w:rtl/>
          <w:lang w:bidi="ar"/>
        </w:rPr>
        <w:t>الخبرة</w:t>
      </w:r>
      <w:r w:rsidRPr="005269E6">
        <w:rPr>
          <w:lang w:val="en" w:bidi="ar-SY"/>
        </w:rPr>
        <w:t xml:space="preserve"> </w:t>
      </w:r>
      <w:r w:rsidRPr="005269E6">
        <w:rPr>
          <w:rtl/>
          <w:lang w:bidi="ar"/>
        </w:rPr>
        <w:t>مباشرة</w:t>
      </w:r>
      <w:r w:rsidRPr="005269E6">
        <w:rPr>
          <w:lang w:val="en" w:bidi="ar-SY"/>
        </w:rPr>
        <w:t xml:space="preserve"> </w:t>
      </w:r>
      <w:r w:rsidRPr="005269E6">
        <w:rPr>
          <w:rtl/>
          <w:lang w:bidi="ar"/>
        </w:rPr>
        <w:t>في</w:t>
      </w:r>
      <w:r w:rsidRPr="005269E6">
        <w:rPr>
          <w:lang w:val="en" w:bidi="ar-SY"/>
        </w:rPr>
        <w:t xml:space="preserve"> </w:t>
      </w:r>
      <w:r w:rsidRPr="005269E6">
        <w:rPr>
          <w:rtl/>
          <w:lang w:bidi="ar"/>
        </w:rPr>
        <w:t>صافي</w:t>
      </w:r>
      <w:r w:rsidRPr="005269E6">
        <w:rPr>
          <w:lang w:val="en" w:bidi="ar-SY"/>
        </w:rPr>
        <w:t xml:space="preserve"> </w:t>
      </w:r>
      <w:r w:rsidRPr="005269E6">
        <w:rPr>
          <w:rtl/>
          <w:lang w:bidi="ar"/>
        </w:rPr>
        <w:t>الأصول</w:t>
      </w:r>
      <w:r w:rsidRPr="005269E6">
        <w:rPr>
          <w:lang w:val="en" w:bidi="ar-SY"/>
        </w:rPr>
        <w:t>.</w:t>
      </w:r>
    </w:p>
    <w:p w14:paraId="61E77599" w14:textId="77777777" w:rsidR="00834B83" w:rsidRPr="005269E6" w:rsidRDefault="00834B83" w:rsidP="00834B83">
      <w:pPr>
        <w:rPr>
          <w:rtl/>
          <w:lang w:bidi="ar-EG"/>
        </w:rPr>
      </w:pPr>
      <w:r w:rsidRPr="005269E6">
        <w:rPr>
          <w:rtl/>
          <w:lang w:bidi="ar-EG"/>
        </w:rPr>
        <w:t>ويرد وصف الافتراضات الخاصة بالاتحاد في "الملاحظات" التي تتناول استحقاقات الموظفين.</w:t>
      </w:r>
    </w:p>
    <w:p w14:paraId="07975C48" w14:textId="77777777" w:rsidR="00834B83" w:rsidRPr="005269E6" w:rsidRDefault="00834B83" w:rsidP="00834B83">
      <w:pPr>
        <w:pStyle w:val="Heading2"/>
        <w:rPr>
          <w:rtl/>
          <w:lang w:eastAsia="en-US"/>
        </w:rPr>
      </w:pPr>
      <w:r w:rsidRPr="005269E6">
        <w:rPr>
          <w:rtl/>
        </w:rPr>
        <w:t>9.3</w:t>
      </w:r>
      <w:r w:rsidRPr="005269E6">
        <w:rPr>
          <w:rtl/>
        </w:rPr>
        <w:tab/>
      </w:r>
      <w:r w:rsidRPr="005269E6">
        <w:rPr>
          <w:u w:val="single"/>
          <w:rtl/>
          <w:lang w:eastAsia="en-US"/>
        </w:rPr>
        <w:t>قيد الإيرادات</w:t>
      </w:r>
    </w:p>
    <w:p w14:paraId="54BBE6A2" w14:textId="77777777" w:rsidR="00834B83" w:rsidRPr="005269E6" w:rsidRDefault="00834B83" w:rsidP="00834B83">
      <w:pPr>
        <w:pStyle w:val="Headingb"/>
        <w:rPr>
          <w:lang w:bidi="ar-EG"/>
        </w:rPr>
      </w:pPr>
      <w:r w:rsidRPr="005269E6">
        <w:rPr>
          <w:rtl/>
          <w:lang w:bidi="ar-SY"/>
        </w:rPr>
        <w:t>الإيرادات غير التبادلية</w:t>
      </w:r>
    </w:p>
    <w:p w14:paraId="478BC2B2" w14:textId="77777777" w:rsidR="00834B83" w:rsidRPr="005269E6" w:rsidRDefault="00834B83" w:rsidP="00834B83">
      <w:pPr>
        <w:rPr>
          <w:lang w:val="en" w:bidi="ar-SY"/>
        </w:rPr>
      </w:pPr>
      <w:r w:rsidRPr="005269E6">
        <w:rPr>
          <w:rtl/>
          <w:lang w:bidi="ar"/>
        </w:rPr>
        <w:t>ووفقاً</w:t>
      </w:r>
      <w:r w:rsidRPr="005269E6">
        <w:rPr>
          <w:rtl/>
          <w:lang w:val="en" w:bidi="ar-SY"/>
        </w:rPr>
        <w:t xml:space="preserve"> </w:t>
      </w:r>
      <w:r w:rsidRPr="005269E6">
        <w:rPr>
          <w:rtl/>
          <w:lang w:bidi="ar"/>
        </w:rPr>
        <w:t>لمتطلبات</w:t>
      </w:r>
      <w:r w:rsidRPr="005269E6">
        <w:rPr>
          <w:lang w:val="en" w:bidi="ar-SY"/>
        </w:rPr>
        <w:t xml:space="preserve"> </w:t>
      </w:r>
      <w:r w:rsidRPr="005269E6">
        <w:rPr>
          <w:rtl/>
          <w:lang w:bidi="ar"/>
        </w:rPr>
        <w:t>المعايير</w:t>
      </w:r>
      <w:r w:rsidRPr="005269E6">
        <w:rPr>
          <w:lang w:val="en" w:bidi="ar-SY"/>
        </w:rPr>
        <w:t xml:space="preserve"> </w:t>
      </w:r>
      <w:r w:rsidRPr="005269E6">
        <w:rPr>
          <w:rtl/>
          <w:lang w:bidi="ar"/>
        </w:rPr>
        <w:t>المحاسبية الدولية للقطاع العام (</w:t>
      </w:r>
      <w:r w:rsidRPr="005269E6">
        <w:rPr>
          <w:lang w:val="en-GB" w:bidi="ar"/>
        </w:rPr>
        <w:t>IPSAS</w:t>
      </w:r>
      <w:r w:rsidRPr="005269E6">
        <w:rPr>
          <w:rtl/>
          <w:lang w:bidi="ar"/>
        </w:rPr>
        <w:t>)،</w:t>
      </w:r>
      <w:r w:rsidRPr="005269E6">
        <w:rPr>
          <w:lang w:val="en" w:bidi="ar-SY"/>
        </w:rPr>
        <w:t xml:space="preserve"> </w:t>
      </w:r>
      <w:r w:rsidRPr="005269E6">
        <w:rPr>
          <w:rtl/>
          <w:lang w:bidi="ar"/>
        </w:rPr>
        <w:t>تثبَّت الإيرادات</w:t>
      </w:r>
      <w:r w:rsidRPr="005269E6">
        <w:rPr>
          <w:lang w:val="en" w:bidi="ar-SY"/>
        </w:rPr>
        <w:t xml:space="preserve"> </w:t>
      </w:r>
      <w:r w:rsidRPr="005269E6">
        <w:rPr>
          <w:rtl/>
          <w:lang w:bidi="ar"/>
        </w:rPr>
        <w:t>المتأتية</w:t>
      </w:r>
      <w:r w:rsidRPr="005269E6">
        <w:rPr>
          <w:lang w:val="en" w:bidi="ar-SY"/>
        </w:rPr>
        <w:t xml:space="preserve"> </w:t>
      </w:r>
      <w:r w:rsidRPr="005269E6">
        <w:rPr>
          <w:rtl/>
          <w:lang w:bidi="ar"/>
        </w:rPr>
        <w:t>من</w:t>
      </w:r>
      <w:r w:rsidRPr="005269E6">
        <w:rPr>
          <w:lang w:val="en" w:bidi="ar-SY"/>
        </w:rPr>
        <w:t xml:space="preserve"> </w:t>
      </w:r>
      <w:r w:rsidRPr="005269E6">
        <w:rPr>
          <w:rtl/>
          <w:lang w:bidi="ar"/>
        </w:rPr>
        <w:t>المساهمات المقررة</w:t>
      </w:r>
      <w:r w:rsidRPr="005269E6">
        <w:rPr>
          <w:lang w:val="en" w:bidi="ar-SY"/>
        </w:rPr>
        <w:t xml:space="preserve"> </w:t>
      </w:r>
      <w:r w:rsidRPr="005269E6">
        <w:rPr>
          <w:rtl/>
          <w:lang w:bidi="ar"/>
        </w:rPr>
        <w:t>والمساهمات الطوعية وحالات</w:t>
      </w:r>
      <w:r w:rsidRPr="005269E6">
        <w:rPr>
          <w:lang w:val="en" w:bidi="ar-SY"/>
        </w:rPr>
        <w:t xml:space="preserve"> </w:t>
      </w:r>
      <w:r w:rsidRPr="005269E6">
        <w:rPr>
          <w:rtl/>
          <w:lang w:bidi="ar"/>
        </w:rPr>
        <w:t>الرعاية</w:t>
      </w:r>
      <w:r w:rsidRPr="005269E6">
        <w:rPr>
          <w:lang w:val="en" w:bidi="ar-SY"/>
        </w:rPr>
        <w:t xml:space="preserve"> </w:t>
      </w:r>
      <w:r w:rsidRPr="005269E6">
        <w:rPr>
          <w:rtl/>
          <w:lang w:bidi="ar"/>
        </w:rPr>
        <w:t>الواردة</w:t>
      </w:r>
      <w:r w:rsidRPr="005269E6">
        <w:rPr>
          <w:lang w:val="en" w:bidi="ar-SY"/>
        </w:rPr>
        <w:t xml:space="preserve"> </w:t>
      </w:r>
      <w:r w:rsidRPr="005269E6">
        <w:rPr>
          <w:rtl/>
          <w:lang w:bidi="ar"/>
        </w:rPr>
        <w:t>أو</w:t>
      </w:r>
      <w:r w:rsidRPr="005269E6">
        <w:rPr>
          <w:lang w:val="en" w:bidi="ar-SY"/>
        </w:rPr>
        <w:t xml:space="preserve"> </w:t>
      </w:r>
      <w:r w:rsidRPr="005269E6">
        <w:rPr>
          <w:rtl/>
          <w:lang w:bidi="ar"/>
        </w:rPr>
        <w:t>المؤكدة</w:t>
      </w:r>
      <w:r w:rsidRPr="005269E6">
        <w:rPr>
          <w:lang w:val="en" w:bidi="ar-SY"/>
        </w:rPr>
        <w:t xml:space="preserve"> </w:t>
      </w:r>
      <w:r w:rsidRPr="005269E6">
        <w:rPr>
          <w:rtl/>
          <w:lang w:bidi="ar"/>
        </w:rPr>
        <w:t>من</w:t>
      </w:r>
      <w:r w:rsidRPr="005269E6">
        <w:rPr>
          <w:lang w:val="en" w:bidi="ar-SY"/>
        </w:rPr>
        <w:t xml:space="preserve"> </w:t>
      </w:r>
      <w:r w:rsidRPr="005269E6">
        <w:rPr>
          <w:rtl/>
          <w:lang w:bidi="ar"/>
        </w:rPr>
        <w:t>خلال</w:t>
      </w:r>
      <w:r w:rsidRPr="005269E6">
        <w:rPr>
          <w:lang w:val="en" w:bidi="ar-SY"/>
        </w:rPr>
        <w:t xml:space="preserve"> </w:t>
      </w:r>
      <w:r w:rsidRPr="005269E6">
        <w:rPr>
          <w:rtl/>
          <w:lang w:bidi="ar"/>
        </w:rPr>
        <w:t>اتفاق</w:t>
      </w:r>
      <w:r w:rsidRPr="005269E6">
        <w:rPr>
          <w:lang w:val="en" w:bidi="ar-SY"/>
        </w:rPr>
        <w:t xml:space="preserve"> </w:t>
      </w:r>
      <w:r w:rsidRPr="005269E6">
        <w:rPr>
          <w:rtl/>
          <w:lang w:bidi="ar"/>
        </w:rPr>
        <w:t>ملزم</w:t>
      </w:r>
      <w:r w:rsidRPr="005269E6">
        <w:rPr>
          <w:lang w:val="en" w:bidi="ar-SY"/>
        </w:rPr>
        <w:t xml:space="preserve"> </w:t>
      </w:r>
      <w:r w:rsidRPr="005269E6">
        <w:rPr>
          <w:rtl/>
          <w:lang w:bidi="ar"/>
        </w:rPr>
        <w:t>بوصفها</w:t>
      </w:r>
      <w:r w:rsidRPr="005269E6">
        <w:rPr>
          <w:lang w:val="en" w:bidi="ar-SY"/>
        </w:rPr>
        <w:t xml:space="preserve"> </w:t>
      </w:r>
      <w:r w:rsidRPr="005269E6">
        <w:rPr>
          <w:rtl/>
          <w:lang w:bidi="ar"/>
        </w:rPr>
        <w:t>معاملات</w:t>
      </w:r>
      <w:r w:rsidRPr="005269E6">
        <w:rPr>
          <w:lang w:val="en" w:bidi="ar-SY"/>
        </w:rPr>
        <w:t xml:space="preserve"> </w:t>
      </w:r>
      <w:r w:rsidRPr="005269E6">
        <w:rPr>
          <w:rtl/>
          <w:lang w:bidi="ar"/>
        </w:rPr>
        <w:t>غير</w:t>
      </w:r>
      <w:r w:rsidRPr="005269E6">
        <w:rPr>
          <w:lang w:val="en" w:bidi="ar-SY"/>
        </w:rPr>
        <w:t xml:space="preserve"> </w:t>
      </w:r>
      <w:r w:rsidRPr="005269E6">
        <w:rPr>
          <w:rtl/>
          <w:lang w:bidi="ar"/>
        </w:rPr>
        <w:t>تبادلية</w:t>
      </w:r>
      <w:r w:rsidRPr="005269E6">
        <w:rPr>
          <w:lang w:val="en" w:bidi="ar-SY"/>
        </w:rPr>
        <w:t xml:space="preserve"> </w:t>
      </w:r>
      <w:r w:rsidRPr="005269E6">
        <w:rPr>
          <w:rtl/>
          <w:lang w:bidi="ar"/>
        </w:rPr>
        <w:t>وفقاً</w:t>
      </w:r>
      <w:r w:rsidRPr="005269E6">
        <w:rPr>
          <w:lang w:val="en" w:bidi="ar-SY"/>
        </w:rPr>
        <w:t xml:space="preserve"> </w:t>
      </w:r>
      <w:r w:rsidRPr="005269E6">
        <w:rPr>
          <w:rtl/>
          <w:lang w:bidi="ar"/>
        </w:rPr>
        <w:t>للمعيار</w:t>
      </w:r>
      <w:r w:rsidRPr="005269E6">
        <w:rPr>
          <w:lang w:val="en" w:bidi="ar-SY"/>
        </w:rPr>
        <w:t xml:space="preserve"> 23 </w:t>
      </w:r>
      <w:r w:rsidRPr="005269E6">
        <w:rPr>
          <w:rtl/>
          <w:lang w:bidi="ar"/>
        </w:rPr>
        <w:t>من</w:t>
      </w:r>
      <w:r w:rsidRPr="005269E6">
        <w:rPr>
          <w:lang w:val="en" w:bidi="ar-SY"/>
        </w:rPr>
        <w:t xml:space="preserve"> </w:t>
      </w:r>
      <w:r w:rsidRPr="005269E6">
        <w:rPr>
          <w:rtl/>
          <w:lang w:bidi="ar"/>
        </w:rPr>
        <w:t>المعايير المحاسبية الدولية للقطاع العام</w:t>
      </w:r>
      <w:r w:rsidRPr="005269E6">
        <w:rPr>
          <w:rtl/>
          <w:lang w:val="en" w:bidi="ar"/>
        </w:rPr>
        <w:t>(</w:t>
      </w:r>
      <w:r w:rsidRPr="005269E6">
        <w:rPr>
          <w:lang w:val="en-GB" w:bidi="ar"/>
        </w:rPr>
        <w:t>IPSAS 23</w:t>
      </w:r>
      <w:r w:rsidRPr="005269E6">
        <w:rPr>
          <w:rtl/>
          <w:lang w:val="en-GB" w:bidi="ar"/>
        </w:rPr>
        <w:t xml:space="preserve">): </w:t>
      </w:r>
      <w:r w:rsidRPr="005269E6">
        <w:rPr>
          <w:rtl/>
          <w:lang w:bidi="ar"/>
        </w:rPr>
        <w:t>الإيرادات</w:t>
      </w:r>
      <w:r w:rsidRPr="005269E6">
        <w:rPr>
          <w:lang w:val="en" w:bidi="ar-SY"/>
        </w:rPr>
        <w:t xml:space="preserve"> </w:t>
      </w:r>
      <w:r w:rsidRPr="005269E6">
        <w:rPr>
          <w:rtl/>
          <w:lang w:bidi="ar"/>
        </w:rPr>
        <w:t>المتأتية</w:t>
      </w:r>
      <w:r w:rsidRPr="005269E6">
        <w:rPr>
          <w:lang w:val="en" w:bidi="ar-SY"/>
        </w:rPr>
        <w:t xml:space="preserve"> </w:t>
      </w:r>
      <w:r w:rsidRPr="005269E6">
        <w:rPr>
          <w:rtl/>
          <w:lang w:bidi="ar"/>
        </w:rPr>
        <w:t>من</w:t>
      </w:r>
      <w:r w:rsidRPr="005269E6">
        <w:rPr>
          <w:lang w:val="en" w:bidi="ar-SY"/>
        </w:rPr>
        <w:t xml:space="preserve"> </w:t>
      </w:r>
      <w:r w:rsidRPr="005269E6">
        <w:rPr>
          <w:rtl/>
          <w:lang w:bidi="ar"/>
        </w:rPr>
        <w:t>المعاملات</w:t>
      </w:r>
      <w:r w:rsidRPr="005269E6">
        <w:rPr>
          <w:lang w:val="en" w:bidi="ar-SY"/>
        </w:rPr>
        <w:t xml:space="preserve"> </w:t>
      </w:r>
      <w:r w:rsidRPr="005269E6">
        <w:rPr>
          <w:rtl/>
          <w:lang w:bidi="ar"/>
        </w:rPr>
        <w:t>غير</w:t>
      </w:r>
      <w:r w:rsidRPr="005269E6">
        <w:rPr>
          <w:lang w:val="en" w:bidi="ar-SY"/>
        </w:rPr>
        <w:t xml:space="preserve"> </w:t>
      </w:r>
      <w:r w:rsidRPr="005269E6">
        <w:rPr>
          <w:rtl/>
          <w:lang w:bidi="ar"/>
        </w:rPr>
        <w:t>التبادلية</w:t>
      </w:r>
      <w:r w:rsidRPr="005269E6">
        <w:rPr>
          <w:lang w:val="en" w:bidi="ar-SY"/>
        </w:rPr>
        <w:t>.</w:t>
      </w:r>
    </w:p>
    <w:p w14:paraId="57B90B71" w14:textId="77777777" w:rsidR="00834B83" w:rsidRPr="005269E6" w:rsidRDefault="00834B83" w:rsidP="00834B83">
      <w:pPr>
        <w:pStyle w:val="enumlev1"/>
        <w:rPr>
          <w:rtl/>
        </w:rPr>
      </w:pPr>
      <w:r w:rsidRPr="005269E6">
        <w:rPr>
          <w:rtl/>
        </w:rPr>
        <w:lastRenderedPageBreak/>
        <w:t>-</w:t>
      </w:r>
      <w:r w:rsidRPr="005269E6">
        <w:rPr>
          <w:rtl/>
        </w:rPr>
        <w:tab/>
        <w:t>المساهمات المقررة:</w:t>
      </w:r>
    </w:p>
    <w:p w14:paraId="70F8D3A7" w14:textId="77777777" w:rsidR="00834B83" w:rsidRPr="005269E6" w:rsidRDefault="00834B83" w:rsidP="00834B83">
      <w:pPr>
        <w:rPr>
          <w:spacing w:val="-2"/>
          <w:rtl/>
          <w:lang w:bidi="ar-EG"/>
        </w:rPr>
      </w:pPr>
      <w:r w:rsidRPr="005269E6">
        <w:rPr>
          <w:spacing w:val="-2"/>
          <w:rtl/>
          <w:lang w:bidi="ar-EG"/>
        </w:rPr>
        <w:t>هي بالدرجة الأولى مساهمات الدول الأعضاء وأعضاء القطاعات وكذلك المنتسبين. ويحدد مؤتمر المندوبين المفوضين الحد لأقصى لوحدة المساهمة التي تتخذ أساساً في حساب إيرادات الاتحاد لميزانيتي فترتي السنتين للسنوات الأربع التالية. وللدول الأعضاء وأعضاء القطاعات حرية اختيار فئة المساهمة التي يعتزمون بموجبها المشاركة في نفقات الاتحاد وفقاً للأحكام ذات الصلة في دستور الاتحاد وتسدد، عن سنة الانضمام أو القبول، مساهمة محسوبة، بالنسبة للأعضاء، اعتباراً من اليوم الأول من شهر الانضمام أو القبول. وتستخدم هذه الإيرادات في تنفيذ أنشطة الاتحاد على النحو الذي يحدده مؤتمر المندوبين</w:t>
      </w:r>
      <w:r w:rsidRPr="005269E6">
        <w:rPr>
          <w:spacing w:val="-2"/>
          <w:rtl/>
          <w:lang w:bidi="ar-SY"/>
        </w:rPr>
        <w:t> </w:t>
      </w:r>
      <w:r w:rsidRPr="005269E6">
        <w:rPr>
          <w:spacing w:val="-2"/>
          <w:rtl/>
          <w:lang w:bidi="ar-EG"/>
        </w:rPr>
        <w:t>المفوضين.</w:t>
      </w:r>
    </w:p>
    <w:p w14:paraId="14DC9333" w14:textId="77777777" w:rsidR="00834B83" w:rsidRPr="005269E6" w:rsidRDefault="00834B83" w:rsidP="00834B83">
      <w:pPr>
        <w:rPr>
          <w:rtl/>
          <w:lang w:bidi="ar-EG"/>
        </w:rPr>
      </w:pPr>
      <w:r w:rsidRPr="005269E6">
        <w:rPr>
          <w:rtl/>
          <w:lang w:bidi="ar-SY"/>
        </w:rPr>
        <w:t>وتثبَّت المساهمات المقررة بوصفها إيرادات على أساس سنوي في اليوم الأول من السنة التي تتصل بها.</w:t>
      </w:r>
    </w:p>
    <w:p w14:paraId="6D07C3CC" w14:textId="77777777" w:rsidR="00834B83" w:rsidRPr="005269E6" w:rsidRDefault="00834B83" w:rsidP="00834B83">
      <w:pPr>
        <w:pStyle w:val="enumlev1"/>
        <w:rPr>
          <w:rtl/>
          <w:lang w:bidi="ar-EG"/>
        </w:rPr>
      </w:pPr>
      <w:r w:rsidRPr="005269E6">
        <w:rPr>
          <w:rtl/>
          <w:lang w:bidi="ar-EG"/>
        </w:rPr>
        <w:t>-</w:t>
      </w:r>
      <w:r w:rsidRPr="005269E6">
        <w:rPr>
          <w:rtl/>
          <w:lang w:bidi="ar-EG"/>
        </w:rPr>
        <w:tab/>
      </w:r>
      <w:r w:rsidRPr="005269E6">
        <w:rPr>
          <w:rtl/>
        </w:rPr>
        <w:t>المساهمات الطوعية وأعمال الرعاية</w:t>
      </w:r>
      <w:r w:rsidRPr="005269E6">
        <w:rPr>
          <w:rtl/>
          <w:lang w:bidi="ar-EG"/>
        </w:rPr>
        <w:t>:</w:t>
      </w:r>
    </w:p>
    <w:p w14:paraId="5DEF52C2" w14:textId="77777777" w:rsidR="00834B83" w:rsidRPr="005269E6" w:rsidRDefault="00834B83" w:rsidP="00834B83">
      <w:pPr>
        <w:rPr>
          <w:lang w:bidi="ar-EG"/>
        </w:rPr>
      </w:pPr>
      <w:r w:rsidRPr="005269E6">
        <w:rPr>
          <w:rtl/>
          <w:lang w:bidi="ar-EG"/>
        </w:rPr>
        <w:t xml:space="preserve">تُدرَج المساهمات الطوعية </w:t>
      </w:r>
      <w:r w:rsidRPr="005269E6">
        <w:rPr>
          <w:rtl/>
        </w:rPr>
        <w:t>وأعمال الرعاية</w:t>
      </w:r>
      <w:r w:rsidRPr="005269E6">
        <w:rPr>
          <w:rtl/>
          <w:lang w:bidi="ar-EG"/>
        </w:rPr>
        <w:t xml:space="preserve"> مبدئيا كإيرادات في الوقت الذي يصبح فيه الاتفاق بين الاتحاد والجهات المانحة ملزما وعندما تتحقق السيطرة على الأصول الأساسية ما لم يتضمن الاتفاق قيوداً وفقاً للتعاريف الواردة في المعيار </w:t>
      </w:r>
      <w:r w:rsidRPr="005269E6">
        <w:rPr>
          <w:lang w:bidi="ar-SY"/>
        </w:rPr>
        <w:t>IPSAS 23</w:t>
      </w:r>
      <w:r w:rsidRPr="005269E6">
        <w:rPr>
          <w:rtl/>
          <w:lang w:bidi="ar-EG"/>
        </w:rPr>
        <w:t>.</w:t>
      </w:r>
    </w:p>
    <w:p w14:paraId="4146BAD0" w14:textId="77777777" w:rsidR="00834B83" w:rsidRPr="005269E6" w:rsidRDefault="00834B83" w:rsidP="00834B83">
      <w:pPr>
        <w:rPr>
          <w:rtl/>
          <w:lang w:bidi="ar-EG"/>
        </w:rPr>
      </w:pPr>
      <w:r w:rsidRPr="005269E6">
        <w:rPr>
          <w:rtl/>
          <w:lang w:bidi="ar-EG"/>
        </w:rPr>
        <w:t>وتتطلب الاتفاقات التي تتضمن مثل هذه الشروط التثبيت الأولي للخصوم وتأجيل تثبيت الإيرادات إلى تسوية الخصوم من خلال تنفيذ الشروط المحددة المدرجة في الاتفاق والتزام العوائد القابل للإنفاذ بإعادة المبالغ إن لم تستخدم بطريقة محددة. والمبلغ المدرج كخصوم هو أفضل تقدير للمبلغ المطلوب لتسوية الالتزام في تاريخ الإبلاغ.</w:t>
      </w:r>
    </w:p>
    <w:p w14:paraId="51798B56" w14:textId="77777777" w:rsidR="00834B83" w:rsidRPr="005269E6" w:rsidRDefault="00834B83" w:rsidP="00834B83">
      <w:pPr>
        <w:rPr>
          <w:lang w:bidi="ar-EG"/>
        </w:rPr>
      </w:pPr>
      <w:r w:rsidRPr="005269E6">
        <w:rPr>
          <w:rtl/>
          <w:lang w:bidi="ar-EG"/>
        </w:rPr>
        <w:t>وفي حال توقيع الاتفاقات، ولا ترد أي مساهمات ويتعلق الاتفاق بفترات مالية مقبلة، تثبَّت الإيرادات كإيرادات مؤجلة.</w:t>
      </w:r>
    </w:p>
    <w:p w14:paraId="3EE350E9" w14:textId="77777777" w:rsidR="00834B83" w:rsidRPr="005269E6" w:rsidRDefault="00834B83" w:rsidP="00834B83">
      <w:pPr>
        <w:pStyle w:val="Headingb"/>
        <w:rPr>
          <w:lang w:bidi="ar-EG"/>
        </w:rPr>
      </w:pPr>
      <w:bookmarkStart w:id="242" w:name="_Hlk160785480"/>
      <w:r w:rsidRPr="005269E6">
        <w:rPr>
          <w:rtl/>
          <w:lang w:bidi="ar-SY"/>
        </w:rPr>
        <w:t>الإيرادات التبادلية</w:t>
      </w:r>
    </w:p>
    <w:bookmarkEnd w:id="242"/>
    <w:p w14:paraId="31A3DF59" w14:textId="77777777" w:rsidR="00834B83" w:rsidRPr="005269E6" w:rsidRDefault="00834B83" w:rsidP="00834B83">
      <w:pPr>
        <w:rPr>
          <w:lang w:bidi="ar-EG"/>
        </w:rPr>
      </w:pPr>
      <w:r w:rsidRPr="005269E6">
        <w:rPr>
          <w:rtl/>
          <w:lang w:bidi="ar-EG"/>
        </w:rPr>
        <w:t xml:space="preserve">تفي الإيرادات التالية بتعريف </w:t>
      </w:r>
      <w:bookmarkStart w:id="243" w:name="_Hlk160785890"/>
      <w:r w:rsidRPr="005269E6">
        <w:rPr>
          <w:rtl/>
          <w:lang w:bidi="ar-EG"/>
        </w:rPr>
        <w:t xml:space="preserve">الإيرادات التبادلية </w:t>
      </w:r>
      <w:bookmarkEnd w:id="243"/>
      <w:r w:rsidRPr="005269E6">
        <w:rPr>
          <w:rtl/>
          <w:lang w:bidi="ar-EG"/>
        </w:rPr>
        <w:t xml:space="preserve">بموجب المعيار </w:t>
      </w:r>
      <w:r w:rsidRPr="005269E6">
        <w:rPr>
          <w:lang w:bidi="ar-SY"/>
        </w:rPr>
        <w:t>IPSAS 9</w:t>
      </w:r>
      <w:r w:rsidRPr="005269E6">
        <w:rPr>
          <w:rtl/>
          <w:lang w:bidi="ar-EG"/>
        </w:rPr>
        <w:t xml:space="preserve"> - تحتسب الإيرادات المتأتية من المعاملات التبادلية وفقاً لهذا المعيار.</w:t>
      </w:r>
    </w:p>
    <w:p w14:paraId="76BC37F7" w14:textId="77777777" w:rsidR="00834B83" w:rsidRPr="005269E6" w:rsidRDefault="00834B83" w:rsidP="00834B83">
      <w:pPr>
        <w:rPr>
          <w:rtl/>
          <w:lang w:bidi="ar-EG"/>
        </w:rPr>
      </w:pPr>
      <w:r w:rsidRPr="005269E6">
        <w:rPr>
          <w:rtl/>
          <w:lang w:bidi="ar-EG"/>
        </w:rPr>
        <w:t>وتقاس إيرادات الاتحاد من المعاملات التبادلية بالقيمة العادلة للمقابل المقبوض أو المستحق القبض وتثبَّت عند تسليم السلع والخدمات.</w:t>
      </w:r>
    </w:p>
    <w:p w14:paraId="2DBBE861" w14:textId="77777777" w:rsidR="00834B83" w:rsidRPr="005269E6" w:rsidRDefault="00834B83" w:rsidP="00834B83">
      <w:pPr>
        <w:rPr>
          <w:rtl/>
          <w:lang w:bidi="ar-EG"/>
        </w:rPr>
      </w:pPr>
      <w:r w:rsidRPr="005269E6">
        <w:rPr>
          <w:rtl/>
          <w:lang w:bidi="ar-EG"/>
        </w:rPr>
        <w:t>وتشمل الإيرادات التبادلية المنتجات والخدمات التي يطبق عليها الاتحاد مبدأ استرداد التكاليف، وهي:</w:t>
      </w:r>
    </w:p>
    <w:p w14:paraId="1CCEAF93" w14:textId="77777777" w:rsidR="00834B83" w:rsidRPr="005269E6" w:rsidRDefault="00834B83" w:rsidP="00834B83">
      <w:pPr>
        <w:pStyle w:val="enumlev1"/>
      </w:pPr>
      <w:r w:rsidRPr="005269E6">
        <w:t>-</w:t>
      </w:r>
      <w:r w:rsidRPr="005269E6">
        <w:tab/>
      </w:r>
      <w:r w:rsidRPr="005269E6">
        <w:rPr>
          <w:rtl/>
        </w:rPr>
        <w:t xml:space="preserve">مبيعات المنشورات: تدرج إيرادات بيع المنشورات وقت إرسالها بينما تدرج إيرادات بيع الخدمات التي تنطوي على النفاذ إلى إحصاءات الاتحاد في شكل إلكتروني عندما يصبح </w:t>
      </w:r>
      <w:r w:rsidRPr="005269E6">
        <w:rPr>
          <w:rtl/>
          <w:lang w:bidi="ar-SA"/>
        </w:rPr>
        <w:t xml:space="preserve">النفاذ إلى </w:t>
      </w:r>
      <w:r w:rsidRPr="005269E6">
        <w:rPr>
          <w:rtl/>
        </w:rPr>
        <w:t>هذه البيانات متاحاً.</w:t>
      </w:r>
    </w:p>
    <w:p w14:paraId="4032682E" w14:textId="77777777" w:rsidR="00834B83" w:rsidRPr="005269E6" w:rsidRDefault="00834B83" w:rsidP="00834B83">
      <w:pPr>
        <w:pStyle w:val="enumlev1"/>
      </w:pPr>
      <w:r w:rsidRPr="005269E6">
        <w:t>-</w:t>
      </w:r>
      <w:r w:rsidRPr="005269E6">
        <w:tab/>
      </w:r>
      <w:r w:rsidRPr="005269E6">
        <w:rPr>
          <w:rtl/>
        </w:rPr>
        <w:t>معالجة بطاقات التبليغ عن الشبكات الساتلية: تثبَّت الإيرادات المتأتية من بطاقات التبليغ عن الشبكات الساتلية في الوقت الذي تكون فيه المنشورات النهائية لبطاقات التبليغ قد نشرت في النشرة الإعلامية الدولية للترددات (</w:t>
      </w:r>
      <w:r w:rsidRPr="005269E6">
        <w:t>IFIC</w:t>
      </w:r>
      <w:r w:rsidRPr="005269E6">
        <w:rPr>
          <w:rtl/>
        </w:rPr>
        <w:t xml:space="preserve">)؛ وعندما لا يكون النشر في نشرة </w:t>
      </w:r>
      <w:r w:rsidRPr="005269E6">
        <w:t>IFIC</w:t>
      </w:r>
      <w:r w:rsidRPr="005269E6">
        <w:rPr>
          <w:rtl/>
        </w:rPr>
        <w:t xml:space="preserve"> نافذا في سنة الفوترة الأولية تعتبر الخدمة غير مكتملة وبالتالي تؤجل الإيرادات حتى النشر النهائي في نشرة </w:t>
      </w:r>
      <w:r w:rsidRPr="005269E6">
        <w:t>IFIC</w:t>
      </w:r>
      <w:r w:rsidRPr="005269E6">
        <w:rPr>
          <w:rtl/>
        </w:rPr>
        <w:t>؛</w:t>
      </w:r>
    </w:p>
    <w:p w14:paraId="68D37504" w14:textId="77777777" w:rsidR="00834B83" w:rsidRPr="005269E6" w:rsidRDefault="00834B83" w:rsidP="00834B83">
      <w:pPr>
        <w:pStyle w:val="enumlev1"/>
        <w:rPr>
          <w:lang w:bidi="ar-EG"/>
        </w:rPr>
      </w:pPr>
      <w:r w:rsidRPr="005269E6">
        <w:t>-</w:t>
      </w:r>
      <w:r w:rsidRPr="005269E6">
        <w:tab/>
      </w:r>
      <w:r w:rsidRPr="005269E6">
        <w:rPr>
          <w:rtl/>
        </w:rPr>
        <w:t>تسجيل الأرقام الدولية العالمية للهواتف المجانية (</w:t>
      </w:r>
      <w:r w:rsidRPr="005269E6">
        <w:t>UIFN</w:t>
      </w:r>
      <w:r w:rsidRPr="005269E6">
        <w:rPr>
          <w:rtl/>
        </w:rPr>
        <w:t>): يتلقى الاتحاد مساهمات مقدما</w:t>
      </w:r>
      <w:r w:rsidRPr="005269E6">
        <w:rPr>
          <w:rFonts w:eastAsia="Times New Roman"/>
          <w:color w:val="000000" w:themeColor="text1"/>
          <w:sz w:val="24"/>
          <w:szCs w:val="20"/>
          <w:rtl/>
          <w:lang w:val="en-GB" w:bidi="ar-SA"/>
        </w:rPr>
        <w:t xml:space="preserve"> </w:t>
      </w:r>
      <w:r w:rsidRPr="005269E6">
        <w:rPr>
          <w:rtl/>
          <w:lang w:bidi="ar-SA"/>
        </w:rPr>
        <w:t>لتقديم خدمات تسجيل أرقام الهواتف المجانية الدولية العالمية (</w:t>
      </w:r>
      <w:r w:rsidRPr="005269E6">
        <w:rPr>
          <w:lang w:val="en-GB"/>
        </w:rPr>
        <w:t>UIFN</w:t>
      </w:r>
      <w:r w:rsidRPr="005269E6">
        <w:rPr>
          <w:rtl/>
          <w:lang w:bidi="ar-SA"/>
        </w:rPr>
        <w:t>) وتسجيل الأرقام الدولية العالمية ذات الأسعار المتضمنة لرسوم إضافية (</w:t>
      </w:r>
      <w:r w:rsidRPr="005269E6">
        <w:rPr>
          <w:lang w:val="en-GB" w:bidi="ar-SA"/>
        </w:rPr>
        <w:t>UIPRN</w:t>
      </w:r>
      <w:r w:rsidRPr="005269E6">
        <w:rPr>
          <w:rtl/>
          <w:lang w:bidi="ar-SA"/>
        </w:rPr>
        <w:t>) والأرقام الدولية العالمية للتكلفة المشتركة (</w:t>
      </w:r>
      <w:r w:rsidRPr="005269E6">
        <w:rPr>
          <w:lang w:val="en-GB" w:bidi="ar-SA"/>
        </w:rPr>
        <w:t>UISCN</w:t>
      </w:r>
      <w:r w:rsidRPr="005269E6">
        <w:rPr>
          <w:rtl/>
          <w:lang w:bidi="ar-SA"/>
        </w:rPr>
        <w:t>)؛</w:t>
      </w:r>
    </w:p>
    <w:p w14:paraId="133CFF29" w14:textId="77777777" w:rsidR="00834B83" w:rsidRPr="005269E6" w:rsidRDefault="00834B83" w:rsidP="00834B83">
      <w:pPr>
        <w:pStyle w:val="Heading2"/>
        <w:rPr>
          <w:rtl/>
          <w:lang w:eastAsia="en-US"/>
        </w:rPr>
      </w:pPr>
      <w:bookmarkStart w:id="244" w:name="_Toc329296018"/>
      <w:bookmarkStart w:id="245" w:name="_Toc358648338"/>
      <w:bookmarkStart w:id="246" w:name="_Toc358648537"/>
      <w:bookmarkStart w:id="247" w:name="_Toc387338341"/>
      <w:bookmarkStart w:id="248" w:name="_Toc419484066"/>
      <w:bookmarkStart w:id="249" w:name="_Toc452156618"/>
      <w:bookmarkStart w:id="250" w:name="_Toc482793706"/>
      <w:bookmarkStart w:id="251" w:name="_Toc511402220"/>
      <w:bookmarkStart w:id="252" w:name="_Toc511756657"/>
      <w:bookmarkStart w:id="253" w:name="_Toc520365485"/>
      <w:bookmarkStart w:id="254" w:name="_Toc9614776"/>
      <w:bookmarkStart w:id="255" w:name="_Toc42013531"/>
      <w:bookmarkStart w:id="256" w:name="_Toc42014532"/>
      <w:bookmarkStart w:id="257" w:name="_Toc74061564"/>
      <w:r w:rsidRPr="005269E6">
        <w:rPr>
          <w:rtl/>
        </w:rPr>
        <w:t>10.3</w:t>
      </w:r>
      <w:r w:rsidRPr="005269E6">
        <w:rPr>
          <w:rtl/>
        </w:rPr>
        <w:tab/>
      </w:r>
      <w:r w:rsidRPr="005269E6">
        <w:rPr>
          <w:u w:val="single"/>
          <w:rtl/>
        </w:rPr>
        <w:t>ال</w:t>
      </w:r>
      <w:r w:rsidRPr="005269E6">
        <w:rPr>
          <w:u w:val="single"/>
          <w:rtl/>
          <w:lang w:eastAsia="en-US"/>
        </w:rPr>
        <w:t>حساب الاحتياطي</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615802B" w14:textId="77777777" w:rsidR="00834B83" w:rsidRPr="005269E6" w:rsidRDefault="00834B83" w:rsidP="00834B83">
      <w:pPr>
        <w:rPr>
          <w:rtl/>
          <w:lang w:bidi="ar-EG"/>
        </w:rPr>
      </w:pPr>
      <w:r w:rsidRPr="005269E6">
        <w:rPr>
          <w:rtl/>
          <w:lang w:bidi="ar-EG"/>
        </w:rPr>
        <w:t xml:space="preserve">طبقاً للرقم </w:t>
      </w:r>
      <w:r w:rsidRPr="005269E6">
        <w:rPr>
          <w:lang w:bidi="ar-EG"/>
        </w:rPr>
        <w:t>485</w:t>
      </w:r>
      <w:r w:rsidRPr="005269E6">
        <w:rPr>
          <w:rtl/>
          <w:lang w:bidi="ar-SY"/>
        </w:rPr>
        <w:t xml:space="preserve"> من الاتفاقية والمادة </w:t>
      </w:r>
      <w:r w:rsidRPr="005269E6">
        <w:rPr>
          <w:lang w:bidi="ar-SY"/>
        </w:rPr>
        <w:t>27</w:t>
      </w:r>
      <w:r w:rsidRPr="005269E6">
        <w:rPr>
          <w:rtl/>
          <w:lang w:bidi="ar-SY"/>
        </w:rPr>
        <w:t xml:space="preserve"> من اللوائح المالية، يتم الحفاظ على مستوى الحساب الاحتياطي من الاعتمادات التي لم تصرف. </w:t>
      </w:r>
      <w:r w:rsidRPr="005269E6">
        <w:rPr>
          <w:rtl/>
          <w:lang w:bidi="ar-EG"/>
        </w:rPr>
        <w:t>ويرد تفصيل تطوره في بيان الاختلافات في صافي أصول الاتحاد. وهو يموَّل من العناصر التالية:</w:t>
      </w:r>
    </w:p>
    <w:p w14:paraId="21E2B4E9" w14:textId="77777777" w:rsidR="00834B83" w:rsidRPr="005269E6" w:rsidRDefault="00834B83" w:rsidP="00834B83">
      <w:pPr>
        <w:pStyle w:val="enumlev1"/>
        <w:rPr>
          <w:rtl/>
        </w:rPr>
      </w:pPr>
      <w:r w:rsidRPr="005269E6">
        <w:rPr>
          <w:rtl/>
        </w:rPr>
        <w:t xml:space="preserve"> </w:t>
      </w:r>
      <w:bookmarkStart w:id="258" w:name="_Toc520365486"/>
      <w:r w:rsidRPr="005269E6">
        <w:rPr>
          <w:rtl/>
        </w:rPr>
        <w:t>أ )</w:t>
      </w:r>
      <w:r w:rsidRPr="005269E6">
        <w:rPr>
          <w:rtl/>
        </w:rPr>
        <w:tab/>
        <w:t>صافي الرصيد الإيجابي أو السلبي من تنفيذ الميزانية العادية في كل سنة مالية؛</w:t>
      </w:r>
      <w:bookmarkEnd w:id="258"/>
    </w:p>
    <w:p w14:paraId="11430678" w14:textId="77777777" w:rsidR="00834B83" w:rsidRPr="005269E6" w:rsidRDefault="00834B83" w:rsidP="00834B83">
      <w:pPr>
        <w:pStyle w:val="enumlev1"/>
        <w:rPr>
          <w:rtl/>
        </w:rPr>
      </w:pPr>
      <w:bookmarkStart w:id="259" w:name="_Toc520365487"/>
      <w:r w:rsidRPr="005269E6">
        <w:rPr>
          <w:rtl/>
        </w:rPr>
        <w:t>ب)</w:t>
      </w:r>
      <w:r w:rsidRPr="005269E6">
        <w:rPr>
          <w:rtl/>
        </w:rPr>
        <w:tab/>
        <w:t>التحويلات من صناديق و/أو حسابات احتياطية أخرى، حسبما يقرر مجلس الاتحاد؛</w:t>
      </w:r>
      <w:bookmarkEnd w:id="259"/>
    </w:p>
    <w:p w14:paraId="535BE96F" w14:textId="77777777" w:rsidR="00834B83" w:rsidRPr="005269E6" w:rsidRDefault="00834B83" w:rsidP="00834B83">
      <w:pPr>
        <w:pStyle w:val="enumlev1"/>
      </w:pPr>
      <w:bookmarkStart w:id="260" w:name="_Toc520365488"/>
      <w:r w:rsidRPr="005269E6">
        <w:rPr>
          <w:rtl/>
        </w:rPr>
        <w:t>ج)</w:t>
      </w:r>
      <w:r w:rsidRPr="005269E6">
        <w:rPr>
          <w:rtl/>
        </w:rPr>
        <w:tab/>
        <w:t>المبالغ الأخرى في صندوق الاحتياطي التي تشترطها المعايير المحاسبية المشتركة لمؤسسات منظومة الأمم المتحدة.</w:t>
      </w:r>
      <w:bookmarkEnd w:id="260"/>
    </w:p>
    <w:p w14:paraId="081717E0" w14:textId="77777777" w:rsidR="00834B83" w:rsidRPr="005269E6" w:rsidRDefault="00834B83" w:rsidP="002F56EF">
      <w:pPr>
        <w:rPr>
          <w:spacing w:val="-2"/>
          <w:rtl/>
          <w:lang w:bidi="ar-SY"/>
        </w:rPr>
      </w:pPr>
      <w:r w:rsidRPr="005269E6">
        <w:rPr>
          <w:spacing w:val="-2"/>
          <w:rtl/>
          <w:lang w:bidi="ar-EG"/>
        </w:rPr>
        <w:t xml:space="preserve">وبصرف النظر عن أحكام الفقرة </w:t>
      </w:r>
      <w:r w:rsidRPr="005269E6">
        <w:rPr>
          <w:spacing w:val="-2"/>
          <w:lang w:bidi="ar-EG"/>
        </w:rPr>
        <w:t>4</w:t>
      </w:r>
      <w:r w:rsidRPr="005269E6">
        <w:rPr>
          <w:spacing w:val="-2"/>
          <w:rtl/>
          <w:lang w:bidi="ar-SY"/>
        </w:rPr>
        <w:t xml:space="preserve"> ب) من المادة </w:t>
      </w:r>
      <w:r w:rsidRPr="005269E6">
        <w:rPr>
          <w:spacing w:val="-2"/>
          <w:lang w:bidi="ar-SY"/>
        </w:rPr>
        <w:t>13</w:t>
      </w:r>
      <w:r w:rsidRPr="005269E6">
        <w:rPr>
          <w:spacing w:val="-2"/>
          <w:rtl/>
          <w:lang w:bidi="ar-SY"/>
        </w:rPr>
        <w:t xml:space="preserve"> من اللوائح المالية للاتحاد، ونظراً لضرورة الحفاظ على مستوى الاحتياطي عند حدٍ أدنى يحدده مؤتمر المندوبين المفوضين، يمكن للمجلس، بقرار خاص، أن يقضي بسحوبات من صندوق الاحتياطي </w:t>
      </w:r>
      <w:r w:rsidRPr="005269E6">
        <w:rPr>
          <w:i/>
          <w:iCs/>
          <w:spacing w:val="-2"/>
          <w:rtl/>
          <w:lang w:bidi="ar-SY"/>
        </w:rPr>
        <w:t>لأسباب</w:t>
      </w:r>
      <w:r w:rsidRPr="005269E6">
        <w:rPr>
          <w:i/>
          <w:iCs/>
          <w:rtl/>
          <w:lang w:bidi="ar-EG"/>
        </w:rPr>
        <w:t> </w:t>
      </w:r>
      <w:r w:rsidRPr="005269E6">
        <w:rPr>
          <w:spacing w:val="-2"/>
          <w:rtl/>
          <w:lang w:bidi="ar-SY"/>
        </w:rPr>
        <w:t>منها:</w:t>
      </w:r>
    </w:p>
    <w:p w14:paraId="78FBA9F7" w14:textId="77777777" w:rsidR="00834B83" w:rsidRPr="005269E6" w:rsidRDefault="00834B83" w:rsidP="00834B83">
      <w:pPr>
        <w:pStyle w:val="enumlev1"/>
        <w:rPr>
          <w:rtl/>
        </w:rPr>
      </w:pPr>
      <w:r w:rsidRPr="005269E6">
        <w:rPr>
          <w:rtl/>
        </w:rPr>
        <w:t xml:space="preserve"> </w:t>
      </w:r>
      <w:bookmarkStart w:id="261" w:name="_Toc520365494"/>
      <w:r w:rsidRPr="005269E6">
        <w:rPr>
          <w:rtl/>
        </w:rPr>
        <w:t>أ )</w:t>
      </w:r>
      <w:r w:rsidRPr="005269E6">
        <w:rPr>
          <w:rtl/>
        </w:rPr>
        <w:tab/>
        <w:t>تخفيض مبلغ وحدة المساهمة؛</w:t>
      </w:r>
      <w:bookmarkEnd w:id="261"/>
    </w:p>
    <w:p w14:paraId="69B44E68" w14:textId="77777777" w:rsidR="00834B83" w:rsidRPr="005269E6" w:rsidRDefault="00834B83" w:rsidP="00834B83">
      <w:pPr>
        <w:pStyle w:val="enumlev1"/>
        <w:rPr>
          <w:rtl/>
        </w:rPr>
      </w:pPr>
      <w:bookmarkStart w:id="262" w:name="_Toc520365495"/>
      <w:r w:rsidRPr="005269E6">
        <w:rPr>
          <w:rtl/>
        </w:rPr>
        <w:lastRenderedPageBreak/>
        <w:t>ب)</w:t>
      </w:r>
      <w:r w:rsidRPr="005269E6">
        <w:rPr>
          <w:rtl/>
        </w:rPr>
        <w:tab/>
        <w:t>أو موازنة ميزانية الاتحاد؛</w:t>
      </w:r>
      <w:bookmarkEnd w:id="262"/>
    </w:p>
    <w:p w14:paraId="4530D85A" w14:textId="77777777" w:rsidR="00834B83" w:rsidRPr="005269E6" w:rsidRDefault="00834B83" w:rsidP="00834B83">
      <w:pPr>
        <w:pStyle w:val="enumlev1"/>
        <w:rPr>
          <w:rtl/>
        </w:rPr>
      </w:pPr>
      <w:bookmarkStart w:id="263" w:name="_Toc520365496"/>
      <w:r w:rsidRPr="005269E6">
        <w:rPr>
          <w:rtl/>
        </w:rPr>
        <w:t>ج)</w:t>
      </w:r>
      <w:r w:rsidRPr="005269E6">
        <w:rPr>
          <w:rtl/>
        </w:rPr>
        <w:tab/>
        <w:t>أو إجراء تحويلات من صناديق و/أو حسابات احتياطية أخرى؛</w:t>
      </w:r>
      <w:bookmarkEnd w:id="263"/>
    </w:p>
    <w:p w14:paraId="7DE8D619" w14:textId="77777777" w:rsidR="00834B83" w:rsidRPr="005269E6" w:rsidRDefault="00834B83" w:rsidP="00834B83">
      <w:pPr>
        <w:pStyle w:val="enumlev1"/>
        <w:rPr>
          <w:rtl/>
        </w:rPr>
      </w:pPr>
      <w:bookmarkStart w:id="264" w:name="_Toc520365497"/>
      <w:r w:rsidRPr="005269E6">
        <w:rPr>
          <w:rtl/>
        </w:rPr>
        <w:t>د )</w:t>
      </w:r>
      <w:r w:rsidRPr="005269E6">
        <w:rPr>
          <w:rtl/>
        </w:rPr>
        <w:tab/>
        <w:t>أو تحميل صندوق الاحتياطي أي مبلغ تقضي به المعايير المحاسبية المشتركة لمؤسسات منظومة الأمم المتحدة.</w:t>
      </w:r>
      <w:bookmarkEnd w:id="264"/>
    </w:p>
    <w:p w14:paraId="686A8261" w14:textId="77777777" w:rsidR="00834B83" w:rsidRPr="005269E6" w:rsidRDefault="00834B83" w:rsidP="00834B83">
      <w:pPr>
        <w:pStyle w:val="Heading2"/>
        <w:rPr>
          <w:rtl/>
          <w:lang w:eastAsia="en-US"/>
        </w:rPr>
      </w:pPr>
      <w:bookmarkStart w:id="265" w:name="_Toc387338342"/>
      <w:bookmarkStart w:id="266" w:name="_Toc419484067"/>
      <w:bookmarkStart w:id="267" w:name="_Toc452156619"/>
      <w:bookmarkStart w:id="268" w:name="_Toc482793707"/>
      <w:bookmarkStart w:id="269" w:name="_Toc511402221"/>
      <w:bookmarkStart w:id="270" w:name="_Toc511756658"/>
      <w:bookmarkStart w:id="271" w:name="_Toc520365498"/>
      <w:bookmarkStart w:id="272" w:name="_Toc9614777"/>
      <w:bookmarkStart w:id="273" w:name="_Toc42013532"/>
      <w:bookmarkStart w:id="274" w:name="_Toc42014533"/>
      <w:bookmarkStart w:id="275" w:name="_Toc74061565"/>
      <w:r w:rsidRPr="005269E6">
        <w:rPr>
          <w:rtl/>
        </w:rPr>
        <w:t>11.3</w:t>
      </w:r>
      <w:r w:rsidRPr="005269E6">
        <w:rPr>
          <w:rtl/>
        </w:rPr>
        <w:tab/>
      </w:r>
      <w:bookmarkStart w:id="276" w:name="_Hlk160791134"/>
      <w:r w:rsidRPr="005269E6">
        <w:rPr>
          <w:rtl/>
        </w:rPr>
        <w:t>ال</w:t>
      </w:r>
      <w:r w:rsidRPr="005269E6">
        <w:rPr>
          <w:rtl/>
          <w:lang w:eastAsia="en-US"/>
        </w:rPr>
        <w:t xml:space="preserve">حسابات الاحتياطية </w:t>
      </w:r>
      <w:bookmarkEnd w:id="276"/>
      <w:r w:rsidRPr="005269E6">
        <w:rPr>
          <w:rtl/>
          <w:lang w:eastAsia="en-US"/>
        </w:rPr>
        <w:t>الأخرى</w:t>
      </w:r>
      <w:bookmarkEnd w:id="265"/>
      <w:bookmarkEnd w:id="266"/>
      <w:bookmarkEnd w:id="267"/>
      <w:bookmarkEnd w:id="268"/>
      <w:bookmarkEnd w:id="269"/>
      <w:bookmarkEnd w:id="270"/>
      <w:bookmarkEnd w:id="271"/>
      <w:bookmarkEnd w:id="272"/>
      <w:bookmarkEnd w:id="273"/>
      <w:bookmarkEnd w:id="274"/>
      <w:bookmarkEnd w:id="275"/>
    </w:p>
    <w:p w14:paraId="5918A279" w14:textId="77777777" w:rsidR="00834B83" w:rsidRPr="005269E6" w:rsidRDefault="00834B83" w:rsidP="00834B83">
      <w:pPr>
        <w:rPr>
          <w:rtl/>
          <w:lang w:bidi="ar-SY"/>
        </w:rPr>
      </w:pPr>
      <w:r w:rsidRPr="005269E6">
        <w:rPr>
          <w:rtl/>
          <w:lang w:bidi="ar-SY"/>
        </w:rPr>
        <w:t>تشمل الحسابات الاحتياطية الأخرى:</w:t>
      </w:r>
    </w:p>
    <w:p w14:paraId="211DD0A1" w14:textId="77777777" w:rsidR="00834B83" w:rsidRPr="005269E6" w:rsidRDefault="00834B83" w:rsidP="00834B83">
      <w:pPr>
        <w:pStyle w:val="enumlev1"/>
        <w:rPr>
          <w:rtl/>
        </w:rPr>
      </w:pPr>
      <w:r w:rsidRPr="005269E6">
        <w:rPr>
          <w:rtl/>
        </w:rPr>
        <w:t>-</w:t>
      </w:r>
      <w:r w:rsidRPr="005269E6">
        <w:rPr>
          <w:rtl/>
        </w:rPr>
        <w:tab/>
        <w:t>الوفورات من العام السابق؛</w:t>
      </w:r>
    </w:p>
    <w:p w14:paraId="0FD96DB5" w14:textId="77777777" w:rsidR="00834B83" w:rsidRPr="005269E6" w:rsidRDefault="00834B83" w:rsidP="00834B83">
      <w:pPr>
        <w:pStyle w:val="enumlev1"/>
        <w:rPr>
          <w:rtl/>
        </w:rPr>
      </w:pPr>
      <w:r w:rsidRPr="005269E6">
        <w:rPr>
          <w:rtl/>
        </w:rPr>
        <w:t>-</w:t>
      </w:r>
      <w:r w:rsidRPr="005269E6">
        <w:rPr>
          <w:rtl/>
        </w:rPr>
        <w:tab/>
        <w:t>صندوق الاستثمار الذي يضم صندوق صيانة المباني وصندوق تكنولوجيا المعلومات والاتصالات؛</w:t>
      </w:r>
    </w:p>
    <w:p w14:paraId="23527B98" w14:textId="77777777" w:rsidR="00834B83" w:rsidRPr="005269E6" w:rsidRDefault="00834B83" w:rsidP="00834B83">
      <w:pPr>
        <w:pStyle w:val="enumlev1"/>
        <w:rPr>
          <w:rtl/>
        </w:rPr>
      </w:pPr>
      <w:r w:rsidRPr="005269E6">
        <w:rPr>
          <w:rtl/>
        </w:rPr>
        <w:t>-</w:t>
      </w:r>
      <w:r w:rsidRPr="005269E6">
        <w:rPr>
          <w:rtl/>
        </w:rPr>
        <w:tab/>
        <w:t>صندوق المبنى الجديد؛</w:t>
      </w:r>
    </w:p>
    <w:p w14:paraId="2E5C2A98" w14:textId="77777777" w:rsidR="00834B83" w:rsidRPr="005269E6" w:rsidRDefault="00834B83" w:rsidP="00834B83">
      <w:pPr>
        <w:rPr>
          <w:spacing w:val="-2"/>
          <w:rtl/>
          <w:lang w:val="fr-CH"/>
        </w:rPr>
      </w:pPr>
      <w:r w:rsidRPr="005269E6">
        <w:rPr>
          <w:spacing w:val="-2"/>
          <w:rtl/>
          <w:lang w:val="fr-CH"/>
        </w:rPr>
        <w:t xml:space="preserve">وقد قرر المجلس في دورته لعام </w:t>
      </w:r>
      <w:r w:rsidRPr="005269E6">
        <w:rPr>
          <w:spacing w:val="-2"/>
          <w:lang w:bidi="ar-EG"/>
        </w:rPr>
        <w:t>2016</w:t>
      </w:r>
      <w:r w:rsidRPr="005269E6">
        <w:rPr>
          <w:spacing w:val="-2"/>
          <w:rtl/>
          <w:lang w:val="fr-CH"/>
        </w:rPr>
        <w:t xml:space="preserve">، من خلال </w:t>
      </w:r>
      <w:hyperlink r:id="rId25" w:history="1">
        <w:r w:rsidRPr="005269E6">
          <w:rPr>
            <w:color w:val="0000FF"/>
            <w:spacing w:val="-2"/>
            <w:u w:val="single"/>
            <w:rtl/>
            <w:lang w:val="fr-CH"/>
          </w:rPr>
          <w:t xml:space="preserve">المقرر </w:t>
        </w:r>
        <w:r w:rsidRPr="005269E6">
          <w:rPr>
            <w:color w:val="0000FF"/>
            <w:spacing w:val="-2"/>
            <w:u w:val="single"/>
            <w:lang w:bidi="ar-EG"/>
          </w:rPr>
          <w:t>588</w:t>
        </w:r>
      </w:hyperlink>
      <w:r w:rsidRPr="005269E6">
        <w:rPr>
          <w:spacing w:val="-2"/>
          <w:rtl/>
          <w:lang w:val="fr-CH"/>
        </w:rPr>
        <w:t xml:space="preserve">، الاستعاضة عن مبنى فارامبيه بمبنى جديد (يدعى فيما بعد "المبنى الجديد" في هذه الوثيقة) من شأنه أن يشمل أيضاً مكاتب ومرافق مبنى البرج وأن يكمّل مبنى مونبريان الذي سيتم الاحتفاظ به وتجديده. </w:t>
      </w:r>
      <w:r w:rsidRPr="005269E6">
        <w:rPr>
          <w:rtl/>
          <w:lang w:bidi="ar-EG"/>
        </w:rPr>
        <w:t xml:space="preserve">ومُنح قرض دون فوائد بمبلغ يصل إلى </w:t>
      </w:r>
      <w:r w:rsidRPr="005269E6">
        <w:rPr>
          <w:lang w:bidi="ar-EG"/>
        </w:rPr>
        <w:t>150</w:t>
      </w:r>
      <w:r w:rsidRPr="005269E6">
        <w:rPr>
          <w:rtl/>
          <w:lang w:bidi="ar-EG"/>
        </w:rPr>
        <w:t xml:space="preserve"> مليون فرنك سويسري من جانب الاتحاد السويسري لتمويل هذا المشروع.</w:t>
      </w:r>
    </w:p>
    <w:p w14:paraId="20DAE1C9" w14:textId="77777777" w:rsidR="00834B83" w:rsidRPr="005269E6" w:rsidRDefault="00834B83" w:rsidP="00834B83">
      <w:pPr>
        <w:pStyle w:val="enumlev1"/>
        <w:rPr>
          <w:rtl/>
        </w:rPr>
      </w:pPr>
      <w:r w:rsidRPr="005269E6">
        <w:rPr>
          <w:rtl/>
        </w:rPr>
        <w:t>-</w:t>
      </w:r>
      <w:r w:rsidRPr="005269E6">
        <w:rPr>
          <w:rtl/>
        </w:rPr>
        <w:tab/>
        <w:t>الحساب الاحتياطي للمبنى الجديد؛</w:t>
      </w:r>
    </w:p>
    <w:p w14:paraId="0814AA53" w14:textId="77777777" w:rsidR="00834B83" w:rsidRPr="005269E6" w:rsidRDefault="00834B83" w:rsidP="00834B83">
      <w:pPr>
        <w:rPr>
          <w:rtl/>
        </w:rPr>
      </w:pPr>
      <w:r w:rsidRPr="005269E6">
        <w:rPr>
          <w:rtl/>
        </w:rPr>
        <w:t xml:space="preserve">أنشئ هذا الحساب الاحتياطي لتكملة الميزانية الممولة من خلال القرض الممنوح من البلد المضيف. وتمثل هذه الميزانية الإضافية </w:t>
      </w:r>
      <w:r w:rsidRPr="005269E6">
        <w:t>20,14</w:t>
      </w:r>
      <w:r w:rsidRPr="005269E6">
        <w:rPr>
          <w:rtl/>
        </w:rPr>
        <w:t xml:space="preserve"> مليون فرنك سويسري قادمة من الجهات الراعية والتبرعات ومن الوفورات المخصصة لفائض عام 2018.</w:t>
      </w:r>
      <w:r w:rsidRPr="005269E6">
        <w:rPr>
          <w:rtl/>
          <w:lang w:bidi="ar-EG"/>
        </w:rPr>
        <w:t xml:space="preserve"> </w:t>
      </w:r>
      <w:r w:rsidRPr="005269E6">
        <w:rPr>
          <w:rtl/>
        </w:rPr>
        <w:t>وراجعت المشاورة الافتراضية لأعضاء المجلس </w:t>
      </w:r>
      <w:r w:rsidRPr="005269E6">
        <w:t>(VCC)</w:t>
      </w:r>
      <w:r w:rsidRPr="005269E6">
        <w:rPr>
          <w:rtl/>
        </w:rPr>
        <w:t xml:space="preserve"> في عام 2021 فقرة </w:t>
      </w:r>
      <w:r w:rsidRPr="005269E6">
        <w:rPr>
          <w:i/>
          <w:iCs/>
          <w:rtl/>
        </w:rPr>
        <w:t>يقرر</w:t>
      </w:r>
      <w:r w:rsidRPr="005269E6">
        <w:rPr>
          <w:rtl/>
        </w:rPr>
        <w:t xml:space="preserve"> </w:t>
      </w:r>
      <w:r w:rsidRPr="005269E6">
        <w:rPr>
          <w:i/>
          <w:iCs/>
          <w:rtl/>
        </w:rPr>
        <w:t>4</w:t>
      </w:r>
      <w:r w:rsidRPr="005269E6">
        <w:rPr>
          <w:rtl/>
        </w:rPr>
        <w:t xml:space="preserve"> من المقرر 619 للسماح بتلقي مبالغ الرعاية أو المِنَح المستقبلية بموجب شروط محددة مسبقاً.</w:t>
      </w:r>
    </w:p>
    <w:p w14:paraId="1BD6DE83" w14:textId="77777777" w:rsidR="00834B83" w:rsidRPr="005269E6" w:rsidRDefault="00834B83" w:rsidP="00834B83">
      <w:pPr>
        <w:pStyle w:val="enumlev1"/>
        <w:rPr>
          <w:rtl/>
        </w:rPr>
      </w:pPr>
      <w:r w:rsidRPr="005269E6">
        <w:rPr>
          <w:rtl/>
        </w:rPr>
        <w:t>-</w:t>
      </w:r>
      <w:r w:rsidRPr="005269E6">
        <w:rPr>
          <w:rtl/>
        </w:rPr>
        <w:tab/>
        <w:t>صندوق سجل المخاطر؛</w:t>
      </w:r>
    </w:p>
    <w:p w14:paraId="1D230F73" w14:textId="77777777" w:rsidR="00834B83" w:rsidRPr="005269E6" w:rsidRDefault="00834B83" w:rsidP="00834B83">
      <w:pPr>
        <w:rPr>
          <w:rtl/>
          <w:lang w:bidi="ar-SY"/>
        </w:rPr>
      </w:pPr>
      <w:r w:rsidRPr="005269E6">
        <w:rPr>
          <w:rtl/>
        </w:rPr>
        <w:t xml:space="preserve">أنشئ </w:t>
      </w:r>
      <w:r w:rsidRPr="005269E6">
        <w:rPr>
          <w:rtl/>
          <w:lang w:bidi="ar-SY"/>
        </w:rPr>
        <w:t>صندوق سجل المخاطر تحسباً لتجاوزات التكاليف غير المتوقعة.</w:t>
      </w:r>
      <w:r w:rsidRPr="005269E6">
        <w:rPr>
          <w:rtl/>
        </w:rPr>
        <w:t xml:space="preserve"> وفي 31 ديسمبر 2022، بلغ صندوق سجل المخاطر </w:t>
      </w:r>
      <w:r w:rsidRPr="005269E6">
        <w:t>3,43</w:t>
      </w:r>
      <w:r w:rsidRPr="005269E6">
        <w:rPr>
          <w:rtl/>
        </w:rPr>
        <w:t> ملايين فرنك سويسري.</w:t>
      </w:r>
    </w:p>
    <w:p w14:paraId="651469AB" w14:textId="77777777" w:rsidR="00834B83" w:rsidRPr="005269E6" w:rsidRDefault="00834B83" w:rsidP="00834B83">
      <w:pPr>
        <w:pStyle w:val="enumlev1"/>
        <w:rPr>
          <w:rtl/>
        </w:rPr>
      </w:pPr>
      <w:r w:rsidRPr="005269E6">
        <w:rPr>
          <w:rtl/>
        </w:rPr>
        <w:t>-</w:t>
      </w:r>
      <w:r w:rsidRPr="005269E6">
        <w:rPr>
          <w:rtl/>
        </w:rPr>
        <w:tab/>
        <w:t>صندوق الرعاية الاجتماعية؛</w:t>
      </w:r>
    </w:p>
    <w:p w14:paraId="5B26BC7B" w14:textId="77777777" w:rsidR="00834B83" w:rsidRPr="005269E6" w:rsidRDefault="00834B83" w:rsidP="00834B83">
      <w:pPr>
        <w:pStyle w:val="enumlev1"/>
        <w:rPr>
          <w:rtl/>
        </w:rPr>
      </w:pPr>
      <w:r w:rsidRPr="005269E6">
        <w:rPr>
          <w:rtl/>
        </w:rPr>
        <w:t>-</w:t>
      </w:r>
      <w:r w:rsidRPr="005269E6">
        <w:rPr>
          <w:rtl/>
        </w:rPr>
        <w:tab/>
        <w:t>صندوق جائزة العيد المئوي للاتحاد؛</w:t>
      </w:r>
    </w:p>
    <w:p w14:paraId="7819A215" w14:textId="77777777" w:rsidR="00834B83" w:rsidRPr="005269E6" w:rsidRDefault="00834B83" w:rsidP="00834B83">
      <w:pPr>
        <w:pStyle w:val="enumlev1"/>
        <w:rPr>
          <w:rtl/>
        </w:rPr>
      </w:pPr>
      <w:r w:rsidRPr="005269E6">
        <w:rPr>
          <w:rtl/>
        </w:rPr>
        <w:t>-</w:t>
      </w:r>
      <w:r w:rsidRPr="005269E6">
        <w:rPr>
          <w:rtl/>
        </w:rPr>
        <w:tab/>
        <w:t>صندوق التأمينات لموظفي الاتحاد الذي</w:t>
      </w:r>
      <w:r w:rsidRPr="005269E6">
        <w:rPr>
          <w:rtl/>
          <w:lang w:bidi="ar-SA"/>
        </w:rPr>
        <w:t xml:space="preserve"> يضم</w:t>
      </w:r>
      <w:r w:rsidRPr="005269E6">
        <w:rPr>
          <w:rtl/>
        </w:rPr>
        <w:t xml:space="preserve"> صندوقي الادخار والمساعدة؛</w:t>
      </w:r>
    </w:p>
    <w:p w14:paraId="0A6BF2F2" w14:textId="77777777" w:rsidR="00834B83" w:rsidRPr="005269E6" w:rsidRDefault="00834B83" w:rsidP="00834B83">
      <w:pPr>
        <w:rPr>
          <w:rtl/>
          <w:lang w:bidi="ar-SY"/>
        </w:rPr>
      </w:pPr>
      <w:r w:rsidRPr="005269E6">
        <w:rPr>
          <w:rtl/>
          <w:lang w:bidi="ar-SY"/>
        </w:rPr>
        <w:t xml:space="preserve">وهذه الصناديق هي مجموعة الصناديق التي تضمن المعاشات التقاعدية للموظفين العاملين قبل </w:t>
      </w:r>
      <w:r w:rsidRPr="005269E6">
        <w:rPr>
          <w:lang w:bidi="ar-SY"/>
        </w:rPr>
        <w:t>1</w:t>
      </w:r>
      <w:r w:rsidRPr="005269E6">
        <w:rPr>
          <w:rtl/>
          <w:lang w:bidi="ar-SY"/>
        </w:rPr>
        <w:t xml:space="preserve"> يناير </w:t>
      </w:r>
      <w:r w:rsidRPr="005269E6">
        <w:rPr>
          <w:lang w:bidi="ar-SY"/>
        </w:rPr>
        <w:t>1960</w:t>
      </w:r>
      <w:r w:rsidRPr="005269E6">
        <w:rPr>
          <w:rtl/>
          <w:lang w:bidi="ar-SY"/>
        </w:rPr>
        <w:t>، وهو تاريخ انضمام الاتحاد إلى صندوق المعاشات المشترك لموظفي الأمم المتحدة. وفي 2022، غطى الصندوق الاحتياطي والتكميلي 13 معاشاً تقاعدياً و12 معاشاً لأرامل أو أيتام؛ بينما يعمل صندوق المساعدة على مساعدة الموظفين والمتقاعدين الذين يعانون من أوضاع مالية متعسرة. وكان آخر حساب للالتزامات التي يتعين توفيرها للمستفيدين من صندوق التأمينات قد جرى في </w:t>
      </w:r>
      <w:r w:rsidRPr="005269E6">
        <w:rPr>
          <w:lang w:bidi="ar-SY"/>
        </w:rPr>
        <w:t>31</w:t>
      </w:r>
      <w:r w:rsidRPr="005269E6">
        <w:rPr>
          <w:rtl/>
          <w:lang w:bidi="ar-SY"/>
        </w:rPr>
        <w:t xml:space="preserve"> ديسمبر</w:t>
      </w:r>
      <w:r w:rsidRPr="005269E6">
        <w:rPr>
          <w:rtl/>
          <w:lang w:bidi="ar-EG"/>
        </w:rPr>
        <w:t> </w:t>
      </w:r>
      <w:r w:rsidRPr="005269E6">
        <w:rPr>
          <w:lang w:bidi="ar-SY"/>
        </w:rPr>
        <w:t>2011</w:t>
      </w:r>
      <w:r w:rsidRPr="005269E6">
        <w:rPr>
          <w:rtl/>
          <w:lang w:bidi="ar-SY"/>
        </w:rPr>
        <w:t>.</w:t>
      </w:r>
    </w:p>
    <w:p w14:paraId="6A53F65E" w14:textId="77777777" w:rsidR="00834B83" w:rsidRPr="005269E6" w:rsidRDefault="00834B83" w:rsidP="00834B83">
      <w:pPr>
        <w:rPr>
          <w:rtl/>
          <w:lang w:bidi="ar-SY"/>
        </w:rPr>
      </w:pPr>
      <w:r w:rsidRPr="005269E6">
        <w:rPr>
          <w:rtl/>
          <w:lang w:bidi="ar-SY"/>
        </w:rPr>
        <w:t xml:space="preserve">وعملاً بأحكام القرار </w:t>
      </w:r>
      <w:r w:rsidRPr="005269E6">
        <w:rPr>
          <w:lang w:bidi="ar-SY"/>
        </w:rPr>
        <w:t>7</w:t>
      </w:r>
      <w:r w:rsidRPr="005269E6">
        <w:rPr>
          <w:rtl/>
          <w:lang w:bidi="ar-SY"/>
        </w:rPr>
        <w:t xml:space="preserve"> (جنيف، </w:t>
      </w:r>
      <w:r w:rsidRPr="005269E6">
        <w:rPr>
          <w:lang w:bidi="ar-SY"/>
        </w:rPr>
        <w:t>1959</w:t>
      </w:r>
      <w:r w:rsidRPr="005269E6">
        <w:rPr>
          <w:rtl/>
          <w:lang w:bidi="ar-SY"/>
        </w:rPr>
        <w:t xml:space="preserve">)، ينضم موظفو الاتحاد اعتباراً من </w:t>
      </w:r>
      <w:r w:rsidRPr="005269E6">
        <w:rPr>
          <w:lang w:bidi="ar-SY"/>
        </w:rPr>
        <w:t>1</w:t>
      </w:r>
      <w:r w:rsidRPr="005269E6">
        <w:rPr>
          <w:rtl/>
          <w:lang w:bidi="ar-SY"/>
        </w:rPr>
        <w:t xml:space="preserve"> يناير </w:t>
      </w:r>
      <w:r w:rsidRPr="005269E6">
        <w:rPr>
          <w:lang w:bidi="ar-SY"/>
        </w:rPr>
        <w:t>1960</w:t>
      </w:r>
      <w:r w:rsidRPr="005269E6">
        <w:rPr>
          <w:rtl/>
          <w:lang w:bidi="ar-SY"/>
        </w:rPr>
        <w:t xml:space="preserve"> إلى الصندوق المشترك للمعاشات التقاعدية لموظفي الأمم المتحدة. ووفقاً للمادة </w:t>
      </w:r>
      <w:r w:rsidRPr="005269E6">
        <w:rPr>
          <w:lang w:bidi="ar-SY"/>
        </w:rPr>
        <w:t>86</w:t>
      </w:r>
      <w:r w:rsidRPr="005269E6">
        <w:rPr>
          <w:rtl/>
          <w:lang w:bidi="ar-SY"/>
        </w:rPr>
        <w:t xml:space="preserve"> من النظام الأساسي لصندوق التأمينات لموظفي الاتحاد، فإن الاتحاد هو</w:t>
      </w:r>
      <w:r w:rsidRPr="005269E6">
        <w:rPr>
          <w:rtl/>
          <w:lang w:bidi="ar-EG"/>
        </w:rPr>
        <w:t> </w:t>
      </w:r>
      <w:r w:rsidRPr="005269E6">
        <w:rPr>
          <w:rtl/>
          <w:lang w:bidi="ar-SY"/>
        </w:rPr>
        <w:t>الذي يقوم بإدارته. ويتعين استثمار موجودات صندوق التأمينات في سندات مالية مأمونة العائد.</w:t>
      </w:r>
    </w:p>
    <w:p w14:paraId="321F66CA" w14:textId="77777777" w:rsidR="00834B83" w:rsidRPr="005269E6" w:rsidRDefault="00834B83" w:rsidP="00834B83">
      <w:pPr>
        <w:rPr>
          <w:rtl/>
          <w:lang w:bidi="ar-EG"/>
        </w:rPr>
      </w:pPr>
      <w:r w:rsidRPr="005269E6">
        <w:rPr>
          <w:rtl/>
          <w:lang w:bidi="ar-SY"/>
        </w:rPr>
        <w:t xml:space="preserve">وشملت الصناديق الأخرى كذلك منذ عام </w:t>
      </w:r>
      <w:r w:rsidRPr="005269E6">
        <w:rPr>
          <w:lang w:bidi="ar-SY"/>
        </w:rPr>
        <w:t>2013</w:t>
      </w:r>
      <w:r w:rsidRPr="005269E6">
        <w:rPr>
          <w:rtl/>
          <w:lang w:bidi="ar-SY"/>
        </w:rPr>
        <w:t>، صندوقاً خصص للتمويل طويل الأجل للبنود غير الممولة من التأمين </w:t>
      </w:r>
      <w:r w:rsidRPr="005269E6">
        <w:rPr>
          <w:lang w:bidi="ar-SY"/>
        </w:rPr>
        <w:t>ASHI</w:t>
      </w:r>
      <w:r w:rsidRPr="005269E6">
        <w:rPr>
          <w:rtl/>
          <w:lang w:bidi="ar-SY"/>
        </w:rPr>
        <w:t xml:space="preserve"> وصندوق التأمين الصحي الجديد الذي يؤمن التمويل المضموم لنظام التأمين الصحي الجديد للاتحاد منذ </w:t>
      </w:r>
      <w:r w:rsidRPr="005269E6">
        <w:rPr>
          <w:lang w:bidi="ar-SY"/>
        </w:rPr>
        <w:t>2014</w:t>
      </w:r>
      <w:r w:rsidRPr="005269E6">
        <w:rPr>
          <w:rtl/>
          <w:lang w:bidi="ar-SY"/>
        </w:rPr>
        <w:t>.</w:t>
      </w:r>
    </w:p>
    <w:p w14:paraId="79B729C6" w14:textId="77777777" w:rsidR="00834B83" w:rsidRPr="005269E6" w:rsidRDefault="00834B83" w:rsidP="00834B83">
      <w:pPr>
        <w:pStyle w:val="Heading2"/>
        <w:rPr>
          <w:rtl/>
          <w:lang w:eastAsia="en-US"/>
        </w:rPr>
      </w:pPr>
      <w:r w:rsidRPr="005269E6">
        <w:rPr>
          <w:rtl/>
        </w:rPr>
        <w:t>12.3</w:t>
      </w:r>
      <w:r w:rsidRPr="005269E6">
        <w:rPr>
          <w:rtl/>
        </w:rPr>
        <w:tab/>
      </w:r>
      <w:r w:rsidRPr="005269E6">
        <w:rPr>
          <w:rtl/>
          <w:lang w:eastAsia="en-US" w:bidi="ar-SY"/>
        </w:rPr>
        <w:t>الحسابات الاحتياطية</w:t>
      </w:r>
      <w:r w:rsidRPr="005269E6">
        <w:rPr>
          <w:rFonts w:eastAsia="Times New Roman"/>
          <w:szCs w:val="20"/>
          <w:rtl/>
          <w:lang w:val="en-GB" w:eastAsia="en-US"/>
        </w:rPr>
        <w:t xml:space="preserve"> </w:t>
      </w:r>
      <w:r w:rsidRPr="005269E6">
        <w:rPr>
          <w:rtl/>
          <w:lang w:eastAsia="en-US"/>
        </w:rPr>
        <w:t>من خارج الميزانية</w:t>
      </w:r>
    </w:p>
    <w:p w14:paraId="02CA7B55" w14:textId="77777777" w:rsidR="00834B83" w:rsidRPr="005269E6" w:rsidRDefault="00834B83" w:rsidP="00834B83">
      <w:pPr>
        <w:pStyle w:val="enumlev1"/>
        <w:rPr>
          <w:rtl/>
        </w:rPr>
      </w:pPr>
      <w:r w:rsidRPr="005269E6">
        <w:rPr>
          <w:rtl/>
        </w:rPr>
        <w:t>-</w:t>
      </w:r>
      <w:r w:rsidRPr="005269E6">
        <w:rPr>
          <w:rtl/>
        </w:rPr>
        <w:tab/>
      </w:r>
      <w:bookmarkStart w:id="277" w:name="_Hlk160801064"/>
      <w:r w:rsidRPr="005269E6">
        <w:rPr>
          <w:rtl/>
        </w:rPr>
        <w:t xml:space="preserve">الحسابات الاحتياطية </w:t>
      </w:r>
      <w:bookmarkEnd w:id="277"/>
      <w:r w:rsidRPr="005269E6">
        <w:rPr>
          <w:rtl/>
        </w:rPr>
        <w:t>المخصصة من خارج الميزانية؛</w:t>
      </w:r>
    </w:p>
    <w:p w14:paraId="2CEA1CA9" w14:textId="77777777" w:rsidR="00834B83" w:rsidRPr="005269E6" w:rsidRDefault="00834B83" w:rsidP="00834B83">
      <w:pPr>
        <w:rPr>
          <w:rtl/>
          <w:lang w:bidi="ar-EG"/>
        </w:rPr>
      </w:pPr>
      <w:r w:rsidRPr="005269E6">
        <w:rPr>
          <w:rtl/>
          <w:lang w:bidi="ar-SY"/>
        </w:rPr>
        <w:t>أنشأ الاتحاد حساباً احتياطياً لاستلام أي أرصدة من المشاريع الداخلية الجارية. وتمثل التحركات في هذا الحساب الاحتياطي النفقات المتصلة بتنفيذ المشاريع وكذلك تخصيص الأموال الداخلية من الميزانية العادية أو من صندوق تنمية تكنولوجيا المعلومات والاتصالات.</w:t>
      </w:r>
    </w:p>
    <w:p w14:paraId="2C5A3C64" w14:textId="77777777" w:rsidR="00834B83" w:rsidRPr="005269E6" w:rsidRDefault="00834B83" w:rsidP="00834B83">
      <w:pPr>
        <w:pStyle w:val="enumlev1"/>
        <w:rPr>
          <w:rtl/>
        </w:rPr>
      </w:pPr>
      <w:r w:rsidRPr="005269E6">
        <w:rPr>
          <w:rtl/>
        </w:rPr>
        <w:t>-</w:t>
      </w:r>
      <w:r w:rsidRPr="005269E6">
        <w:rPr>
          <w:rtl/>
        </w:rPr>
        <w:tab/>
        <w:t>الحسابات الاحتياطية غير المخصصة من خارج الميزانية؛</w:t>
      </w:r>
    </w:p>
    <w:p w14:paraId="1CCB8D44" w14:textId="77777777" w:rsidR="00834B83" w:rsidRPr="005269E6" w:rsidRDefault="00834B83" w:rsidP="00834B83">
      <w:pPr>
        <w:rPr>
          <w:rtl/>
          <w:lang w:bidi="ar-EG"/>
        </w:rPr>
      </w:pPr>
      <w:r w:rsidRPr="005269E6">
        <w:rPr>
          <w:rtl/>
        </w:rPr>
        <w:lastRenderedPageBreak/>
        <w:t xml:space="preserve">أنشأ الاتحاد حساباً احتياطياً لاستلام أي أرصدة متبقية من المشاريع الداخلية المقفلة. وسيستخدم هذا الحساب الاحتياطي لتمويل </w:t>
      </w:r>
      <w:r w:rsidRPr="005269E6">
        <w:rPr>
          <w:rtl/>
          <w:lang w:bidi="ar-EG"/>
        </w:rPr>
        <w:t>المشاريع أو المبادرات الإقليمية الجديدة وأن يسد كذلك العجز في بعض</w:t>
      </w:r>
      <w:r w:rsidRPr="005269E6">
        <w:rPr>
          <w:rtl/>
          <w:lang w:bidi="ar-SY"/>
        </w:rPr>
        <w:t> </w:t>
      </w:r>
      <w:r w:rsidRPr="005269E6">
        <w:rPr>
          <w:rtl/>
          <w:lang w:bidi="ar-EG"/>
        </w:rPr>
        <w:t>المشاريع.</w:t>
      </w:r>
      <w:r w:rsidRPr="005269E6">
        <w:rPr>
          <w:rtl/>
          <w:lang w:bidi="ar-SY"/>
        </w:rPr>
        <w:t xml:space="preserve"> ويتعلق هذا</w:t>
      </w:r>
      <w:r w:rsidRPr="005269E6">
        <w:rPr>
          <w:rtl/>
        </w:rPr>
        <w:t xml:space="preserve"> </w:t>
      </w:r>
      <w:r w:rsidRPr="005269E6">
        <w:rPr>
          <w:rtl/>
          <w:lang w:bidi="ar-SY"/>
        </w:rPr>
        <w:t>الحساب الاحتياطي أساساً بصندوق تنمية تكنولوجيا المعلومات والاتصالات.</w:t>
      </w:r>
    </w:p>
    <w:p w14:paraId="47F72160" w14:textId="77777777" w:rsidR="00834B83" w:rsidRPr="005269E6" w:rsidRDefault="00834B83" w:rsidP="00834B83">
      <w:pPr>
        <w:pStyle w:val="Headingb"/>
        <w:rPr>
          <w:rtl/>
        </w:rPr>
      </w:pPr>
      <w:r w:rsidRPr="005269E6">
        <w:rPr>
          <w:rtl/>
        </w:rPr>
        <w:t>صندوق تنمية تكنولوجيا المعلومات والاتصالات</w:t>
      </w:r>
    </w:p>
    <w:p w14:paraId="6EC83823" w14:textId="4615A347" w:rsidR="00834B83" w:rsidRPr="005269E6" w:rsidRDefault="00834B83" w:rsidP="00834B83">
      <w:pPr>
        <w:rPr>
          <w:lang w:bidi="ar-EG"/>
        </w:rPr>
      </w:pPr>
      <w:r w:rsidRPr="005269E6">
        <w:rPr>
          <w:rtl/>
          <w:lang w:bidi="ar-EG"/>
        </w:rPr>
        <w:t xml:space="preserve">سعياً للنهوض برسالة الاتحاد، وهي تشجيع توسيع خدمات اتصالات حديثة في العالم، يخصص مجلس الاتحاد جزءاً من فوائض إيرادات أحداث </w:t>
      </w:r>
      <w:r w:rsidR="00F90636" w:rsidRPr="005269E6">
        <w:rPr>
          <w:rtl/>
          <w:lang w:bidi="ar-EG"/>
        </w:rPr>
        <w:t>تيليكوم</w:t>
      </w:r>
      <w:r w:rsidRPr="005269E6">
        <w:rPr>
          <w:rtl/>
          <w:lang w:bidi="ar-EG"/>
        </w:rPr>
        <w:t xml:space="preserve"> الاتحاد لصندوق تنمية تكنولوجيا المعلومات والاتصالات </w:t>
      </w:r>
      <w:r w:rsidRPr="005269E6">
        <w:rPr>
          <w:lang w:bidi="ar-EG"/>
        </w:rPr>
        <w:t>(ICTDF)</w:t>
      </w:r>
      <w:r w:rsidRPr="005269E6">
        <w:rPr>
          <w:rtl/>
          <w:lang w:bidi="ar-EG"/>
        </w:rPr>
        <w:t xml:space="preserve"> لكي تستخدم في تمويل مختلف مشاريع التنمية الوطنية والإقليمية. وفي إطار تمويل مشروع ما من خلال هذا الصندوق، لا يؤخذ في بيان الأداء المالي سوى بالنفقات المتكبدة. ويسري المبدأ ذاته على المشاريع الممولة في إطار خطة العمل الإنمائية. وفي الواقع، رُصدت الأموال المتاحة لهذه البرامج فعلاً في شكل إيرادات في الفترات المالية السابقة.</w:t>
      </w:r>
    </w:p>
    <w:p w14:paraId="121E95DF" w14:textId="77777777" w:rsidR="00834B83" w:rsidRPr="005269E6" w:rsidRDefault="00834B83" w:rsidP="00834B83">
      <w:pPr>
        <w:rPr>
          <w:rtl/>
          <w:lang w:bidi="ar-EG"/>
        </w:rPr>
      </w:pPr>
      <w:r w:rsidRPr="005269E6">
        <w:rPr>
          <w:rtl/>
          <w:lang w:bidi="ar-EG"/>
        </w:rPr>
        <w:t>ويقيد الصندوق أيضاً المساهمات التي يتقدم بها الأعضاء أو الجهات الخارجية من أجل تمويل مختلف مشاريع تنمية تكنولوجيا المعلومات</w:t>
      </w:r>
      <w:r w:rsidRPr="005269E6">
        <w:rPr>
          <w:rtl/>
          <w:lang w:bidi="ar-SY"/>
        </w:rPr>
        <w:t> </w:t>
      </w:r>
      <w:r w:rsidRPr="005269E6">
        <w:rPr>
          <w:rtl/>
          <w:lang w:bidi="ar-EG"/>
        </w:rPr>
        <w:t>والاتصالات.</w:t>
      </w:r>
    </w:p>
    <w:p w14:paraId="3A6848EE" w14:textId="6E9FD92A" w:rsidR="00834B83" w:rsidRPr="005269E6" w:rsidRDefault="00834B83" w:rsidP="00834B83">
      <w:pPr>
        <w:rPr>
          <w:rtl/>
          <w:lang w:bidi="ar-EG"/>
        </w:rPr>
      </w:pPr>
      <w:r w:rsidRPr="005269E6">
        <w:rPr>
          <w:rtl/>
        </w:rPr>
        <w:t>صندوق رأس المال العامل لمعارض الاتحاد: ألغى القرار 11 أثناء مؤتمر المندوبين المفوضين الذي عقد في بوخارست في 2022، وتقرر تحويل الرصيد المتبقي من صندوق رأس المال العامل للمعارض (EWCF) إلى صندوق تنمية تكنولوجيا المعلومات والاتصالات، بعد الوفاء الكامل بجميع الالتزامات تجاه موظفي ت</w:t>
      </w:r>
      <w:r w:rsidR="00892B5B" w:rsidRPr="005269E6">
        <w:rPr>
          <w:rFonts w:hint="cs"/>
          <w:rtl/>
        </w:rPr>
        <w:t>ي</w:t>
      </w:r>
      <w:r w:rsidRPr="005269E6">
        <w:rPr>
          <w:rtl/>
        </w:rPr>
        <w:t>ليكوم.</w:t>
      </w:r>
    </w:p>
    <w:p w14:paraId="4DC29FC9" w14:textId="77777777" w:rsidR="00834B83" w:rsidRPr="005269E6" w:rsidRDefault="00834B83" w:rsidP="00834B83">
      <w:pPr>
        <w:pStyle w:val="Heading2"/>
        <w:rPr>
          <w:rtl/>
          <w:lang w:eastAsia="en-US"/>
        </w:rPr>
      </w:pPr>
      <w:bookmarkStart w:id="278" w:name="_Toc74061569"/>
      <w:bookmarkStart w:id="279" w:name="تقديم"/>
      <w:r w:rsidRPr="005269E6">
        <w:rPr>
          <w:rtl/>
        </w:rPr>
        <w:t>13.3</w:t>
      </w:r>
      <w:r w:rsidRPr="005269E6">
        <w:rPr>
          <w:rtl/>
        </w:rPr>
        <w:tab/>
      </w:r>
      <w:r w:rsidRPr="005269E6">
        <w:rPr>
          <w:rtl/>
          <w:lang w:eastAsia="en-US"/>
        </w:rPr>
        <w:t>الصناديق الخارجة عن الميزانية</w:t>
      </w:r>
    </w:p>
    <w:p w14:paraId="3E78CD3E" w14:textId="77777777" w:rsidR="00834B83" w:rsidRPr="005269E6" w:rsidRDefault="00834B83" w:rsidP="00834B83">
      <w:pPr>
        <w:rPr>
          <w:rtl/>
          <w:lang w:eastAsia="en-US" w:bidi="ar-EG"/>
        </w:rPr>
      </w:pPr>
      <w:r w:rsidRPr="005269E6">
        <w:rPr>
          <w:rtl/>
          <w:lang w:eastAsia="en-US" w:bidi="ar-SY"/>
        </w:rPr>
        <w:t>بالإضافة إلى الحسابات الاحتياطية المبينة أعلاه، لدى الاتحاد أرصدة من الجهات المانحة تتعلق بالأنشطة الخارجة عن الميزانية:</w:t>
      </w:r>
    </w:p>
    <w:p w14:paraId="3B669A97" w14:textId="77777777" w:rsidR="00834B83" w:rsidRPr="005269E6" w:rsidRDefault="00834B83" w:rsidP="00834B83">
      <w:pPr>
        <w:pStyle w:val="enumlev1"/>
        <w:rPr>
          <w:i/>
          <w:iCs/>
          <w:rtl/>
          <w:lang w:bidi="ar-EG"/>
        </w:rPr>
      </w:pPr>
      <w:r w:rsidRPr="005269E6">
        <w:rPr>
          <w:i/>
          <w:iCs/>
          <w:rtl/>
        </w:rPr>
        <w:t>-</w:t>
      </w:r>
      <w:r w:rsidRPr="005269E6">
        <w:rPr>
          <w:i/>
          <w:iCs/>
          <w:rtl/>
        </w:rPr>
        <w:tab/>
        <w:t>الصناديق الخارجية المخصصة الغرض</w:t>
      </w:r>
      <w:r w:rsidRPr="005269E6">
        <w:rPr>
          <w:i/>
          <w:iCs/>
          <w:rtl/>
          <w:lang w:bidi="ar-EG"/>
        </w:rPr>
        <w:t>؛</w:t>
      </w:r>
    </w:p>
    <w:p w14:paraId="6A456F3D" w14:textId="055B2303" w:rsidR="00834B83" w:rsidRPr="005269E6" w:rsidRDefault="00834B83" w:rsidP="00834B83">
      <w:pPr>
        <w:rPr>
          <w:rtl/>
          <w:lang w:bidi="ar-EG"/>
        </w:rPr>
      </w:pPr>
      <w:r w:rsidRPr="005269E6">
        <w:rPr>
          <w:rtl/>
          <w:lang w:bidi="ar-EG"/>
        </w:rPr>
        <w:t>وهي تتناول التمويل الآتي من جهة خارجية لمساندة الاتحاد في تنفيذ مشاريع التنمية في البلدان النامية وأقل البلدان نمواً. وتكون هذه المساهمات مشفوعة بشروط تعاقدية. ولا تُقيد هذه الأموال بمثابة إيرادات إلا عندما تلتزم الجهات المانحة خطياً بذلك وكلما ترتبت في إطارها النفقات. ولا يُبدأ تنفيذ المشاريع الممولة إلا عندما تُدفع الأموال إلى الاتحاد. وعند اختتام الفترة المالية، يُدرج الرصيد غير المستعمل في هذا التمويل في حساب الأموال المخصصة الغرض في بيان الوضع المالي. وفي بعض الأحوال الخاصة، تُدفع الأموال إلى الاتحاد سداداً لنفقات ملتزم بها.</w:t>
      </w:r>
    </w:p>
    <w:p w14:paraId="04C975F1" w14:textId="77777777" w:rsidR="00834B83" w:rsidRPr="005269E6" w:rsidRDefault="00834B83" w:rsidP="00834B83">
      <w:pPr>
        <w:rPr>
          <w:rtl/>
          <w:lang w:bidi="ar-EG"/>
        </w:rPr>
      </w:pPr>
      <w:r w:rsidRPr="005269E6">
        <w:rPr>
          <w:rtl/>
          <w:lang w:bidi="ar-EG"/>
        </w:rPr>
        <w:t>وتتوزع هذه الصناديق الخارجية المخصصة الغرض كما يلي:</w:t>
      </w:r>
    </w:p>
    <w:p w14:paraId="3FBE5EEA" w14:textId="77777777" w:rsidR="00834B83" w:rsidRPr="005269E6" w:rsidRDefault="00834B83" w:rsidP="00834B83">
      <w:pPr>
        <w:pStyle w:val="enumlev1"/>
        <w:keepNext/>
        <w:rPr>
          <w:b/>
          <w:bCs/>
          <w:i/>
          <w:iCs/>
          <w:rtl/>
        </w:rPr>
      </w:pPr>
      <w:bookmarkStart w:id="280" w:name="_Toc328494935"/>
      <w:r w:rsidRPr="005269E6">
        <w:rPr>
          <w:b/>
          <w:bCs/>
          <w:i/>
          <w:iCs/>
          <w:rtl/>
        </w:rPr>
        <w:t>’1‘</w:t>
      </w:r>
      <w:r w:rsidRPr="005269E6">
        <w:rPr>
          <w:b/>
          <w:bCs/>
          <w:i/>
          <w:iCs/>
          <w:rtl/>
        </w:rPr>
        <w:tab/>
        <w:t>الصناديق الاستئمانية</w:t>
      </w:r>
      <w:bookmarkEnd w:id="280"/>
    </w:p>
    <w:p w14:paraId="054C11FA" w14:textId="77777777" w:rsidR="00834B83" w:rsidRPr="005269E6" w:rsidRDefault="00834B83" w:rsidP="00834B83">
      <w:pPr>
        <w:rPr>
          <w:spacing w:val="-4"/>
          <w:rtl/>
          <w:lang w:bidi="ar-EG"/>
        </w:rPr>
      </w:pPr>
      <w:r w:rsidRPr="005269E6">
        <w:rPr>
          <w:spacing w:val="-4"/>
          <w:rtl/>
          <w:lang w:bidi="ar-EG"/>
        </w:rPr>
        <w:t>تُستخدم الصناديق الاستئمانية لتنفيذ المشاريع الممولة من المساهمات الطوعية أو من صندوق تنمية تكنولوجيا المعلومات والاتصالات </w:t>
      </w:r>
      <w:r w:rsidRPr="005269E6">
        <w:rPr>
          <w:spacing w:val="-4"/>
          <w:lang w:bidi="ar-EG"/>
        </w:rPr>
        <w:t>(ICTDF)</w:t>
      </w:r>
      <w:r w:rsidRPr="005269E6">
        <w:rPr>
          <w:spacing w:val="-4"/>
          <w:rtl/>
          <w:lang w:bidi="ar-EG"/>
        </w:rPr>
        <w:t>، أو من الحكومات. وفي كل الأحوال، يجب ربط الصناديق بالمشاريع قبل تسجيل النفقات. والصناديق الاستئمانية عبارة عن مساهمات طوعية لاستخدامات محدودة وحصرية. ويتولد عن هذه المساهمات تكاليف دعم أثناء إطلاق المشاريع وتنفيذها.</w:t>
      </w:r>
    </w:p>
    <w:p w14:paraId="525A4490" w14:textId="77777777" w:rsidR="00834B83" w:rsidRPr="005269E6" w:rsidRDefault="00834B83" w:rsidP="00834B83">
      <w:pPr>
        <w:pStyle w:val="enumlev1"/>
        <w:keepNext/>
        <w:rPr>
          <w:b/>
          <w:bCs/>
          <w:i/>
          <w:iCs/>
          <w:rtl/>
        </w:rPr>
      </w:pPr>
      <w:bookmarkStart w:id="281" w:name="_Toc328494936"/>
      <w:r w:rsidRPr="005269E6">
        <w:rPr>
          <w:b/>
          <w:bCs/>
          <w:i/>
          <w:iCs/>
          <w:rtl/>
        </w:rPr>
        <w:t>’2‘</w:t>
      </w:r>
      <w:r w:rsidRPr="005269E6">
        <w:rPr>
          <w:b/>
          <w:bCs/>
          <w:i/>
          <w:iCs/>
          <w:rtl/>
        </w:rPr>
        <w:tab/>
        <w:t>المساهمات الطوعية</w:t>
      </w:r>
      <w:bookmarkEnd w:id="281"/>
    </w:p>
    <w:p w14:paraId="6C05309C" w14:textId="77777777" w:rsidR="00834B83" w:rsidRPr="005269E6" w:rsidRDefault="00834B83" w:rsidP="00834B83">
      <w:pPr>
        <w:rPr>
          <w:spacing w:val="-4"/>
          <w:rtl/>
          <w:lang w:bidi="ar-EG"/>
        </w:rPr>
      </w:pPr>
      <w:r w:rsidRPr="005269E6">
        <w:rPr>
          <w:spacing w:val="-4"/>
          <w:rtl/>
          <w:lang w:bidi="ar-EG"/>
        </w:rPr>
        <w:t>تقدم المساهمات الطوعية من الجهات المانحة لاستكمال أنشطة محددة ضمن الميزانية العادية مثل الحلقات الدراسية وأفرقة العمل ولجان الدراسات والتدريب والمنح. ويمكن أن تمول المساهمات الطوعية أنشطة طويلة الأجل. ولا يتولد عن المساهمات الطوعية أي تكاليف دعم.</w:t>
      </w:r>
    </w:p>
    <w:p w14:paraId="1E26CAE2" w14:textId="77777777" w:rsidR="00834B83" w:rsidRPr="005269E6" w:rsidRDefault="00834B83" w:rsidP="00834B83">
      <w:pPr>
        <w:rPr>
          <w:rtl/>
          <w:lang w:bidi="ar-EG"/>
        </w:rPr>
      </w:pPr>
      <w:r w:rsidRPr="005269E6">
        <w:rPr>
          <w:rtl/>
          <w:lang w:bidi="ar-EG"/>
        </w:rPr>
        <w:t>ويمسك الاتحاد حسابات المساهمات الطوعية بالعملة التي قدمت بها المساهمة ويدير المشاريع بناءً على الميزانية المخصصة بعملة التمويل، ما لم يحدد خلاف ذلك.</w:t>
      </w:r>
    </w:p>
    <w:p w14:paraId="5141FD78" w14:textId="77777777" w:rsidR="00834B83" w:rsidRPr="005269E6" w:rsidRDefault="00834B83" w:rsidP="00834B83">
      <w:pPr>
        <w:pStyle w:val="enumlev1"/>
        <w:rPr>
          <w:i/>
          <w:iCs/>
          <w:rtl/>
        </w:rPr>
      </w:pPr>
      <w:r w:rsidRPr="005269E6">
        <w:rPr>
          <w:i/>
          <w:iCs/>
        </w:rPr>
        <w:t>-</w:t>
      </w:r>
      <w:r w:rsidRPr="005269E6">
        <w:rPr>
          <w:i/>
          <w:iCs/>
        </w:rPr>
        <w:tab/>
      </w:r>
      <w:r w:rsidRPr="005269E6">
        <w:rPr>
          <w:i/>
          <w:iCs/>
          <w:rtl/>
        </w:rPr>
        <w:t>الأموال الخارجية قيد التخصيص؛</w:t>
      </w:r>
    </w:p>
    <w:p w14:paraId="6BA5B55D" w14:textId="77777777" w:rsidR="00834B83" w:rsidRPr="005269E6" w:rsidRDefault="00834B83" w:rsidP="00834B83">
      <w:pPr>
        <w:rPr>
          <w:rtl/>
          <w:lang w:bidi="ar-EG"/>
        </w:rPr>
      </w:pPr>
      <w:r w:rsidRPr="005269E6">
        <w:rPr>
          <w:rtl/>
          <w:lang w:bidi="ar-EG"/>
        </w:rPr>
        <w:t>وهي أموال يتلقاها الاتحاد من جهات خارجية (</w:t>
      </w:r>
      <w:r w:rsidRPr="005269E6">
        <w:rPr>
          <w:rtl/>
          <w:lang w:bidi="ar"/>
        </w:rPr>
        <w:t>بما</w:t>
      </w:r>
      <w:r w:rsidRPr="005269E6">
        <w:rPr>
          <w:lang w:val="en" w:bidi="ar-EG"/>
        </w:rPr>
        <w:t xml:space="preserve"> </w:t>
      </w:r>
      <w:r w:rsidRPr="005269E6">
        <w:rPr>
          <w:rtl/>
          <w:lang w:bidi="ar"/>
        </w:rPr>
        <w:t>في</w:t>
      </w:r>
      <w:r w:rsidRPr="005269E6">
        <w:rPr>
          <w:lang w:val="en" w:bidi="ar-EG"/>
        </w:rPr>
        <w:t xml:space="preserve"> </w:t>
      </w:r>
      <w:r w:rsidRPr="005269E6">
        <w:rPr>
          <w:rtl/>
          <w:lang w:bidi="ar"/>
        </w:rPr>
        <w:t>ذلك</w:t>
      </w:r>
      <w:r w:rsidRPr="005269E6">
        <w:rPr>
          <w:lang w:val="en" w:bidi="ar-EG"/>
        </w:rPr>
        <w:t xml:space="preserve"> </w:t>
      </w:r>
      <w:r w:rsidRPr="005269E6">
        <w:rPr>
          <w:rtl/>
          <w:lang w:bidi="ar"/>
        </w:rPr>
        <w:t>الأعضاء</w:t>
      </w:r>
      <w:r w:rsidRPr="005269E6">
        <w:rPr>
          <w:lang w:val="en" w:bidi="ar-EG"/>
        </w:rPr>
        <w:t xml:space="preserve"> </w:t>
      </w:r>
      <w:r w:rsidRPr="005269E6">
        <w:rPr>
          <w:rtl/>
          <w:lang w:bidi="ar"/>
        </w:rPr>
        <w:t>وأعضاء</w:t>
      </w:r>
      <w:r w:rsidRPr="005269E6">
        <w:rPr>
          <w:lang w:val="en" w:bidi="ar-EG"/>
        </w:rPr>
        <w:t xml:space="preserve"> </w:t>
      </w:r>
      <w:r w:rsidRPr="005269E6">
        <w:rPr>
          <w:rtl/>
          <w:lang w:bidi="ar"/>
        </w:rPr>
        <w:t>القطاعات</w:t>
      </w:r>
      <w:r w:rsidRPr="005269E6">
        <w:rPr>
          <w:lang w:val="en" w:bidi="ar-EG"/>
        </w:rPr>
        <w:t xml:space="preserve"> </w:t>
      </w:r>
      <w:r w:rsidRPr="005269E6">
        <w:rPr>
          <w:rtl/>
          <w:lang w:bidi="ar"/>
        </w:rPr>
        <w:t>والمنتسبون</w:t>
      </w:r>
      <w:r w:rsidRPr="005269E6">
        <w:rPr>
          <w:lang w:val="en" w:bidi="ar-EG"/>
        </w:rPr>
        <w:t xml:space="preserve"> </w:t>
      </w:r>
      <w:r w:rsidRPr="005269E6">
        <w:rPr>
          <w:rtl/>
          <w:lang w:bidi="ar"/>
        </w:rPr>
        <w:t>والمؤسسات</w:t>
      </w:r>
      <w:r w:rsidRPr="005269E6">
        <w:rPr>
          <w:lang w:val="en" w:bidi="ar-EG"/>
        </w:rPr>
        <w:t xml:space="preserve"> </w:t>
      </w:r>
      <w:r w:rsidRPr="005269E6">
        <w:rPr>
          <w:rtl/>
          <w:lang w:bidi="ar"/>
        </w:rPr>
        <w:t>والأمم</w:t>
      </w:r>
      <w:r w:rsidRPr="005269E6">
        <w:rPr>
          <w:lang w:val="en" w:bidi="ar-EG"/>
        </w:rPr>
        <w:t xml:space="preserve"> </w:t>
      </w:r>
      <w:r w:rsidRPr="005269E6">
        <w:rPr>
          <w:rtl/>
          <w:lang w:bidi="ar"/>
        </w:rPr>
        <w:t>المتحدة</w:t>
      </w:r>
      <w:r w:rsidRPr="005269E6">
        <w:rPr>
          <w:lang w:val="en" w:bidi="ar-EG"/>
        </w:rPr>
        <w:t xml:space="preserve"> </w:t>
      </w:r>
      <w:r w:rsidRPr="005269E6">
        <w:rPr>
          <w:rtl/>
          <w:lang w:bidi="ar"/>
        </w:rPr>
        <w:t>ومساهمون</w:t>
      </w:r>
      <w:r w:rsidRPr="005269E6">
        <w:rPr>
          <w:lang w:val="en" w:bidi="ar-EG"/>
        </w:rPr>
        <w:t xml:space="preserve"> </w:t>
      </w:r>
      <w:r w:rsidRPr="005269E6">
        <w:rPr>
          <w:rtl/>
          <w:lang w:bidi="ar"/>
        </w:rPr>
        <w:t>آخرون</w:t>
      </w:r>
      <w:r w:rsidRPr="005269E6">
        <w:rPr>
          <w:rtl/>
          <w:lang w:bidi="ar-EG"/>
        </w:rPr>
        <w:t>) لم يُستكمل تخصيصها تماماً بعد ومن ثم لا يمكن إنفاقها بعد.</w:t>
      </w:r>
    </w:p>
    <w:p w14:paraId="4F2BA9A5" w14:textId="77777777" w:rsidR="00834B83" w:rsidRPr="005269E6" w:rsidRDefault="00834B83" w:rsidP="00834B83">
      <w:pPr>
        <w:pStyle w:val="Heading2"/>
        <w:rPr>
          <w:rtl/>
          <w:lang w:eastAsia="en-US"/>
        </w:rPr>
      </w:pPr>
      <w:r w:rsidRPr="005269E6">
        <w:rPr>
          <w:rtl/>
        </w:rPr>
        <w:lastRenderedPageBreak/>
        <w:t>14.3</w:t>
      </w:r>
      <w:r w:rsidRPr="005269E6">
        <w:rPr>
          <w:rtl/>
        </w:rPr>
        <w:tab/>
      </w:r>
      <w:r w:rsidRPr="005269E6">
        <w:rPr>
          <w:rtl/>
          <w:lang w:eastAsia="en-US"/>
        </w:rPr>
        <w:t>الإبلاغ بحسب الأبواب</w:t>
      </w:r>
    </w:p>
    <w:bookmarkEnd w:id="278"/>
    <w:bookmarkEnd w:id="279"/>
    <w:p w14:paraId="5917F854" w14:textId="77777777" w:rsidR="00834B83" w:rsidRPr="005269E6" w:rsidRDefault="00834B83" w:rsidP="00834B83">
      <w:pPr>
        <w:rPr>
          <w:rtl/>
          <w:lang w:bidi="ar-EG"/>
        </w:rPr>
      </w:pPr>
      <w:r w:rsidRPr="005269E6">
        <w:rPr>
          <w:rtl/>
          <w:lang w:bidi="ar-EG"/>
        </w:rPr>
        <w:t>يقوم الإبلاغ بحسب الأبواب على أساس الأنشطة الرئيسية ومصادر التمويل في الاتحاد، ويبلغ عنها في شكل متسق مع الهياكل الدستورية للمنظمة والصناديق الأخرى المنشأة لإدارة منظمة الموارد المالية. وهذه الأبواب تبين برنامج عمل الاتحاد للفترة </w:t>
      </w:r>
      <w:r w:rsidRPr="005269E6">
        <w:rPr>
          <w:lang w:bidi="ar-SY"/>
        </w:rPr>
        <w:t>2022-2021</w:t>
      </w:r>
      <w:r w:rsidRPr="005269E6">
        <w:rPr>
          <w:rtl/>
          <w:lang w:bidi="ar-EG"/>
        </w:rPr>
        <w:t>:</w:t>
      </w:r>
    </w:p>
    <w:p w14:paraId="079EA31C" w14:textId="77777777" w:rsidR="00834B83" w:rsidRPr="005269E6" w:rsidRDefault="00834B83" w:rsidP="00834B83">
      <w:pPr>
        <w:pStyle w:val="enumlev1"/>
        <w:rPr>
          <w:rtl/>
        </w:rPr>
      </w:pPr>
      <w:bookmarkStart w:id="282" w:name="_Toc520365510"/>
      <w:r w:rsidRPr="005269E6">
        <w:rPr>
          <w:rtl/>
        </w:rPr>
        <w:t>-</w:t>
      </w:r>
      <w:r w:rsidRPr="005269E6">
        <w:rPr>
          <w:rtl/>
        </w:rPr>
        <w:tab/>
        <w:t>الأمانة العامة؛</w:t>
      </w:r>
      <w:bookmarkEnd w:id="282"/>
    </w:p>
    <w:p w14:paraId="6BE40E8F" w14:textId="77777777" w:rsidR="00834B83" w:rsidRPr="005269E6" w:rsidRDefault="00834B83" w:rsidP="00834B83">
      <w:pPr>
        <w:pStyle w:val="enumlev1"/>
        <w:rPr>
          <w:rtl/>
        </w:rPr>
      </w:pPr>
      <w:bookmarkStart w:id="283" w:name="_Toc520365511"/>
      <w:r w:rsidRPr="005269E6">
        <w:rPr>
          <w:rtl/>
        </w:rPr>
        <w:t>-</w:t>
      </w:r>
      <w:r w:rsidRPr="005269E6">
        <w:rPr>
          <w:rtl/>
        </w:rPr>
        <w:tab/>
        <w:t xml:space="preserve">قطاع الاتصالات الراديوية </w:t>
      </w:r>
      <w:r w:rsidRPr="005269E6">
        <w:rPr>
          <w:lang w:val="en-GB"/>
        </w:rPr>
        <w:t>(ITU-R)</w:t>
      </w:r>
      <w:r w:rsidRPr="005269E6">
        <w:rPr>
          <w:rtl/>
        </w:rPr>
        <w:t>:</w:t>
      </w:r>
      <w:r w:rsidRPr="005269E6">
        <w:rPr>
          <w:lang w:val="en-GB"/>
        </w:rPr>
        <w:t xml:space="preserve"> </w:t>
      </w:r>
      <w:r w:rsidRPr="005269E6">
        <w:rPr>
          <w:rtl/>
        </w:rPr>
        <w:t>إدارة الموارد الدولية، أي طيف الترددات الراديوية ومدارات السواتل؛</w:t>
      </w:r>
      <w:bookmarkEnd w:id="283"/>
    </w:p>
    <w:p w14:paraId="270F764B" w14:textId="77777777" w:rsidR="00834B83" w:rsidRPr="005269E6" w:rsidRDefault="00834B83" w:rsidP="00834B83">
      <w:pPr>
        <w:pStyle w:val="enumlev1"/>
        <w:rPr>
          <w:rtl/>
        </w:rPr>
      </w:pPr>
      <w:bookmarkStart w:id="284" w:name="_Toc520365512"/>
      <w:r w:rsidRPr="005269E6">
        <w:rPr>
          <w:rtl/>
        </w:rPr>
        <w:t>-</w:t>
      </w:r>
      <w:r w:rsidRPr="005269E6">
        <w:rPr>
          <w:rtl/>
        </w:rPr>
        <w:tab/>
        <w:t xml:space="preserve">قطاع تقييس الاتصالات </w:t>
      </w:r>
      <w:r w:rsidRPr="005269E6">
        <w:rPr>
          <w:lang w:val="en-GB"/>
        </w:rPr>
        <w:t>(ITU-T)</w:t>
      </w:r>
      <w:r w:rsidRPr="005269E6">
        <w:rPr>
          <w:rtl/>
        </w:rPr>
        <w:t>: تكييف طرائق العمل المنسقة ووضع أساليب العمل المشترك المرنة بغية الاستجابة لاحتياجات الأسواق؛</w:t>
      </w:r>
      <w:bookmarkEnd w:id="284"/>
    </w:p>
    <w:p w14:paraId="1739D5EB" w14:textId="77777777" w:rsidR="00834B83" w:rsidRPr="005269E6" w:rsidRDefault="00834B83" w:rsidP="00834B83">
      <w:pPr>
        <w:pStyle w:val="enumlev1"/>
        <w:rPr>
          <w:spacing w:val="-4"/>
          <w:rtl/>
          <w:lang w:bidi="ar-EG"/>
        </w:rPr>
      </w:pPr>
      <w:bookmarkStart w:id="285" w:name="_Toc520365513"/>
      <w:r w:rsidRPr="005269E6">
        <w:rPr>
          <w:spacing w:val="-4"/>
          <w:rtl/>
        </w:rPr>
        <w:t>-</w:t>
      </w:r>
      <w:r w:rsidRPr="005269E6">
        <w:rPr>
          <w:spacing w:val="-4"/>
          <w:rtl/>
        </w:rPr>
        <w:tab/>
        <w:t xml:space="preserve">قطاع تنمية الاتصالات </w:t>
      </w:r>
      <w:r w:rsidRPr="005269E6">
        <w:rPr>
          <w:spacing w:val="-4"/>
          <w:lang w:val="en-GB"/>
        </w:rPr>
        <w:t>(ITU-D)</w:t>
      </w:r>
      <w:r w:rsidRPr="005269E6">
        <w:rPr>
          <w:spacing w:val="-4"/>
          <w:rtl/>
        </w:rPr>
        <w:t>: توفير النفاذ المنصف والمستديم، بشروط معقولة، إلى تكنولوجيا المعلومات والاتصالات؛</w:t>
      </w:r>
      <w:bookmarkEnd w:id="285"/>
    </w:p>
    <w:p w14:paraId="20D05477" w14:textId="77777777" w:rsidR="00834B83" w:rsidRPr="005269E6" w:rsidRDefault="00834B83" w:rsidP="00834B83">
      <w:pPr>
        <w:pStyle w:val="enumlev1"/>
        <w:rPr>
          <w:rtl/>
        </w:rPr>
      </w:pPr>
      <w:bookmarkStart w:id="286" w:name="_Toc520365514"/>
      <w:r w:rsidRPr="005269E6">
        <w:rPr>
          <w:rtl/>
        </w:rPr>
        <w:t>-</w:t>
      </w:r>
      <w:r w:rsidRPr="005269E6">
        <w:rPr>
          <w:rtl/>
        </w:rPr>
        <w:tab/>
        <w:t>صندوق المبنى الجديد الذي يمثل مشروع تشييد مباني المقر الجديدة؛</w:t>
      </w:r>
      <w:bookmarkEnd w:id="286"/>
    </w:p>
    <w:p w14:paraId="734526A1" w14:textId="77777777" w:rsidR="00834B83" w:rsidRPr="005269E6" w:rsidRDefault="00834B83" w:rsidP="00834B83">
      <w:pPr>
        <w:pStyle w:val="enumlev1"/>
        <w:rPr>
          <w:rtl/>
        </w:rPr>
      </w:pPr>
      <w:bookmarkStart w:id="287" w:name="_Toc520365515"/>
      <w:r w:rsidRPr="005269E6">
        <w:rPr>
          <w:rtl/>
        </w:rPr>
        <w:t>-</w:t>
      </w:r>
      <w:r w:rsidRPr="005269E6">
        <w:rPr>
          <w:rtl/>
        </w:rPr>
        <w:tab/>
        <w:t>صندوق المعاشات التقاعدية القديم الذي يجمع بين صندوق معاشات التقاعد وصندوق المساعدة؛</w:t>
      </w:r>
      <w:bookmarkEnd w:id="287"/>
    </w:p>
    <w:p w14:paraId="3EE7E0AE" w14:textId="0D083718" w:rsidR="00834B83" w:rsidRPr="005269E6" w:rsidRDefault="00834B83" w:rsidP="00834B83">
      <w:pPr>
        <w:ind w:left="720" w:hanging="720"/>
        <w:rPr>
          <w:lang w:bidi="ar-SY"/>
        </w:rPr>
      </w:pPr>
      <w:bookmarkStart w:id="288" w:name="_Toc520365516"/>
      <w:r w:rsidRPr="005269E6">
        <w:rPr>
          <w:rtl/>
        </w:rPr>
        <w:t>-</w:t>
      </w:r>
      <w:r w:rsidRPr="005269E6">
        <w:rPr>
          <w:rtl/>
        </w:rPr>
        <w:tab/>
      </w:r>
      <w:r w:rsidRPr="005269E6">
        <w:rPr>
          <w:rtl/>
          <w:lang w:bidi="ar-SY"/>
        </w:rPr>
        <w:t xml:space="preserve">الأموال الخارجة عن الميزانية التي تشمل </w:t>
      </w:r>
      <w:r w:rsidRPr="005269E6">
        <w:rPr>
          <w:rtl/>
        </w:rPr>
        <w:t>صناديق برنامج الأمم المتحدة الإنمائي والصناديق الاستئمانية وصندوق تنمية تكنولوجيا المعلومات والاتصالات والمساهمات الطوعية</w:t>
      </w:r>
      <w:bookmarkStart w:id="289" w:name="_Toc520365517"/>
      <w:bookmarkEnd w:id="288"/>
      <w:r w:rsidRPr="005269E6">
        <w:rPr>
          <w:rtl/>
        </w:rPr>
        <w:t xml:space="preserve"> و</w:t>
      </w:r>
      <w:r w:rsidR="00F90636" w:rsidRPr="005269E6">
        <w:rPr>
          <w:rtl/>
        </w:rPr>
        <w:t>تيليكوم</w:t>
      </w:r>
      <w:r w:rsidRPr="005269E6">
        <w:rPr>
          <w:rtl/>
        </w:rPr>
        <w:t xml:space="preserve"> الاتحاد.</w:t>
      </w:r>
      <w:bookmarkEnd w:id="289"/>
    </w:p>
    <w:p w14:paraId="60A34628" w14:textId="77777777" w:rsidR="00834B83" w:rsidRPr="005269E6" w:rsidRDefault="00834B83" w:rsidP="00834B83">
      <w:pPr>
        <w:rPr>
          <w:rtl/>
          <w:lang w:bidi="ar-SY"/>
        </w:rPr>
      </w:pPr>
      <w:r w:rsidRPr="005269E6">
        <w:rPr>
          <w:rtl/>
          <w:lang w:bidi="ar-SY"/>
        </w:rPr>
        <w:t xml:space="preserve">وبحكم طبيعة </w:t>
      </w:r>
      <w:r w:rsidRPr="005269E6">
        <w:rPr>
          <w:rtl/>
          <w:lang w:bidi="ar-EG"/>
        </w:rPr>
        <w:t>أنشطة</w:t>
      </w:r>
      <w:r w:rsidRPr="005269E6">
        <w:rPr>
          <w:rtl/>
          <w:lang w:bidi="ar-SY"/>
        </w:rPr>
        <w:t xml:space="preserve"> الاتحاد</w:t>
      </w:r>
      <w:r w:rsidRPr="005269E6">
        <w:rPr>
          <w:rFonts w:eastAsia="Times New Roman"/>
          <w:sz w:val="21"/>
          <w:szCs w:val="21"/>
          <w:rtl/>
          <w:lang w:val="en" w:eastAsia="en-GB" w:bidi="ar"/>
        </w:rPr>
        <w:t xml:space="preserve"> و</w:t>
      </w:r>
      <w:r w:rsidRPr="005269E6">
        <w:rPr>
          <w:rtl/>
          <w:lang w:bidi="ar"/>
        </w:rPr>
        <w:t>مساهمات</w:t>
      </w:r>
      <w:r w:rsidRPr="005269E6">
        <w:rPr>
          <w:lang w:val="en" w:bidi="ar-SY"/>
        </w:rPr>
        <w:t xml:space="preserve"> </w:t>
      </w:r>
      <w:r w:rsidRPr="005269E6">
        <w:rPr>
          <w:rtl/>
          <w:lang w:bidi="ar"/>
        </w:rPr>
        <w:t>الدول</w:t>
      </w:r>
      <w:r w:rsidRPr="005269E6">
        <w:rPr>
          <w:lang w:val="en" w:bidi="ar-SY"/>
        </w:rPr>
        <w:t xml:space="preserve"> </w:t>
      </w:r>
      <w:r w:rsidRPr="005269E6">
        <w:rPr>
          <w:rtl/>
          <w:lang w:bidi="ar"/>
        </w:rPr>
        <w:t>الأعضاء</w:t>
      </w:r>
      <w:r w:rsidRPr="005269E6">
        <w:rPr>
          <w:rtl/>
          <w:lang w:bidi="ar-SY"/>
        </w:rPr>
        <w:t>، تستخدم الأصول المادية وغير المادية لديه بصورة مشتركة من جانب كل القطاعات، ولا</w:t>
      </w:r>
      <w:r w:rsidRPr="005269E6">
        <w:rPr>
          <w:lang w:bidi="ar-SY"/>
        </w:rPr>
        <w:t> </w:t>
      </w:r>
      <w:r w:rsidRPr="005269E6">
        <w:rPr>
          <w:rtl/>
          <w:lang w:bidi="ar-SY"/>
        </w:rPr>
        <w:t>يقوم بإدارتها أي من القطاعات بمفرده.</w:t>
      </w:r>
    </w:p>
    <w:p w14:paraId="72C7494A" w14:textId="77777777" w:rsidR="00834B83" w:rsidRPr="005269E6" w:rsidRDefault="00834B83" w:rsidP="00834B83">
      <w:pPr>
        <w:rPr>
          <w:lang w:bidi="ar-SY"/>
        </w:rPr>
      </w:pPr>
      <w:r w:rsidRPr="005269E6">
        <w:rPr>
          <w:rtl/>
          <w:lang w:bidi="ar-SY"/>
        </w:rPr>
        <w:t>وتشمل التحويلات بين الأبواب الإيرادات والنفقات الناشئة عن التحويلات بين الأبواب. وتُحسب هذه التحويلات على أساس التكلفة لكل باب وتزال عند الدمج.</w:t>
      </w:r>
    </w:p>
    <w:p w14:paraId="62539723" w14:textId="77777777" w:rsidR="00834B83" w:rsidRPr="005269E6" w:rsidRDefault="00834B83" w:rsidP="00834B83">
      <w:pPr>
        <w:rPr>
          <w:lang w:bidi="ar-SY"/>
        </w:rPr>
      </w:pPr>
      <w:r w:rsidRPr="005269E6">
        <w:rPr>
          <w:rtl/>
          <w:lang w:bidi="ar-SY"/>
        </w:rPr>
        <w:t>وفي عام 2022، حدث تغيير يتمثل في عرض التقارير عن الأبواب من أجل توزيع الإيرادات والتكاليف على الأبواب توزيعاً أكمل وتوحيد عرض الأنشطة من خارج الميزانية. وقد أعيد بيان التقارير عن الأبواب لعام 2021 لأغراض المقارنة.</w:t>
      </w:r>
    </w:p>
    <w:p w14:paraId="3BDA1246" w14:textId="77777777" w:rsidR="00834B83" w:rsidRPr="005269E6" w:rsidRDefault="00834B83" w:rsidP="00834B83">
      <w:pPr>
        <w:rPr>
          <w:spacing w:val="-4"/>
          <w:rtl/>
          <w:lang w:bidi="ar-SY"/>
        </w:rPr>
      </w:pPr>
      <w:r w:rsidRPr="005269E6">
        <w:rPr>
          <w:spacing w:val="-4"/>
          <w:rtl/>
          <w:lang w:bidi="ar-SY"/>
        </w:rPr>
        <w:t>ولأغراض التقارير عن الأبواب، وُزعت هذه الإيرادات والنفقات على القطاعات الأربعة (بما فيها الأمانة العامة) للاتحاد على أساس أرقام الميزانية. ووزعت التسوية السنوية لمؤشر التأمين الصحي بعد انتهاء الخدمة (</w:t>
      </w:r>
      <w:r w:rsidRPr="005269E6">
        <w:rPr>
          <w:spacing w:val="-4"/>
          <w:lang w:bidi="ar-SY"/>
        </w:rPr>
        <w:t>ASHI</w:t>
      </w:r>
      <w:r w:rsidRPr="005269E6">
        <w:rPr>
          <w:spacing w:val="-4"/>
          <w:rtl/>
          <w:lang w:bidi="ar-SY"/>
        </w:rPr>
        <w:t>) استناداً إلى عدد الموظفين في كل قطاع.</w:t>
      </w:r>
    </w:p>
    <w:p w14:paraId="37FBEB3C" w14:textId="77777777" w:rsidR="00834B83" w:rsidRPr="005269E6" w:rsidRDefault="00834B83" w:rsidP="00834B83">
      <w:pPr>
        <w:rPr>
          <w:lang w:bidi="ar-SY"/>
        </w:rPr>
      </w:pPr>
      <w:r w:rsidRPr="005269E6">
        <w:rPr>
          <w:rtl/>
          <w:lang w:bidi="ar-SY"/>
        </w:rPr>
        <w:t>والأصول والخصوم في الاتحاد، عدا تلك التي تمثل صافي الأصول، هي في الواقع ملك للاتحاد أو تخضع لمسؤوليته ككل ولا تمثل أصولاً وخصوماً تتعلق بأي قطاع على حدة. أما الأموال الخارجة عن الميزانية فلا تنطوي على أي أصول ثابتة. وتمثل الأصول والخصوم العديد من الأنشطة المشتركة بين قطاعات الاتحاد. وغني عن البيان أن تخصيص الأصول والخصوم بحسب القطاعات سيكون اعتباطياُ حتماً دون أساس منطقي. وهذا ما يخالف مبادئ المعيار </w:t>
      </w:r>
      <w:r w:rsidRPr="005269E6">
        <w:rPr>
          <w:lang w:val="fr-CH" w:bidi="ar-SY"/>
        </w:rPr>
        <w:t>IPSAS 18</w:t>
      </w:r>
      <w:r w:rsidRPr="005269E6">
        <w:rPr>
          <w:rtl/>
          <w:lang w:bidi="ar-SY"/>
        </w:rPr>
        <w:t>. ولهذا السبب لا تفصّل فرادى الأصول والخصوم على مستوى القطاعات.</w:t>
      </w:r>
    </w:p>
    <w:p w14:paraId="567C3489" w14:textId="77777777" w:rsidR="00834B83" w:rsidRPr="005269E6" w:rsidRDefault="00834B83" w:rsidP="00834B83">
      <w:pPr>
        <w:pStyle w:val="Heading2"/>
        <w:rPr>
          <w:rtl/>
          <w:lang w:eastAsia="en-US"/>
        </w:rPr>
      </w:pPr>
      <w:r w:rsidRPr="005269E6">
        <w:rPr>
          <w:rtl/>
        </w:rPr>
        <w:t>15.3</w:t>
      </w:r>
      <w:r w:rsidRPr="005269E6">
        <w:rPr>
          <w:rtl/>
        </w:rPr>
        <w:tab/>
      </w:r>
      <w:r w:rsidRPr="005269E6">
        <w:rPr>
          <w:rtl/>
          <w:lang w:eastAsia="en-US"/>
        </w:rPr>
        <w:t>المقارنة في الميزانية</w:t>
      </w:r>
    </w:p>
    <w:p w14:paraId="75F86081" w14:textId="77777777" w:rsidR="00834B83" w:rsidRPr="005269E6" w:rsidRDefault="00834B83" w:rsidP="00834B83">
      <w:pPr>
        <w:rPr>
          <w:rtl/>
        </w:rPr>
      </w:pPr>
      <w:r w:rsidRPr="005269E6">
        <w:rPr>
          <w:rtl/>
          <w:lang w:bidi="ar-SY"/>
        </w:rPr>
        <w:t>تقوم ميزانية الاتحاد للفترة 2022-2023 على أساس المقرر </w:t>
      </w:r>
      <w:r w:rsidRPr="005269E6">
        <w:rPr>
          <w:lang w:bidi="ar-SY"/>
        </w:rPr>
        <w:t>5</w:t>
      </w:r>
      <w:r w:rsidRPr="005269E6">
        <w:rPr>
          <w:rtl/>
          <w:lang w:bidi="ar-SY"/>
        </w:rPr>
        <w:t xml:space="preserve"> (المراجَع في دبي، </w:t>
      </w:r>
      <w:r w:rsidRPr="005269E6">
        <w:rPr>
          <w:lang w:bidi="ar-SY"/>
        </w:rPr>
        <w:t>2018</w:t>
      </w:r>
      <w:r w:rsidRPr="005269E6">
        <w:rPr>
          <w:rtl/>
          <w:lang w:bidi="ar-SY"/>
        </w:rPr>
        <w:t>) بعنوان "إيرادات الاتحاد ونفقاته للفترة </w:t>
      </w:r>
      <w:r w:rsidRPr="005269E6">
        <w:rPr>
          <w:lang w:bidi="ar-SY"/>
        </w:rPr>
        <w:t>2023</w:t>
      </w:r>
      <w:r w:rsidRPr="005269E6">
        <w:rPr>
          <w:lang w:bidi="ar-SY"/>
        </w:rPr>
        <w:noBreakHyphen/>
        <w:t>2020</w:t>
      </w:r>
      <w:r w:rsidRPr="005269E6">
        <w:rPr>
          <w:rtl/>
          <w:lang w:bidi="ar-SY"/>
        </w:rPr>
        <w:t xml:space="preserve">" والخطة الاستراتيجية للاتحاد للفترة </w:t>
      </w:r>
      <w:r w:rsidRPr="005269E6">
        <w:rPr>
          <w:lang w:bidi="ar-SY"/>
        </w:rPr>
        <w:t>2023</w:t>
      </w:r>
      <w:r w:rsidRPr="005269E6">
        <w:rPr>
          <w:lang w:bidi="ar-SY"/>
        </w:rPr>
        <w:noBreakHyphen/>
        <w:t>2020</w:t>
      </w:r>
      <w:r w:rsidRPr="005269E6">
        <w:rPr>
          <w:rtl/>
          <w:lang w:bidi="ar-SY"/>
        </w:rPr>
        <w:t xml:space="preserve"> الواردة في القرار </w:t>
      </w:r>
      <w:r w:rsidRPr="005269E6">
        <w:rPr>
          <w:lang w:bidi="ar-SY"/>
        </w:rPr>
        <w:t>71</w:t>
      </w:r>
      <w:r w:rsidRPr="005269E6">
        <w:rPr>
          <w:rtl/>
          <w:lang w:bidi="ar-SY"/>
        </w:rPr>
        <w:t xml:space="preserve"> (المراجَع في دبي، </w:t>
      </w:r>
      <w:r w:rsidRPr="005269E6">
        <w:rPr>
          <w:lang w:bidi="ar-SY"/>
        </w:rPr>
        <w:t>2018</w:t>
      </w:r>
      <w:r w:rsidRPr="005269E6">
        <w:rPr>
          <w:rtl/>
          <w:lang w:bidi="ar-SY"/>
        </w:rPr>
        <w:t>).</w:t>
      </w:r>
    </w:p>
    <w:p w14:paraId="549B34EA" w14:textId="77777777" w:rsidR="00834B83" w:rsidRPr="005269E6" w:rsidRDefault="00834B83" w:rsidP="00834B83">
      <w:pPr>
        <w:rPr>
          <w:rtl/>
          <w:lang w:bidi="ar-SY"/>
        </w:rPr>
      </w:pPr>
      <w:r w:rsidRPr="005269E6">
        <w:rPr>
          <w:rtl/>
          <w:lang w:bidi="ar-SY"/>
        </w:rPr>
        <w:t>وعلاوةً على ذلك، تنسق ميزانية البرنامج مع الخطط التشغيلية للقطاعات الثلاثة وللأمانة العامة.</w:t>
      </w:r>
    </w:p>
    <w:p w14:paraId="6149DF2E" w14:textId="77777777" w:rsidR="00834B83" w:rsidRPr="005269E6" w:rsidRDefault="00834B83" w:rsidP="00834B83">
      <w:pPr>
        <w:rPr>
          <w:spacing w:val="-4"/>
          <w:rtl/>
          <w:lang w:bidi="ar-EG"/>
        </w:rPr>
      </w:pPr>
      <w:r w:rsidRPr="005269E6">
        <w:rPr>
          <w:spacing w:val="-4"/>
          <w:rtl/>
          <w:lang w:bidi="ar-SY"/>
        </w:rPr>
        <w:t xml:space="preserve">وعملاً بالمعيار </w:t>
      </w:r>
      <w:r w:rsidRPr="005269E6">
        <w:rPr>
          <w:spacing w:val="-4"/>
          <w:lang w:val="fr-CH" w:bidi="ar-SY"/>
        </w:rPr>
        <w:t>IPSAS 24</w:t>
      </w:r>
      <w:r w:rsidRPr="005269E6">
        <w:rPr>
          <w:spacing w:val="-4"/>
          <w:rtl/>
          <w:lang w:bidi="ar-SY"/>
        </w:rPr>
        <w:t>، ينبغي تضمين مقارنة للمبالغ المدرجة في الميزانية مع المبالغ الفعلية في البيانات المالية السنوية. ولذا يتألف مشروع ميزانية الاتحاد للفترة 2022-2023 من ميزانيتين سنويتين. وقد تم إعداد تقدير لميزانية كل من السنتين الماليتين.</w:t>
      </w:r>
    </w:p>
    <w:p w14:paraId="6A03D04F" w14:textId="77777777" w:rsidR="00834B83" w:rsidRPr="005269E6" w:rsidRDefault="00834B83" w:rsidP="00834B83">
      <w:pPr>
        <w:rPr>
          <w:lang w:bidi="ar-EG"/>
        </w:rPr>
      </w:pPr>
      <w:r w:rsidRPr="005269E6">
        <w:rPr>
          <w:rtl/>
          <w:lang w:bidi="ar-SY"/>
        </w:rPr>
        <w:t>وقد أقر المجلس، في دورته لعام 2021 في القرار 1405</w:t>
      </w:r>
      <w:r w:rsidRPr="005269E6">
        <w:t xml:space="preserve">(C21/97) </w:t>
      </w:r>
      <w:r w:rsidRPr="005269E6">
        <w:rPr>
          <w:rtl/>
          <w:lang w:bidi="ar-SY"/>
        </w:rPr>
        <w:t>، الميزانية النهائية للسنة المالية 2022. ويحتوي البيان الخامس على مقارنة بين الميزانية النهائية والمبالغ الفعلية. وبما أن إعداد الميزانية والبيانات المالية لا يقوم على نفس الأساس، فإن البيان الخامس يحتوي على توفيق للمبالغ الواردة في الميزانية والمبالغ الواردة في البيان الثاني (بيان الأداء المالي). وتمثل فروق حدود التصنيف إدماج الموارد الخارجة عن الميزانية في البيانات المالية للاتحاد.</w:t>
      </w:r>
    </w:p>
    <w:p w14:paraId="25408A52" w14:textId="50C16084" w:rsidR="00C543C6" w:rsidRPr="005269E6" w:rsidRDefault="00C543C6" w:rsidP="00696AA6">
      <w:pPr>
        <w:pStyle w:val="Heading5"/>
        <w:rPr>
          <w:rtl/>
        </w:rPr>
      </w:pPr>
      <w:bookmarkStart w:id="290" w:name="_Toc329296022"/>
      <w:bookmarkStart w:id="291" w:name="_Toc358648342"/>
      <w:bookmarkStart w:id="292" w:name="_Toc358648541"/>
      <w:bookmarkStart w:id="293" w:name="_Toc387263372"/>
      <w:bookmarkStart w:id="294" w:name="_Toc387338347"/>
      <w:bookmarkStart w:id="295" w:name="_Toc419484069"/>
      <w:bookmarkStart w:id="296" w:name="_Toc452156621"/>
      <w:bookmarkStart w:id="297" w:name="_Toc482792207"/>
      <w:bookmarkStart w:id="298" w:name="_Toc482793712"/>
      <w:bookmarkStart w:id="299" w:name="_Toc511402227"/>
      <w:bookmarkStart w:id="300" w:name="_Toc511756664"/>
      <w:bookmarkStart w:id="301" w:name="_Toc9614783"/>
      <w:bookmarkStart w:id="302" w:name="_Toc42013538"/>
      <w:bookmarkStart w:id="303" w:name="_Toc42014539"/>
      <w:bookmarkStart w:id="304" w:name="_Toc74061571"/>
      <w:bookmarkStart w:id="305" w:name="_Toc162520622"/>
      <w:r w:rsidRPr="005269E6">
        <w:rPr>
          <w:rtl/>
        </w:rPr>
        <w:t xml:space="preserve">الملاحظة </w:t>
      </w:r>
      <w:r w:rsidR="00DF16B8" w:rsidRPr="005269E6">
        <w:t>4</w:t>
      </w:r>
      <w:r w:rsidRPr="005269E6">
        <w:rPr>
          <w:rFonts w:hint="cs"/>
          <w:rtl/>
        </w:rPr>
        <w:tab/>
      </w:r>
      <w:r w:rsidRPr="005269E6">
        <w:rPr>
          <w:rtl/>
        </w:rPr>
        <w:t>إدارة صافي الأصول</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6CD7C73" w14:textId="77777777" w:rsidR="00DF16B8" w:rsidRPr="005269E6" w:rsidRDefault="00C543C6" w:rsidP="00DF16B8">
      <w:pPr>
        <w:rPr>
          <w:rtl/>
          <w:lang w:bidi="ar-EG"/>
        </w:rPr>
      </w:pPr>
      <w:r w:rsidRPr="005269E6">
        <w:rPr>
          <w:rtl/>
          <w:lang w:bidi="ar-EG"/>
        </w:rPr>
        <w:t xml:space="preserve">يتألف </w:t>
      </w:r>
      <w:r w:rsidRPr="005269E6">
        <w:rPr>
          <w:rtl/>
        </w:rPr>
        <w:t>صافي</w:t>
      </w:r>
      <w:r w:rsidRPr="005269E6">
        <w:rPr>
          <w:rtl/>
          <w:lang w:bidi="ar-EG"/>
        </w:rPr>
        <w:t xml:space="preserve"> أصول الاتحاد من</w:t>
      </w:r>
      <w:r w:rsidR="00DF16B8" w:rsidRPr="005269E6">
        <w:rPr>
          <w:rFonts w:hint="cs"/>
          <w:rtl/>
          <w:lang w:bidi="ar-EG"/>
        </w:rPr>
        <w:t>:</w:t>
      </w:r>
    </w:p>
    <w:p w14:paraId="5D882B42" w14:textId="786E11A7" w:rsidR="00DF16B8" w:rsidRPr="005269E6" w:rsidRDefault="00DF16B8" w:rsidP="006137DE">
      <w:pPr>
        <w:pStyle w:val="enumlev1"/>
        <w:rPr>
          <w:rtl/>
        </w:rPr>
      </w:pPr>
      <w:r w:rsidRPr="005269E6">
        <w:lastRenderedPageBreak/>
        <w:sym w:font="Symbol" w:char="F0B7"/>
      </w:r>
      <w:r w:rsidRPr="005269E6">
        <w:rPr>
          <w:rtl/>
        </w:rPr>
        <w:tab/>
      </w:r>
      <w:r w:rsidR="006137DE" w:rsidRPr="005269E6">
        <w:rPr>
          <w:rtl/>
        </w:rPr>
        <w:t>حساب احتياطي الاتحاد؛</w:t>
      </w:r>
    </w:p>
    <w:p w14:paraId="7B160B81" w14:textId="69F62309" w:rsidR="00DF16B8" w:rsidRPr="005269E6" w:rsidRDefault="00DF16B8" w:rsidP="006137DE">
      <w:pPr>
        <w:pStyle w:val="enumlev1"/>
        <w:rPr>
          <w:rtl/>
        </w:rPr>
      </w:pPr>
      <w:r w:rsidRPr="005269E6">
        <w:sym w:font="Symbol" w:char="F0B7"/>
      </w:r>
      <w:r w:rsidRPr="005269E6">
        <w:rPr>
          <w:rtl/>
        </w:rPr>
        <w:tab/>
      </w:r>
      <w:r w:rsidR="006137DE" w:rsidRPr="005269E6">
        <w:rPr>
          <w:rFonts w:hint="cs"/>
          <w:rtl/>
          <w:lang w:bidi="ar-EG"/>
        </w:rPr>
        <w:t>الحسابات الاحتياطية</w:t>
      </w:r>
      <w:r w:rsidRPr="005269E6">
        <w:rPr>
          <w:rFonts w:hint="cs"/>
          <w:rtl/>
        </w:rPr>
        <w:t xml:space="preserve"> </w:t>
      </w:r>
      <w:r w:rsidR="006137DE" w:rsidRPr="005269E6">
        <w:rPr>
          <w:rtl/>
        </w:rPr>
        <w:t>والصناديق الأخرى؛</w:t>
      </w:r>
    </w:p>
    <w:p w14:paraId="122EC2E1" w14:textId="682907A2" w:rsidR="006137DE" w:rsidRPr="005269E6" w:rsidRDefault="00DF16B8" w:rsidP="006137DE">
      <w:pPr>
        <w:pStyle w:val="enumlev1"/>
        <w:rPr>
          <w:rtl/>
        </w:rPr>
      </w:pPr>
      <w:r w:rsidRPr="005269E6">
        <w:sym w:font="Symbol" w:char="F0B7"/>
      </w:r>
      <w:r w:rsidRPr="005269E6">
        <w:rPr>
          <w:rtl/>
        </w:rPr>
        <w:tab/>
      </w:r>
      <w:r w:rsidR="006137DE" w:rsidRPr="005269E6">
        <w:rPr>
          <w:rFonts w:hint="cs"/>
          <w:rtl/>
          <w:lang w:bidi="ar-EG"/>
        </w:rPr>
        <w:t>الحسابات الاحتياطية</w:t>
      </w:r>
      <w:r w:rsidR="006137DE" w:rsidRPr="005269E6">
        <w:rPr>
          <w:rtl/>
        </w:rPr>
        <w:t xml:space="preserve"> من خارج الميزانية؛</w:t>
      </w:r>
    </w:p>
    <w:p w14:paraId="00D14B8D" w14:textId="76B67CF5" w:rsidR="00DF16B8" w:rsidRPr="005269E6" w:rsidRDefault="00DF16B8" w:rsidP="003C3E04">
      <w:pPr>
        <w:pStyle w:val="enumlev1"/>
        <w:rPr>
          <w:rtl/>
        </w:rPr>
      </w:pPr>
      <w:r w:rsidRPr="005269E6">
        <w:sym w:font="Symbol" w:char="F0B7"/>
      </w:r>
      <w:r w:rsidRPr="005269E6">
        <w:rPr>
          <w:rtl/>
        </w:rPr>
        <w:tab/>
      </w:r>
      <w:r w:rsidR="003C3E04" w:rsidRPr="005269E6">
        <w:rPr>
          <w:rtl/>
        </w:rPr>
        <w:t>المكاسب/(الخسائر) ال</w:t>
      </w:r>
      <w:r w:rsidR="0059394B" w:rsidRPr="005269E6">
        <w:rPr>
          <w:rFonts w:hint="cs"/>
          <w:rtl/>
        </w:rPr>
        <w:t>إكتواري</w:t>
      </w:r>
      <w:r w:rsidR="003C3E04" w:rsidRPr="005269E6">
        <w:rPr>
          <w:rtl/>
        </w:rPr>
        <w:t>ة للتأمين الصحي بعد نهاية الخدمة</w:t>
      </w:r>
      <w:r w:rsidR="003C3E04" w:rsidRPr="005269E6">
        <w:rPr>
          <w:rFonts w:hint="cs"/>
          <w:rtl/>
        </w:rPr>
        <w:t xml:space="preserve"> (</w:t>
      </w:r>
      <w:r w:rsidR="003C3E04" w:rsidRPr="005269E6">
        <w:t>ASHI</w:t>
      </w:r>
      <w:r w:rsidR="003C3E04" w:rsidRPr="005269E6">
        <w:rPr>
          <w:rFonts w:hint="cs"/>
          <w:rtl/>
        </w:rPr>
        <w:t>)</w:t>
      </w:r>
      <w:r w:rsidR="003C3E04" w:rsidRPr="005269E6">
        <w:rPr>
          <w:rtl/>
        </w:rPr>
        <w:t xml:space="preserve"> من خلال صافي الأصول</w:t>
      </w:r>
      <w:r w:rsidR="00710D07" w:rsidRPr="005269E6">
        <w:rPr>
          <w:rFonts w:hint="cs"/>
          <w:rtl/>
        </w:rPr>
        <w:t>؛</w:t>
      </w:r>
    </w:p>
    <w:p w14:paraId="0FC38167" w14:textId="573280DC" w:rsidR="00DF16B8" w:rsidRPr="005269E6" w:rsidRDefault="00DF16B8" w:rsidP="003C3E04">
      <w:pPr>
        <w:pStyle w:val="enumlev1"/>
        <w:rPr>
          <w:rtl/>
        </w:rPr>
      </w:pPr>
      <w:r w:rsidRPr="005269E6">
        <w:sym w:font="Symbol" w:char="F0B7"/>
      </w:r>
      <w:r w:rsidRPr="005269E6">
        <w:rPr>
          <w:rtl/>
        </w:rPr>
        <w:tab/>
      </w:r>
      <w:r w:rsidR="003C3E04" w:rsidRPr="005269E6">
        <w:rPr>
          <w:rtl/>
        </w:rPr>
        <w:t>الفائض/(العجز)</w:t>
      </w:r>
      <w:r w:rsidR="003C3E04" w:rsidRPr="005269E6">
        <w:rPr>
          <w:rFonts w:hint="cs"/>
          <w:rtl/>
          <w:lang w:bidi="ar-SA"/>
        </w:rPr>
        <w:t xml:space="preserve"> </w:t>
      </w:r>
      <w:r w:rsidR="003C3E04" w:rsidRPr="005269E6">
        <w:rPr>
          <w:rtl/>
        </w:rPr>
        <w:t>المتراكم</w:t>
      </w:r>
      <w:r w:rsidR="00710D07" w:rsidRPr="005269E6">
        <w:rPr>
          <w:rFonts w:hint="cs"/>
          <w:rtl/>
        </w:rPr>
        <w:t>.</w:t>
      </w:r>
    </w:p>
    <w:p w14:paraId="4FC0CCAC" w14:textId="499DFDBE" w:rsidR="006137DE" w:rsidRPr="005269E6" w:rsidRDefault="006137DE" w:rsidP="006137DE">
      <w:pPr>
        <w:spacing w:after="120"/>
        <w:rPr>
          <w:rtl/>
          <w:lang w:bidi="ar-SY"/>
        </w:rPr>
      </w:pPr>
      <w:r w:rsidRPr="005269E6">
        <w:rPr>
          <w:rtl/>
          <w:lang w:bidi="ar-SY"/>
        </w:rPr>
        <w:t>و</w:t>
      </w:r>
      <w:r w:rsidR="003C3E04" w:rsidRPr="005269E6">
        <w:rPr>
          <w:rFonts w:hint="cs"/>
          <w:rtl/>
          <w:lang w:bidi="ar-SY"/>
        </w:rPr>
        <w:t>ت</w:t>
      </w:r>
      <w:r w:rsidRPr="005269E6">
        <w:rPr>
          <w:rtl/>
          <w:lang w:bidi="ar-SY"/>
        </w:rPr>
        <w:t>رد في الجدول أدناه التحركات في حساب الاحتياطي للاتحاد.</w:t>
      </w:r>
    </w:p>
    <w:tbl>
      <w:tblPr>
        <w:bidiVisual/>
        <w:tblW w:w="5000" w:type="pct"/>
        <w:tblLook w:val="04A0" w:firstRow="1" w:lastRow="0" w:firstColumn="1" w:lastColumn="0" w:noHBand="0" w:noVBand="1"/>
      </w:tblPr>
      <w:tblGrid>
        <w:gridCol w:w="4123"/>
        <w:gridCol w:w="2736"/>
        <w:gridCol w:w="2780"/>
      </w:tblGrid>
      <w:tr w:rsidR="00741F97" w:rsidRPr="005269E6" w14:paraId="6596E2D1" w14:textId="77777777" w:rsidTr="00710D07">
        <w:trPr>
          <w:trHeight w:val="860"/>
        </w:trPr>
        <w:tc>
          <w:tcPr>
            <w:tcW w:w="4200" w:type="dxa"/>
            <w:tcBorders>
              <w:top w:val="nil"/>
              <w:left w:val="nil"/>
              <w:bottom w:val="nil"/>
              <w:right w:val="nil"/>
            </w:tcBorders>
            <w:shd w:val="clear" w:color="000000" w:fill="538DD5"/>
            <w:vAlign w:val="center"/>
            <w:hideMark/>
          </w:tcPr>
          <w:p w14:paraId="441A83FB" w14:textId="1C92C5F7" w:rsidR="00741F97" w:rsidRPr="005269E6" w:rsidRDefault="003C3E04" w:rsidP="003C3E0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الوصف (</w:t>
            </w:r>
            <w:r w:rsidRPr="005269E6">
              <w:rPr>
                <w:rFonts w:eastAsia="Times New Roman"/>
                <w:b/>
                <w:bCs/>
                <w:color w:val="000000"/>
                <w:sz w:val="18"/>
                <w:szCs w:val="18"/>
                <w:rtl/>
                <w:lang w:val="en-GB" w:eastAsia="en-GB"/>
              </w:rPr>
              <w:t>بآلاف الفرنكات السويسرية</w:t>
            </w:r>
            <w:r w:rsidRPr="005269E6">
              <w:rPr>
                <w:rFonts w:eastAsia="Times New Roman" w:hint="cs"/>
                <w:b/>
                <w:bCs/>
                <w:color w:val="000000"/>
                <w:sz w:val="18"/>
                <w:szCs w:val="18"/>
                <w:rtl/>
                <w:lang w:val="en-GB" w:eastAsia="en-GB"/>
              </w:rPr>
              <w:t>)</w:t>
            </w:r>
          </w:p>
        </w:tc>
        <w:tc>
          <w:tcPr>
            <w:tcW w:w="2780" w:type="dxa"/>
            <w:tcBorders>
              <w:top w:val="nil"/>
              <w:left w:val="nil"/>
              <w:bottom w:val="nil"/>
              <w:right w:val="nil"/>
            </w:tcBorders>
            <w:shd w:val="clear" w:color="000000" w:fill="538DD5"/>
            <w:vAlign w:val="center"/>
            <w:hideMark/>
          </w:tcPr>
          <w:p w14:paraId="48460E8C" w14:textId="0A77FBB9" w:rsidR="00741F97" w:rsidRPr="005269E6" w:rsidRDefault="00B02462" w:rsidP="002D09F8">
            <w:pPr>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الفائض / (العجز / التسويات) - 31</w:t>
            </w:r>
            <w:r w:rsidR="00352422" w:rsidRPr="005269E6">
              <w:rPr>
                <w:rFonts w:eastAsia="Times New Roman" w:hint="cs"/>
                <w:b/>
                <w:bCs/>
                <w:color w:val="000000"/>
                <w:sz w:val="18"/>
                <w:szCs w:val="18"/>
                <w:rtl/>
                <w:lang w:val="en-GB" w:eastAsia="en-GB"/>
              </w:rPr>
              <w:t> </w:t>
            </w:r>
            <w:r w:rsidRPr="005269E6">
              <w:rPr>
                <w:rFonts w:eastAsia="Times New Roman"/>
                <w:b/>
                <w:bCs/>
                <w:color w:val="000000"/>
                <w:sz w:val="18"/>
                <w:szCs w:val="18"/>
                <w:rtl/>
                <w:lang w:val="en-GB" w:eastAsia="en-GB"/>
              </w:rPr>
              <w:t>ديسمبر 2021</w:t>
            </w:r>
          </w:p>
        </w:tc>
        <w:tc>
          <w:tcPr>
            <w:tcW w:w="2780" w:type="dxa"/>
            <w:tcBorders>
              <w:top w:val="nil"/>
              <w:left w:val="nil"/>
              <w:bottom w:val="nil"/>
              <w:right w:val="nil"/>
            </w:tcBorders>
            <w:shd w:val="clear" w:color="000000" w:fill="538DD5"/>
            <w:vAlign w:val="center"/>
            <w:hideMark/>
          </w:tcPr>
          <w:p w14:paraId="42A8ECF2" w14:textId="106C8430" w:rsidR="00741F97" w:rsidRPr="005269E6" w:rsidRDefault="00B02462" w:rsidP="002D09F8">
            <w:pPr>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الفائض / (العجز / التسويات) - 31</w:t>
            </w:r>
            <w:r w:rsidR="00710D07" w:rsidRPr="005269E6">
              <w:rPr>
                <w:rFonts w:eastAsia="Times New Roman" w:hint="cs"/>
                <w:b/>
                <w:bCs/>
                <w:color w:val="000000"/>
                <w:sz w:val="18"/>
                <w:szCs w:val="18"/>
                <w:rtl/>
                <w:lang w:val="en-GB" w:eastAsia="en-GB"/>
              </w:rPr>
              <w:t> </w:t>
            </w:r>
            <w:r w:rsidRPr="005269E6">
              <w:rPr>
                <w:rFonts w:eastAsia="Times New Roman"/>
                <w:b/>
                <w:bCs/>
                <w:color w:val="000000"/>
                <w:sz w:val="18"/>
                <w:szCs w:val="18"/>
                <w:rtl/>
                <w:lang w:val="en-GB" w:eastAsia="en-GB"/>
              </w:rPr>
              <w:t xml:space="preserve">ديسمبر </w:t>
            </w:r>
            <w:r w:rsidR="002F0AC2" w:rsidRPr="005269E6">
              <w:rPr>
                <w:rFonts w:eastAsia="Times New Roman"/>
                <w:b/>
                <w:bCs/>
                <w:color w:val="000000"/>
                <w:sz w:val="18"/>
                <w:szCs w:val="18"/>
                <w:lang w:val="en-GB" w:eastAsia="en-GB"/>
              </w:rPr>
              <w:t>2022</w:t>
            </w:r>
          </w:p>
        </w:tc>
      </w:tr>
      <w:tr w:rsidR="00741F97" w:rsidRPr="005269E6" w14:paraId="14BE87EA" w14:textId="77777777" w:rsidTr="009B50A4">
        <w:trPr>
          <w:trHeight w:val="105"/>
        </w:trPr>
        <w:tc>
          <w:tcPr>
            <w:tcW w:w="4200" w:type="dxa"/>
            <w:tcBorders>
              <w:top w:val="nil"/>
              <w:left w:val="nil"/>
              <w:bottom w:val="nil"/>
              <w:right w:val="nil"/>
            </w:tcBorders>
            <w:shd w:val="clear" w:color="000000" w:fill="auto"/>
            <w:vAlign w:val="bottom"/>
            <w:hideMark/>
          </w:tcPr>
          <w:p w14:paraId="68886322" w14:textId="77777777" w:rsidR="00741F97" w:rsidRPr="005269E6" w:rsidRDefault="00741F97" w:rsidP="00741F97">
            <w:pPr>
              <w:tabs>
                <w:tab w:val="clear" w:pos="794"/>
              </w:tabs>
              <w:spacing w:before="0" w:line="200" w:lineRule="exact"/>
              <w:jc w:val="center"/>
              <w:rPr>
                <w:rFonts w:eastAsia="Times New Roman"/>
                <w:b/>
                <w:bCs/>
                <w:color w:val="000000"/>
                <w:sz w:val="18"/>
                <w:szCs w:val="18"/>
                <w:lang w:val="en-GB" w:eastAsia="en-GB"/>
              </w:rPr>
            </w:pPr>
          </w:p>
        </w:tc>
        <w:tc>
          <w:tcPr>
            <w:tcW w:w="2780" w:type="dxa"/>
            <w:tcBorders>
              <w:top w:val="nil"/>
              <w:left w:val="nil"/>
              <w:bottom w:val="nil"/>
              <w:right w:val="nil"/>
            </w:tcBorders>
            <w:shd w:val="clear" w:color="000000" w:fill="auto"/>
            <w:vAlign w:val="bottom"/>
            <w:hideMark/>
          </w:tcPr>
          <w:p w14:paraId="53500F2E" w14:textId="77777777" w:rsidR="00741F97" w:rsidRPr="005269E6" w:rsidRDefault="00741F97" w:rsidP="00741F97">
            <w:pPr>
              <w:tabs>
                <w:tab w:val="clear" w:pos="794"/>
              </w:tabs>
              <w:spacing w:before="0" w:line="200" w:lineRule="exact"/>
              <w:jc w:val="center"/>
              <w:rPr>
                <w:rFonts w:eastAsia="Times New Roman"/>
                <w:sz w:val="18"/>
                <w:szCs w:val="18"/>
                <w:lang w:val="en-GB" w:eastAsia="en-GB"/>
              </w:rPr>
            </w:pPr>
          </w:p>
        </w:tc>
        <w:tc>
          <w:tcPr>
            <w:tcW w:w="2780" w:type="dxa"/>
            <w:tcBorders>
              <w:top w:val="nil"/>
              <w:left w:val="nil"/>
              <w:bottom w:val="nil"/>
              <w:right w:val="nil"/>
            </w:tcBorders>
            <w:shd w:val="clear" w:color="000000" w:fill="auto"/>
            <w:noWrap/>
            <w:vAlign w:val="bottom"/>
            <w:hideMark/>
          </w:tcPr>
          <w:p w14:paraId="41632CE8" w14:textId="77777777" w:rsidR="00741F97" w:rsidRPr="005269E6" w:rsidRDefault="00741F97" w:rsidP="00741F97">
            <w:pPr>
              <w:tabs>
                <w:tab w:val="clear" w:pos="794"/>
              </w:tabs>
              <w:spacing w:before="0" w:line="200" w:lineRule="exact"/>
              <w:jc w:val="right"/>
              <w:rPr>
                <w:rFonts w:eastAsia="Times New Roman"/>
                <w:sz w:val="18"/>
                <w:szCs w:val="18"/>
                <w:lang w:val="en-GB" w:eastAsia="en-GB"/>
              </w:rPr>
            </w:pPr>
          </w:p>
        </w:tc>
      </w:tr>
      <w:tr w:rsidR="00741F97" w:rsidRPr="005269E6" w14:paraId="30ABEC15" w14:textId="77777777" w:rsidTr="00710D07">
        <w:trPr>
          <w:trHeight w:val="365"/>
        </w:trPr>
        <w:tc>
          <w:tcPr>
            <w:tcW w:w="4200" w:type="dxa"/>
            <w:tcBorders>
              <w:top w:val="nil"/>
              <w:left w:val="nil"/>
              <w:bottom w:val="nil"/>
              <w:right w:val="nil"/>
            </w:tcBorders>
            <w:shd w:val="clear" w:color="000000" w:fill="auto"/>
            <w:vAlign w:val="bottom"/>
            <w:hideMark/>
          </w:tcPr>
          <w:p w14:paraId="6C70E85B" w14:textId="3208AE00" w:rsidR="00741F97" w:rsidRPr="005269E6" w:rsidRDefault="00B02462" w:rsidP="002D09F8">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 xml:space="preserve">الرصيد الافتتاحي - 01 يناير 2021 و2022 (معاد </w:t>
            </w:r>
            <w:r w:rsidRPr="005269E6">
              <w:rPr>
                <w:rFonts w:eastAsia="Times New Roman" w:hint="cs"/>
                <w:b/>
                <w:bCs/>
                <w:color w:val="000000"/>
                <w:sz w:val="18"/>
                <w:szCs w:val="18"/>
                <w:rtl/>
                <w:lang w:val="en-GB" w:eastAsia="en-GB"/>
              </w:rPr>
              <w:t>بيانه</w:t>
            </w:r>
            <w:r w:rsidRPr="005269E6">
              <w:rPr>
                <w:rFonts w:eastAsia="Times New Roman"/>
                <w:b/>
                <w:bCs/>
                <w:color w:val="000000"/>
                <w:sz w:val="18"/>
                <w:szCs w:val="18"/>
                <w:rtl/>
                <w:lang w:val="en-GB" w:eastAsia="en-GB"/>
              </w:rPr>
              <w:t>)</w:t>
            </w:r>
          </w:p>
        </w:tc>
        <w:tc>
          <w:tcPr>
            <w:tcW w:w="2780" w:type="dxa"/>
            <w:tcBorders>
              <w:top w:val="nil"/>
              <w:left w:val="nil"/>
              <w:bottom w:val="nil"/>
              <w:right w:val="nil"/>
            </w:tcBorders>
            <w:shd w:val="clear" w:color="000000" w:fill="auto"/>
            <w:vAlign w:val="bottom"/>
            <w:hideMark/>
          </w:tcPr>
          <w:p w14:paraId="428EEEC8" w14:textId="4D6743D9" w:rsidR="00741F97" w:rsidRPr="005269E6" w:rsidRDefault="00EB5487" w:rsidP="00CF6D39">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val="en-GB" w:eastAsia="en-GB"/>
              </w:rPr>
              <w:t>29 344</w:t>
            </w:r>
          </w:p>
        </w:tc>
        <w:tc>
          <w:tcPr>
            <w:tcW w:w="2780" w:type="dxa"/>
            <w:tcBorders>
              <w:top w:val="nil"/>
              <w:left w:val="nil"/>
              <w:bottom w:val="nil"/>
              <w:right w:val="nil"/>
            </w:tcBorders>
            <w:shd w:val="clear" w:color="000000" w:fill="auto"/>
            <w:noWrap/>
            <w:vAlign w:val="bottom"/>
            <w:hideMark/>
          </w:tcPr>
          <w:p w14:paraId="006B5516" w14:textId="5C77B84B" w:rsidR="00741F97" w:rsidRPr="005269E6" w:rsidRDefault="00EB5487"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29 388</w:t>
            </w:r>
          </w:p>
        </w:tc>
      </w:tr>
      <w:tr w:rsidR="00741F97" w:rsidRPr="005269E6" w14:paraId="31904D25" w14:textId="77777777" w:rsidTr="009B50A4">
        <w:trPr>
          <w:trHeight w:val="289"/>
        </w:trPr>
        <w:tc>
          <w:tcPr>
            <w:tcW w:w="4200" w:type="dxa"/>
            <w:tcBorders>
              <w:top w:val="nil"/>
              <w:left w:val="nil"/>
              <w:bottom w:val="nil"/>
              <w:right w:val="nil"/>
            </w:tcBorders>
            <w:shd w:val="clear" w:color="000000" w:fill="auto"/>
            <w:vAlign w:val="bottom"/>
            <w:hideMark/>
          </w:tcPr>
          <w:p w14:paraId="4E8CB938" w14:textId="5434D6D9" w:rsidR="00741F97" w:rsidRPr="005269E6" w:rsidRDefault="00B02462" w:rsidP="00B02462">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تخصيص الفائض من م</w:t>
            </w:r>
            <w:r w:rsidRPr="005269E6">
              <w:rPr>
                <w:rFonts w:eastAsia="Times New Roman" w:hint="cs"/>
                <w:color w:val="000000"/>
                <w:sz w:val="18"/>
                <w:szCs w:val="18"/>
                <w:rtl/>
                <w:lang w:val="en-GB" w:eastAsia="en-GB"/>
              </w:rPr>
              <w:t>ي</w:t>
            </w:r>
            <w:r w:rsidRPr="005269E6">
              <w:rPr>
                <w:rFonts w:eastAsia="Times New Roman"/>
                <w:color w:val="000000"/>
                <w:sz w:val="18"/>
                <w:szCs w:val="18"/>
                <w:rtl/>
                <w:lang w:val="en-GB" w:eastAsia="en-GB"/>
              </w:rPr>
              <w:t>ز</w:t>
            </w:r>
            <w:r w:rsidRPr="005269E6">
              <w:rPr>
                <w:rFonts w:eastAsia="Times New Roman" w:hint="cs"/>
                <w:color w:val="000000"/>
                <w:sz w:val="18"/>
                <w:szCs w:val="18"/>
                <w:rtl/>
                <w:lang w:val="en-GB" w:eastAsia="en-GB"/>
              </w:rPr>
              <w:t>ا</w:t>
            </w:r>
            <w:r w:rsidRPr="005269E6">
              <w:rPr>
                <w:rFonts w:eastAsia="Times New Roman"/>
                <w:color w:val="000000"/>
                <w:sz w:val="18"/>
                <w:szCs w:val="18"/>
                <w:rtl/>
                <w:lang w:val="en-GB" w:eastAsia="en-GB"/>
              </w:rPr>
              <w:t>ن</w:t>
            </w:r>
            <w:r w:rsidRPr="005269E6">
              <w:rPr>
                <w:rFonts w:eastAsia="Times New Roman" w:hint="cs"/>
                <w:color w:val="000000"/>
                <w:sz w:val="18"/>
                <w:szCs w:val="18"/>
                <w:rtl/>
                <w:lang w:val="en-GB" w:eastAsia="en-GB"/>
              </w:rPr>
              <w:t>ي</w:t>
            </w:r>
            <w:r w:rsidRPr="005269E6">
              <w:rPr>
                <w:rFonts w:eastAsia="Times New Roman"/>
                <w:color w:val="000000"/>
                <w:sz w:val="18"/>
                <w:szCs w:val="18"/>
                <w:rtl/>
                <w:lang w:val="en-GB" w:eastAsia="en-GB"/>
              </w:rPr>
              <w:t>ة</w:t>
            </w:r>
            <w:r w:rsidRPr="005269E6">
              <w:rPr>
                <w:rFonts w:eastAsia="Times New Roman" w:hint="cs"/>
                <w:color w:val="000000"/>
                <w:sz w:val="18"/>
                <w:szCs w:val="18"/>
                <w:rtl/>
                <w:lang w:val="en-GB" w:eastAsia="en-GB"/>
              </w:rPr>
              <w:t xml:space="preserve"> عام</w:t>
            </w:r>
            <w:r w:rsidRPr="005269E6">
              <w:rPr>
                <w:rFonts w:eastAsia="Times New Roman"/>
                <w:color w:val="000000"/>
                <w:sz w:val="18"/>
                <w:szCs w:val="18"/>
                <w:rtl/>
                <w:lang w:val="en-GB" w:eastAsia="en-GB"/>
              </w:rPr>
              <w:t xml:space="preserve"> 2021</w:t>
            </w:r>
          </w:p>
        </w:tc>
        <w:tc>
          <w:tcPr>
            <w:tcW w:w="2780" w:type="dxa"/>
            <w:tcBorders>
              <w:top w:val="nil"/>
              <w:left w:val="nil"/>
              <w:bottom w:val="nil"/>
              <w:right w:val="nil"/>
            </w:tcBorders>
            <w:shd w:val="clear" w:color="auto" w:fill="auto"/>
            <w:vAlign w:val="bottom"/>
            <w:hideMark/>
          </w:tcPr>
          <w:p w14:paraId="07AA8BA7" w14:textId="13BE4793" w:rsidR="00741F97" w:rsidRPr="005269E6" w:rsidRDefault="00741F97"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44 </w:t>
            </w:r>
          </w:p>
        </w:tc>
        <w:tc>
          <w:tcPr>
            <w:tcW w:w="2780" w:type="dxa"/>
            <w:tcBorders>
              <w:top w:val="nil"/>
              <w:left w:val="nil"/>
              <w:bottom w:val="nil"/>
              <w:right w:val="nil"/>
            </w:tcBorders>
            <w:shd w:val="clear" w:color="auto" w:fill="auto"/>
            <w:noWrap/>
            <w:vAlign w:val="bottom"/>
            <w:hideMark/>
          </w:tcPr>
          <w:p w14:paraId="34BC297C" w14:textId="77777777" w:rsidR="00741F97" w:rsidRPr="005269E6" w:rsidRDefault="00741F97" w:rsidP="00CF6D39">
            <w:pPr>
              <w:tabs>
                <w:tab w:val="clear" w:pos="794"/>
              </w:tabs>
              <w:spacing w:before="40" w:after="40" w:line="240" w:lineRule="exact"/>
              <w:jc w:val="left"/>
              <w:rPr>
                <w:rFonts w:eastAsia="Times New Roman"/>
                <w:color w:val="000000"/>
                <w:sz w:val="18"/>
                <w:szCs w:val="18"/>
                <w:lang w:val="en-GB" w:eastAsia="en-GB"/>
              </w:rPr>
            </w:pPr>
          </w:p>
        </w:tc>
      </w:tr>
      <w:tr w:rsidR="00741F97" w:rsidRPr="005269E6" w14:paraId="0A3D68D1" w14:textId="77777777" w:rsidTr="009B50A4">
        <w:trPr>
          <w:trHeight w:val="289"/>
        </w:trPr>
        <w:tc>
          <w:tcPr>
            <w:tcW w:w="4200" w:type="dxa"/>
            <w:tcBorders>
              <w:top w:val="nil"/>
              <w:left w:val="nil"/>
              <w:bottom w:val="nil"/>
              <w:right w:val="nil"/>
            </w:tcBorders>
            <w:shd w:val="clear" w:color="000000" w:fill="auto"/>
            <w:vAlign w:val="bottom"/>
            <w:hideMark/>
          </w:tcPr>
          <w:p w14:paraId="07EC48C8" w14:textId="1AD4210F" w:rsidR="00741F97" w:rsidRPr="005269E6" w:rsidRDefault="00B02462" w:rsidP="00B02462">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التحويل إلى صندوق التأمين الصحي بعد انتهاء الخدمة</w:t>
            </w:r>
          </w:p>
        </w:tc>
        <w:tc>
          <w:tcPr>
            <w:tcW w:w="2780" w:type="dxa"/>
            <w:tcBorders>
              <w:top w:val="nil"/>
              <w:left w:val="nil"/>
              <w:bottom w:val="nil"/>
              <w:right w:val="nil"/>
            </w:tcBorders>
            <w:shd w:val="clear" w:color="auto" w:fill="auto"/>
            <w:vAlign w:val="bottom"/>
            <w:hideMark/>
          </w:tcPr>
          <w:p w14:paraId="0EB0C6F3" w14:textId="09E08BD3" w:rsidR="00741F97" w:rsidRPr="005269E6" w:rsidRDefault="00741F97" w:rsidP="00CF6D39">
            <w:pPr>
              <w:tabs>
                <w:tab w:val="clear" w:pos="794"/>
              </w:tabs>
              <w:spacing w:before="40" w:after="40" w:line="240" w:lineRule="exact"/>
              <w:jc w:val="left"/>
              <w:rPr>
                <w:rFonts w:eastAsia="Times New Roman"/>
                <w:color w:val="000000"/>
                <w:sz w:val="18"/>
                <w:szCs w:val="18"/>
                <w:lang w:val="en-GB" w:eastAsia="en-GB"/>
              </w:rPr>
            </w:pPr>
          </w:p>
        </w:tc>
        <w:tc>
          <w:tcPr>
            <w:tcW w:w="2780" w:type="dxa"/>
            <w:tcBorders>
              <w:top w:val="nil"/>
              <w:left w:val="nil"/>
              <w:bottom w:val="nil"/>
              <w:right w:val="nil"/>
            </w:tcBorders>
            <w:shd w:val="clear" w:color="auto" w:fill="auto"/>
            <w:noWrap/>
            <w:vAlign w:val="bottom"/>
            <w:hideMark/>
          </w:tcPr>
          <w:p w14:paraId="2ECD04C9" w14:textId="3477D547" w:rsidR="00741F97" w:rsidRPr="005269E6" w:rsidRDefault="009B50A4"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w:t>
            </w:r>
            <w:r w:rsidR="00686666"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000)</w:t>
            </w:r>
          </w:p>
        </w:tc>
      </w:tr>
      <w:tr w:rsidR="00741F97" w:rsidRPr="005269E6" w14:paraId="21BC9815" w14:textId="77777777" w:rsidTr="00710D07">
        <w:trPr>
          <w:trHeight w:val="53"/>
        </w:trPr>
        <w:tc>
          <w:tcPr>
            <w:tcW w:w="4200" w:type="dxa"/>
            <w:tcBorders>
              <w:top w:val="nil"/>
              <w:left w:val="nil"/>
              <w:bottom w:val="nil"/>
              <w:right w:val="nil"/>
            </w:tcBorders>
            <w:shd w:val="clear" w:color="000000" w:fill="auto"/>
            <w:vAlign w:val="bottom"/>
            <w:hideMark/>
          </w:tcPr>
          <w:p w14:paraId="23C54F53" w14:textId="77777777" w:rsidR="00741F97" w:rsidRPr="005269E6" w:rsidRDefault="00741F97" w:rsidP="009B50A4">
            <w:pPr>
              <w:tabs>
                <w:tab w:val="clear" w:pos="794"/>
              </w:tabs>
              <w:spacing w:before="0" w:line="200" w:lineRule="exact"/>
              <w:jc w:val="left"/>
              <w:rPr>
                <w:rFonts w:eastAsia="Times New Roman"/>
                <w:color w:val="000000"/>
                <w:sz w:val="18"/>
                <w:szCs w:val="18"/>
                <w:lang w:val="en-GB" w:eastAsia="en-GB"/>
              </w:rPr>
            </w:pPr>
          </w:p>
        </w:tc>
        <w:tc>
          <w:tcPr>
            <w:tcW w:w="2780" w:type="dxa"/>
            <w:tcBorders>
              <w:top w:val="nil"/>
              <w:left w:val="nil"/>
              <w:bottom w:val="nil"/>
              <w:right w:val="nil"/>
            </w:tcBorders>
            <w:shd w:val="clear" w:color="000000" w:fill="auto"/>
            <w:vAlign w:val="bottom"/>
            <w:hideMark/>
          </w:tcPr>
          <w:p w14:paraId="6380F38C" w14:textId="77777777" w:rsidR="00741F97" w:rsidRPr="005269E6" w:rsidRDefault="00741F97" w:rsidP="00CF6D39">
            <w:pPr>
              <w:tabs>
                <w:tab w:val="clear" w:pos="794"/>
              </w:tabs>
              <w:spacing w:before="0" w:line="200" w:lineRule="exact"/>
              <w:jc w:val="left"/>
              <w:rPr>
                <w:rFonts w:eastAsia="Times New Roman"/>
                <w:sz w:val="18"/>
                <w:szCs w:val="18"/>
                <w:lang w:val="en-GB" w:eastAsia="en-GB"/>
              </w:rPr>
            </w:pPr>
          </w:p>
        </w:tc>
        <w:tc>
          <w:tcPr>
            <w:tcW w:w="2780" w:type="dxa"/>
            <w:tcBorders>
              <w:top w:val="nil"/>
              <w:left w:val="nil"/>
              <w:bottom w:val="nil"/>
              <w:right w:val="nil"/>
            </w:tcBorders>
            <w:shd w:val="clear" w:color="000000" w:fill="auto"/>
            <w:noWrap/>
            <w:vAlign w:val="bottom"/>
            <w:hideMark/>
          </w:tcPr>
          <w:p w14:paraId="650C3E3D" w14:textId="77777777" w:rsidR="00741F97" w:rsidRPr="005269E6" w:rsidRDefault="00741F97" w:rsidP="00CF6D39">
            <w:pPr>
              <w:tabs>
                <w:tab w:val="clear" w:pos="794"/>
              </w:tabs>
              <w:spacing w:before="0" w:line="200" w:lineRule="exact"/>
              <w:jc w:val="left"/>
              <w:rPr>
                <w:rFonts w:eastAsia="Times New Roman"/>
                <w:sz w:val="18"/>
                <w:szCs w:val="18"/>
                <w:lang w:val="en-GB" w:eastAsia="en-GB"/>
              </w:rPr>
            </w:pPr>
          </w:p>
        </w:tc>
      </w:tr>
      <w:tr w:rsidR="00741F97" w:rsidRPr="005269E6" w14:paraId="74B98996" w14:textId="77777777" w:rsidTr="009B50A4">
        <w:trPr>
          <w:trHeight w:val="510"/>
        </w:trPr>
        <w:tc>
          <w:tcPr>
            <w:tcW w:w="4200" w:type="dxa"/>
            <w:tcBorders>
              <w:top w:val="nil"/>
              <w:left w:val="nil"/>
              <w:bottom w:val="nil"/>
              <w:right w:val="nil"/>
            </w:tcBorders>
            <w:shd w:val="clear" w:color="000000" w:fill="538DD5"/>
            <w:vAlign w:val="center"/>
            <w:hideMark/>
          </w:tcPr>
          <w:p w14:paraId="5B232303" w14:textId="3BAD9D70" w:rsidR="00741F97" w:rsidRPr="005269E6" w:rsidRDefault="00B02462" w:rsidP="002D09F8">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الختامي - 31 ديسمبر 2021 (معاد بيانه) و2022</w:t>
            </w:r>
          </w:p>
        </w:tc>
        <w:tc>
          <w:tcPr>
            <w:tcW w:w="2780" w:type="dxa"/>
            <w:tcBorders>
              <w:top w:val="nil"/>
              <w:left w:val="nil"/>
              <w:bottom w:val="nil"/>
              <w:right w:val="nil"/>
            </w:tcBorders>
            <w:shd w:val="clear" w:color="000000" w:fill="538DD5"/>
            <w:vAlign w:val="center"/>
            <w:hideMark/>
          </w:tcPr>
          <w:p w14:paraId="6E030B92" w14:textId="2E8508AD" w:rsidR="00741F97" w:rsidRPr="005269E6" w:rsidRDefault="00EB5487"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29 388</w:t>
            </w:r>
          </w:p>
        </w:tc>
        <w:tc>
          <w:tcPr>
            <w:tcW w:w="2780" w:type="dxa"/>
            <w:tcBorders>
              <w:top w:val="nil"/>
              <w:left w:val="nil"/>
              <w:bottom w:val="nil"/>
              <w:right w:val="nil"/>
            </w:tcBorders>
            <w:shd w:val="clear" w:color="000000" w:fill="538DD5"/>
            <w:vAlign w:val="center"/>
            <w:hideMark/>
          </w:tcPr>
          <w:p w14:paraId="05DFC5F2" w14:textId="00258DE5" w:rsidR="00741F97" w:rsidRPr="005269E6" w:rsidRDefault="00EB5487"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28 388</w:t>
            </w:r>
          </w:p>
        </w:tc>
      </w:tr>
    </w:tbl>
    <w:p w14:paraId="0882F49F" w14:textId="75D61F97" w:rsidR="00C543C6" w:rsidRPr="005269E6" w:rsidRDefault="00C543C6" w:rsidP="00484378">
      <w:pPr>
        <w:spacing w:before="240"/>
        <w:rPr>
          <w:rtl/>
          <w:lang w:bidi="ar-EG"/>
        </w:rPr>
      </w:pPr>
      <w:r w:rsidRPr="005269E6">
        <w:rPr>
          <w:rFonts w:hint="cs"/>
          <w:rtl/>
          <w:lang w:bidi="ar-SY"/>
        </w:rPr>
        <w:t xml:space="preserve">وبلغت </w:t>
      </w:r>
      <w:r w:rsidR="00B02462" w:rsidRPr="005269E6">
        <w:rPr>
          <w:rFonts w:hint="cs"/>
          <w:rtl/>
          <w:lang w:bidi="ar-SY"/>
        </w:rPr>
        <w:t>ال</w:t>
      </w:r>
      <w:r w:rsidR="00B02462" w:rsidRPr="005269E6">
        <w:rPr>
          <w:rtl/>
          <w:lang w:bidi="ar-SY"/>
        </w:rPr>
        <w:t xml:space="preserve">أصول </w:t>
      </w:r>
      <w:r w:rsidRPr="005269E6">
        <w:rPr>
          <w:rFonts w:hint="cs"/>
          <w:rtl/>
          <w:lang w:bidi="ar-SY"/>
        </w:rPr>
        <w:t>في حساب الاحتياطي في </w:t>
      </w:r>
      <w:r w:rsidRPr="005269E6">
        <w:rPr>
          <w:lang w:bidi="ar-SY"/>
        </w:rPr>
        <w:t>31</w:t>
      </w:r>
      <w:r w:rsidRPr="005269E6">
        <w:rPr>
          <w:rFonts w:hint="cs"/>
          <w:rtl/>
          <w:lang w:bidi="ar-SY"/>
        </w:rPr>
        <w:t xml:space="preserve"> ديسمبر </w:t>
      </w:r>
      <w:r w:rsidR="009B50A4" w:rsidRPr="005269E6">
        <w:rPr>
          <w:lang w:bidi="ar-SY"/>
        </w:rPr>
        <w:t>2022</w:t>
      </w:r>
      <w:r w:rsidRPr="005269E6">
        <w:rPr>
          <w:rFonts w:hint="cs"/>
          <w:rtl/>
          <w:lang w:bidi="ar-SY"/>
        </w:rPr>
        <w:t xml:space="preserve"> مبلغ </w:t>
      </w:r>
      <w:r w:rsidR="009B50A4" w:rsidRPr="005269E6">
        <w:t>28,4</w:t>
      </w:r>
      <w:r w:rsidRPr="005269E6">
        <w:rPr>
          <w:rFonts w:hint="cs"/>
          <w:rtl/>
          <w:lang w:bidi="ar-SY"/>
        </w:rPr>
        <w:t xml:space="preserve"> مليون فرنك سويسري</w:t>
      </w:r>
      <w:r w:rsidR="00C50ECA" w:rsidRPr="005269E6">
        <w:rPr>
          <w:rFonts w:hint="cs"/>
          <w:rtl/>
          <w:lang w:bidi="ar-SY"/>
        </w:rPr>
        <w:t xml:space="preserve"> (</w:t>
      </w:r>
      <w:r w:rsidR="00C50ECA" w:rsidRPr="005269E6">
        <w:rPr>
          <w:lang w:bidi="ar-SY"/>
        </w:rPr>
        <w:t>2021</w:t>
      </w:r>
      <w:r w:rsidR="00C50ECA" w:rsidRPr="005269E6">
        <w:rPr>
          <w:rFonts w:hint="cs"/>
          <w:rtl/>
          <w:lang w:bidi="ar-SY"/>
        </w:rPr>
        <w:t xml:space="preserve">: </w:t>
      </w:r>
      <w:r w:rsidR="00C50ECA" w:rsidRPr="005269E6">
        <w:rPr>
          <w:lang w:bidi="ar-SY"/>
        </w:rPr>
        <w:t>29,4</w:t>
      </w:r>
      <w:r w:rsidR="00C50ECA" w:rsidRPr="005269E6">
        <w:rPr>
          <w:rFonts w:hint="cs"/>
          <w:rtl/>
          <w:lang w:bidi="ar-SY"/>
        </w:rPr>
        <w:t xml:space="preserve"> مليون فرنك سويسري)</w:t>
      </w:r>
      <w:r w:rsidRPr="005269E6">
        <w:rPr>
          <w:rFonts w:hint="cs"/>
          <w:rtl/>
          <w:lang w:bidi="ar-SY"/>
        </w:rPr>
        <w:t xml:space="preserve">. وتمثل </w:t>
      </w:r>
      <w:bookmarkStart w:id="306" w:name="_Hlk160845067"/>
      <w:r w:rsidRPr="005269E6">
        <w:rPr>
          <w:rFonts w:hint="cs"/>
          <w:rtl/>
          <w:lang w:bidi="ar-SY"/>
        </w:rPr>
        <w:t xml:space="preserve">أصول </w:t>
      </w:r>
      <w:bookmarkEnd w:id="306"/>
      <w:r w:rsidRPr="005269E6">
        <w:rPr>
          <w:rFonts w:hint="cs"/>
          <w:rtl/>
          <w:lang w:bidi="ar-SY"/>
        </w:rPr>
        <w:t xml:space="preserve">حساب الاحتياطي </w:t>
      </w:r>
      <w:r w:rsidRPr="005269E6">
        <w:rPr>
          <w:lang w:bidi="ar-SY"/>
        </w:rPr>
        <w:t>%15,5</w:t>
      </w:r>
      <w:r w:rsidRPr="005269E6">
        <w:rPr>
          <w:rFonts w:hint="cs"/>
          <w:rtl/>
          <w:lang w:bidi="ar-SY"/>
        </w:rPr>
        <w:t xml:space="preserve"> من ميزانية</w:t>
      </w:r>
      <w:r w:rsidRPr="005269E6">
        <w:rPr>
          <w:rFonts w:hint="eastAsia"/>
          <w:rtl/>
          <w:lang w:bidi="ar-SY"/>
        </w:rPr>
        <w:t> </w:t>
      </w:r>
      <w:r w:rsidR="009B50A4" w:rsidRPr="005269E6">
        <w:rPr>
          <w:lang w:bidi="ar-SY"/>
        </w:rPr>
        <w:t>2022</w:t>
      </w:r>
      <w:r w:rsidRPr="005269E6">
        <w:rPr>
          <w:rFonts w:hint="cs"/>
          <w:rtl/>
          <w:lang w:bidi="ar-SY"/>
        </w:rPr>
        <w:t xml:space="preserve">، وهو ما يتجاوز كثيراً العتبة المحددة في المقرر </w:t>
      </w:r>
      <w:r w:rsidRPr="005269E6">
        <w:rPr>
          <w:lang w:bidi="ar-SY"/>
        </w:rPr>
        <w:t>5</w:t>
      </w:r>
      <w:r w:rsidR="003D15DA" w:rsidRPr="005269E6">
        <w:rPr>
          <w:rFonts w:hint="eastAsia"/>
          <w:rtl/>
          <w:lang w:bidi="ar-SY"/>
        </w:rPr>
        <w:t> </w:t>
      </w:r>
      <w:r w:rsidRPr="005269E6">
        <w:rPr>
          <w:rFonts w:hint="cs"/>
          <w:rtl/>
          <w:lang w:bidi="ar-SY"/>
        </w:rPr>
        <w:t xml:space="preserve">(المراجَع في دبي، </w:t>
      </w:r>
      <w:r w:rsidR="009B50A4" w:rsidRPr="005269E6">
        <w:rPr>
          <w:lang w:bidi="ar-SY"/>
        </w:rPr>
        <w:t>2022</w:t>
      </w:r>
      <w:r w:rsidRPr="005269E6">
        <w:rPr>
          <w:rFonts w:hint="cs"/>
          <w:rtl/>
          <w:lang w:bidi="ar-SY"/>
        </w:rPr>
        <w:t>)</w:t>
      </w:r>
      <w:r w:rsidR="009B50A4" w:rsidRPr="005269E6">
        <w:rPr>
          <w:rFonts w:hint="cs"/>
          <w:rtl/>
          <w:lang w:bidi="ar-SY"/>
        </w:rPr>
        <w:t>.</w:t>
      </w:r>
    </w:p>
    <w:p w14:paraId="69DC2590" w14:textId="5839A3F5" w:rsidR="00304F35" w:rsidRPr="005269E6" w:rsidRDefault="00304F35" w:rsidP="00710D07">
      <w:pPr>
        <w:spacing w:after="120"/>
        <w:rPr>
          <w:rtl/>
          <w:lang w:bidi="ar-SY"/>
        </w:rPr>
      </w:pPr>
      <w:r w:rsidRPr="005269E6">
        <w:rPr>
          <w:rtl/>
          <w:lang w:bidi="ar-SY"/>
        </w:rPr>
        <w:t xml:space="preserve">وترد في الجدول أدناه حركة </w:t>
      </w:r>
      <w:r w:rsidRPr="005269E6">
        <w:rPr>
          <w:rFonts w:hint="cs"/>
          <w:rtl/>
          <w:lang w:bidi="ar-SY"/>
        </w:rPr>
        <w:t xml:space="preserve">الحسابات </w:t>
      </w:r>
      <w:r w:rsidRPr="005269E6">
        <w:rPr>
          <w:rtl/>
          <w:lang w:bidi="ar-SY"/>
        </w:rPr>
        <w:t>الاحتياطي</w:t>
      </w:r>
      <w:r w:rsidRPr="005269E6">
        <w:rPr>
          <w:rFonts w:hint="cs"/>
          <w:rtl/>
          <w:lang w:bidi="ar-SY"/>
        </w:rPr>
        <w:t>ة</w:t>
      </w:r>
      <w:r w:rsidRPr="005269E6">
        <w:rPr>
          <w:rtl/>
          <w:lang w:bidi="ar-SY"/>
        </w:rPr>
        <w:t xml:space="preserve"> والأموال الأخرى في الاتحاد.</w:t>
      </w:r>
    </w:p>
    <w:tbl>
      <w:tblPr>
        <w:bidiVisual/>
        <w:tblW w:w="5000" w:type="pct"/>
        <w:tblLook w:val="04A0" w:firstRow="1" w:lastRow="0" w:firstColumn="1" w:lastColumn="0" w:noHBand="0" w:noVBand="1"/>
      </w:tblPr>
      <w:tblGrid>
        <w:gridCol w:w="2036"/>
        <w:gridCol w:w="1073"/>
        <w:gridCol w:w="1004"/>
        <w:gridCol w:w="1186"/>
        <w:gridCol w:w="1075"/>
        <w:gridCol w:w="970"/>
        <w:gridCol w:w="1220"/>
        <w:gridCol w:w="1075"/>
      </w:tblGrid>
      <w:tr w:rsidR="00EB5487" w:rsidRPr="005269E6" w14:paraId="2C2A28CB" w14:textId="77777777" w:rsidTr="009C169E">
        <w:trPr>
          <w:trHeight w:val="765"/>
        </w:trPr>
        <w:tc>
          <w:tcPr>
            <w:tcW w:w="2036" w:type="dxa"/>
            <w:tcBorders>
              <w:top w:val="nil"/>
              <w:left w:val="nil"/>
              <w:bottom w:val="nil"/>
              <w:right w:val="nil"/>
            </w:tcBorders>
            <w:shd w:val="clear" w:color="000000" w:fill="538DD5"/>
            <w:vAlign w:val="center"/>
            <w:hideMark/>
          </w:tcPr>
          <w:p w14:paraId="285A905A" w14:textId="58FCDB8F" w:rsidR="00491396" w:rsidRPr="005269E6" w:rsidRDefault="00304F35" w:rsidP="00710D0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073" w:type="dxa"/>
            <w:tcBorders>
              <w:top w:val="nil"/>
              <w:left w:val="nil"/>
              <w:bottom w:val="nil"/>
              <w:right w:val="nil"/>
            </w:tcBorders>
            <w:shd w:val="clear" w:color="000000" w:fill="538DD5"/>
            <w:vAlign w:val="center"/>
            <w:hideMark/>
          </w:tcPr>
          <w:p w14:paraId="356095E7" w14:textId="0CEAC558" w:rsidR="00491396" w:rsidRPr="005269E6" w:rsidRDefault="00304F35" w:rsidP="00710D07">
            <w:pPr>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01</w:t>
            </w:r>
            <w:r w:rsidRPr="005269E6">
              <w:rPr>
                <w:rFonts w:eastAsia="Times New Roman"/>
                <w:b/>
                <w:bCs/>
                <w:color w:val="000000"/>
                <w:sz w:val="18"/>
                <w:szCs w:val="18"/>
                <w:rtl/>
                <w:lang w:val="en-GB" w:eastAsia="en-GB"/>
              </w:rPr>
              <w:t xml:space="preserve"> يناير 2021 (أعيد </w:t>
            </w:r>
            <w:r w:rsidRPr="005269E6">
              <w:rPr>
                <w:rFonts w:eastAsia="Times New Roman" w:hint="cs"/>
                <w:b/>
                <w:bCs/>
                <w:color w:val="000000"/>
                <w:sz w:val="18"/>
                <w:szCs w:val="18"/>
                <w:rtl/>
                <w:lang w:val="en-GB" w:eastAsia="en-GB"/>
              </w:rPr>
              <w:t>بيانه</w:t>
            </w:r>
            <w:r w:rsidRPr="005269E6">
              <w:rPr>
                <w:rFonts w:eastAsia="Times New Roman"/>
                <w:b/>
                <w:bCs/>
                <w:color w:val="000000"/>
                <w:sz w:val="18"/>
                <w:szCs w:val="18"/>
                <w:rtl/>
                <w:lang w:val="en-GB" w:eastAsia="en-GB"/>
              </w:rPr>
              <w:t>)</w:t>
            </w:r>
          </w:p>
        </w:tc>
        <w:tc>
          <w:tcPr>
            <w:tcW w:w="1004" w:type="dxa"/>
            <w:tcBorders>
              <w:top w:val="nil"/>
              <w:left w:val="nil"/>
              <w:bottom w:val="nil"/>
              <w:right w:val="nil"/>
            </w:tcBorders>
            <w:shd w:val="clear" w:color="000000" w:fill="538DD5"/>
            <w:vAlign w:val="center"/>
            <w:hideMark/>
          </w:tcPr>
          <w:p w14:paraId="55638427" w14:textId="25641E4A" w:rsidR="00491396" w:rsidRPr="005269E6" w:rsidRDefault="00304F35" w:rsidP="00710D07">
            <w:pPr>
              <w:jc w:val="center"/>
              <w:rPr>
                <w:rFonts w:eastAsia="Times New Roman"/>
                <w:b/>
                <w:bCs/>
                <w:color w:val="000000"/>
                <w:spacing w:val="-2"/>
                <w:sz w:val="18"/>
                <w:szCs w:val="18"/>
                <w:lang w:val="en-GB" w:eastAsia="en-GB"/>
              </w:rPr>
            </w:pPr>
            <w:r w:rsidRPr="005269E6">
              <w:rPr>
                <w:rFonts w:eastAsia="Times New Roman"/>
                <w:b/>
                <w:bCs/>
                <w:color w:val="000000"/>
                <w:spacing w:val="-2"/>
                <w:sz w:val="18"/>
                <w:szCs w:val="18"/>
                <w:rtl/>
                <w:lang w:val="en-GB" w:eastAsia="en-GB"/>
              </w:rPr>
              <w:t>فائض / (عجز) - 2021</w:t>
            </w:r>
          </w:p>
        </w:tc>
        <w:tc>
          <w:tcPr>
            <w:tcW w:w="1186" w:type="dxa"/>
            <w:tcBorders>
              <w:top w:val="nil"/>
              <w:left w:val="nil"/>
              <w:bottom w:val="nil"/>
              <w:right w:val="nil"/>
            </w:tcBorders>
            <w:shd w:val="clear" w:color="000000" w:fill="538DD5"/>
            <w:vAlign w:val="center"/>
            <w:hideMark/>
          </w:tcPr>
          <w:p w14:paraId="65D19FB6" w14:textId="1685F7FC" w:rsidR="00491396" w:rsidRPr="005269E6" w:rsidRDefault="00A562E6" w:rsidP="00710D0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 xml:space="preserve">تسويات أخرى - </w:t>
            </w:r>
            <w:r w:rsidR="00491396" w:rsidRPr="005269E6">
              <w:rPr>
                <w:rFonts w:eastAsia="Times New Roman"/>
                <w:b/>
                <w:bCs/>
                <w:color w:val="000000"/>
                <w:sz w:val="18"/>
                <w:szCs w:val="18"/>
                <w:lang w:val="en-GB" w:eastAsia="en-GB"/>
              </w:rPr>
              <w:t>2021</w:t>
            </w:r>
          </w:p>
        </w:tc>
        <w:tc>
          <w:tcPr>
            <w:tcW w:w="1075" w:type="dxa"/>
            <w:tcBorders>
              <w:top w:val="nil"/>
              <w:left w:val="nil"/>
              <w:bottom w:val="nil"/>
              <w:right w:val="nil"/>
            </w:tcBorders>
            <w:shd w:val="clear" w:color="000000" w:fill="538DD5"/>
            <w:vAlign w:val="center"/>
            <w:hideMark/>
          </w:tcPr>
          <w:p w14:paraId="35E8F743" w14:textId="6D0AB1EB" w:rsidR="00491396" w:rsidRPr="005269E6" w:rsidRDefault="00491396" w:rsidP="00710D0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00A562E6" w:rsidRPr="005269E6">
              <w:rPr>
                <w:rFonts w:eastAsia="Times New Roman" w:hint="cs"/>
                <w:b/>
                <w:bCs/>
                <w:color w:val="000000"/>
                <w:sz w:val="18"/>
                <w:szCs w:val="18"/>
                <w:rtl/>
                <w:lang w:val="en-GB" w:eastAsia="en-GB"/>
              </w:rPr>
              <w:t xml:space="preserve"> ديسمبر</w:t>
            </w:r>
            <w:r w:rsidRPr="005269E6">
              <w:rPr>
                <w:rFonts w:eastAsia="Times New Roman"/>
                <w:b/>
                <w:bCs/>
                <w:color w:val="000000"/>
                <w:sz w:val="18"/>
                <w:szCs w:val="18"/>
                <w:lang w:val="en-GB" w:eastAsia="en-GB"/>
              </w:rPr>
              <w:t xml:space="preserve"> 2021</w:t>
            </w:r>
          </w:p>
        </w:tc>
        <w:tc>
          <w:tcPr>
            <w:tcW w:w="970" w:type="dxa"/>
            <w:tcBorders>
              <w:top w:val="nil"/>
              <w:left w:val="nil"/>
              <w:bottom w:val="nil"/>
              <w:right w:val="nil"/>
            </w:tcBorders>
            <w:shd w:val="clear" w:color="000000" w:fill="538DD5"/>
            <w:vAlign w:val="center"/>
            <w:hideMark/>
          </w:tcPr>
          <w:p w14:paraId="45629FA1" w14:textId="01FF65FB" w:rsidR="00491396" w:rsidRPr="005269E6" w:rsidRDefault="00A562E6" w:rsidP="00710D0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 xml:space="preserve">فائض / (عجز) - </w:t>
            </w:r>
            <w:r w:rsidR="00491396" w:rsidRPr="005269E6">
              <w:rPr>
                <w:rFonts w:eastAsia="Times New Roman"/>
                <w:b/>
                <w:bCs/>
                <w:color w:val="000000"/>
                <w:sz w:val="18"/>
                <w:szCs w:val="18"/>
                <w:lang w:val="en-GB" w:eastAsia="en-GB"/>
              </w:rPr>
              <w:t>2022</w:t>
            </w:r>
          </w:p>
        </w:tc>
        <w:tc>
          <w:tcPr>
            <w:tcW w:w="1220" w:type="dxa"/>
            <w:tcBorders>
              <w:top w:val="nil"/>
              <w:left w:val="nil"/>
              <w:bottom w:val="nil"/>
              <w:right w:val="nil"/>
            </w:tcBorders>
            <w:shd w:val="clear" w:color="000000" w:fill="538DD5"/>
            <w:vAlign w:val="center"/>
            <w:hideMark/>
          </w:tcPr>
          <w:p w14:paraId="7392B89B" w14:textId="10686D10" w:rsidR="00491396" w:rsidRPr="005269E6" w:rsidRDefault="00270619" w:rsidP="00710D0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 xml:space="preserve">تسويات أخرى - </w:t>
            </w:r>
            <w:r w:rsidRPr="005269E6">
              <w:rPr>
                <w:rFonts w:eastAsia="Times New Roman"/>
                <w:b/>
                <w:bCs/>
                <w:color w:val="000000"/>
                <w:sz w:val="18"/>
                <w:szCs w:val="18"/>
                <w:lang w:val="en-GB" w:eastAsia="en-GB"/>
              </w:rPr>
              <w:t>2022</w:t>
            </w:r>
          </w:p>
        </w:tc>
        <w:tc>
          <w:tcPr>
            <w:tcW w:w="1075" w:type="dxa"/>
            <w:tcBorders>
              <w:top w:val="nil"/>
              <w:left w:val="nil"/>
              <w:bottom w:val="nil"/>
              <w:right w:val="nil"/>
            </w:tcBorders>
            <w:shd w:val="clear" w:color="000000" w:fill="538DD5"/>
            <w:vAlign w:val="center"/>
            <w:hideMark/>
          </w:tcPr>
          <w:p w14:paraId="5EC0F955" w14:textId="4E58718B" w:rsidR="00491396" w:rsidRPr="005269E6" w:rsidRDefault="00491396" w:rsidP="00710D0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00A562E6" w:rsidRPr="005269E6">
              <w:rPr>
                <w:rFonts w:eastAsia="Times New Roman" w:hint="cs"/>
                <w:b/>
                <w:bCs/>
                <w:color w:val="000000"/>
                <w:sz w:val="18"/>
                <w:szCs w:val="18"/>
                <w:rtl/>
                <w:lang w:val="en-GB" w:eastAsia="en-GB"/>
              </w:rPr>
              <w:t xml:space="preserve"> </w:t>
            </w:r>
            <w:r w:rsidR="00A562E6" w:rsidRPr="005269E6">
              <w:rPr>
                <w:rFonts w:eastAsia="Times New Roman"/>
                <w:b/>
                <w:bCs/>
                <w:color w:val="000000"/>
                <w:sz w:val="18"/>
                <w:szCs w:val="18"/>
                <w:rtl/>
                <w:lang w:val="en-GB" w:eastAsia="en-GB"/>
              </w:rPr>
              <w:t xml:space="preserve">ديسمبر </w:t>
            </w:r>
            <w:r w:rsidRPr="005269E6">
              <w:rPr>
                <w:rFonts w:eastAsia="Times New Roman"/>
                <w:b/>
                <w:bCs/>
                <w:color w:val="000000"/>
                <w:sz w:val="18"/>
                <w:szCs w:val="18"/>
                <w:lang w:val="en-GB" w:eastAsia="en-GB"/>
              </w:rPr>
              <w:t>2022</w:t>
            </w:r>
          </w:p>
        </w:tc>
      </w:tr>
      <w:tr w:rsidR="00491396" w:rsidRPr="005269E6" w14:paraId="51A535FA" w14:textId="77777777" w:rsidTr="009C169E">
        <w:trPr>
          <w:trHeight w:val="255"/>
        </w:trPr>
        <w:tc>
          <w:tcPr>
            <w:tcW w:w="2036" w:type="dxa"/>
            <w:tcBorders>
              <w:top w:val="nil"/>
              <w:left w:val="nil"/>
              <w:bottom w:val="nil"/>
              <w:right w:val="nil"/>
            </w:tcBorders>
            <w:shd w:val="clear" w:color="auto" w:fill="auto"/>
            <w:vAlign w:val="bottom"/>
            <w:hideMark/>
          </w:tcPr>
          <w:p w14:paraId="686BB156" w14:textId="0806ABFD" w:rsidR="00491396" w:rsidRPr="005269E6" w:rsidRDefault="00304F35" w:rsidP="009A605B">
            <w:pPr>
              <w:tabs>
                <w:tab w:val="clear" w:pos="794"/>
              </w:tabs>
              <w:spacing w:before="40" w:after="40" w:line="240" w:lineRule="exact"/>
              <w:jc w:val="left"/>
              <w:rPr>
                <w:rFonts w:eastAsia="Times New Roman"/>
                <w:b/>
                <w:bCs/>
                <w:color w:val="000000"/>
                <w:spacing w:val="-4"/>
                <w:sz w:val="18"/>
                <w:szCs w:val="18"/>
                <w:lang w:val="en-GB" w:eastAsia="en-GB"/>
              </w:rPr>
            </w:pPr>
            <w:r w:rsidRPr="005269E6">
              <w:rPr>
                <w:rFonts w:eastAsia="Times New Roman"/>
                <w:b/>
                <w:bCs/>
                <w:color w:val="000000"/>
                <w:spacing w:val="-4"/>
                <w:sz w:val="18"/>
                <w:szCs w:val="18"/>
                <w:rtl/>
                <w:lang w:val="en-GB" w:eastAsia="en-GB"/>
              </w:rPr>
              <w:t>الحسابات الاحتياطية</w:t>
            </w:r>
            <w:r w:rsidRPr="005269E6">
              <w:rPr>
                <w:rFonts w:eastAsia="Times New Roman" w:hint="cs"/>
                <w:b/>
                <w:bCs/>
                <w:color w:val="000000"/>
                <w:spacing w:val="-4"/>
                <w:sz w:val="18"/>
                <w:szCs w:val="18"/>
                <w:rtl/>
                <w:lang w:val="en-GB" w:eastAsia="en-GB"/>
              </w:rPr>
              <w:t xml:space="preserve"> الأخرى</w:t>
            </w:r>
          </w:p>
        </w:tc>
        <w:tc>
          <w:tcPr>
            <w:tcW w:w="1073" w:type="dxa"/>
            <w:tcBorders>
              <w:top w:val="nil"/>
              <w:left w:val="nil"/>
              <w:bottom w:val="nil"/>
              <w:right w:val="nil"/>
            </w:tcBorders>
            <w:shd w:val="clear" w:color="auto" w:fill="auto"/>
            <w:vAlign w:val="bottom"/>
            <w:hideMark/>
          </w:tcPr>
          <w:p w14:paraId="067F15EC" w14:textId="77777777"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p>
        </w:tc>
        <w:tc>
          <w:tcPr>
            <w:tcW w:w="1004" w:type="dxa"/>
            <w:tcBorders>
              <w:top w:val="nil"/>
              <w:left w:val="nil"/>
              <w:bottom w:val="nil"/>
              <w:right w:val="nil"/>
            </w:tcBorders>
            <w:shd w:val="clear" w:color="auto" w:fill="auto"/>
            <w:vAlign w:val="bottom"/>
            <w:hideMark/>
          </w:tcPr>
          <w:p w14:paraId="5478C4DE"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186" w:type="dxa"/>
            <w:tcBorders>
              <w:top w:val="nil"/>
              <w:left w:val="nil"/>
              <w:bottom w:val="nil"/>
              <w:right w:val="nil"/>
            </w:tcBorders>
            <w:shd w:val="clear" w:color="auto" w:fill="auto"/>
            <w:vAlign w:val="bottom"/>
            <w:hideMark/>
          </w:tcPr>
          <w:p w14:paraId="38255316"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0AF1560D"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970" w:type="dxa"/>
            <w:tcBorders>
              <w:top w:val="nil"/>
              <w:left w:val="nil"/>
              <w:bottom w:val="nil"/>
              <w:right w:val="nil"/>
            </w:tcBorders>
            <w:shd w:val="clear" w:color="auto" w:fill="auto"/>
            <w:vAlign w:val="bottom"/>
            <w:hideMark/>
          </w:tcPr>
          <w:p w14:paraId="677EE924"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220" w:type="dxa"/>
            <w:tcBorders>
              <w:top w:val="nil"/>
              <w:left w:val="nil"/>
              <w:bottom w:val="nil"/>
              <w:right w:val="nil"/>
            </w:tcBorders>
            <w:shd w:val="clear" w:color="auto" w:fill="auto"/>
            <w:vAlign w:val="bottom"/>
            <w:hideMark/>
          </w:tcPr>
          <w:p w14:paraId="0AC301AB"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7623ACB3"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r>
      <w:tr w:rsidR="00491396" w:rsidRPr="005269E6" w14:paraId="02987FA7" w14:textId="77777777" w:rsidTr="009C169E">
        <w:trPr>
          <w:trHeight w:val="255"/>
        </w:trPr>
        <w:tc>
          <w:tcPr>
            <w:tcW w:w="2036" w:type="dxa"/>
            <w:tcBorders>
              <w:top w:val="nil"/>
              <w:left w:val="nil"/>
              <w:bottom w:val="nil"/>
              <w:right w:val="nil"/>
            </w:tcBorders>
            <w:shd w:val="clear" w:color="auto" w:fill="auto"/>
            <w:vAlign w:val="bottom"/>
            <w:hideMark/>
          </w:tcPr>
          <w:p w14:paraId="4A14A7D6" w14:textId="3EE99F28" w:rsidR="00491396" w:rsidRPr="005269E6" w:rsidRDefault="00A562E6" w:rsidP="00A562E6">
            <w:pPr>
              <w:tabs>
                <w:tab w:val="clear" w:pos="794"/>
              </w:tabs>
              <w:spacing w:before="40" w:after="40" w:line="240" w:lineRule="exact"/>
              <w:jc w:val="left"/>
              <w:rPr>
                <w:rFonts w:eastAsia="Times New Roman"/>
                <w:b/>
                <w:bCs/>
                <w:color w:val="000000"/>
                <w:sz w:val="18"/>
                <w:szCs w:val="18"/>
                <w:lang w:val="en" w:eastAsia="en-GB"/>
              </w:rPr>
            </w:pPr>
            <w:r w:rsidRPr="005269E6">
              <w:rPr>
                <w:rFonts w:eastAsia="Times New Roman"/>
                <w:b/>
                <w:bCs/>
                <w:color w:val="000000"/>
                <w:sz w:val="18"/>
                <w:szCs w:val="18"/>
                <w:rtl/>
                <w:lang w:val="en-GB" w:eastAsia="en-GB" w:bidi="ar"/>
              </w:rPr>
              <w:t>الوفورات</w:t>
            </w:r>
            <w:r w:rsidRPr="005269E6">
              <w:rPr>
                <w:rFonts w:eastAsia="Times New Roman"/>
                <w:b/>
                <w:bCs/>
                <w:color w:val="000000"/>
                <w:sz w:val="18"/>
                <w:szCs w:val="18"/>
                <w:lang w:val="en" w:eastAsia="en-GB"/>
              </w:rPr>
              <w:t xml:space="preserve"> </w:t>
            </w:r>
            <w:r w:rsidRPr="005269E6">
              <w:rPr>
                <w:rFonts w:eastAsia="Times New Roman"/>
                <w:b/>
                <w:bCs/>
                <w:color w:val="000000"/>
                <w:sz w:val="18"/>
                <w:szCs w:val="18"/>
                <w:rtl/>
                <w:lang w:val="en-GB" w:eastAsia="en-GB" w:bidi="ar"/>
              </w:rPr>
              <w:t>من</w:t>
            </w:r>
            <w:r w:rsidRPr="005269E6">
              <w:rPr>
                <w:rFonts w:eastAsia="Times New Roman"/>
                <w:b/>
                <w:bCs/>
                <w:color w:val="000000"/>
                <w:sz w:val="18"/>
                <w:szCs w:val="18"/>
                <w:lang w:val="en" w:eastAsia="en-GB"/>
              </w:rPr>
              <w:t xml:space="preserve"> </w:t>
            </w:r>
            <w:r w:rsidRPr="005269E6">
              <w:rPr>
                <w:rFonts w:eastAsia="Times New Roman"/>
                <w:b/>
                <w:bCs/>
                <w:color w:val="000000"/>
                <w:sz w:val="18"/>
                <w:szCs w:val="18"/>
                <w:rtl/>
                <w:lang w:val="en-GB" w:eastAsia="en-GB" w:bidi="ar"/>
              </w:rPr>
              <w:t>العام</w:t>
            </w:r>
            <w:r w:rsidRPr="005269E6">
              <w:rPr>
                <w:rFonts w:eastAsia="Times New Roman"/>
                <w:b/>
                <w:bCs/>
                <w:color w:val="000000"/>
                <w:sz w:val="18"/>
                <w:szCs w:val="18"/>
                <w:lang w:val="en" w:eastAsia="en-GB"/>
              </w:rPr>
              <w:t xml:space="preserve"> </w:t>
            </w:r>
            <w:r w:rsidRPr="005269E6">
              <w:rPr>
                <w:rFonts w:eastAsia="Times New Roman"/>
                <w:b/>
                <w:bCs/>
                <w:color w:val="000000"/>
                <w:sz w:val="18"/>
                <w:szCs w:val="18"/>
                <w:rtl/>
                <w:lang w:val="en-GB" w:eastAsia="en-GB" w:bidi="ar"/>
              </w:rPr>
              <w:t>السابق</w:t>
            </w:r>
          </w:p>
        </w:tc>
        <w:tc>
          <w:tcPr>
            <w:tcW w:w="1073" w:type="dxa"/>
            <w:tcBorders>
              <w:top w:val="nil"/>
              <w:left w:val="nil"/>
              <w:bottom w:val="nil"/>
              <w:right w:val="nil"/>
            </w:tcBorders>
            <w:shd w:val="clear" w:color="auto" w:fill="auto"/>
            <w:vAlign w:val="bottom"/>
            <w:hideMark/>
          </w:tcPr>
          <w:p w14:paraId="1577ABCA" w14:textId="30D90FBA" w:rsidR="00491396" w:rsidRPr="005269E6" w:rsidRDefault="00EB5487"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5 023</w:t>
            </w:r>
          </w:p>
        </w:tc>
        <w:tc>
          <w:tcPr>
            <w:tcW w:w="1004" w:type="dxa"/>
            <w:tcBorders>
              <w:top w:val="nil"/>
              <w:left w:val="nil"/>
              <w:bottom w:val="nil"/>
              <w:right w:val="nil"/>
            </w:tcBorders>
            <w:shd w:val="clear" w:color="auto" w:fill="auto"/>
            <w:vAlign w:val="bottom"/>
            <w:hideMark/>
          </w:tcPr>
          <w:p w14:paraId="2B061F34" w14:textId="14BA13D5" w:rsidR="00491396" w:rsidRPr="005269E6" w:rsidRDefault="000B729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2 349</w:t>
            </w:r>
          </w:p>
        </w:tc>
        <w:tc>
          <w:tcPr>
            <w:tcW w:w="1186" w:type="dxa"/>
            <w:tcBorders>
              <w:top w:val="nil"/>
              <w:left w:val="nil"/>
              <w:bottom w:val="nil"/>
              <w:right w:val="nil"/>
            </w:tcBorders>
            <w:shd w:val="clear" w:color="auto" w:fill="auto"/>
            <w:vAlign w:val="bottom"/>
            <w:hideMark/>
          </w:tcPr>
          <w:p w14:paraId="24E7D7EC" w14:textId="67469F86"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c>
          <w:tcPr>
            <w:tcW w:w="1075" w:type="dxa"/>
            <w:tcBorders>
              <w:top w:val="nil"/>
              <w:left w:val="nil"/>
              <w:bottom w:val="nil"/>
              <w:right w:val="nil"/>
            </w:tcBorders>
            <w:shd w:val="clear" w:color="auto" w:fill="auto"/>
            <w:vAlign w:val="bottom"/>
            <w:hideMark/>
          </w:tcPr>
          <w:p w14:paraId="6D533DE4" w14:textId="2D851201"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7 372</w:t>
            </w:r>
          </w:p>
        </w:tc>
        <w:tc>
          <w:tcPr>
            <w:tcW w:w="970" w:type="dxa"/>
            <w:tcBorders>
              <w:top w:val="nil"/>
              <w:left w:val="nil"/>
              <w:bottom w:val="nil"/>
              <w:right w:val="nil"/>
            </w:tcBorders>
            <w:shd w:val="clear" w:color="auto" w:fill="auto"/>
            <w:vAlign w:val="bottom"/>
            <w:hideMark/>
          </w:tcPr>
          <w:p w14:paraId="2D7A46C5" w14:textId="71E13F58" w:rsidR="00491396" w:rsidRPr="005269E6" w:rsidRDefault="000B729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(3 847)</w:t>
            </w:r>
          </w:p>
        </w:tc>
        <w:tc>
          <w:tcPr>
            <w:tcW w:w="1220" w:type="dxa"/>
            <w:tcBorders>
              <w:top w:val="nil"/>
              <w:left w:val="nil"/>
              <w:bottom w:val="nil"/>
              <w:right w:val="nil"/>
            </w:tcBorders>
            <w:shd w:val="clear" w:color="auto" w:fill="auto"/>
            <w:vAlign w:val="bottom"/>
            <w:hideMark/>
          </w:tcPr>
          <w:p w14:paraId="46F9BF9E" w14:textId="1B62D736"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(301)</w:t>
            </w:r>
          </w:p>
        </w:tc>
        <w:tc>
          <w:tcPr>
            <w:tcW w:w="1075" w:type="dxa"/>
            <w:tcBorders>
              <w:top w:val="nil"/>
              <w:left w:val="nil"/>
              <w:bottom w:val="nil"/>
              <w:right w:val="nil"/>
            </w:tcBorders>
            <w:shd w:val="clear" w:color="auto" w:fill="auto"/>
            <w:vAlign w:val="bottom"/>
            <w:hideMark/>
          </w:tcPr>
          <w:p w14:paraId="7638F83F" w14:textId="4565F2D9" w:rsidR="00491396" w:rsidRPr="005269E6" w:rsidRDefault="006B4265"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3 224</w:t>
            </w:r>
          </w:p>
        </w:tc>
      </w:tr>
      <w:tr w:rsidR="00491396" w:rsidRPr="005269E6" w14:paraId="5849AF0E" w14:textId="77777777" w:rsidTr="009C169E">
        <w:trPr>
          <w:trHeight w:val="270"/>
        </w:trPr>
        <w:tc>
          <w:tcPr>
            <w:tcW w:w="2036" w:type="dxa"/>
            <w:tcBorders>
              <w:top w:val="nil"/>
              <w:left w:val="nil"/>
              <w:bottom w:val="nil"/>
              <w:right w:val="nil"/>
            </w:tcBorders>
            <w:shd w:val="clear" w:color="auto" w:fill="auto"/>
            <w:vAlign w:val="bottom"/>
            <w:hideMark/>
          </w:tcPr>
          <w:p w14:paraId="2F65D966" w14:textId="2CB3BDD4" w:rsidR="00491396" w:rsidRPr="005269E6" w:rsidRDefault="00870A43" w:rsidP="00870A43">
            <w:pPr>
              <w:jc w:val="left"/>
              <w:rPr>
                <w:rFonts w:eastAsia="Times New Roman"/>
                <w:i/>
                <w:iCs/>
                <w:color w:val="000000"/>
                <w:sz w:val="18"/>
                <w:szCs w:val="18"/>
                <w:lang w:val="en-GB" w:eastAsia="en-GB"/>
              </w:rPr>
            </w:pPr>
            <w:r w:rsidRPr="005269E6">
              <w:rPr>
                <w:rFonts w:eastAsia="Times New Roman"/>
                <w:i/>
                <w:iCs/>
                <w:color w:val="000000"/>
                <w:sz w:val="18"/>
                <w:szCs w:val="18"/>
                <w:rtl/>
                <w:lang w:val="en-GB" w:eastAsia="en-GB"/>
              </w:rPr>
              <w:t>المقرر 619 (نفقات 2022)</w:t>
            </w:r>
          </w:p>
        </w:tc>
        <w:tc>
          <w:tcPr>
            <w:tcW w:w="1073" w:type="dxa"/>
            <w:tcBorders>
              <w:top w:val="nil"/>
              <w:left w:val="nil"/>
              <w:bottom w:val="nil"/>
              <w:right w:val="nil"/>
            </w:tcBorders>
            <w:shd w:val="clear" w:color="auto" w:fill="auto"/>
            <w:vAlign w:val="bottom"/>
            <w:hideMark/>
          </w:tcPr>
          <w:p w14:paraId="7151EC94" w14:textId="3A08C9FF"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890</w:t>
            </w:r>
          </w:p>
        </w:tc>
        <w:tc>
          <w:tcPr>
            <w:tcW w:w="1004" w:type="dxa"/>
            <w:tcBorders>
              <w:top w:val="nil"/>
              <w:left w:val="nil"/>
              <w:bottom w:val="nil"/>
              <w:right w:val="nil"/>
            </w:tcBorders>
            <w:shd w:val="clear" w:color="auto" w:fill="auto"/>
            <w:vAlign w:val="bottom"/>
            <w:hideMark/>
          </w:tcPr>
          <w:p w14:paraId="6EEDE864" w14:textId="692F04DE" w:rsidR="00491396" w:rsidRPr="005269E6" w:rsidRDefault="000B729B"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1 243</w:t>
            </w:r>
          </w:p>
        </w:tc>
        <w:tc>
          <w:tcPr>
            <w:tcW w:w="1186" w:type="dxa"/>
            <w:tcBorders>
              <w:top w:val="nil"/>
              <w:left w:val="nil"/>
              <w:bottom w:val="nil"/>
              <w:right w:val="nil"/>
            </w:tcBorders>
            <w:shd w:val="clear" w:color="auto" w:fill="auto"/>
            <w:vAlign w:val="bottom"/>
            <w:hideMark/>
          </w:tcPr>
          <w:p w14:paraId="37F943A2" w14:textId="06D9725E"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c>
          <w:tcPr>
            <w:tcW w:w="1075" w:type="dxa"/>
            <w:tcBorders>
              <w:top w:val="nil"/>
              <w:left w:val="nil"/>
              <w:bottom w:val="nil"/>
              <w:right w:val="nil"/>
            </w:tcBorders>
            <w:shd w:val="clear" w:color="auto" w:fill="auto"/>
            <w:vAlign w:val="bottom"/>
            <w:hideMark/>
          </w:tcPr>
          <w:p w14:paraId="70A468B4" w14:textId="32AB0A55" w:rsidR="00491396" w:rsidRPr="005269E6" w:rsidRDefault="009A605B"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2 133</w:t>
            </w:r>
          </w:p>
        </w:tc>
        <w:tc>
          <w:tcPr>
            <w:tcW w:w="970" w:type="dxa"/>
            <w:tcBorders>
              <w:top w:val="nil"/>
              <w:left w:val="nil"/>
              <w:bottom w:val="nil"/>
              <w:right w:val="nil"/>
            </w:tcBorders>
            <w:shd w:val="clear" w:color="auto" w:fill="auto"/>
            <w:vAlign w:val="bottom"/>
            <w:hideMark/>
          </w:tcPr>
          <w:p w14:paraId="6E51ACD6" w14:textId="3A847717"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(643)</w:t>
            </w:r>
          </w:p>
        </w:tc>
        <w:tc>
          <w:tcPr>
            <w:tcW w:w="1220" w:type="dxa"/>
            <w:tcBorders>
              <w:top w:val="nil"/>
              <w:left w:val="nil"/>
              <w:bottom w:val="nil"/>
              <w:right w:val="nil"/>
            </w:tcBorders>
            <w:shd w:val="clear" w:color="auto" w:fill="auto"/>
            <w:vAlign w:val="bottom"/>
            <w:hideMark/>
          </w:tcPr>
          <w:p w14:paraId="4E6079DD" w14:textId="77777777"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662FF151" w14:textId="395A274A" w:rsidR="00491396" w:rsidRPr="005269E6" w:rsidRDefault="006B4265"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1 490</w:t>
            </w:r>
          </w:p>
        </w:tc>
      </w:tr>
      <w:tr w:rsidR="00491396" w:rsidRPr="005269E6" w14:paraId="51A37F95" w14:textId="77777777" w:rsidTr="009C169E">
        <w:trPr>
          <w:trHeight w:val="270"/>
        </w:trPr>
        <w:tc>
          <w:tcPr>
            <w:tcW w:w="2036" w:type="dxa"/>
            <w:tcBorders>
              <w:top w:val="nil"/>
              <w:left w:val="nil"/>
              <w:bottom w:val="nil"/>
              <w:right w:val="nil"/>
            </w:tcBorders>
            <w:shd w:val="clear" w:color="auto" w:fill="auto"/>
            <w:vAlign w:val="bottom"/>
            <w:hideMark/>
          </w:tcPr>
          <w:p w14:paraId="1DCD84E1" w14:textId="6E2F6E9F" w:rsidR="00491396" w:rsidRPr="005269E6" w:rsidRDefault="00870A43" w:rsidP="00870A43">
            <w:pPr>
              <w:jc w:val="left"/>
              <w:rPr>
                <w:rFonts w:eastAsia="Times New Roman"/>
                <w:i/>
                <w:iCs/>
                <w:color w:val="000000"/>
                <w:spacing w:val="-6"/>
                <w:sz w:val="18"/>
                <w:szCs w:val="18"/>
                <w:lang w:val="en-GB" w:eastAsia="en-GB"/>
              </w:rPr>
            </w:pPr>
            <w:r w:rsidRPr="005269E6">
              <w:rPr>
                <w:rFonts w:eastAsia="Times New Roman" w:hint="cs"/>
                <w:i/>
                <w:iCs/>
                <w:color w:val="000000"/>
                <w:spacing w:val="-6"/>
                <w:sz w:val="18"/>
                <w:szCs w:val="18"/>
                <w:rtl/>
                <w:lang w:val="en-GB" w:eastAsia="en-GB"/>
              </w:rPr>
              <w:t>المراجعة</w:t>
            </w:r>
            <w:r w:rsidRPr="005269E6">
              <w:rPr>
                <w:rFonts w:eastAsia="Times New Roman"/>
                <w:i/>
                <w:iCs/>
                <w:color w:val="000000"/>
                <w:spacing w:val="-6"/>
                <w:sz w:val="18"/>
                <w:szCs w:val="18"/>
                <w:rtl/>
                <w:lang w:val="en-GB" w:eastAsia="en-GB"/>
              </w:rPr>
              <w:t xml:space="preserve"> الجنائي</w:t>
            </w:r>
            <w:r w:rsidRPr="005269E6">
              <w:rPr>
                <w:rFonts w:eastAsia="Times New Roman" w:hint="cs"/>
                <w:i/>
                <w:iCs/>
                <w:color w:val="000000"/>
                <w:spacing w:val="-6"/>
                <w:sz w:val="18"/>
                <w:szCs w:val="18"/>
                <w:rtl/>
                <w:lang w:val="en-GB" w:eastAsia="en-GB"/>
              </w:rPr>
              <w:t>ة</w:t>
            </w:r>
            <w:r w:rsidRPr="005269E6">
              <w:rPr>
                <w:rFonts w:eastAsia="Times New Roman"/>
                <w:i/>
                <w:iCs/>
                <w:color w:val="000000"/>
                <w:spacing w:val="-6"/>
                <w:sz w:val="18"/>
                <w:szCs w:val="18"/>
                <w:rtl/>
                <w:lang w:val="en-GB" w:eastAsia="en-GB"/>
              </w:rPr>
              <w:t xml:space="preserve"> (نفقات 2022</w:t>
            </w:r>
            <w:r w:rsidRPr="005269E6">
              <w:rPr>
                <w:rFonts w:eastAsia="Times New Roman"/>
                <w:i/>
                <w:iCs/>
                <w:color w:val="000000"/>
                <w:spacing w:val="-6"/>
                <w:sz w:val="18"/>
                <w:szCs w:val="18"/>
                <w:lang w:val="en-GB" w:eastAsia="en-GB"/>
              </w:rPr>
              <w:t>(</w:t>
            </w:r>
          </w:p>
        </w:tc>
        <w:tc>
          <w:tcPr>
            <w:tcW w:w="1073" w:type="dxa"/>
            <w:tcBorders>
              <w:top w:val="nil"/>
              <w:left w:val="nil"/>
              <w:bottom w:val="nil"/>
              <w:right w:val="nil"/>
            </w:tcBorders>
            <w:shd w:val="clear" w:color="auto" w:fill="auto"/>
            <w:vAlign w:val="bottom"/>
            <w:hideMark/>
          </w:tcPr>
          <w:p w14:paraId="706F6894" w14:textId="19F1E26B" w:rsidR="00491396" w:rsidRPr="005269E6" w:rsidRDefault="00EB5487"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1 090</w:t>
            </w:r>
          </w:p>
        </w:tc>
        <w:tc>
          <w:tcPr>
            <w:tcW w:w="1004" w:type="dxa"/>
            <w:tcBorders>
              <w:top w:val="nil"/>
              <w:left w:val="nil"/>
              <w:bottom w:val="nil"/>
              <w:right w:val="nil"/>
            </w:tcBorders>
            <w:shd w:val="clear" w:color="auto" w:fill="auto"/>
            <w:vAlign w:val="bottom"/>
            <w:hideMark/>
          </w:tcPr>
          <w:p w14:paraId="7D0BE27C" w14:textId="62C83D1B"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c>
          <w:tcPr>
            <w:tcW w:w="1186" w:type="dxa"/>
            <w:tcBorders>
              <w:top w:val="nil"/>
              <w:left w:val="nil"/>
              <w:bottom w:val="nil"/>
              <w:right w:val="nil"/>
            </w:tcBorders>
            <w:shd w:val="clear" w:color="auto" w:fill="auto"/>
            <w:vAlign w:val="bottom"/>
            <w:hideMark/>
          </w:tcPr>
          <w:p w14:paraId="4BFC9E77" w14:textId="683C0CE9"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c>
          <w:tcPr>
            <w:tcW w:w="1075" w:type="dxa"/>
            <w:tcBorders>
              <w:top w:val="nil"/>
              <w:left w:val="nil"/>
              <w:bottom w:val="nil"/>
              <w:right w:val="nil"/>
            </w:tcBorders>
            <w:shd w:val="clear" w:color="auto" w:fill="auto"/>
            <w:vAlign w:val="bottom"/>
            <w:hideMark/>
          </w:tcPr>
          <w:p w14:paraId="355818F7" w14:textId="3524DA3B" w:rsidR="00491396" w:rsidRPr="005269E6" w:rsidRDefault="009A605B"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1 090</w:t>
            </w:r>
          </w:p>
        </w:tc>
        <w:tc>
          <w:tcPr>
            <w:tcW w:w="970" w:type="dxa"/>
            <w:tcBorders>
              <w:top w:val="nil"/>
              <w:left w:val="nil"/>
              <w:bottom w:val="nil"/>
              <w:right w:val="nil"/>
            </w:tcBorders>
            <w:shd w:val="clear" w:color="auto" w:fill="auto"/>
            <w:vAlign w:val="bottom"/>
            <w:hideMark/>
          </w:tcPr>
          <w:p w14:paraId="0FC29E7D" w14:textId="6F7F8E7C" w:rsidR="00491396" w:rsidRPr="005269E6" w:rsidRDefault="000B729B"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(1 090)</w:t>
            </w:r>
          </w:p>
        </w:tc>
        <w:tc>
          <w:tcPr>
            <w:tcW w:w="1220" w:type="dxa"/>
            <w:tcBorders>
              <w:top w:val="nil"/>
              <w:left w:val="nil"/>
              <w:bottom w:val="nil"/>
              <w:right w:val="nil"/>
            </w:tcBorders>
            <w:shd w:val="clear" w:color="auto" w:fill="auto"/>
            <w:vAlign w:val="bottom"/>
            <w:hideMark/>
          </w:tcPr>
          <w:p w14:paraId="3846E452" w14:textId="77777777"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12B1FF80" w14:textId="47858494"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r>
      <w:tr w:rsidR="00491396" w:rsidRPr="005269E6" w14:paraId="28573098" w14:textId="77777777" w:rsidTr="009C169E">
        <w:trPr>
          <w:trHeight w:val="540"/>
        </w:trPr>
        <w:tc>
          <w:tcPr>
            <w:tcW w:w="2036" w:type="dxa"/>
            <w:tcBorders>
              <w:top w:val="nil"/>
              <w:left w:val="nil"/>
              <w:bottom w:val="nil"/>
              <w:right w:val="nil"/>
            </w:tcBorders>
            <w:shd w:val="clear" w:color="auto" w:fill="auto"/>
            <w:vAlign w:val="bottom"/>
            <w:hideMark/>
          </w:tcPr>
          <w:p w14:paraId="086245CF" w14:textId="79A11F7C" w:rsidR="00491396" w:rsidRPr="005269E6" w:rsidRDefault="00870A43" w:rsidP="00870A43">
            <w:pPr>
              <w:jc w:val="left"/>
              <w:rPr>
                <w:rFonts w:eastAsia="Times New Roman"/>
                <w:i/>
                <w:iCs/>
                <w:color w:val="000000"/>
                <w:sz w:val="18"/>
                <w:szCs w:val="18"/>
                <w:lang w:val="en-GB" w:eastAsia="en-GB"/>
              </w:rPr>
            </w:pPr>
            <w:r w:rsidRPr="005269E6">
              <w:rPr>
                <w:rFonts w:eastAsia="Times New Roman"/>
                <w:i/>
                <w:iCs/>
                <w:color w:val="000000"/>
                <w:sz w:val="18"/>
                <w:szCs w:val="18"/>
                <w:rtl/>
                <w:lang w:val="en-GB" w:eastAsia="en-GB"/>
              </w:rPr>
              <w:t>العجز الممول من القرار 1405 (بوخارست)</w:t>
            </w:r>
          </w:p>
        </w:tc>
        <w:tc>
          <w:tcPr>
            <w:tcW w:w="1073" w:type="dxa"/>
            <w:tcBorders>
              <w:top w:val="nil"/>
              <w:left w:val="nil"/>
              <w:bottom w:val="nil"/>
              <w:right w:val="nil"/>
            </w:tcBorders>
            <w:shd w:val="clear" w:color="auto" w:fill="auto"/>
            <w:vAlign w:val="bottom"/>
            <w:hideMark/>
          </w:tcPr>
          <w:p w14:paraId="3D1CBF09" w14:textId="77777777"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p>
        </w:tc>
        <w:tc>
          <w:tcPr>
            <w:tcW w:w="1004" w:type="dxa"/>
            <w:tcBorders>
              <w:top w:val="nil"/>
              <w:left w:val="nil"/>
              <w:bottom w:val="nil"/>
              <w:right w:val="nil"/>
            </w:tcBorders>
            <w:shd w:val="clear" w:color="auto" w:fill="auto"/>
            <w:vAlign w:val="bottom"/>
            <w:hideMark/>
          </w:tcPr>
          <w:p w14:paraId="12D995E3" w14:textId="289D5006" w:rsidR="00491396" w:rsidRPr="005269E6" w:rsidRDefault="000B729B"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3 766</w:t>
            </w:r>
          </w:p>
        </w:tc>
        <w:tc>
          <w:tcPr>
            <w:tcW w:w="1186" w:type="dxa"/>
            <w:tcBorders>
              <w:top w:val="nil"/>
              <w:left w:val="nil"/>
              <w:bottom w:val="nil"/>
              <w:right w:val="nil"/>
            </w:tcBorders>
            <w:shd w:val="clear" w:color="auto" w:fill="auto"/>
            <w:vAlign w:val="bottom"/>
            <w:hideMark/>
          </w:tcPr>
          <w:p w14:paraId="4057E23B" w14:textId="36DD1551"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c>
          <w:tcPr>
            <w:tcW w:w="1075" w:type="dxa"/>
            <w:tcBorders>
              <w:top w:val="nil"/>
              <w:left w:val="nil"/>
              <w:bottom w:val="nil"/>
              <w:right w:val="nil"/>
            </w:tcBorders>
            <w:shd w:val="clear" w:color="auto" w:fill="auto"/>
            <w:vAlign w:val="bottom"/>
            <w:hideMark/>
          </w:tcPr>
          <w:p w14:paraId="068ED731" w14:textId="19B8E175" w:rsidR="00491396" w:rsidRPr="005269E6" w:rsidRDefault="009A605B"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3 766</w:t>
            </w:r>
          </w:p>
        </w:tc>
        <w:tc>
          <w:tcPr>
            <w:tcW w:w="970" w:type="dxa"/>
            <w:tcBorders>
              <w:top w:val="nil"/>
              <w:left w:val="nil"/>
              <w:bottom w:val="nil"/>
              <w:right w:val="nil"/>
            </w:tcBorders>
            <w:shd w:val="clear" w:color="auto" w:fill="auto"/>
            <w:vAlign w:val="bottom"/>
            <w:hideMark/>
          </w:tcPr>
          <w:p w14:paraId="30E2198A" w14:textId="7A49FFF4" w:rsidR="00491396" w:rsidRPr="005269E6" w:rsidRDefault="000B729B"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(2 032)</w:t>
            </w:r>
          </w:p>
        </w:tc>
        <w:tc>
          <w:tcPr>
            <w:tcW w:w="1220" w:type="dxa"/>
            <w:tcBorders>
              <w:top w:val="nil"/>
              <w:left w:val="nil"/>
              <w:bottom w:val="nil"/>
              <w:right w:val="nil"/>
            </w:tcBorders>
            <w:shd w:val="clear" w:color="auto" w:fill="auto"/>
            <w:vAlign w:val="bottom"/>
            <w:hideMark/>
          </w:tcPr>
          <w:p w14:paraId="6CFA9973" w14:textId="77777777"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64DDB435" w14:textId="5396BD43" w:rsidR="00491396" w:rsidRPr="005269E6" w:rsidRDefault="006B4265"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1 734</w:t>
            </w:r>
          </w:p>
        </w:tc>
      </w:tr>
      <w:tr w:rsidR="00491396" w:rsidRPr="005269E6" w14:paraId="0508380F" w14:textId="77777777" w:rsidTr="009C169E">
        <w:trPr>
          <w:trHeight w:val="540"/>
        </w:trPr>
        <w:tc>
          <w:tcPr>
            <w:tcW w:w="2036" w:type="dxa"/>
            <w:tcBorders>
              <w:top w:val="nil"/>
              <w:left w:val="nil"/>
              <w:bottom w:val="nil"/>
              <w:right w:val="nil"/>
            </w:tcBorders>
            <w:shd w:val="clear" w:color="auto" w:fill="auto"/>
            <w:vAlign w:val="bottom"/>
            <w:hideMark/>
          </w:tcPr>
          <w:p w14:paraId="33EFFACE" w14:textId="112CAACC" w:rsidR="00491396" w:rsidRPr="005269E6" w:rsidRDefault="00870A43" w:rsidP="00870A43">
            <w:pPr>
              <w:jc w:val="left"/>
              <w:rPr>
                <w:rFonts w:eastAsia="Times New Roman"/>
                <w:i/>
                <w:iCs/>
                <w:color w:val="000000"/>
                <w:sz w:val="18"/>
                <w:szCs w:val="18"/>
                <w:lang w:val="en-GB" w:eastAsia="en-GB"/>
              </w:rPr>
            </w:pPr>
            <w:r w:rsidRPr="005269E6">
              <w:rPr>
                <w:rFonts w:eastAsia="Times New Roman"/>
                <w:i/>
                <w:iCs/>
                <w:color w:val="000000"/>
                <w:sz w:val="18"/>
                <w:szCs w:val="18"/>
                <w:rtl/>
                <w:lang w:val="en-GB" w:eastAsia="en-GB"/>
              </w:rPr>
              <w:t>العجز الممول من القرار 1405 (بوخارست)</w:t>
            </w:r>
            <w:r w:rsidR="00491396" w:rsidRPr="005269E6">
              <w:rPr>
                <w:rFonts w:eastAsia="Times New Roman"/>
                <w:i/>
                <w:iCs/>
                <w:color w:val="000000"/>
                <w:sz w:val="18"/>
                <w:szCs w:val="18"/>
                <w:lang w:val="en-GB" w:eastAsia="en-GB"/>
              </w:rPr>
              <w:t xml:space="preserve"> </w:t>
            </w:r>
          </w:p>
        </w:tc>
        <w:tc>
          <w:tcPr>
            <w:tcW w:w="1073" w:type="dxa"/>
            <w:tcBorders>
              <w:top w:val="nil"/>
              <w:left w:val="nil"/>
              <w:bottom w:val="nil"/>
              <w:right w:val="nil"/>
            </w:tcBorders>
            <w:shd w:val="clear" w:color="auto" w:fill="auto"/>
            <w:vAlign w:val="bottom"/>
            <w:hideMark/>
          </w:tcPr>
          <w:p w14:paraId="18758489" w14:textId="77777777"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p>
        </w:tc>
        <w:tc>
          <w:tcPr>
            <w:tcW w:w="1004" w:type="dxa"/>
            <w:tcBorders>
              <w:top w:val="nil"/>
              <w:left w:val="nil"/>
              <w:bottom w:val="nil"/>
              <w:right w:val="nil"/>
            </w:tcBorders>
            <w:shd w:val="clear" w:color="auto" w:fill="auto"/>
            <w:vAlign w:val="bottom"/>
            <w:hideMark/>
          </w:tcPr>
          <w:p w14:paraId="6F6A2B1F" w14:textId="6AF62E4D"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c>
          <w:tcPr>
            <w:tcW w:w="1186" w:type="dxa"/>
            <w:tcBorders>
              <w:top w:val="nil"/>
              <w:left w:val="nil"/>
              <w:bottom w:val="nil"/>
              <w:right w:val="nil"/>
            </w:tcBorders>
            <w:shd w:val="clear" w:color="auto" w:fill="auto"/>
            <w:vAlign w:val="bottom"/>
            <w:hideMark/>
          </w:tcPr>
          <w:p w14:paraId="57053CAC" w14:textId="39E6EBF0"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c>
          <w:tcPr>
            <w:tcW w:w="1075" w:type="dxa"/>
            <w:tcBorders>
              <w:top w:val="nil"/>
              <w:left w:val="nil"/>
              <w:bottom w:val="nil"/>
              <w:right w:val="nil"/>
            </w:tcBorders>
            <w:shd w:val="clear" w:color="auto" w:fill="auto"/>
            <w:vAlign w:val="bottom"/>
            <w:hideMark/>
          </w:tcPr>
          <w:p w14:paraId="7EF5686C" w14:textId="015B3132"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 xml:space="preserve">- </w:t>
            </w:r>
          </w:p>
        </w:tc>
        <w:tc>
          <w:tcPr>
            <w:tcW w:w="970" w:type="dxa"/>
            <w:tcBorders>
              <w:top w:val="nil"/>
              <w:left w:val="nil"/>
              <w:bottom w:val="nil"/>
              <w:right w:val="nil"/>
            </w:tcBorders>
            <w:shd w:val="clear" w:color="auto" w:fill="auto"/>
            <w:vAlign w:val="bottom"/>
            <w:hideMark/>
          </w:tcPr>
          <w:p w14:paraId="27B4048D" w14:textId="77777777"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p>
        </w:tc>
        <w:tc>
          <w:tcPr>
            <w:tcW w:w="1220" w:type="dxa"/>
            <w:tcBorders>
              <w:top w:val="nil"/>
              <w:left w:val="nil"/>
              <w:bottom w:val="nil"/>
              <w:right w:val="nil"/>
            </w:tcBorders>
            <w:shd w:val="clear" w:color="auto" w:fill="auto"/>
            <w:vAlign w:val="bottom"/>
            <w:hideMark/>
          </w:tcPr>
          <w:p w14:paraId="401F5EE1"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0E87A66C"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r>
      <w:tr w:rsidR="00491396" w:rsidRPr="005269E6" w14:paraId="714CF9F2" w14:textId="77777777" w:rsidTr="009C169E">
        <w:trPr>
          <w:trHeight w:val="270"/>
        </w:trPr>
        <w:tc>
          <w:tcPr>
            <w:tcW w:w="2036" w:type="dxa"/>
            <w:tcBorders>
              <w:top w:val="nil"/>
              <w:left w:val="nil"/>
              <w:bottom w:val="nil"/>
              <w:right w:val="nil"/>
            </w:tcBorders>
            <w:shd w:val="clear" w:color="auto" w:fill="auto"/>
            <w:vAlign w:val="bottom"/>
            <w:hideMark/>
          </w:tcPr>
          <w:p w14:paraId="275B3B1E" w14:textId="76C7C456" w:rsidR="00491396" w:rsidRPr="005269E6" w:rsidRDefault="00491396" w:rsidP="009A605B">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r w:rsidR="003E7EBF" w:rsidRPr="005269E6">
              <w:rPr>
                <w:rFonts w:eastAsia="Times New Roman"/>
                <w:i/>
                <w:iCs/>
                <w:color w:val="000000"/>
                <w:sz w:val="18"/>
                <w:szCs w:val="18"/>
                <w:rtl/>
                <w:lang w:val="en-GB" w:eastAsia="en-GB"/>
              </w:rPr>
              <w:t xml:space="preserve">الأنشطة المقررة غير الممولة </w:t>
            </w:r>
            <w:r w:rsidR="003E7EBF" w:rsidRPr="005269E6">
              <w:rPr>
                <w:rFonts w:eastAsia="Times New Roman"/>
                <w:i/>
                <w:iCs/>
                <w:color w:val="000000"/>
                <w:sz w:val="18"/>
                <w:szCs w:val="18"/>
                <w:lang w:val="en-GB" w:eastAsia="en-GB"/>
              </w:rPr>
              <w:t>UMAC)</w:t>
            </w:r>
            <w:r w:rsidR="003E7EBF" w:rsidRPr="005269E6">
              <w:rPr>
                <w:rFonts w:eastAsia="Times New Roman" w:hint="cs"/>
                <w:i/>
                <w:iCs/>
                <w:color w:val="000000"/>
                <w:sz w:val="18"/>
                <w:szCs w:val="18"/>
                <w:rtl/>
                <w:lang w:val="en-GB" w:eastAsia="en-GB"/>
              </w:rPr>
              <w:t>) عملاً بمقرر المجلس</w:t>
            </w:r>
          </w:p>
        </w:tc>
        <w:tc>
          <w:tcPr>
            <w:tcW w:w="1073" w:type="dxa"/>
            <w:tcBorders>
              <w:top w:val="nil"/>
              <w:left w:val="nil"/>
              <w:bottom w:val="nil"/>
              <w:right w:val="nil"/>
            </w:tcBorders>
            <w:shd w:val="clear" w:color="auto" w:fill="auto"/>
            <w:vAlign w:val="bottom"/>
            <w:hideMark/>
          </w:tcPr>
          <w:p w14:paraId="71F7B30E" w14:textId="227AE9F6"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 xml:space="preserve">- </w:t>
            </w:r>
          </w:p>
        </w:tc>
        <w:tc>
          <w:tcPr>
            <w:tcW w:w="1004" w:type="dxa"/>
            <w:tcBorders>
              <w:top w:val="nil"/>
              <w:left w:val="nil"/>
              <w:bottom w:val="nil"/>
              <w:right w:val="nil"/>
            </w:tcBorders>
            <w:shd w:val="clear" w:color="auto" w:fill="auto"/>
            <w:vAlign w:val="bottom"/>
            <w:hideMark/>
          </w:tcPr>
          <w:p w14:paraId="469D1307" w14:textId="606E4EF2"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301 </w:t>
            </w:r>
          </w:p>
        </w:tc>
        <w:tc>
          <w:tcPr>
            <w:tcW w:w="1186" w:type="dxa"/>
            <w:tcBorders>
              <w:top w:val="nil"/>
              <w:left w:val="nil"/>
              <w:bottom w:val="nil"/>
              <w:right w:val="nil"/>
            </w:tcBorders>
            <w:shd w:val="clear" w:color="auto" w:fill="auto"/>
            <w:vAlign w:val="bottom"/>
            <w:hideMark/>
          </w:tcPr>
          <w:p w14:paraId="12EFBF99" w14:textId="30BA09F5"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c>
          <w:tcPr>
            <w:tcW w:w="1075" w:type="dxa"/>
            <w:tcBorders>
              <w:top w:val="nil"/>
              <w:left w:val="nil"/>
              <w:bottom w:val="nil"/>
              <w:right w:val="nil"/>
            </w:tcBorders>
            <w:shd w:val="clear" w:color="auto" w:fill="auto"/>
            <w:vAlign w:val="bottom"/>
            <w:hideMark/>
          </w:tcPr>
          <w:p w14:paraId="12961213" w14:textId="02D77152"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 xml:space="preserve">301 </w:t>
            </w:r>
          </w:p>
        </w:tc>
        <w:tc>
          <w:tcPr>
            <w:tcW w:w="970" w:type="dxa"/>
            <w:tcBorders>
              <w:top w:val="nil"/>
              <w:left w:val="nil"/>
              <w:bottom w:val="nil"/>
              <w:right w:val="nil"/>
            </w:tcBorders>
            <w:shd w:val="clear" w:color="auto" w:fill="auto"/>
            <w:vAlign w:val="bottom"/>
            <w:hideMark/>
          </w:tcPr>
          <w:p w14:paraId="22400CF0" w14:textId="77777777"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p>
        </w:tc>
        <w:tc>
          <w:tcPr>
            <w:tcW w:w="1220" w:type="dxa"/>
            <w:tcBorders>
              <w:top w:val="nil"/>
              <w:left w:val="nil"/>
              <w:bottom w:val="nil"/>
              <w:right w:val="nil"/>
            </w:tcBorders>
            <w:shd w:val="clear" w:color="auto" w:fill="auto"/>
            <w:vAlign w:val="bottom"/>
            <w:hideMark/>
          </w:tcPr>
          <w:p w14:paraId="0E3D2935" w14:textId="36D763BB"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(301)</w:t>
            </w:r>
          </w:p>
        </w:tc>
        <w:tc>
          <w:tcPr>
            <w:tcW w:w="1075" w:type="dxa"/>
            <w:tcBorders>
              <w:top w:val="nil"/>
              <w:left w:val="nil"/>
              <w:bottom w:val="nil"/>
              <w:right w:val="nil"/>
            </w:tcBorders>
            <w:shd w:val="clear" w:color="auto" w:fill="auto"/>
            <w:vAlign w:val="bottom"/>
            <w:hideMark/>
          </w:tcPr>
          <w:p w14:paraId="5B629DCF" w14:textId="0019BF2D"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r>
      <w:tr w:rsidR="00491396" w:rsidRPr="005269E6" w14:paraId="3043FB7A" w14:textId="77777777" w:rsidTr="009C169E">
        <w:trPr>
          <w:trHeight w:val="270"/>
        </w:trPr>
        <w:tc>
          <w:tcPr>
            <w:tcW w:w="2036" w:type="dxa"/>
            <w:tcBorders>
              <w:top w:val="nil"/>
              <w:left w:val="nil"/>
              <w:bottom w:val="nil"/>
              <w:right w:val="nil"/>
            </w:tcBorders>
            <w:shd w:val="clear" w:color="auto" w:fill="auto"/>
            <w:vAlign w:val="bottom"/>
            <w:hideMark/>
          </w:tcPr>
          <w:p w14:paraId="311D9A66" w14:textId="215BC971" w:rsidR="00491396" w:rsidRPr="005269E6" w:rsidRDefault="003E7EBF" w:rsidP="009A605B">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hint="cs"/>
                <w:i/>
                <w:iCs/>
                <w:color w:val="000000"/>
                <w:sz w:val="18"/>
                <w:szCs w:val="18"/>
                <w:rtl/>
                <w:lang w:val="en-GB" w:eastAsia="en-GB"/>
              </w:rPr>
              <w:t>القرار</w:t>
            </w:r>
            <w:r w:rsidR="00491396" w:rsidRPr="005269E6">
              <w:rPr>
                <w:rFonts w:eastAsia="Times New Roman"/>
                <w:i/>
                <w:iCs/>
                <w:color w:val="000000"/>
                <w:sz w:val="18"/>
                <w:szCs w:val="18"/>
                <w:lang w:val="en-GB" w:eastAsia="en-GB"/>
              </w:rPr>
              <w:t xml:space="preserve"> 1396 </w:t>
            </w:r>
            <w:r w:rsidRPr="005269E6">
              <w:rPr>
                <w:rFonts w:eastAsia="Times New Roman" w:hint="cs"/>
                <w:i/>
                <w:iCs/>
                <w:color w:val="000000"/>
                <w:sz w:val="18"/>
                <w:szCs w:val="18"/>
                <w:rtl/>
                <w:lang w:val="en-GB" w:eastAsia="en-GB"/>
              </w:rPr>
              <w:t>لمكتب تنمية الاتصالات</w:t>
            </w:r>
          </w:p>
        </w:tc>
        <w:tc>
          <w:tcPr>
            <w:tcW w:w="1073" w:type="dxa"/>
            <w:tcBorders>
              <w:top w:val="nil"/>
              <w:left w:val="nil"/>
              <w:bottom w:val="nil"/>
              <w:right w:val="nil"/>
            </w:tcBorders>
            <w:shd w:val="clear" w:color="auto" w:fill="auto"/>
            <w:vAlign w:val="bottom"/>
            <w:hideMark/>
          </w:tcPr>
          <w:p w14:paraId="57B8FAAB" w14:textId="60AA10F9" w:rsidR="00491396" w:rsidRPr="005269E6" w:rsidRDefault="009A605B"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1 044</w:t>
            </w:r>
          </w:p>
        </w:tc>
        <w:tc>
          <w:tcPr>
            <w:tcW w:w="1004" w:type="dxa"/>
            <w:tcBorders>
              <w:top w:val="nil"/>
              <w:left w:val="nil"/>
              <w:bottom w:val="nil"/>
              <w:right w:val="nil"/>
            </w:tcBorders>
            <w:shd w:val="clear" w:color="auto" w:fill="auto"/>
            <w:vAlign w:val="bottom"/>
            <w:hideMark/>
          </w:tcPr>
          <w:p w14:paraId="6E755420" w14:textId="70495101" w:rsidR="00491396" w:rsidRPr="005269E6" w:rsidRDefault="000B729B"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(1 044)</w:t>
            </w:r>
          </w:p>
        </w:tc>
        <w:tc>
          <w:tcPr>
            <w:tcW w:w="1186" w:type="dxa"/>
            <w:tcBorders>
              <w:top w:val="nil"/>
              <w:left w:val="nil"/>
              <w:bottom w:val="nil"/>
              <w:right w:val="nil"/>
            </w:tcBorders>
            <w:shd w:val="clear" w:color="auto" w:fill="auto"/>
            <w:vAlign w:val="bottom"/>
            <w:hideMark/>
          </w:tcPr>
          <w:p w14:paraId="26293FF2" w14:textId="1E231907"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c>
          <w:tcPr>
            <w:tcW w:w="1075" w:type="dxa"/>
            <w:tcBorders>
              <w:top w:val="nil"/>
              <w:left w:val="nil"/>
              <w:bottom w:val="nil"/>
              <w:right w:val="nil"/>
            </w:tcBorders>
            <w:shd w:val="clear" w:color="auto" w:fill="auto"/>
            <w:vAlign w:val="bottom"/>
            <w:hideMark/>
          </w:tcPr>
          <w:p w14:paraId="1786E52F" w14:textId="4383EAE6"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 xml:space="preserve">- </w:t>
            </w:r>
          </w:p>
        </w:tc>
        <w:tc>
          <w:tcPr>
            <w:tcW w:w="970" w:type="dxa"/>
            <w:tcBorders>
              <w:top w:val="nil"/>
              <w:left w:val="nil"/>
              <w:bottom w:val="nil"/>
              <w:right w:val="nil"/>
            </w:tcBorders>
            <w:shd w:val="clear" w:color="auto" w:fill="auto"/>
            <w:vAlign w:val="bottom"/>
            <w:hideMark/>
          </w:tcPr>
          <w:p w14:paraId="2D12ED61" w14:textId="77777777"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p>
        </w:tc>
        <w:tc>
          <w:tcPr>
            <w:tcW w:w="1220" w:type="dxa"/>
            <w:tcBorders>
              <w:top w:val="nil"/>
              <w:left w:val="nil"/>
              <w:bottom w:val="nil"/>
              <w:right w:val="nil"/>
            </w:tcBorders>
            <w:shd w:val="clear" w:color="auto" w:fill="auto"/>
            <w:vAlign w:val="bottom"/>
            <w:hideMark/>
          </w:tcPr>
          <w:p w14:paraId="4A2969A5"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31C6BCC1" w14:textId="6C1CC6DB"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r>
      <w:tr w:rsidR="00491396" w:rsidRPr="005269E6" w14:paraId="34EC5A32" w14:textId="77777777" w:rsidTr="009C169E">
        <w:trPr>
          <w:trHeight w:val="270"/>
        </w:trPr>
        <w:tc>
          <w:tcPr>
            <w:tcW w:w="2036" w:type="dxa"/>
            <w:tcBorders>
              <w:top w:val="nil"/>
              <w:left w:val="nil"/>
              <w:bottom w:val="nil"/>
              <w:right w:val="nil"/>
            </w:tcBorders>
            <w:shd w:val="clear" w:color="auto" w:fill="auto"/>
            <w:vAlign w:val="bottom"/>
            <w:hideMark/>
          </w:tcPr>
          <w:p w14:paraId="3B13361C" w14:textId="77777777" w:rsidR="00491396" w:rsidRPr="005269E6" w:rsidRDefault="00491396" w:rsidP="009A605B">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2017 Init. Reg </w:t>
            </w:r>
          </w:p>
        </w:tc>
        <w:tc>
          <w:tcPr>
            <w:tcW w:w="1073" w:type="dxa"/>
            <w:tcBorders>
              <w:top w:val="nil"/>
              <w:left w:val="nil"/>
              <w:bottom w:val="nil"/>
              <w:right w:val="nil"/>
            </w:tcBorders>
            <w:shd w:val="clear" w:color="auto" w:fill="auto"/>
            <w:vAlign w:val="bottom"/>
            <w:hideMark/>
          </w:tcPr>
          <w:p w14:paraId="6B0FB240" w14:textId="0EFDD3FA" w:rsidR="00491396" w:rsidRPr="005269E6" w:rsidRDefault="009A605B"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1 001</w:t>
            </w:r>
          </w:p>
        </w:tc>
        <w:tc>
          <w:tcPr>
            <w:tcW w:w="1004" w:type="dxa"/>
            <w:tcBorders>
              <w:top w:val="nil"/>
              <w:left w:val="nil"/>
              <w:bottom w:val="nil"/>
              <w:right w:val="nil"/>
            </w:tcBorders>
            <w:shd w:val="clear" w:color="auto" w:fill="auto"/>
            <w:vAlign w:val="bottom"/>
            <w:hideMark/>
          </w:tcPr>
          <w:p w14:paraId="54363889" w14:textId="01C4A775" w:rsidR="00491396" w:rsidRPr="005269E6" w:rsidRDefault="000B729B"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(1 001)</w:t>
            </w:r>
          </w:p>
        </w:tc>
        <w:tc>
          <w:tcPr>
            <w:tcW w:w="1186" w:type="dxa"/>
            <w:tcBorders>
              <w:top w:val="nil"/>
              <w:left w:val="nil"/>
              <w:bottom w:val="nil"/>
              <w:right w:val="nil"/>
            </w:tcBorders>
            <w:shd w:val="clear" w:color="auto" w:fill="auto"/>
            <w:vAlign w:val="bottom"/>
            <w:hideMark/>
          </w:tcPr>
          <w:p w14:paraId="3F23C034" w14:textId="68C410C6"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c>
          <w:tcPr>
            <w:tcW w:w="1075" w:type="dxa"/>
            <w:tcBorders>
              <w:top w:val="nil"/>
              <w:left w:val="nil"/>
              <w:bottom w:val="nil"/>
              <w:right w:val="nil"/>
            </w:tcBorders>
            <w:shd w:val="clear" w:color="auto" w:fill="auto"/>
            <w:vAlign w:val="bottom"/>
            <w:hideMark/>
          </w:tcPr>
          <w:p w14:paraId="59915BF6" w14:textId="44C47B62"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 xml:space="preserve">- </w:t>
            </w:r>
          </w:p>
        </w:tc>
        <w:tc>
          <w:tcPr>
            <w:tcW w:w="970" w:type="dxa"/>
            <w:tcBorders>
              <w:top w:val="nil"/>
              <w:left w:val="nil"/>
              <w:bottom w:val="nil"/>
              <w:right w:val="nil"/>
            </w:tcBorders>
            <w:shd w:val="clear" w:color="auto" w:fill="auto"/>
            <w:vAlign w:val="bottom"/>
            <w:hideMark/>
          </w:tcPr>
          <w:p w14:paraId="3881DABD" w14:textId="77777777"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p>
        </w:tc>
        <w:tc>
          <w:tcPr>
            <w:tcW w:w="1220" w:type="dxa"/>
            <w:tcBorders>
              <w:top w:val="nil"/>
              <w:left w:val="nil"/>
              <w:bottom w:val="nil"/>
              <w:right w:val="nil"/>
            </w:tcBorders>
            <w:shd w:val="clear" w:color="auto" w:fill="auto"/>
            <w:vAlign w:val="bottom"/>
            <w:hideMark/>
          </w:tcPr>
          <w:p w14:paraId="68B14D7D"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74F6A387" w14:textId="40BE3751"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r>
      <w:tr w:rsidR="00491396" w:rsidRPr="005269E6" w14:paraId="340DA685" w14:textId="77777777" w:rsidTr="009C169E">
        <w:trPr>
          <w:trHeight w:val="270"/>
        </w:trPr>
        <w:tc>
          <w:tcPr>
            <w:tcW w:w="2036" w:type="dxa"/>
            <w:tcBorders>
              <w:top w:val="nil"/>
              <w:left w:val="nil"/>
              <w:bottom w:val="nil"/>
              <w:right w:val="nil"/>
            </w:tcBorders>
            <w:shd w:val="clear" w:color="auto" w:fill="auto"/>
            <w:vAlign w:val="bottom"/>
            <w:hideMark/>
          </w:tcPr>
          <w:p w14:paraId="6A4CF638" w14:textId="4BD6DC08" w:rsidR="00491396" w:rsidRPr="005269E6" w:rsidRDefault="006735E3" w:rsidP="009A605B">
            <w:pPr>
              <w:tabs>
                <w:tab w:val="clear" w:pos="794"/>
              </w:tabs>
              <w:spacing w:before="40" w:after="40" w:line="240" w:lineRule="exact"/>
              <w:jc w:val="left"/>
              <w:rPr>
                <w:rFonts w:eastAsia="Times New Roman"/>
                <w:i/>
                <w:iCs/>
                <w:color w:val="000000"/>
                <w:sz w:val="18"/>
                <w:szCs w:val="18"/>
                <w:lang w:eastAsia="en-GB"/>
              </w:rPr>
            </w:pPr>
            <w:r w:rsidRPr="005269E6">
              <w:rPr>
                <w:rFonts w:eastAsia="Times New Roman" w:hint="cs"/>
                <w:i/>
                <w:iCs/>
                <w:color w:val="000000"/>
                <w:sz w:val="18"/>
                <w:szCs w:val="18"/>
                <w:rtl/>
                <w:lang w:val="en-GB" w:eastAsia="en-GB"/>
              </w:rPr>
              <w:t xml:space="preserve">القرار </w:t>
            </w:r>
            <w:r w:rsidR="00491396" w:rsidRPr="005269E6">
              <w:rPr>
                <w:rFonts w:eastAsia="Times New Roman"/>
                <w:i/>
                <w:iCs/>
                <w:color w:val="000000"/>
                <w:sz w:val="18"/>
                <w:szCs w:val="18"/>
                <w:lang w:val="en-GB" w:eastAsia="en-GB"/>
              </w:rPr>
              <w:t>1396</w:t>
            </w:r>
          </w:p>
        </w:tc>
        <w:tc>
          <w:tcPr>
            <w:tcW w:w="1073" w:type="dxa"/>
            <w:tcBorders>
              <w:top w:val="nil"/>
              <w:left w:val="nil"/>
              <w:bottom w:val="nil"/>
              <w:right w:val="nil"/>
            </w:tcBorders>
            <w:shd w:val="clear" w:color="auto" w:fill="auto"/>
            <w:vAlign w:val="bottom"/>
            <w:hideMark/>
          </w:tcPr>
          <w:p w14:paraId="258EBC2E" w14:textId="4EA2CDA7" w:rsidR="00491396" w:rsidRPr="005269E6" w:rsidRDefault="009A605B"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871</w:t>
            </w:r>
          </w:p>
        </w:tc>
        <w:tc>
          <w:tcPr>
            <w:tcW w:w="1004" w:type="dxa"/>
            <w:tcBorders>
              <w:top w:val="nil"/>
              <w:left w:val="nil"/>
              <w:bottom w:val="nil"/>
              <w:right w:val="nil"/>
            </w:tcBorders>
            <w:shd w:val="clear" w:color="auto" w:fill="auto"/>
            <w:vAlign w:val="bottom"/>
            <w:hideMark/>
          </w:tcPr>
          <w:p w14:paraId="6FD5F185" w14:textId="7F893B7D"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(871)</w:t>
            </w:r>
          </w:p>
        </w:tc>
        <w:tc>
          <w:tcPr>
            <w:tcW w:w="1186" w:type="dxa"/>
            <w:tcBorders>
              <w:top w:val="nil"/>
              <w:left w:val="nil"/>
              <w:bottom w:val="nil"/>
              <w:right w:val="nil"/>
            </w:tcBorders>
            <w:shd w:val="clear" w:color="auto" w:fill="auto"/>
            <w:vAlign w:val="bottom"/>
            <w:hideMark/>
          </w:tcPr>
          <w:p w14:paraId="7D9F8016" w14:textId="55A6EAC4"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c>
          <w:tcPr>
            <w:tcW w:w="1075" w:type="dxa"/>
            <w:tcBorders>
              <w:top w:val="nil"/>
              <w:left w:val="nil"/>
              <w:bottom w:val="nil"/>
              <w:right w:val="nil"/>
            </w:tcBorders>
            <w:shd w:val="clear" w:color="auto" w:fill="auto"/>
            <w:vAlign w:val="bottom"/>
            <w:hideMark/>
          </w:tcPr>
          <w:p w14:paraId="6B01C719" w14:textId="7609163C"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 xml:space="preserve">- </w:t>
            </w:r>
          </w:p>
        </w:tc>
        <w:tc>
          <w:tcPr>
            <w:tcW w:w="970" w:type="dxa"/>
            <w:tcBorders>
              <w:top w:val="nil"/>
              <w:left w:val="nil"/>
              <w:bottom w:val="nil"/>
              <w:right w:val="nil"/>
            </w:tcBorders>
            <w:shd w:val="clear" w:color="auto" w:fill="auto"/>
            <w:vAlign w:val="bottom"/>
            <w:hideMark/>
          </w:tcPr>
          <w:p w14:paraId="3E3FF4B5" w14:textId="77777777"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p>
        </w:tc>
        <w:tc>
          <w:tcPr>
            <w:tcW w:w="1220" w:type="dxa"/>
            <w:tcBorders>
              <w:top w:val="nil"/>
              <w:left w:val="nil"/>
              <w:bottom w:val="nil"/>
              <w:right w:val="nil"/>
            </w:tcBorders>
            <w:shd w:val="clear" w:color="auto" w:fill="auto"/>
            <w:vAlign w:val="bottom"/>
            <w:hideMark/>
          </w:tcPr>
          <w:p w14:paraId="369B8983"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07F7448E" w14:textId="5C5CFAA9"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r>
      <w:tr w:rsidR="00491396" w:rsidRPr="005269E6" w14:paraId="228D414C" w14:textId="77777777" w:rsidTr="009C169E">
        <w:trPr>
          <w:trHeight w:val="247"/>
        </w:trPr>
        <w:tc>
          <w:tcPr>
            <w:tcW w:w="2036" w:type="dxa"/>
            <w:tcBorders>
              <w:top w:val="nil"/>
              <w:left w:val="nil"/>
              <w:bottom w:val="nil"/>
              <w:right w:val="nil"/>
            </w:tcBorders>
            <w:shd w:val="clear" w:color="auto" w:fill="auto"/>
            <w:vAlign w:val="bottom"/>
            <w:hideMark/>
          </w:tcPr>
          <w:p w14:paraId="0ABA193B" w14:textId="77777777" w:rsidR="00491396" w:rsidRPr="005269E6" w:rsidRDefault="00491396" w:rsidP="009A605B">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DEC 616 PWC</w:t>
            </w:r>
          </w:p>
        </w:tc>
        <w:tc>
          <w:tcPr>
            <w:tcW w:w="1073" w:type="dxa"/>
            <w:tcBorders>
              <w:top w:val="nil"/>
              <w:left w:val="nil"/>
              <w:bottom w:val="nil"/>
              <w:right w:val="nil"/>
            </w:tcBorders>
            <w:shd w:val="clear" w:color="auto" w:fill="auto"/>
            <w:vAlign w:val="bottom"/>
            <w:hideMark/>
          </w:tcPr>
          <w:p w14:paraId="2066A8E7" w14:textId="1B075EDA" w:rsidR="00491396" w:rsidRPr="005269E6" w:rsidRDefault="009A605B"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82</w:t>
            </w:r>
          </w:p>
        </w:tc>
        <w:tc>
          <w:tcPr>
            <w:tcW w:w="1004" w:type="dxa"/>
            <w:tcBorders>
              <w:top w:val="nil"/>
              <w:left w:val="nil"/>
              <w:bottom w:val="nil"/>
              <w:right w:val="nil"/>
            </w:tcBorders>
            <w:shd w:val="clear" w:color="auto" w:fill="auto"/>
            <w:vAlign w:val="bottom"/>
            <w:hideMark/>
          </w:tcPr>
          <w:p w14:paraId="1D6A6FCD" w14:textId="6DB78AB6" w:rsidR="00491396" w:rsidRPr="005269E6" w:rsidRDefault="009A605B"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w:t>
            </w:r>
          </w:p>
        </w:tc>
        <w:tc>
          <w:tcPr>
            <w:tcW w:w="1186" w:type="dxa"/>
            <w:tcBorders>
              <w:top w:val="nil"/>
              <w:left w:val="nil"/>
              <w:bottom w:val="nil"/>
              <w:right w:val="nil"/>
            </w:tcBorders>
            <w:shd w:val="clear" w:color="auto" w:fill="auto"/>
            <w:vAlign w:val="bottom"/>
            <w:hideMark/>
          </w:tcPr>
          <w:p w14:paraId="174FC2B3" w14:textId="0CB4BF37" w:rsidR="00491396" w:rsidRPr="005269E6" w:rsidRDefault="009A605B"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w:t>
            </w:r>
          </w:p>
        </w:tc>
        <w:tc>
          <w:tcPr>
            <w:tcW w:w="1075" w:type="dxa"/>
            <w:tcBorders>
              <w:top w:val="nil"/>
              <w:left w:val="nil"/>
              <w:bottom w:val="nil"/>
              <w:right w:val="nil"/>
            </w:tcBorders>
            <w:shd w:val="clear" w:color="auto" w:fill="auto"/>
            <w:vAlign w:val="bottom"/>
            <w:hideMark/>
          </w:tcPr>
          <w:p w14:paraId="69ECFB7B" w14:textId="268C5A9A" w:rsidR="00491396" w:rsidRPr="005269E6" w:rsidRDefault="009A605B"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82</w:t>
            </w:r>
          </w:p>
        </w:tc>
        <w:tc>
          <w:tcPr>
            <w:tcW w:w="970" w:type="dxa"/>
            <w:tcBorders>
              <w:top w:val="nil"/>
              <w:left w:val="nil"/>
              <w:bottom w:val="nil"/>
              <w:right w:val="nil"/>
            </w:tcBorders>
            <w:shd w:val="clear" w:color="auto" w:fill="auto"/>
            <w:vAlign w:val="bottom"/>
            <w:hideMark/>
          </w:tcPr>
          <w:p w14:paraId="43788F33" w14:textId="32C419E7" w:rsidR="00491396" w:rsidRPr="005269E6" w:rsidRDefault="009A605B"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(82)</w:t>
            </w:r>
          </w:p>
        </w:tc>
        <w:tc>
          <w:tcPr>
            <w:tcW w:w="1220" w:type="dxa"/>
            <w:tcBorders>
              <w:top w:val="nil"/>
              <w:left w:val="nil"/>
              <w:bottom w:val="nil"/>
              <w:right w:val="nil"/>
            </w:tcBorders>
            <w:shd w:val="clear" w:color="auto" w:fill="auto"/>
            <w:vAlign w:val="bottom"/>
            <w:hideMark/>
          </w:tcPr>
          <w:p w14:paraId="031A787D" w14:textId="77777777"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298D0889" w14:textId="035F3646" w:rsidR="00491396" w:rsidRPr="005269E6" w:rsidRDefault="006B4265"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w:t>
            </w:r>
          </w:p>
        </w:tc>
      </w:tr>
      <w:tr w:rsidR="00491396" w:rsidRPr="005269E6" w14:paraId="369DD103" w14:textId="77777777" w:rsidTr="009C169E">
        <w:trPr>
          <w:trHeight w:val="270"/>
        </w:trPr>
        <w:tc>
          <w:tcPr>
            <w:tcW w:w="2036" w:type="dxa"/>
            <w:tcBorders>
              <w:top w:val="nil"/>
              <w:left w:val="nil"/>
              <w:bottom w:val="nil"/>
              <w:right w:val="nil"/>
            </w:tcBorders>
            <w:shd w:val="clear" w:color="auto" w:fill="auto"/>
            <w:vAlign w:val="bottom"/>
            <w:hideMark/>
          </w:tcPr>
          <w:p w14:paraId="200EBCB4" w14:textId="5B2A9147" w:rsidR="00491396" w:rsidRPr="005269E6" w:rsidRDefault="00800DD6" w:rsidP="009A605B">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rtl/>
                <w:lang w:val="en-GB" w:eastAsia="en-GB"/>
              </w:rPr>
              <w:t>إعادة التقييم</w:t>
            </w:r>
            <w:r w:rsidR="006735E3" w:rsidRPr="005269E6">
              <w:rPr>
                <w:rFonts w:eastAsia="Times New Roman" w:hint="cs"/>
                <w:i/>
                <w:iCs/>
                <w:color w:val="000000"/>
                <w:sz w:val="18"/>
                <w:szCs w:val="18"/>
                <w:rtl/>
                <w:lang w:val="en-GB" w:eastAsia="en-GB"/>
              </w:rPr>
              <w:t xml:space="preserve"> - تسوية</w:t>
            </w:r>
          </w:p>
        </w:tc>
        <w:tc>
          <w:tcPr>
            <w:tcW w:w="1073" w:type="dxa"/>
            <w:tcBorders>
              <w:top w:val="nil"/>
              <w:left w:val="nil"/>
              <w:bottom w:val="nil"/>
              <w:right w:val="nil"/>
            </w:tcBorders>
            <w:shd w:val="clear" w:color="auto" w:fill="auto"/>
            <w:vAlign w:val="bottom"/>
            <w:hideMark/>
          </w:tcPr>
          <w:p w14:paraId="706A12CA" w14:textId="7E3A01FE"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45</w:t>
            </w:r>
          </w:p>
        </w:tc>
        <w:tc>
          <w:tcPr>
            <w:tcW w:w="1004" w:type="dxa"/>
            <w:tcBorders>
              <w:top w:val="nil"/>
              <w:left w:val="nil"/>
              <w:bottom w:val="nil"/>
              <w:right w:val="nil"/>
            </w:tcBorders>
            <w:shd w:val="clear" w:color="auto" w:fill="auto"/>
            <w:vAlign w:val="bottom"/>
            <w:hideMark/>
          </w:tcPr>
          <w:p w14:paraId="305FC193" w14:textId="2240DD2B"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(45)</w:t>
            </w:r>
          </w:p>
        </w:tc>
        <w:tc>
          <w:tcPr>
            <w:tcW w:w="1186" w:type="dxa"/>
            <w:tcBorders>
              <w:top w:val="nil"/>
              <w:left w:val="nil"/>
              <w:bottom w:val="nil"/>
              <w:right w:val="nil"/>
            </w:tcBorders>
            <w:shd w:val="clear" w:color="auto" w:fill="auto"/>
            <w:vAlign w:val="bottom"/>
            <w:hideMark/>
          </w:tcPr>
          <w:p w14:paraId="6491F759" w14:textId="77777777"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4ECAEE18" w14:textId="2D718540"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 xml:space="preserve">- </w:t>
            </w:r>
          </w:p>
        </w:tc>
        <w:tc>
          <w:tcPr>
            <w:tcW w:w="970" w:type="dxa"/>
            <w:tcBorders>
              <w:top w:val="nil"/>
              <w:left w:val="nil"/>
              <w:bottom w:val="nil"/>
              <w:right w:val="nil"/>
            </w:tcBorders>
            <w:shd w:val="clear" w:color="auto" w:fill="auto"/>
            <w:vAlign w:val="bottom"/>
            <w:hideMark/>
          </w:tcPr>
          <w:p w14:paraId="5A1CE39C" w14:textId="77777777" w:rsidR="00491396" w:rsidRPr="005269E6" w:rsidRDefault="00491396" w:rsidP="00CF6D39">
            <w:pPr>
              <w:tabs>
                <w:tab w:val="clear" w:pos="794"/>
              </w:tabs>
              <w:spacing w:before="40" w:after="40" w:line="240" w:lineRule="exact"/>
              <w:jc w:val="left"/>
              <w:rPr>
                <w:rFonts w:eastAsia="Times New Roman"/>
                <w:b/>
                <w:bCs/>
                <w:i/>
                <w:iCs/>
                <w:color w:val="000000"/>
                <w:sz w:val="18"/>
                <w:szCs w:val="18"/>
                <w:lang w:val="en-GB" w:eastAsia="en-GB"/>
              </w:rPr>
            </w:pPr>
          </w:p>
        </w:tc>
        <w:tc>
          <w:tcPr>
            <w:tcW w:w="1220" w:type="dxa"/>
            <w:tcBorders>
              <w:top w:val="nil"/>
              <w:left w:val="nil"/>
              <w:bottom w:val="nil"/>
              <w:right w:val="nil"/>
            </w:tcBorders>
            <w:shd w:val="clear" w:color="auto" w:fill="auto"/>
            <w:vAlign w:val="bottom"/>
            <w:hideMark/>
          </w:tcPr>
          <w:p w14:paraId="2154D029"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4DC26B5E" w14:textId="7711BECA" w:rsidR="00491396" w:rsidRPr="005269E6" w:rsidRDefault="00491396" w:rsidP="00CF6D39">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w:t>
            </w:r>
          </w:p>
        </w:tc>
      </w:tr>
      <w:tr w:rsidR="00491396" w:rsidRPr="005269E6" w14:paraId="4B14BE8D" w14:textId="77777777" w:rsidTr="009C169E">
        <w:trPr>
          <w:trHeight w:val="255"/>
        </w:trPr>
        <w:tc>
          <w:tcPr>
            <w:tcW w:w="2036" w:type="dxa"/>
            <w:tcBorders>
              <w:top w:val="nil"/>
              <w:left w:val="nil"/>
              <w:bottom w:val="nil"/>
              <w:right w:val="nil"/>
            </w:tcBorders>
            <w:shd w:val="clear" w:color="auto" w:fill="auto"/>
            <w:vAlign w:val="bottom"/>
            <w:hideMark/>
          </w:tcPr>
          <w:p w14:paraId="5F682E17" w14:textId="5E6A68F5" w:rsidR="00491396" w:rsidRPr="005269E6" w:rsidRDefault="006735E3" w:rsidP="009A605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صندوق استثمار</w:t>
            </w:r>
          </w:p>
        </w:tc>
        <w:tc>
          <w:tcPr>
            <w:tcW w:w="1073" w:type="dxa"/>
            <w:tcBorders>
              <w:top w:val="nil"/>
              <w:left w:val="nil"/>
              <w:bottom w:val="nil"/>
              <w:right w:val="nil"/>
            </w:tcBorders>
            <w:shd w:val="clear" w:color="auto" w:fill="auto"/>
            <w:vAlign w:val="bottom"/>
            <w:hideMark/>
          </w:tcPr>
          <w:p w14:paraId="3ABD0591" w14:textId="4CC4C4AA"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14 817</w:t>
            </w:r>
          </w:p>
        </w:tc>
        <w:tc>
          <w:tcPr>
            <w:tcW w:w="1004" w:type="dxa"/>
            <w:tcBorders>
              <w:top w:val="nil"/>
              <w:left w:val="nil"/>
              <w:bottom w:val="nil"/>
              <w:right w:val="nil"/>
            </w:tcBorders>
            <w:shd w:val="clear" w:color="auto" w:fill="auto"/>
            <w:vAlign w:val="bottom"/>
            <w:hideMark/>
          </w:tcPr>
          <w:p w14:paraId="008B6405" w14:textId="5962EB2E" w:rsidR="00491396" w:rsidRPr="005269E6" w:rsidRDefault="006B4265"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982</w:t>
            </w:r>
          </w:p>
        </w:tc>
        <w:tc>
          <w:tcPr>
            <w:tcW w:w="1186" w:type="dxa"/>
            <w:tcBorders>
              <w:top w:val="nil"/>
              <w:left w:val="nil"/>
              <w:bottom w:val="nil"/>
              <w:right w:val="nil"/>
            </w:tcBorders>
            <w:shd w:val="clear" w:color="auto" w:fill="auto"/>
            <w:noWrap/>
            <w:vAlign w:val="bottom"/>
            <w:hideMark/>
          </w:tcPr>
          <w:p w14:paraId="7E88CD35" w14:textId="77777777"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61356FB3" w14:textId="1C9068CA"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15 799</w:t>
            </w:r>
          </w:p>
        </w:tc>
        <w:tc>
          <w:tcPr>
            <w:tcW w:w="970" w:type="dxa"/>
            <w:tcBorders>
              <w:top w:val="nil"/>
              <w:left w:val="nil"/>
              <w:bottom w:val="nil"/>
              <w:right w:val="nil"/>
            </w:tcBorders>
            <w:shd w:val="clear" w:color="auto" w:fill="auto"/>
            <w:vAlign w:val="bottom"/>
            <w:hideMark/>
          </w:tcPr>
          <w:p w14:paraId="5A0B1EBC" w14:textId="4AF23CDA" w:rsidR="00491396" w:rsidRPr="005269E6" w:rsidRDefault="006B4265"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(950)</w:t>
            </w:r>
          </w:p>
        </w:tc>
        <w:tc>
          <w:tcPr>
            <w:tcW w:w="1220" w:type="dxa"/>
            <w:tcBorders>
              <w:top w:val="nil"/>
              <w:left w:val="nil"/>
              <w:bottom w:val="nil"/>
              <w:right w:val="nil"/>
            </w:tcBorders>
            <w:shd w:val="clear" w:color="auto" w:fill="auto"/>
            <w:noWrap/>
            <w:vAlign w:val="bottom"/>
            <w:hideMark/>
          </w:tcPr>
          <w:p w14:paraId="77A70409" w14:textId="77777777"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5D52C321" w14:textId="448EBC7B" w:rsidR="00491396" w:rsidRPr="005269E6" w:rsidRDefault="006B4265"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14 849</w:t>
            </w:r>
          </w:p>
        </w:tc>
      </w:tr>
      <w:tr w:rsidR="00491396" w:rsidRPr="005269E6" w14:paraId="3C0A4E73" w14:textId="77777777" w:rsidTr="009C169E">
        <w:trPr>
          <w:trHeight w:val="255"/>
        </w:trPr>
        <w:tc>
          <w:tcPr>
            <w:tcW w:w="2036" w:type="dxa"/>
            <w:tcBorders>
              <w:top w:val="nil"/>
              <w:left w:val="nil"/>
              <w:bottom w:val="nil"/>
              <w:right w:val="nil"/>
            </w:tcBorders>
            <w:shd w:val="clear" w:color="auto" w:fill="auto"/>
            <w:vAlign w:val="bottom"/>
            <w:hideMark/>
          </w:tcPr>
          <w:p w14:paraId="75DF00D5" w14:textId="18A5299B" w:rsidR="00491396" w:rsidRPr="005269E6" w:rsidRDefault="006735E3" w:rsidP="006735E3">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احتياطي المبنى الجديد</w:t>
            </w:r>
          </w:p>
        </w:tc>
        <w:tc>
          <w:tcPr>
            <w:tcW w:w="1073" w:type="dxa"/>
            <w:tcBorders>
              <w:top w:val="nil"/>
              <w:left w:val="nil"/>
              <w:bottom w:val="nil"/>
              <w:right w:val="nil"/>
            </w:tcBorders>
            <w:shd w:val="clear" w:color="auto" w:fill="auto"/>
            <w:vAlign w:val="bottom"/>
            <w:hideMark/>
          </w:tcPr>
          <w:p w14:paraId="072FF4E0" w14:textId="5CED8CD3"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14 817</w:t>
            </w:r>
          </w:p>
        </w:tc>
        <w:tc>
          <w:tcPr>
            <w:tcW w:w="1004" w:type="dxa"/>
            <w:tcBorders>
              <w:top w:val="nil"/>
              <w:left w:val="nil"/>
              <w:bottom w:val="nil"/>
              <w:right w:val="nil"/>
            </w:tcBorders>
            <w:shd w:val="clear" w:color="auto" w:fill="auto"/>
            <w:vAlign w:val="bottom"/>
            <w:hideMark/>
          </w:tcPr>
          <w:p w14:paraId="55D1F4D7" w14:textId="6FC904C9" w:rsidR="00491396" w:rsidRPr="005269E6" w:rsidRDefault="000B729B"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5 322</w:t>
            </w:r>
          </w:p>
        </w:tc>
        <w:tc>
          <w:tcPr>
            <w:tcW w:w="1186" w:type="dxa"/>
            <w:tcBorders>
              <w:top w:val="nil"/>
              <w:left w:val="nil"/>
              <w:bottom w:val="nil"/>
              <w:right w:val="nil"/>
            </w:tcBorders>
            <w:shd w:val="clear" w:color="auto" w:fill="auto"/>
            <w:noWrap/>
            <w:vAlign w:val="bottom"/>
            <w:hideMark/>
          </w:tcPr>
          <w:p w14:paraId="72AAB02C" w14:textId="77777777"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1935808C" w14:textId="3ED8F00C"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20 169</w:t>
            </w:r>
          </w:p>
        </w:tc>
        <w:tc>
          <w:tcPr>
            <w:tcW w:w="970" w:type="dxa"/>
            <w:tcBorders>
              <w:top w:val="nil"/>
              <w:left w:val="nil"/>
              <w:bottom w:val="nil"/>
              <w:right w:val="nil"/>
            </w:tcBorders>
            <w:shd w:val="clear" w:color="auto" w:fill="auto"/>
            <w:vAlign w:val="bottom"/>
            <w:hideMark/>
          </w:tcPr>
          <w:p w14:paraId="34913860" w14:textId="7ED143B7"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259 </w:t>
            </w:r>
          </w:p>
        </w:tc>
        <w:tc>
          <w:tcPr>
            <w:tcW w:w="1220" w:type="dxa"/>
            <w:tcBorders>
              <w:top w:val="nil"/>
              <w:left w:val="nil"/>
              <w:bottom w:val="nil"/>
              <w:right w:val="nil"/>
            </w:tcBorders>
            <w:shd w:val="clear" w:color="auto" w:fill="auto"/>
            <w:vAlign w:val="bottom"/>
            <w:hideMark/>
          </w:tcPr>
          <w:p w14:paraId="422C9996" w14:textId="77777777"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440CD9BF" w14:textId="126815B9" w:rsidR="00491396" w:rsidRPr="005269E6" w:rsidRDefault="000B729B"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20 427</w:t>
            </w:r>
          </w:p>
        </w:tc>
      </w:tr>
      <w:tr w:rsidR="00491396" w:rsidRPr="005269E6" w14:paraId="7B2A5C6B" w14:textId="77777777" w:rsidTr="009C169E">
        <w:trPr>
          <w:trHeight w:val="255"/>
        </w:trPr>
        <w:tc>
          <w:tcPr>
            <w:tcW w:w="2036" w:type="dxa"/>
            <w:tcBorders>
              <w:top w:val="nil"/>
              <w:left w:val="nil"/>
              <w:bottom w:val="nil"/>
              <w:right w:val="nil"/>
            </w:tcBorders>
            <w:shd w:val="clear" w:color="auto" w:fill="auto"/>
            <w:vAlign w:val="bottom"/>
            <w:hideMark/>
          </w:tcPr>
          <w:p w14:paraId="7270785A" w14:textId="31F6D32A" w:rsidR="00491396" w:rsidRPr="005269E6" w:rsidRDefault="006735E3" w:rsidP="006735E3">
            <w:pPr>
              <w:jc w:val="left"/>
              <w:rPr>
                <w:rFonts w:eastAsia="Times New Roman"/>
                <w:color w:val="000000"/>
                <w:sz w:val="18"/>
                <w:szCs w:val="18"/>
                <w:lang w:val="en-GB" w:eastAsia="en-GB"/>
              </w:rPr>
            </w:pPr>
            <w:r w:rsidRPr="005269E6">
              <w:rPr>
                <w:rFonts w:eastAsia="Times New Roman"/>
                <w:color w:val="000000"/>
                <w:sz w:val="18"/>
                <w:szCs w:val="18"/>
                <w:rtl/>
                <w:lang w:val="en-GB" w:eastAsia="en-GB"/>
              </w:rPr>
              <w:lastRenderedPageBreak/>
              <w:t>صندوق سجل المخاطر</w:t>
            </w:r>
          </w:p>
        </w:tc>
        <w:tc>
          <w:tcPr>
            <w:tcW w:w="1073" w:type="dxa"/>
            <w:tcBorders>
              <w:top w:val="nil"/>
              <w:left w:val="nil"/>
              <w:bottom w:val="nil"/>
              <w:right w:val="nil"/>
            </w:tcBorders>
            <w:shd w:val="clear" w:color="auto" w:fill="auto"/>
            <w:vAlign w:val="bottom"/>
            <w:hideMark/>
          </w:tcPr>
          <w:p w14:paraId="5FC60815" w14:textId="38F9587D"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3 430</w:t>
            </w:r>
          </w:p>
        </w:tc>
        <w:tc>
          <w:tcPr>
            <w:tcW w:w="1004" w:type="dxa"/>
            <w:tcBorders>
              <w:top w:val="nil"/>
              <w:left w:val="nil"/>
              <w:bottom w:val="nil"/>
              <w:right w:val="nil"/>
            </w:tcBorders>
            <w:shd w:val="clear" w:color="auto" w:fill="auto"/>
            <w:vAlign w:val="bottom"/>
            <w:hideMark/>
          </w:tcPr>
          <w:p w14:paraId="4B310357" w14:textId="77777777"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p>
        </w:tc>
        <w:tc>
          <w:tcPr>
            <w:tcW w:w="1186" w:type="dxa"/>
            <w:tcBorders>
              <w:top w:val="nil"/>
              <w:left w:val="nil"/>
              <w:bottom w:val="nil"/>
              <w:right w:val="nil"/>
            </w:tcBorders>
            <w:shd w:val="clear" w:color="auto" w:fill="auto"/>
            <w:vAlign w:val="bottom"/>
            <w:hideMark/>
          </w:tcPr>
          <w:p w14:paraId="325A0828"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42F7C16B" w14:textId="50C5E5B4"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3 430</w:t>
            </w:r>
          </w:p>
        </w:tc>
        <w:tc>
          <w:tcPr>
            <w:tcW w:w="970" w:type="dxa"/>
            <w:tcBorders>
              <w:top w:val="nil"/>
              <w:left w:val="nil"/>
              <w:bottom w:val="nil"/>
              <w:right w:val="nil"/>
            </w:tcBorders>
            <w:shd w:val="clear" w:color="auto" w:fill="auto"/>
            <w:vAlign w:val="bottom"/>
            <w:hideMark/>
          </w:tcPr>
          <w:p w14:paraId="35C40C60" w14:textId="77777777"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p>
        </w:tc>
        <w:tc>
          <w:tcPr>
            <w:tcW w:w="1220" w:type="dxa"/>
            <w:tcBorders>
              <w:top w:val="nil"/>
              <w:left w:val="nil"/>
              <w:bottom w:val="nil"/>
              <w:right w:val="nil"/>
            </w:tcBorders>
            <w:shd w:val="clear" w:color="auto" w:fill="auto"/>
            <w:vAlign w:val="bottom"/>
            <w:hideMark/>
          </w:tcPr>
          <w:p w14:paraId="3D1B84EF"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63C7984B" w14:textId="52073858" w:rsidR="00491396" w:rsidRPr="005269E6" w:rsidRDefault="000B729B"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3 430</w:t>
            </w:r>
          </w:p>
        </w:tc>
      </w:tr>
      <w:tr w:rsidR="00491396" w:rsidRPr="005269E6" w14:paraId="7C022F0A" w14:textId="77777777" w:rsidTr="009C169E">
        <w:trPr>
          <w:trHeight w:val="305"/>
        </w:trPr>
        <w:tc>
          <w:tcPr>
            <w:tcW w:w="2036" w:type="dxa"/>
            <w:tcBorders>
              <w:top w:val="nil"/>
              <w:left w:val="nil"/>
              <w:bottom w:val="nil"/>
              <w:right w:val="nil"/>
            </w:tcBorders>
            <w:shd w:val="clear" w:color="auto" w:fill="auto"/>
            <w:vAlign w:val="bottom"/>
            <w:hideMark/>
          </w:tcPr>
          <w:p w14:paraId="232879A5" w14:textId="69EA95C6" w:rsidR="00491396" w:rsidRPr="005269E6" w:rsidRDefault="00EE3BA4" w:rsidP="00EE3BA4">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صندوق الرعاية الاجتماعية</w:t>
            </w:r>
          </w:p>
        </w:tc>
        <w:tc>
          <w:tcPr>
            <w:tcW w:w="1073" w:type="dxa"/>
            <w:tcBorders>
              <w:top w:val="nil"/>
              <w:left w:val="nil"/>
              <w:bottom w:val="nil"/>
              <w:right w:val="nil"/>
            </w:tcBorders>
            <w:shd w:val="clear" w:color="auto" w:fill="auto"/>
            <w:vAlign w:val="bottom"/>
            <w:hideMark/>
          </w:tcPr>
          <w:p w14:paraId="62CF83AF" w14:textId="224860DD" w:rsidR="00491396" w:rsidRPr="005269E6" w:rsidRDefault="006B4265"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348</w:t>
            </w:r>
          </w:p>
        </w:tc>
        <w:tc>
          <w:tcPr>
            <w:tcW w:w="1004" w:type="dxa"/>
            <w:tcBorders>
              <w:top w:val="nil"/>
              <w:left w:val="nil"/>
              <w:bottom w:val="nil"/>
              <w:right w:val="nil"/>
            </w:tcBorders>
            <w:shd w:val="clear" w:color="auto" w:fill="auto"/>
            <w:vAlign w:val="bottom"/>
            <w:hideMark/>
          </w:tcPr>
          <w:p w14:paraId="4DFBBB1F" w14:textId="77777777"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p>
        </w:tc>
        <w:tc>
          <w:tcPr>
            <w:tcW w:w="1186" w:type="dxa"/>
            <w:tcBorders>
              <w:top w:val="nil"/>
              <w:left w:val="nil"/>
              <w:bottom w:val="nil"/>
              <w:right w:val="nil"/>
            </w:tcBorders>
            <w:shd w:val="clear" w:color="auto" w:fill="auto"/>
            <w:vAlign w:val="bottom"/>
            <w:hideMark/>
          </w:tcPr>
          <w:p w14:paraId="4D467957"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23A9D9B8" w14:textId="4D36D3BF" w:rsidR="00491396" w:rsidRPr="005269E6" w:rsidRDefault="006B4265"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348</w:t>
            </w:r>
          </w:p>
        </w:tc>
        <w:tc>
          <w:tcPr>
            <w:tcW w:w="970" w:type="dxa"/>
            <w:tcBorders>
              <w:top w:val="nil"/>
              <w:left w:val="nil"/>
              <w:bottom w:val="nil"/>
              <w:right w:val="nil"/>
            </w:tcBorders>
            <w:shd w:val="clear" w:color="auto" w:fill="auto"/>
            <w:vAlign w:val="bottom"/>
            <w:hideMark/>
          </w:tcPr>
          <w:p w14:paraId="46123CE3" w14:textId="77777777"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p>
        </w:tc>
        <w:tc>
          <w:tcPr>
            <w:tcW w:w="1220" w:type="dxa"/>
            <w:tcBorders>
              <w:top w:val="nil"/>
              <w:left w:val="nil"/>
              <w:bottom w:val="nil"/>
              <w:right w:val="nil"/>
            </w:tcBorders>
            <w:shd w:val="clear" w:color="auto" w:fill="auto"/>
            <w:vAlign w:val="bottom"/>
            <w:hideMark/>
          </w:tcPr>
          <w:p w14:paraId="44B6B086"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2F9ED946" w14:textId="125CBEE6" w:rsidR="00491396" w:rsidRPr="005269E6" w:rsidRDefault="006B4265"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348</w:t>
            </w:r>
          </w:p>
        </w:tc>
      </w:tr>
      <w:tr w:rsidR="00491396" w:rsidRPr="005269E6" w14:paraId="7216E508" w14:textId="77777777" w:rsidTr="009C169E">
        <w:trPr>
          <w:trHeight w:val="255"/>
        </w:trPr>
        <w:tc>
          <w:tcPr>
            <w:tcW w:w="2036" w:type="dxa"/>
            <w:tcBorders>
              <w:top w:val="nil"/>
              <w:left w:val="nil"/>
              <w:bottom w:val="nil"/>
              <w:right w:val="nil"/>
            </w:tcBorders>
            <w:shd w:val="clear" w:color="auto" w:fill="auto"/>
            <w:vAlign w:val="bottom"/>
            <w:hideMark/>
          </w:tcPr>
          <w:p w14:paraId="7AD37FF3" w14:textId="4D948A07" w:rsidR="00491396" w:rsidRPr="005269E6" w:rsidRDefault="00EE3BA4" w:rsidP="009A605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صندوق جائزة العيد المئوي</w:t>
            </w:r>
          </w:p>
        </w:tc>
        <w:tc>
          <w:tcPr>
            <w:tcW w:w="1073" w:type="dxa"/>
            <w:tcBorders>
              <w:top w:val="nil"/>
              <w:left w:val="nil"/>
              <w:bottom w:val="nil"/>
              <w:right w:val="nil"/>
            </w:tcBorders>
            <w:shd w:val="clear" w:color="auto" w:fill="auto"/>
            <w:vAlign w:val="bottom"/>
            <w:hideMark/>
          </w:tcPr>
          <w:p w14:paraId="1EE08E15" w14:textId="10BFED16" w:rsidR="00491396" w:rsidRPr="005269E6" w:rsidRDefault="006B4265"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212</w:t>
            </w:r>
          </w:p>
        </w:tc>
        <w:tc>
          <w:tcPr>
            <w:tcW w:w="1004" w:type="dxa"/>
            <w:tcBorders>
              <w:top w:val="nil"/>
              <w:left w:val="nil"/>
              <w:bottom w:val="nil"/>
              <w:right w:val="nil"/>
            </w:tcBorders>
            <w:shd w:val="clear" w:color="auto" w:fill="auto"/>
            <w:vAlign w:val="bottom"/>
            <w:hideMark/>
          </w:tcPr>
          <w:p w14:paraId="27B77866" w14:textId="77777777"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p>
        </w:tc>
        <w:tc>
          <w:tcPr>
            <w:tcW w:w="1186" w:type="dxa"/>
            <w:tcBorders>
              <w:top w:val="nil"/>
              <w:left w:val="nil"/>
              <w:bottom w:val="nil"/>
              <w:right w:val="nil"/>
            </w:tcBorders>
            <w:shd w:val="clear" w:color="auto" w:fill="auto"/>
            <w:vAlign w:val="bottom"/>
            <w:hideMark/>
          </w:tcPr>
          <w:p w14:paraId="4492A072"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48220284" w14:textId="760D1340" w:rsidR="00491396" w:rsidRPr="005269E6" w:rsidRDefault="006B4265"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212</w:t>
            </w:r>
          </w:p>
        </w:tc>
        <w:tc>
          <w:tcPr>
            <w:tcW w:w="970" w:type="dxa"/>
            <w:tcBorders>
              <w:top w:val="nil"/>
              <w:left w:val="nil"/>
              <w:bottom w:val="nil"/>
              <w:right w:val="nil"/>
            </w:tcBorders>
            <w:shd w:val="clear" w:color="auto" w:fill="auto"/>
            <w:vAlign w:val="bottom"/>
            <w:hideMark/>
          </w:tcPr>
          <w:p w14:paraId="5BC75845" w14:textId="77777777"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p>
        </w:tc>
        <w:tc>
          <w:tcPr>
            <w:tcW w:w="1220" w:type="dxa"/>
            <w:tcBorders>
              <w:top w:val="nil"/>
              <w:left w:val="nil"/>
              <w:bottom w:val="nil"/>
              <w:right w:val="nil"/>
            </w:tcBorders>
            <w:shd w:val="clear" w:color="auto" w:fill="auto"/>
            <w:vAlign w:val="bottom"/>
            <w:hideMark/>
          </w:tcPr>
          <w:p w14:paraId="09923280"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48A80D66" w14:textId="4370C10C" w:rsidR="00491396" w:rsidRPr="005269E6" w:rsidRDefault="006B4265"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212</w:t>
            </w:r>
          </w:p>
        </w:tc>
      </w:tr>
      <w:tr w:rsidR="00491396" w:rsidRPr="005269E6" w14:paraId="70848C62" w14:textId="77777777" w:rsidTr="009C169E">
        <w:trPr>
          <w:trHeight w:val="255"/>
        </w:trPr>
        <w:tc>
          <w:tcPr>
            <w:tcW w:w="2036" w:type="dxa"/>
            <w:tcBorders>
              <w:top w:val="nil"/>
              <w:left w:val="nil"/>
              <w:bottom w:val="nil"/>
              <w:right w:val="nil"/>
            </w:tcBorders>
            <w:shd w:val="clear" w:color="auto" w:fill="auto"/>
            <w:vAlign w:val="bottom"/>
            <w:hideMark/>
          </w:tcPr>
          <w:p w14:paraId="735D6215" w14:textId="0504F4F3" w:rsidR="00491396" w:rsidRPr="005269E6" w:rsidRDefault="00EE3BA4" w:rsidP="009A605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صندوق الأموال التكميلية لصندوق التأمينات</w:t>
            </w:r>
          </w:p>
        </w:tc>
        <w:tc>
          <w:tcPr>
            <w:tcW w:w="1073" w:type="dxa"/>
            <w:tcBorders>
              <w:top w:val="nil"/>
              <w:left w:val="nil"/>
              <w:bottom w:val="nil"/>
              <w:right w:val="nil"/>
            </w:tcBorders>
            <w:shd w:val="clear" w:color="auto" w:fill="auto"/>
            <w:vAlign w:val="bottom"/>
            <w:hideMark/>
          </w:tcPr>
          <w:p w14:paraId="6088BB55" w14:textId="00E54C28"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6 174</w:t>
            </w:r>
          </w:p>
        </w:tc>
        <w:tc>
          <w:tcPr>
            <w:tcW w:w="1004" w:type="dxa"/>
            <w:tcBorders>
              <w:top w:val="nil"/>
              <w:left w:val="nil"/>
              <w:bottom w:val="nil"/>
              <w:right w:val="nil"/>
            </w:tcBorders>
            <w:shd w:val="clear" w:color="auto" w:fill="auto"/>
            <w:vAlign w:val="bottom"/>
            <w:hideMark/>
          </w:tcPr>
          <w:p w14:paraId="7887A7E2" w14:textId="3D1FB8E5"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11 </w:t>
            </w:r>
          </w:p>
        </w:tc>
        <w:tc>
          <w:tcPr>
            <w:tcW w:w="1186" w:type="dxa"/>
            <w:tcBorders>
              <w:top w:val="nil"/>
              <w:left w:val="nil"/>
              <w:bottom w:val="nil"/>
              <w:right w:val="nil"/>
            </w:tcBorders>
            <w:shd w:val="clear" w:color="auto" w:fill="auto"/>
            <w:vAlign w:val="bottom"/>
            <w:hideMark/>
          </w:tcPr>
          <w:p w14:paraId="07407A8C" w14:textId="77777777"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4FAA00A2" w14:textId="1A8B4C50"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6 185</w:t>
            </w:r>
          </w:p>
        </w:tc>
        <w:tc>
          <w:tcPr>
            <w:tcW w:w="970" w:type="dxa"/>
            <w:tcBorders>
              <w:top w:val="nil"/>
              <w:left w:val="nil"/>
              <w:bottom w:val="nil"/>
              <w:right w:val="nil"/>
            </w:tcBorders>
            <w:shd w:val="clear" w:color="auto" w:fill="auto"/>
            <w:vAlign w:val="bottom"/>
            <w:hideMark/>
          </w:tcPr>
          <w:p w14:paraId="47E73466" w14:textId="2A35B3E5"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99 </w:t>
            </w:r>
          </w:p>
        </w:tc>
        <w:tc>
          <w:tcPr>
            <w:tcW w:w="1220" w:type="dxa"/>
            <w:tcBorders>
              <w:top w:val="nil"/>
              <w:left w:val="nil"/>
              <w:bottom w:val="nil"/>
              <w:right w:val="nil"/>
            </w:tcBorders>
            <w:shd w:val="clear" w:color="auto" w:fill="auto"/>
            <w:vAlign w:val="bottom"/>
            <w:hideMark/>
          </w:tcPr>
          <w:p w14:paraId="0BD1F5F7" w14:textId="77777777"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10D5AE18" w14:textId="30755C61" w:rsidR="00491396" w:rsidRPr="005269E6" w:rsidRDefault="000B729B"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6 284</w:t>
            </w:r>
          </w:p>
        </w:tc>
      </w:tr>
      <w:tr w:rsidR="00491396" w:rsidRPr="005269E6" w14:paraId="554A691C" w14:textId="77777777" w:rsidTr="009C169E">
        <w:trPr>
          <w:trHeight w:val="255"/>
        </w:trPr>
        <w:tc>
          <w:tcPr>
            <w:tcW w:w="2036" w:type="dxa"/>
            <w:tcBorders>
              <w:top w:val="nil"/>
              <w:left w:val="nil"/>
              <w:bottom w:val="nil"/>
              <w:right w:val="nil"/>
            </w:tcBorders>
            <w:shd w:val="clear" w:color="auto" w:fill="auto"/>
            <w:vAlign w:val="bottom"/>
            <w:hideMark/>
          </w:tcPr>
          <w:p w14:paraId="280A7840" w14:textId="525A7228" w:rsidR="00491396" w:rsidRPr="005269E6" w:rsidRDefault="00EE3BA4" w:rsidP="009A605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صندوق المساعدة في صندوق التأمينات</w:t>
            </w:r>
          </w:p>
        </w:tc>
        <w:tc>
          <w:tcPr>
            <w:tcW w:w="1073" w:type="dxa"/>
            <w:tcBorders>
              <w:top w:val="nil"/>
              <w:left w:val="nil"/>
              <w:bottom w:val="nil"/>
              <w:right w:val="nil"/>
            </w:tcBorders>
            <w:shd w:val="clear" w:color="auto" w:fill="auto"/>
            <w:vAlign w:val="bottom"/>
            <w:hideMark/>
          </w:tcPr>
          <w:p w14:paraId="34B3F16A" w14:textId="06A51407"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277</w:t>
            </w:r>
          </w:p>
        </w:tc>
        <w:tc>
          <w:tcPr>
            <w:tcW w:w="1004" w:type="dxa"/>
            <w:tcBorders>
              <w:top w:val="nil"/>
              <w:left w:val="nil"/>
              <w:bottom w:val="nil"/>
              <w:right w:val="nil"/>
            </w:tcBorders>
            <w:shd w:val="clear" w:color="auto" w:fill="auto"/>
            <w:vAlign w:val="bottom"/>
            <w:hideMark/>
          </w:tcPr>
          <w:p w14:paraId="764131E4" w14:textId="489CE917"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w:t>
            </w:r>
          </w:p>
        </w:tc>
        <w:tc>
          <w:tcPr>
            <w:tcW w:w="1186" w:type="dxa"/>
            <w:tcBorders>
              <w:top w:val="nil"/>
              <w:left w:val="nil"/>
              <w:bottom w:val="nil"/>
              <w:right w:val="nil"/>
            </w:tcBorders>
            <w:shd w:val="clear" w:color="auto" w:fill="auto"/>
            <w:vAlign w:val="bottom"/>
            <w:hideMark/>
          </w:tcPr>
          <w:p w14:paraId="3E23F57C" w14:textId="77777777"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048D610E" w14:textId="62691BB0"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276 </w:t>
            </w:r>
          </w:p>
        </w:tc>
        <w:tc>
          <w:tcPr>
            <w:tcW w:w="970" w:type="dxa"/>
            <w:tcBorders>
              <w:top w:val="nil"/>
              <w:left w:val="nil"/>
              <w:bottom w:val="nil"/>
              <w:right w:val="nil"/>
            </w:tcBorders>
            <w:shd w:val="clear" w:color="auto" w:fill="auto"/>
            <w:vAlign w:val="bottom"/>
            <w:hideMark/>
          </w:tcPr>
          <w:p w14:paraId="3ED102BE" w14:textId="694312B5"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220" w:type="dxa"/>
            <w:tcBorders>
              <w:top w:val="nil"/>
              <w:left w:val="nil"/>
              <w:bottom w:val="nil"/>
              <w:right w:val="nil"/>
            </w:tcBorders>
            <w:shd w:val="clear" w:color="auto" w:fill="auto"/>
            <w:vAlign w:val="bottom"/>
            <w:hideMark/>
          </w:tcPr>
          <w:p w14:paraId="736316C0" w14:textId="77777777"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3B6CBAE3" w14:textId="75582A44"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276 </w:t>
            </w:r>
          </w:p>
        </w:tc>
      </w:tr>
      <w:tr w:rsidR="00491396" w:rsidRPr="005269E6" w14:paraId="6DD93703" w14:textId="77777777" w:rsidTr="009C169E">
        <w:trPr>
          <w:trHeight w:val="255"/>
        </w:trPr>
        <w:tc>
          <w:tcPr>
            <w:tcW w:w="2036" w:type="dxa"/>
            <w:tcBorders>
              <w:top w:val="nil"/>
              <w:left w:val="nil"/>
              <w:bottom w:val="nil"/>
              <w:right w:val="nil"/>
            </w:tcBorders>
            <w:shd w:val="clear" w:color="auto" w:fill="auto"/>
            <w:vAlign w:val="center"/>
            <w:hideMark/>
          </w:tcPr>
          <w:p w14:paraId="22AF3E6D" w14:textId="0A5C64A5" w:rsidR="00491396" w:rsidRPr="005269E6" w:rsidRDefault="00EE3BA4" w:rsidP="009A605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 xml:space="preserve">صندوق التأمين الصحي </w:t>
            </w:r>
            <w:r w:rsidR="0016425F" w:rsidRPr="005269E6">
              <w:rPr>
                <w:rFonts w:eastAsia="Times New Roman"/>
                <w:color w:val="000000"/>
                <w:sz w:val="18"/>
                <w:szCs w:val="18"/>
                <w:rtl/>
                <w:lang w:val="en-GB" w:eastAsia="en-GB"/>
              </w:rPr>
              <w:t>بعد انتهاء الخدمة</w:t>
            </w:r>
          </w:p>
        </w:tc>
        <w:tc>
          <w:tcPr>
            <w:tcW w:w="1073" w:type="dxa"/>
            <w:tcBorders>
              <w:top w:val="nil"/>
              <w:left w:val="nil"/>
              <w:bottom w:val="nil"/>
              <w:right w:val="nil"/>
            </w:tcBorders>
            <w:shd w:val="clear" w:color="auto" w:fill="auto"/>
            <w:vAlign w:val="bottom"/>
            <w:hideMark/>
          </w:tcPr>
          <w:p w14:paraId="37FA9A9D" w14:textId="4E09BC41"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13 000</w:t>
            </w:r>
          </w:p>
        </w:tc>
        <w:tc>
          <w:tcPr>
            <w:tcW w:w="1004" w:type="dxa"/>
            <w:tcBorders>
              <w:top w:val="nil"/>
              <w:left w:val="nil"/>
              <w:bottom w:val="nil"/>
              <w:right w:val="nil"/>
            </w:tcBorders>
            <w:shd w:val="clear" w:color="auto" w:fill="auto"/>
            <w:vAlign w:val="bottom"/>
            <w:hideMark/>
          </w:tcPr>
          <w:p w14:paraId="240A49A9" w14:textId="77777777"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p>
        </w:tc>
        <w:tc>
          <w:tcPr>
            <w:tcW w:w="1186" w:type="dxa"/>
            <w:tcBorders>
              <w:top w:val="nil"/>
              <w:left w:val="nil"/>
              <w:bottom w:val="nil"/>
              <w:right w:val="nil"/>
            </w:tcBorders>
            <w:shd w:val="clear" w:color="auto" w:fill="auto"/>
            <w:vAlign w:val="bottom"/>
            <w:hideMark/>
          </w:tcPr>
          <w:p w14:paraId="39B89CF4"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7A6A1E32" w14:textId="0474F1CC"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13 000</w:t>
            </w:r>
          </w:p>
        </w:tc>
        <w:tc>
          <w:tcPr>
            <w:tcW w:w="970" w:type="dxa"/>
            <w:tcBorders>
              <w:top w:val="nil"/>
              <w:left w:val="nil"/>
              <w:bottom w:val="nil"/>
              <w:right w:val="nil"/>
            </w:tcBorders>
            <w:shd w:val="clear" w:color="auto" w:fill="auto"/>
            <w:vAlign w:val="bottom"/>
            <w:hideMark/>
          </w:tcPr>
          <w:p w14:paraId="54155109" w14:textId="77777777"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p>
        </w:tc>
        <w:tc>
          <w:tcPr>
            <w:tcW w:w="1220" w:type="dxa"/>
            <w:tcBorders>
              <w:top w:val="nil"/>
              <w:left w:val="nil"/>
              <w:bottom w:val="nil"/>
              <w:right w:val="nil"/>
            </w:tcBorders>
            <w:shd w:val="clear" w:color="auto" w:fill="auto"/>
            <w:vAlign w:val="center"/>
            <w:hideMark/>
          </w:tcPr>
          <w:p w14:paraId="50D29D43" w14:textId="057B2F3F" w:rsidR="00491396" w:rsidRPr="005269E6" w:rsidRDefault="000B729B"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1 000</w:t>
            </w:r>
          </w:p>
        </w:tc>
        <w:tc>
          <w:tcPr>
            <w:tcW w:w="1075" w:type="dxa"/>
            <w:tcBorders>
              <w:top w:val="nil"/>
              <w:left w:val="nil"/>
              <w:bottom w:val="nil"/>
              <w:right w:val="nil"/>
            </w:tcBorders>
            <w:shd w:val="clear" w:color="auto" w:fill="auto"/>
            <w:vAlign w:val="bottom"/>
            <w:hideMark/>
          </w:tcPr>
          <w:p w14:paraId="3AE7E8C2" w14:textId="22584F54" w:rsidR="00491396" w:rsidRPr="005269E6" w:rsidRDefault="000B729B"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14 000</w:t>
            </w:r>
          </w:p>
        </w:tc>
      </w:tr>
      <w:tr w:rsidR="00491396" w:rsidRPr="005269E6" w14:paraId="6E85D2ED" w14:textId="77777777" w:rsidTr="009C169E">
        <w:trPr>
          <w:trHeight w:val="255"/>
        </w:trPr>
        <w:tc>
          <w:tcPr>
            <w:tcW w:w="2036" w:type="dxa"/>
            <w:tcBorders>
              <w:top w:val="nil"/>
              <w:left w:val="nil"/>
              <w:bottom w:val="nil"/>
              <w:right w:val="nil"/>
            </w:tcBorders>
            <w:shd w:val="clear" w:color="auto" w:fill="auto"/>
            <w:vAlign w:val="center"/>
            <w:hideMark/>
          </w:tcPr>
          <w:p w14:paraId="41205471" w14:textId="6A3C5D2C" w:rsidR="00491396" w:rsidRPr="005269E6" w:rsidRDefault="00EE3BA4" w:rsidP="009A605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صندوق التأمين الصحي</w:t>
            </w:r>
          </w:p>
        </w:tc>
        <w:tc>
          <w:tcPr>
            <w:tcW w:w="1073" w:type="dxa"/>
            <w:tcBorders>
              <w:top w:val="nil"/>
              <w:left w:val="nil"/>
              <w:bottom w:val="nil"/>
              <w:right w:val="nil"/>
            </w:tcBorders>
            <w:shd w:val="clear" w:color="auto" w:fill="auto"/>
            <w:vAlign w:val="bottom"/>
            <w:hideMark/>
          </w:tcPr>
          <w:p w14:paraId="105451B0" w14:textId="568C311D"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1 268</w:t>
            </w:r>
          </w:p>
        </w:tc>
        <w:tc>
          <w:tcPr>
            <w:tcW w:w="1004" w:type="dxa"/>
            <w:tcBorders>
              <w:top w:val="nil"/>
              <w:left w:val="nil"/>
              <w:bottom w:val="nil"/>
              <w:right w:val="nil"/>
            </w:tcBorders>
            <w:shd w:val="clear" w:color="auto" w:fill="auto"/>
            <w:vAlign w:val="bottom"/>
            <w:hideMark/>
          </w:tcPr>
          <w:p w14:paraId="0DCE903A" w14:textId="72DA4152"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 </w:t>
            </w:r>
          </w:p>
        </w:tc>
        <w:tc>
          <w:tcPr>
            <w:tcW w:w="1186" w:type="dxa"/>
            <w:tcBorders>
              <w:top w:val="nil"/>
              <w:left w:val="nil"/>
              <w:bottom w:val="nil"/>
              <w:right w:val="nil"/>
            </w:tcBorders>
            <w:shd w:val="clear" w:color="auto" w:fill="auto"/>
            <w:vAlign w:val="bottom"/>
            <w:hideMark/>
          </w:tcPr>
          <w:p w14:paraId="487FB8E4" w14:textId="77777777" w:rsidR="00491396" w:rsidRPr="005269E6" w:rsidRDefault="00491396" w:rsidP="00CF6D39">
            <w:pPr>
              <w:tabs>
                <w:tab w:val="clear" w:pos="794"/>
              </w:tabs>
              <w:spacing w:before="40" w:after="40" w:line="240" w:lineRule="exact"/>
              <w:jc w:val="left"/>
              <w:rPr>
                <w:rFonts w:eastAsia="Times New Roman"/>
                <w:color w:val="000000"/>
                <w:sz w:val="18"/>
                <w:szCs w:val="18"/>
                <w:lang w:val="en-GB" w:eastAsia="en-GB"/>
              </w:rPr>
            </w:pPr>
          </w:p>
        </w:tc>
        <w:tc>
          <w:tcPr>
            <w:tcW w:w="1075" w:type="dxa"/>
            <w:tcBorders>
              <w:top w:val="nil"/>
              <w:left w:val="nil"/>
              <w:bottom w:val="nil"/>
              <w:right w:val="nil"/>
            </w:tcBorders>
            <w:shd w:val="clear" w:color="auto" w:fill="auto"/>
            <w:vAlign w:val="bottom"/>
            <w:hideMark/>
          </w:tcPr>
          <w:p w14:paraId="66E4E907" w14:textId="6609D465"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1 272</w:t>
            </w:r>
          </w:p>
        </w:tc>
        <w:tc>
          <w:tcPr>
            <w:tcW w:w="970" w:type="dxa"/>
            <w:tcBorders>
              <w:top w:val="nil"/>
              <w:left w:val="nil"/>
              <w:bottom w:val="nil"/>
              <w:right w:val="nil"/>
            </w:tcBorders>
            <w:shd w:val="clear" w:color="auto" w:fill="auto"/>
            <w:vAlign w:val="bottom"/>
            <w:hideMark/>
          </w:tcPr>
          <w:p w14:paraId="76CCA873" w14:textId="77777777" w:rsidR="00491396" w:rsidRPr="005269E6" w:rsidRDefault="00491396" w:rsidP="00CF6D39">
            <w:pPr>
              <w:tabs>
                <w:tab w:val="clear" w:pos="794"/>
              </w:tabs>
              <w:spacing w:before="40" w:after="40" w:line="240" w:lineRule="exact"/>
              <w:jc w:val="left"/>
              <w:rPr>
                <w:rFonts w:eastAsia="Times New Roman"/>
                <w:b/>
                <w:bCs/>
                <w:color w:val="000000"/>
                <w:sz w:val="18"/>
                <w:szCs w:val="18"/>
                <w:lang w:val="en-GB" w:eastAsia="en-GB"/>
              </w:rPr>
            </w:pPr>
          </w:p>
        </w:tc>
        <w:tc>
          <w:tcPr>
            <w:tcW w:w="1220" w:type="dxa"/>
            <w:tcBorders>
              <w:top w:val="nil"/>
              <w:left w:val="nil"/>
              <w:bottom w:val="nil"/>
              <w:right w:val="nil"/>
            </w:tcBorders>
            <w:shd w:val="clear" w:color="auto" w:fill="auto"/>
            <w:vAlign w:val="center"/>
            <w:hideMark/>
          </w:tcPr>
          <w:p w14:paraId="24674E19" w14:textId="77777777" w:rsidR="00491396" w:rsidRPr="005269E6" w:rsidRDefault="00491396" w:rsidP="00CF6D39">
            <w:pPr>
              <w:tabs>
                <w:tab w:val="clear" w:pos="794"/>
              </w:tabs>
              <w:spacing w:before="40" w:after="40" w:line="240" w:lineRule="exact"/>
              <w:jc w:val="left"/>
              <w:rPr>
                <w:rFonts w:eastAsia="Times New Roman"/>
                <w:sz w:val="18"/>
                <w:szCs w:val="18"/>
                <w:lang w:val="en-GB" w:eastAsia="en-GB"/>
              </w:rPr>
            </w:pPr>
          </w:p>
        </w:tc>
        <w:tc>
          <w:tcPr>
            <w:tcW w:w="1075" w:type="dxa"/>
            <w:tcBorders>
              <w:top w:val="nil"/>
              <w:left w:val="nil"/>
              <w:bottom w:val="nil"/>
              <w:right w:val="nil"/>
            </w:tcBorders>
            <w:shd w:val="clear" w:color="auto" w:fill="auto"/>
            <w:vAlign w:val="bottom"/>
            <w:hideMark/>
          </w:tcPr>
          <w:p w14:paraId="2A2BD48C" w14:textId="03493FAB" w:rsidR="00491396" w:rsidRPr="005269E6" w:rsidRDefault="000B729B"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1 272</w:t>
            </w:r>
          </w:p>
        </w:tc>
      </w:tr>
      <w:tr w:rsidR="00EB5487" w:rsidRPr="005269E6" w14:paraId="3F50E23B" w14:textId="77777777" w:rsidTr="009C169E">
        <w:trPr>
          <w:trHeight w:val="255"/>
        </w:trPr>
        <w:tc>
          <w:tcPr>
            <w:tcW w:w="2036" w:type="dxa"/>
            <w:tcBorders>
              <w:top w:val="nil"/>
              <w:left w:val="nil"/>
              <w:bottom w:val="nil"/>
              <w:right w:val="nil"/>
            </w:tcBorders>
            <w:shd w:val="clear" w:color="000000" w:fill="auto"/>
            <w:vAlign w:val="bottom"/>
            <w:hideMark/>
          </w:tcPr>
          <w:p w14:paraId="1EF9C6A9" w14:textId="77777777" w:rsidR="00491396" w:rsidRPr="005269E6" w:rsidRDefault="00491396" w:rsidP="009A605B">
            <w:pPr>
              <w:tabs>
                <w:tab w:val="clear" w:pos="794"/>
              </w:tabs>
              <w:spacing w:before="0" w:line="200" w:lineRule="exact"/>
              <w:jc w:val="left"/>
              <w:rPr>
                <w:rFonts w:eastAsia="Times New Roman"/>
                <w:color w:val="000000"/>
                <w:sz w:val="18"/>
                <w:szCs w:val="18"/>
                <w:lang w:val="en-GB" w:eastAsia="en-GB"/>
              </w:rPr>
            </w:pPr>
          </w:p>
        </w:tc>
        <w:tc>
          <w:tcPr>
            <w:tcW w:w="1073" w:type="dxa"/>
            <w:tcBorders>
              <w:top w:val="nil"/>
              <w:left w:val="nil"/>
              <w:bottom w:val="nil"/>
              <w:right w:val="nil"/>
            </w:tcBorders>
            <w:shd w:val="clear" w:color="000000" w:fill="auto"/>
            <w:vAlign w:val="bottom"/>
            <w:hideMark/>
          </w:tcPr>
          <w:p w14:paraId="6F46FEE8" w14:textId="77777777" w:rsidR="00491396" w:rsidRPr="005269E6" w:rsidRDefault="00491396" w:rsidP="00CF6D39">
            <w:pPr>
              <w:tabs>
                <w:tab w:val="clear" w:pos="794"/>
              </w:tabs>
              <w:spacing w:before="0" w:line="200" w:lineRule="exact"/>
              <w:jc w:val="left"/>
              <w:rPr>
                <w:rFonts w:eastAsia="Times New Roman"/>
                <w:sz w:val="18"/>
                <w:szCs w:val="18"/>
                <w:lang w:val="en-GB" w:eastAsia="en-GB"/>
              </w:rPr>
            </w:pPr>
          </w:p>
        </w:tc>
        <w:tc>
          <w:tcPr>
            <w:tcW w:w="1004" w:type="dxa"/>
            <w:tcBorders>
              <w:top w:val="nil"/>
              <w:left w:val="nil"/>
              <w:bottom w:val="nil"/>
              <w:right w:val="nil"/>
            </w:tcBorders>
            <w:shd w:val="clear" w:color="000000" w:fill="auto"/>
            <w:vAlign w:val="bottom"/>
            <w:hideMark/>
          </w:tcPr>
          <w:p w14:paraId="11AE0F5B" w14:textId="77777777" w:rsidR="00491396" w:rsidRPr="005269E6" w:rsidRDefault="00491396" w:rsidP="00CF6D39">
            <w:pPr>
              <w:tabs>
                <w:tab w:val="clear" w:pos="794"/>
              </w:tabs>
              <w:spacing w:before="0" w:line="200" w:lineRule="exact"/>
              <w:jc w:val="left"/>
              <w:rPr>
                <w:rFonts w:eastAsia="Times New Roman"/>
                <w:sz w:val="18"/>
                <w:szCs w:val="18"/>
                <w:lang w:val="en-GB" w:eastAsia="en-GB"/>
              </w:rPr>
            </w:pPr>
          </w:p>
        </w:tc>
        <w:tc>
          <w:tcPr>
            <w:tcW w:w="1186" w:type="dxa"/>
            <w:tcBorders>
              <w:top w:val="nil"/>
              <w:left w:val="nil"/>
              <w:bottom w:val="nil"/>
              <w:right w:val="nil"/>
            </w:tcBorders>
            <w:shd w:val="clear" w:color="000000" w:fill="auto"/>
            <w:vAlign w:val="bottom"/>
            <w:hideMark/>
          </w:tcPr>
          <w:p w14:paraId="5D8FE050" w14:textId="77777777" w:rsidR="00491396" w:rsidRPr="005269E6" w:rsidRDefault="00491396" w:rsidP="00CF6D39">
            <w:pPr>
              <w:tabs>
                <w:tab w:val="clear" w:pos="794"/>
              </w:tabs>
              <w:spacing w:before="0" w:line="200" w:lineRule="exact"/>
              <w:jc w:val="left"/>
              <w:rPr>
                <w:rFonts w:eastAsia="Times New Roman"/>
                <w:sz w:val="18"/>
                <w:szCs w:val="18"/>
                <w:lang w:val="en-GB" w:eastAsia="en-GB"/>
              </w:rPr>
            </w:pPr>
          </w:p>
        </w:tc>
        <w:tc>
          <w:tcPr>
            <w:tcW w:w="1075" w:type="dxa"/>
            <w:tcBorders>
              <w:top w:val="nil"/>
              <w:left w:val="nil"/>
              <w:bottom w:val="nil"/>
              <w:right w:val="nil"/>
            </w:tcBorders>
            <w:shd w:val="clear" w:color="000000" w:fill="auto"/>
            <w:vAlign w:val="bottom"/>
            <w:hideMark/>
          </w:tcPr>
          <w:p w14:paraId="739D3720" w14:textId="77777777" w:rsidR="00491396" w:rsidRPr="005269E6" w:rsidRDefault="00491396" w:rsidP="00CF6D39">
            <w:pPr>
              <w:tabs>
                <w:tab w:val="clear" w:pos="794"/>
              </w:tabs>
              <w:spacing w:before="0" w:line="200" w:lineRule="exact"/>
              <w:jc w:val="left"/>
              <w:rPr>
                <w:rFonts w:eastAsia="Times New Roman"/>
                <w:sz w:val="18"/>
                <w:szCs w:val="18"/>
                <w:lang w:val="en-GB" w:eastAsia="en-GB"/>
              </w:rPr>
            </w:pPr>
          </w:p>
        </w:tc>
        <w:tc>
          <w:tcPr>
            <w:tcW w:w="970" w:type="dxa"/>
            <w:tcBorders>
              <w:top w:val="nil"/>
              <w:left w:val="nil"/>
              <w:bottom w:val="nil"/>
              <w:right w:val="nil"/>
            </w:tcBorders>
            <w:shd w:val="clear" w:color="000000" w:fill="auto"/>
            <w:vAlign w:val="bottom"/>
            <w:hideMark/>
          </w:tcPr>
          <w:p w14:paraId="7158AD33" w14:textId="77777777" w:rsidR="00491396" w:rsidRPr="005269E6" w:rsidRDefault="00491396" w:rsidP="00CF6D39">
            <w:pPr>
              <w:tabs>
                <w:tab w:val="clear" w:pos="794"/>
              </w:tabs>
              <w:spacing w:before="0" w:line="200" w:lineRule="exact"/>
              <w:jc w:val="left"/>
              <w:rPr>
                <w:rFonts w:eastAsia="Times New Roman"/>
                <w:sz w:val="18"/>
                <w:szCs w:val="18"/>
                <w:lang w:val="en-GB" w:eastAsia="en-GB"/>
              </w:rPr>
            </w:pPr>
          </w:p>
        </w:tc>
        <w:tc>
          <w:tcPr>
            <w:tcW w:w="1220" w:type="dxa"/>
            <w:tcBorders>
              <w:top w:val="nil"/>
              <w:left w:val="nil"/>
              <w:bottom w:val="nil"/>
              <w:right w:val="nil"/>
            </w:tcBorders>
            <w:shd w:val="clear" w:color="000000" w:fill="auto"/>
            <w:vAlign w:val="bottom"/>
            <w:hideMark/>
          </w:tcPr>
          <w:p w14:paraId="71F970FD" w14:textId="77777777" w:rsidR="00491396" w:rsidRPr="005269E6" w:rsidRDefault="00491396" w:rsidP="00CF6D39">
            <w:pPr>
              <w:tabs>
                <w:tab w:val="clear" w:pos="794"/>
              </w:tabs>
              <w:spacing w:before="0" w:line="200" w:lineRule="exact"/>
              <w:jc w:val="left"/>
              <w:rPr>
                <w:rFonts w:eastAsia="Times New Roman"/>
                <w:sz w:val="18"/>
                <w:szCs w:val="18"/>
                <w:lang w:val="en-GB" w:eastAsia="en-GB"/>
              </w:rPr>
            </w:pPr>
          </w:p>
        </w:tc>
        <w:tc>
          <w:tcPr>
            <w:tcW w:w="1075" w:type="dxa"/>
            <w:tcBorders>
              <w:top w:val="nil"/>
              <w:left w:val="nil"/>
              <w:bottom w:val="nil"/>
              <w:right w:val="nil"/>
            </w:tcBorders>
            <w:shd w:val="clear" w:color="000000" w:fill="auto"/>
            <w:vAlign w:val="bottom"/>
            <w:hideMark/>
          </w:tcPr>
          <w:p w14:paraId="097096AB" w14:textId="77777777" w:rsidR="00491396" w:rsidRPr="005269E6" w:rsidRDefault="00491396" w:rsidP="00CF6D39">
            <w:pPr>
              <w:tabs>
                <w:tab w:val="clear" w:pos="794"/>
              </w:tabs>
              <w:spacing w:before="0" w:line="200" w:lineRule="exact"/>
              <w:jc w:val="left"/>
              <w:rPr>
                <w:rFonts w:eastAsia="Times New Roman"/>
                <w:sz w:val="18"/>
                <w:szCs w:val="18"/>
                <w:lang w:val="en-GB" w:eastAsia="en-GB"/>
              </w:rPr>
            </w:pPr>
          </w:p>
        </w:tc>
      </w:tr>
      <w:tr w:rsidR="00EB5487" w:rsidRPr="005269E6" w14:paraId="6B296762" w14:textId="77777777" w:rsidTr="009C169E">
        <w:trPr>
          <w:trHeight w:val="660"/>
        </w:trPr>
        <w:tc>
          <w:tcPr>
            <w:tcW w:w="2036" w:type="dxa"/>
            <w:tcBorders>
              <w:top w:val="nil"/>
              <w:left w:val="nil"/>
              <w:bottom w:val="nil"/>
              <w:right w:val="nil"/>
            </w:tcBorders>
            <w:shd w:val="clear" w:color="000000" w:fill="538DD5"/>
            <w:vAlign w:val="center"/>
            <w:hideMark/>
          </w:tcPr>
          <w:p w14:paraId="1D03CF8C" w14:textId="4845E00A" w:rsidR="00491396" w:rsidRPr="005269E6" w:rsidRDefault="00EE3BA4" w:rsidP="009A605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مجموع</w:t>
            </w:r>
            <w:r w:rsidRPr="005269E6">
              <w:rPr>
                <w:rtl/>
              </w:rPr>
              <w:t xml:space="preserve"> </w:t>
            </w:r>
            <w:r w:rsidRPr="005269E6">
              <w:rPr>
                <w:rFonts w:eastAsia="Times New Roman"/>
                <w:b/>
                <w:bCs/>
                <w:color w:val="000000"/>
                <w:sz w:val="18"/>
                <w:szCs w:val="18"/>
                <w:rtl/>
                <w:lang w:val="en-GB" w:eastAsia="en-GB"/>
              </w:rPr>
              <w:t>صافي الأصول</w:t>
            </w:r>
          </w:p>
        </w:tc>
        <w:tc>
          <w:tcPr>
            <w:tcW w:w="1073" w:type="dxa"/>
            <w:tcBorders>
              <w:top w:val="nil"/>
              <w:left w:val="nil"/>
              <w:bottom w:val="nil"/>
              <w:right w:val="nil"/>
            </w:tcBorders>
            <w:shd w:val="clear" w:color="000000" w:fill="538DD5"/>
            <w:vAlign w:val="center"/>
            <w:hideMark/>
          </w:tcPr>
          <w:p w14:paraId="363DE6BB" w14:textId="691ED576"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59 396</w:t>
            </w:r>
          </w:p>
        </w:tc>
        <w:tc>
          <w:tcPr>
            <w:tcW w:w="1004" w:type="dxa"/>
            <w:tcBorders>
              <w:top w:val="nil"/>
              <w:left w:val="nil"/>
              <w:bottom w:val="nil"/>
              <w:right w:val="nil"/>
            </w:tcBorders>
            <w:shd w:val="clear" w:color="000000" w:fill="538DD5"/>
            <w:vAlign w:val="center"/>
            <w:hideMark/>
          </w:tcPr>
          <w:p w14:paraId="7FC96899" w14:textId="409619BF"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8 668</w:t>
            </w:r>
          </w:p>
        </w:tc>
        <w:tc>
          <w:tcPr>
            <w:tcW w:w="1186" w:type="dxa"/>
            <w:tcBorders>
              <w:top w:val="nil"/>
              <w:left w:val="nil"/>
              <w:bottom w:val="nil"/>
              <w:right w:val="nil"/>
            </w:tcBorders>
            <w:shd w:val="clear" w:color="000000" w:fill="538DD5"/>
            <w:vAlign w:val="center"/>
            <w:hideMark/>
          </w:tcPr>
          <w:p w14:paraId="6CBEBF86" w14:textId="4D9F01EC"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w:t>
            </w:r>
          </w:p>
        </w:tc>
        <w:tc>
          <w:tcPr>
            <w:tcW w:w="1075" w:type="dxa"/>
            <w:tcBorders>
              <w:top w:val="nil"/>
              <w:left w:val="nil"/>
              <w:bottom w:val="nil"/>
              <w:right w:val="nil"/>
            </w:tcBorders>
            <w:shd w:val="clear" w:color="000000" w:fill="538DD5"/>
            <w:vAlign w:val="center"/>
            <w:hideMark/>
          </w:tcPr>
          <w:p w14:paraId="6CC660F4" w14:textId="65F16B41"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68 063</w:t>
            </w:r>
          </w:p>
        </w:tc>
        <w:tc>
          <w:tcPr>
            <w:tcW w:w="970" w:type="dxa"/>
            <w:tcBorders>
              <w:top w:val="nil"/>
              <w:left w:val="nil"/>
              <w:bottom w:val="nil"/>
              <w:right w:val="nil"/>
            </w:tcBorders>
            <w:shd w:val="clear" w:color="000000" w:fill="538DD5"/>
            <w:vAlign w:val="center"/>
            <w:hideMark/>
          </w:tcPr>
          <w:p w14:paraId="1182526D" w14:textId="4048F048"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(4 440)</w:t>
            </w:r>
          </w:p>
        </w:tc>
        <w:tc>
          <w:tcPr>
            <w:tcW w:w="1220" w:type="dxa"/>
            <w:tcBorders>
              <w:top w:val="nil"/>
              <w:left w:val="nil"/>
              <w:bottom w:val="nil"/>
              <w:right w:val="nil"/>
            </w:tcBorders>
            <w:shd w:val="clear" w:color="000000" w:fill="538DD5"/>
            <w:vAlign w:val="center"/>
            <w:hideMark/>
          </w:tcPr>
          <w:p w14:paraId="4FA0D4B9" w14:textId="689B1121"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699</w:t>
            </w:r>
          </w:p>
        </w:tc>
        <w:tc>
          <w:tcPr>
            <w:tcW w:w="1075" w:type="dxa"/>
            <w:tcBorders>
              <w:top w:val="nil"/>
              <w:left w:val="nil"/>
              <w:bottom w:val="nil"/>
              <w:right w:val="nil"/>
            </w:tcBorders>
            <w:shd w:val="clear" w:color="000000" w:fill="538DD5"/>
            <w:vAlign w:val="center"/>
            <w:hideMark/>
          </w:tcPr>
          <w:p w14:paraId="680D8EBA" w14:textId="63091A33" w:rsidR="00491396" w:rsidRPr="005269E6" w:rsidRDefault="009A605B"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64 322</w:t>
            </w:r>
          </w:p>
        </w:tc>
      </w:tr>
    </w:tbl>
    <w:p w14:paraId="243C76CC" w14:textId="77777777" w:rsidR="00F409F6" w:rsidRPr="005269E6" w:rsidRDefault="00F409F6" w:rsidP="00F409F6">
      <w:pPr>
        <w:snapToGrid w:val="0"/>
        <w:spacing w:before="240"/>
      </w:pPr>
      <w:r w:rsidRPr="005269E6">
        <w:rPr>
          <w:rtl/>
        </w:rPr>
        <w:t>ويبلغ رصيد صندوق تنمية تكنولوجيا المعلومات والاتصالات المبلغ عنه تحت بند صندوق الاستثمار المشار إليه في الجدول أعلاه 2,6 مليون فرنك سويسري في 31 ديسمبر 2022 (2,9 مليون فرنك سويسري في 31 ديسمبر 2021).</w:t>
      </w:r>
    </w:p>
    <w:p w14:paraId="0B3C775C" w14:textId="0BB4E95C" w:rsidR="0024279C" w:rsidRPr="005269E6" w:rsidRDefault="00F409F6" w:rsidP="00F409F6">
      <w:pPr>
        <w:spacing w:after="120"/>
        <w:rPr>
          <w:rtl/>
          <w:lang w:bidi="ar-SY"/>
        </w:rPr>
      </w:pPr>
      <w:bookmarkStart w:id="307" w:name="lt_pId782"/>
      <w:bookmarkEnd w:id="307"/>
      <w:r w:rsidRPr="005269E6">
        <w:rPr>
          <w:rtl/>
        </w:rPr>
        <w:t xml:space="preserve">ويبين الجدول أدناه الحركة في </w:t>
      </w:r>
      <w:r w:rsidRPr="005269E6">
        <w:rPr>
          <w:rFonts w:hint="cs"/>
          <w:rtl/>
        </w:rPr>
        <w:t xml:space="preserve">الحسابات </w:t>
      </w:r>
      <w:r w:rsidRPr="005269E6">
        <w:rPr>
          <w:rtl/>
        </w:rPr>
        <w:t>الاحتياطي</w:t>
      </w:r>
      <w:r w:rsidRPr="005269E6">
        <w:rPr>
          <w:rFonts w:hint="cs"/>
          <w:rtl/>
        </w:rPr>
        <w:t>ة</w:t>
      </w:r>
      <w:r w:rsidRPr="005269E6">
        <w:rPr>
          <w:rtl/>
        </w:rPr>
        <w:t xml:space="preserve"> من خارج الميزانية للاتحاد.</w:t>
      </w:r>
    </w:p>
    <w:tbl>
      <w:tblPr>
        <w:bidiVisual/>
        <w:tblW w:w="5000" w:type="pct"/>
        <w:tblLook w:val="04A0" w:firstRow="1" w:lastRow="0" w:firstColumn="1" w:lastColumn="0" w:noHBand="0" w:noVBand="1"/>
      </w:tblPr>
      <w:tblGrid>
        <w:gridCol w:w="2324"/>
        <w:gridCol w:w="1273"/>
        <w:gridCol w:w="1218"/>
        <w:gridCol w:w="1130"/>
        <w:gridCol w:w="1218"/>
        <w:gridCol w:w="1333"/>
        <w:gridCol w:w="1143"/>
      </w:tblGrid>
      <w:tr w:rsidR="00F409F6" w:rsidRPr="005269E6" w14:paraId="3C83218A" w14:textId="77777777" w:rsidTr="00F409F6">
        <w:trPr>
          <w:trHeight w:val="765"/>
        </w:trPr>
        <w:tc>
          <w:tcPr>
            <w:tcW w:w="2324" w:type="dxa"/>
            <w:tcBorders>
              <w:top w:val="nil"/>
              <w:left w:val="nil"/>
              <w:bottom w:val="nil"/>
              <w:right w:val="nil"/>
            </w:tcBorders>
            <w:shd w:val="clear" w:color="000000" w:fill="538DD5"/>
            <w:vAlign w:val="center"/>
            <w:hideMark/>
          </w:tcPr>
          <w:p w14:paraId="693FDB70" w14:textId="537AADC5" w:rsidR="00F409F6" w:rsidRPr="005269E6" w:rsidRDefault="00F409F6" w:rsidP="00F409F6">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273" w:type="dxa"/>
            <w:tcBorders>
              <w:top w:val="nil"/>
              <w:left w:val="nil"/>
              <w:bottom w:val="nil"/>
              <w:right w:val="nil"/>
            </w:tcBorders>
            <w:shd w:val="clear" w:color="000000" w:fill="538DD5"/>
            <w:vAlign w:val="center"/>
            <w:hideMark/>
          </w:tcPr>
          <w:p w14:paraId="51D2503F" w14:textId="3541CDE9" w:rsidR="00F409F6" w:rsidRPr="005269E6" w:rsidRDefault="00F409F6" w:rsidP="00270619">
            <w:pPr>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01</w:t>
            </w:r>
            <w:r w:rsidRPr="005269E6">
              <w:rPr>
                <w:rFonts w:eastAsia="Times New Roman"/>
                <w:b/>
                <w:bCs/>
                <w:color w:val="000000"/>
                <w:sz w:val="18"/>
                <w:szCs w:val="18"/>
                <w:rtl/>
                <w:lang w:val="en-GB" w:eastAsia="en-GB"/>
              </w:rPr>
              <w:t xml:space="preserve"> يناير 2021 (أعيد </w:t>
            </w:r>
            <w:r w:rsidRPr="005269E6">
              <w:rPr>
                <w:rFonts w:eastAsia="Times New Roman" w:hint="cs"/>
                <w:b/>
                <w:bCs/>
                <w:color w:val="000000"/>
                <w:sz w:val="18"/>
                <w:szCs w:val="18"/>
                <w:rtl/>
                <w:lang w:val="en-GB" w:eastAsia="en-GB"/>
              </w:rPr>
              <w:t>بيانه</w:t>
            </w:r>
            <w:r w:rsidRPr="005269E6">
              <w:rPr>
                <w:rFonts w:eastAsia="Times New Roman"/>
                <w:b/>
                <w:bCs/>
                <w:color w:val="000000"/>
                <w:sz w:val="18"/>
                <w:szCs w:val="18"/>
                <w:rtl/>
                <w:lang w:val="en-GB" w:eastAsia="en-GB"/>
              </w:rPr>
              <w:t>)</w:t>
            </w:r>
          </w:p>
        </w:tc>
        <w:tc>
          <w:tcPr>
            <w:tcW w:w="1218" w:type="dxa"/>
            <w:tcBorders>
              <w:top w:val="nil"/>
              <w:left w:val="nil"/>
              <w:bottom w:val="nil"/>
              <w:right w:val="nil"/>
            </w:tcBorders>
            <w:shd w:val="clear" w:color="000000" w:fill="538DD5"/>
            <w:vAlign w:val="center"/>
            <w:hideMark/>
          </w:tcPr>
          <w:p w14:paraId="0C5D64B2" w14:textId="388532D8" w:rsidR="00F409F6" w:rsidRPr="005269E6" w:rsidRDefault="00F409F6" w:rsidP="00270619">
            <w:pPr>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فائض / (عجز) - 2021</w:t>
            </w:r>
          </w:p>
        </w:tc>
        <w:tc>
          <w:tcPr>
            <w:tcW w:w="1130" w:type="dxa"/>
            <w:tcBorders>
              <w:top w:val="nil"/>
              <w:left w:val="nil"/>
              <w:bottom w:val="nil"/>
              <w:right w:val="nil"/>
            </w:tcBorders>
            <w:shd w:val="clear" w:color="000000" w:fill="538DD5"/>
            <w:vAlign w:val="center"/>
            <w:hideMark/>
          </w:tcPr>
          <w:p w14:paraId="75ECB20A" w14:textId="4120EE89" w:rsidR="00F409F6" w:rsidRPr="005269E6" w:rsidRDefault="00270619" w:rsidP="00F409F6">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hint="cs"/>
                <w:b/>
                <w:bCs/>
                <w:color w:val="000000"/>
                <w:sz w:val="18"/>
                <w:szCs w:val="18"/>
                <w:rtl/>
                <w:lang w:val="en-GB" w:eastAsia="en-GB"/>
              </w:rPr>
              <w:t xml:space="preserve"> ديسمبر</w:t>
            </w:r>
            <w:r w:rsidRPr="005269E6">
              <w:rPr>
                <w:rFonts w:eastAsia="Times New Roman"/>
                <w:b/>
                <w:bCs/>
                <w:color w:val="000000"/>
                <w:sz w:val="18"/>
                <w:szCs w:val="18"/>
                <w:lang w:val="en-GB" w:eastAsia="en-GB"/>
              </w:rPr>
              <w:t xml:space="preserve"> 2021</w:t>
            </w:r>
          </w:p>
        </w:tc>
        <w:tc>
          <w:tcPr>
            <w:tcW w:w="1218" w:type="dxa"/>
            <w:tcBorders>
              <w:top w:val="nil"/>
              <w:left w:val="nil"/>
              <w:bottom w:val="nil"/>
              <w:right w:val="nil"/>
            </w:tcBorders>
            <w:shd w:val="clear" w:color="000000" w:fill="538DD5"/>
            <w:vAlign w:val="center"/>
            <w:hideMark/>
          </w:tcPr>
          <w:p w14:paraId="14771E60" w14:textId="464B9844" w:rsidR="00F409F6" w:rsidRPr="005269E6" w:rsidRDefault="00270619" w:rsidP="00F409F6">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 xml:space="preserve">فائض / (عجز) - </w:t>
            </w:r>
            <w:r w:rsidRPr="005269E6">
              <w:rPr>
                <w:rFonts w:eastAsia="Times New Roman"/>
                <w:b/>
                <w:bCs/>
                <w:color w:val="000000"/>
                <w:sz w:val="18"/>
                <w:szCs w:val="18"/>
                <w:lang w:val="en-GB" w:eastAsia="en-GB"/>
              </w:rPr>
              <w:t>2022</w:t>
            </w:r>
          </w:p>
        </w:tc>
        <w:tc>
          <w:tcPr>
            <w:tcW w:w="1333" w:type="dxa"/>
            <w:tcBorders>
              <w:top w:val="nil"/>
              <w:left w:val="nil"/>
              <w:bottom w:val="nil"/>
              <w:right w:val="nil"/>
            </w:tcBorders>
            <w:shd w:val="clear" w:color="000000" w:fill="538DD5"/>
            <w:vAlign w:val="center"/>
            <w:hideMark/>
          </w:tcPr>
          <w:p w14:paraId="38D4FC5A" w14:textId="2FE66B73" w:rsidR="00F409F6" w:rsidRPr="005269E6" w:rsidRDefault="00270619" w:rsidP="00F409F6">
            <w:pPr>
              <w:tabs>
                <w:tab w:val="clear" w:pos="794"/>
              </w:tabs>
              <w:spacing w:before="40" w:after="40" w:line="240" w:lineRule="exact"/>
              <w:jc w:val="center"/>
              <w:rPr>
                <w:rFonts w:eastAsia="Times New Roman"/>
                <w:b/>
                <w:bCs/>
                <w:color w:val="000000"/>
                <w:sz w:val="18"/>
                <w:szCs w:val="18"/>
                <w:rtl/>
                <w:lang w:eastAsia="en-GB" w:bidi="ar-SY"/>
              </w:rPr>
            </w:pPr>
            <w:r w:rsidRPr="005269E6">
              <w:rPr>
                <w:rFonts w:eastAsia="Times New Roman" w:hint="cs"/>
                <w:b/>
                <w:bCs/>
                <w:color w:val="000000"/>
                <w:sz w:val="18"/>
                <w:szCs w:val="18"/>
                <w:rtl/>
                <w:lang w:val="en-GB" w:eastAsia="en-GB" w:bidi="ar-SY"/>
              </w:rPr>
              <w:t xml:space="preserve">تسويات أخرى - </w:t>
            </w:r>
            <w:r w:rsidRPr="005269E6">
              <w:rPr>
                <w:rFonts w:eastAsia="Times New Roman"/>
                <w:b/>
                <w:bCs/>
                <w:color w:val="000000"/>
                <w:sz w:val="18"/>
                <w:szCs w:val="18"/>
                <w:lang w:eastAsia="en-GB" w:bidi="ar-SY"/>
              </w:rPr>
              <w:t>2022</w:t>
            </w:r>
          </w:p>
        </w:tc>
        <w:tc>
          <w:tcPr>
            <w:tcW w:w="1143" w:type="dxa"/>
            <w:tcBorders>
              <w:top w:val="nil"/>
              <w:left w:val="nil"/>
              <w:bottom w:val="nil"/>
              <w:right w:val="nil"/>
            </w:tcBorders>
            <w:shd w:val="clear" w:color="000000" w:fill="538DD5"/>
            <w:vAlign w:val="center"/>
            <w:hideMark/>
          </w:tcPr>
          <w:p w14:paraId="5DE1DA5E" w14:textId="204AD92C" w:rsidR="00F409F6" w:rsidRPr="005269E6" w:rsidRDefault="00270619" w:rsidP="00F409F6">
            <w:pPr>
              <w:tabs>
                <w:tab w:val="clear" w:pos="794"/>
              </w:tabs>
              <w:spacing w:before="40" w:after="40" w:line="240" w:lineRule="exact"/>
              <w:jc w:val="center"/>
              <w:rPr>
                <w:rFonts w:eastAsia="Times New Roman"/>
                <w:b/>
                <w:bCs/>
                <w:color w:val="000000"/>
                <w:sz w:val="18"/>
                <w:szCs w:val="18"/>
                <w:rtl/>
                <w:lang w:eastAsia="en-GB" w:bidi="ar-SY"/>
              </w:rPr>
            </w:pPr>
            <w:r w:rsidRPr="005269E6">
              <w:rPr>
                <w:rFonts w:eastAsia="Times New Roman"/>
                <w:b/>
                <w:bCs/>
                <w:color w:val="000000"/>
                <w:sz w:val="18"/>
                <w:szCs w:val="18"/>
                <w:lang w:val="en-GB" w:eastAsia="en-GB"/>
              </w:rPr>
              <w:t>31</w:t>
            </w:r>
            <w:r w:rsidRPr="005269E6">
              <w:rPr>
                <w:rFonts w:eastAsia="Times New Roman" w:hint="cs"/>
                <w:b/>
                <w:bCs/>
                <w:color w:val="000000"/>
                <w:sz w:val="18"/>
                <w:szCs w:val="18"/>
                <w:rtl/>
                <w:lang w:val="en-GB" w:eastAsia="en-GB" w:bidi="ar-SY"/>
              </w:rPr>
              <w:t xml:space="preserve"> ديسمبر </w:t>
            </w:r>
            <w:r w:rsidRPr="005269E6">
              <w:rPr>
                <w:rFonts w:eastAsia="Times New Roman"/>
                <w:b/>
                <w:bCs/>
                <w:color w:val="000000"/>
                <w:sz w:val="18"/>
                <w:szCs w:val="18"/>
                <w:lang w:eastAsia="en-GB" w:bidi="ar-SY"/>
              </w:rPr>
              <w:t>2022</w:t>
            </w:r>
          </w:p>
        </w:tc>
      </w:tr>
      <w:tr w:rsidR="009B3A01" w:rsidRPr="005269E6" w14:paraId="02F839C2" w14:textId="77777777" w:rsidTr="00F409F6">
        <w:trPr>
          <w:trHeight w:val="169"/>
        </w:trPr>
        <w:tc>
          <w:tcPr>
            <w:tcW w:w="2324" w:type="dxa"/>
            <w:tcBorders>
              <w:top w:val="nil"/>
              <w:left w:val="nil"/>
              <w:bottom w:val="nil"/>
              <w:right w:val="nil"/>
            </w:tcBorders>
            <w:shd w:val="clear" w:color="auto" w:fill="auto"/>
            <w:vAlign w:val="bottom"/>
            <w:hideMark/>
          </w:tcPr>
          <w:p w14:paraId="0DAA795D" w14:textId="77777777" w:rsidR="009B3A01" w:rsidRPr="005269E6" w:rsidRDefault="009B3A01" w:rsidP="009B3A01">
            <w:pPr>
              <w:tabs>
                <w:tab w:val="clear" w:pos="794"/>
              </w:tabs>
              <w:spacing w:before="0" w:line="200" w:lineRule="exact"/>
              <w:jc w:val="center"/>
              <w:rPr>
                <w:rFonts w:eastAsia="Times New Roman"/>
                <w:b/>
                <w:bCs/>
                <w:color w:val="000000"/>
                <w:sz w:val="18"/>
                <w:szCs w:val="18"/>
                <w:lang w:val="en-GB" w:eastAsia="en-GB"/>
              </w:rPr>
            </w:pPr>
          </w:p>
        </w:tc>
        <w:tc>
          <w:tcPr>
            <w:tcW w:w="1273" w:type="dxa"/>
            <w:tcBorders>
              <w:top w:val="nil"/>
              <w:left w:val="nil"/>
              <w:bottom w:val="nil"/>
              <w:right w:val="nil"/>
            </w:tcBorders>
            <w:shd w:val="clear" w:color="auto" w:fill="auto"/>
            <w:vAlign w:val="bottom"/>
            <w:hideMark/>
          </w:tcPr>
          <w:p w14:paraId="5FFE8A2C" w14:textId="77777777" w:rsidR="009B3A01" w:rsidRPr="005269E6" w:rsidRDefault="009B3A01" w:rsidP="009B3A01">
            <w:pPr>
              <w:tabs>
                <w:tab w:val="clear" w:pos="794"/>
              </w:tabs>
              <w:spacing w:before="0" w:line="200" w:lineRule="exact"/>
              <w:jc w:val="center"/>
              <w:rPr>
                <w:rFonts w:eastAsia="Times New Roman"/>
                <w:sz w:val="18"/>
                <w:szCs w:val="18"/>
                <w:lang w:val="en-GB" w:eastAsia="en-GB"/>
              </w:rPr>
            </w:pPr>
          </w:p>
        </w:tc>
        <w:tc>
          <w:tcPr>
            <w:tcW w:w="1218" w:type="dxa"/>
            <w:tcBorders>
              <w:top w:val="nil"/>
              <w:left w:val="nil"/>
              <w:bottom w:val="nil"/>
              <w:right w:val="nil"/>
            </w:tcBorders>
            <w:shd w:val="clear" w:color="auto" w:fill="auto"/>
            <w:vAlign w:val="bottom"/>
            <w:hideMark/>
          </w:tcPr>
          <w:p w14:paraId="4307AC53" w14:textId="77777777" w:rsidR="009B3A01" w:rsidRPr="005269E6" w:rsidRDefault="009B3A01" w:rsidP="009B3A01">
            <w:pPr>
              <w:tabs>
                <w:tab w:val="clear" w:pos="794"/>
              </w:tabs>
              <w:spacing w:before="0" w:line="200" w:lineRule="exact"/>
              <w:jc w:val="center"/>
              <w:rPr>
                <w:rFonts w:eastAsia="Times New Roman"/>
                <w:sz w:val="18"/>
                <w:szCs w:val="18"/>
                <w:lang w:val="en-GB" w:eastAsia="en-GB"/>
              </w:rPr>
            </w:pPr>
          </w:p>
        </w:tc>
        <w:tc>
          <w:tcPr>
            <w:tcW w:w="1130" w:type="dxa"/>
            <w:tcBorders>
              <w:top w:val="nil"/>
              <w:left w:val="nil"/>
              <w:bottom w:val="nil"/>
              <w:right w:val="nil"/>
            </w:tcBorders>
            <w:shd w:val="clear" w:color="auto" w:fill="auto"/>
            <w:vAlign w:val="bottom"/>
            <w:hideMark/>
          </w:tcPr>
          <w:p w14:paraId="186ACD0A" w14:textId="77777777" w:rsidR="009B3A01" w:rsidRPr="005269E6" w:rsidRDefault="009B3A01" w:rsidP="009B3A01">
            <w:pPr>
              <w:tabs>
                <w:tab w:val="clear" w:pos="794"/>
              </w:tabs>
              <w:spacing w:before="0" w:line="200" w:lineRule="exact"/>
              <w:jc w:val="center"/>
              <w:rPr>
                <w:rFonts w:eastAsia="Times New Roman"/>
                <w:sz w:val="18"/>
                <w:szCs w:val="18"/>
                <w:lang w:val="en-GB" w:eastAsia="en-GB"/>
              </w:rPr>
            </w:pPr>
          </w:p>
        </w:tc>
        <w:tc>
          <w:tcPr>
            <w:tcW w:w="1218" w:type="dxa"/>
            <w:tcBorders>
              <w:top w:val="nil"/>
              <w:left w:val="nil"/>
              <w:bottom w:val="nil"/>
              <w:right w:val="nil"/>
            </w:tcBorders>
            <w:shd w:val="clear" w:color="auto" w:fill="auto"/>
            <w:vAlign w:val="bottom"/>
            <w:hideMark/>
          </w:tcPr>
          <w:p w14:paraId="5448A6CA" w14:textId="77777777" w:rsidR="009B3A01" w:rsidRPr="005269E6" w:rsidRDefault="009B3A01" w:rsidP="009B3A01">
            <w:pPr>
              <w:tabs>
                <w:tab w:val="clear" w:pos="794"/>
              </w:tabs>
              <w:spacing w:before="0" w:line="200" w:lineRule="exact"/>
              <w:jc w:val="right"/>
              <w:rPr>
                <w:rFonts w:eastAsia="Times New Roman"/>
                <w:sz w:val="18"/>
                <w:szCs w:val="18"/>
                <w:lang w:val="en-GB" w:eastAsia="en-GB"/>
              </w:rPr>
            </w:pPr>
          </w:p>
        </w:tc>
        <w:tc>
          <w:tcPr>
            <w:tcW w:w="1333" w:type="dxa"/>
            <w:tcBorders>
              <w:top w:val="nil"/>
              <w:left w:val="nil"/>
              <w:bottom w:val="nil"/>
              <w:right w:val="nil"/>
            </w:tcBorders>
            <w:shd w:val="clear" w:color="auto" w:fill="auto"/>
            <w:vAlign w:val="bottom"/>
            <w:hideMark/>
          </w:tcPr>
          <w:p w14:paraId="02336908" w14:textId="77777777" w:rsidR="009B3A01" w:rsidRPr="005269E6" w:rsidRDefault="009B3A01" w:rsidP="009B3A01">
            <w:pPr>
              <w:tabs>
                <w:tab w:val="clear" w:pos="794"/>
              </w:tabs>
              <w:spacing w:before="0" w:line="200" w:lineRule="exact"/>
              <w:jc w:val="right"/>
              <w:rPr>
                <w:rFonts w:eastAsia="Times New Roman"/>
                <w:sz w:val="18"/>
                <w:szCs w:val="18"/>
                <w:lang w:val="en-GB" w:eastAsia="en-GB"/>
              </w:rPr>
            </w:pPr>
          </w:p>
        </w:tc>
        <w:tc>
          <w:tcPr>
            <w:tcW w:w="1143" w:type="dxa"/>
            <w:tcBorders>
              <w:top w:val="nil"/>
              <w:left w:val="nil"/>
              <w:bottom w:val="nil"/>
              <w:right w:val="nil"/>
            </w:tcBorders>
            <w:shd w:val="clear" w:color="auto" w:fill="auto"/>
            <w:vAlign w:val="bottom"/>
            <w:hideMark/>
          </w:tcPr>
          <w:p w14:paraId="0950FCA0" w14:textId="77777777" w:rsidR="009B3A01" w:rsidRPr="005269E6" w:rsidRDefault="009B3A01" w:rsidP="009B3A01">
            <w:pPr>
              <w:tabs>
                <w:tab w:val="clear" w:pos="794"/>
              </w:tabs>
              <w:spacing w:before="0" w:line="200" w:lineRule="exact"/>
              <w:jc w:val="right"/>
              <w:rPr>
                <w:rFonts w:eastAsia="Times New Roman"/>
                <w:sz w:val="18"/>
                <w:szCs w:val="18"/>
                <w:lang w:val="en-GB" w:eastAsia="en-GB"/>
              </w:rPr>
            </w:pPr>
          </w:p>
        </w:tc>
      </w:tr>
      <w:tr w:rsidR="009B3A01" w:rsidRPr="005269E6" w14:paraId="0FAFAD47" w14:textId="77777777" w:rsidTr="00F409F6">
        <w:trPr>
          <w:trHeight w:val="282"/>
        </w:trPr>
        <w:tc>
          <w:tcPr>
            <w:tcW w:w="2324" w:type="dxa"/>
            <w:tcBorders>
              <w:top w:val="nil"/>
              <w:left w:val="nil"/>
              <w:bottom w:val="nil"/>
              <w:right w:val="nil"/>
            </w:tcBorders>
            <w:shd w:val="clear" w:color="auto" w:fill="auto"/>
            <w:vAlign w:val="center"/>
            <w:hideMark/>
          </w:tcPr>
          <w:p w14:paraId="07CC715B" w14:textId="6DAFA3A9" w:rsidR="009B3A01" w:rsidRPr="005269E6" w:rsidRDefault="00F409F6" w:rsidP="00F409F6">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 xml:space="preserve">الحسابات </w:t>
            </w:r>
            <w:r w:rsidRPr="005269E6">
              <w:rPr>
                <w:rFonts w:eastAsia="Times New Roman"/>
                <w:b/>
                <w:bCs/>
                <w:color w:val="000000"/>
                <w:sz w:val="18"/>
                <w:szCs w:val="18"/>
                <w:rtl/>
                <w:lang w:val="en-GB" w:eastAsia="en-GB"/>
              </w:rPr>
              <w:t>الاحتياطي</w:t>
            </w:r>
            <w:r w:rsidRPr="005269E6">
              <w:rPr>
                <w:rFonts w:eastAsia="Times New Roman" w:hint="cs"/>
                <w:b/>
                <w:bCs/>
                <w:color w:val="000000"/>
                <w:sz w:val="18"/>
                <w:szCs w:val="18"/>
                <w:rtl/>
                <w:lang w:val="en-GB" w:eastAsia="en-GB"/>
              </w:rPr>
              <w:t>ة</w:t>
            </w:r>
            <w:r w:rsidRPr="005269E6">
              <w:rPr>
                <w:rFonts w:eastAsia="Times New Roman"/>
                <w:b/>
                <w:bCs/>
                <w:color w:val="000000"/>
                <w:sz w:val="18"/>
                <w:szCs w:val="18"/>
                <w:rtl/>
                <w:lang w:val="en-GB" w:eastAsia="en-GB"/>
              </w:rPr>
              <w:t xml:space="preserve"> من خارج الميزانية للاتحاد</w:t>
            </w:r>
          </w:p>
        </w:tc>
        <w:tc>
          <w:tcPr>
            <w:tcW w:w="1273" w:type="dxa"/>
            <w:tcBorders>
              <w:top w:val="nil"/>
              <w:left w:val="nil"/>
              <w:bottom w:val="nil"/>
              <w:right w:val="nil"/>
            </w:tcBorders>
            <w:shd w:val="clear" w:color="auto" w:fill="auto"/>
            <w:vAlign w:val="center"/>
            <w:hideMark/>
          </w:tcPr>
          <w:p w14:paraId="492568E2" w14:textId="77777777" w:rsidR="009B3A01" w:rsidRPr="005269E6" w:rsidRDefault="009B3A01" w:rsidP="00CF6D39">
            <w:pPr>
              <w:tabs>
                <w:tab w:val="clear" w:pos="794"/>
              </w:tabs>
              <w:spacing w:before="40" w:after="40" w:line="240" w:lineRule="exact"/>
              <w:jc w:val="left"/>
              <w:rPr>
                <w:rFonts w:eastAsia="Times New Roman"/>
                <w:b/>
                <w:bCs/>
                <w:color w:val="000000"/>
                <w:sz w:val="18"/>
                <w:szCs w:val="18"/>
                <w:lang w:val="en-GB" w:eastAsia="en-GB"/>
              </w:rPr>
            </w:pPr>
          </w:p>
        </w:tc>
        <w:tc>
          <w:tcPr>
            <w:tcW w:w="1218" w:type="dxa"/>
            <w:tcBorders>
              <w:top w:val="nil"/>
              <w:left w:val="nil"/>
              <w:bottom w:val="nil"/>
              <w:right w:val="nil"/>
            </w:tcBorders>
            <w:shd w:val="clear" w:color="auto" w:fill="auto"/>
            <w:vAlign w:val="center"/>
            <w:hideMark/>
          </w:tcPr>
          <w:p w14:paraId="3B359234" w14:textId="77777777" w:rsidR="009B3A01" w:rsidRPr="005269E6" w:rsidRDefault="009B3A01" w:rsidP="00CF6D39">
            <w:pPr>
              <w:tabs>
                <w:tab w:val="clear" w:pos="794"/>
              </w:tabs>
              <w:spacing w:before="40" w:after="40" w:line="240" w:lineRule="exact"/>
              <w:jc w:val="left"/>
              <w:rPr>
                <w:rFonts w:eastAsia="Times New Roman"/>
                <w:sz w:val="18"/>
                <w:szCs w:val="18"/>
                <w:lang w:val="en-GB" w:eastAsia="en-GB"/>
              </w:rPr>
            </w:pPr>
          </w:p>
        </w:tc>
        <w:tc>
          <w:tcPr>
            <w:tcW w:w="1130" w:type="dxa"/>
            <w:tcBorders>
              <w:top w:val="nil"/>
              <w:left w:val="nil"/>
              <w:bottom w:val="nil"/>
              <w:right w:val="nil"/>
            </w:tcBorders>
            <w:shd w:val="clear" w:color="auto" w:fill="auto"/>
            <w:vAlign w:val="center"/>
            <w:hideMark/>
          </w:tcPr>
          <w:p w14:paraId="1136BAB9" w14:textId="77777777" w:rsidR="009B3A01" w:rsidRPr="005269E6" w:rsidRDefault="009B3A01" w:rsidP="00CF6D39">
            <w:pPr>
              <w:tabs>
                <w:tab w:val="clear" w:pos="794"/>
              </w:tabs>
              <w:spacing w:before="40" w:after="40" w:line="240" w:lineRule="exact"/>
              <w:jc w:val="left"/>
              <w:rPr>
                <w:rFonts w:eastAsia="Times New Roman"/>
                <w:sz w:val="18"/>
                <w:szCs w:val="18"/>
                <w:lang w:val="en-GB" w:eastAsia="en-GB"/>
              </w:rPr>
            </w:pPr>
          </w:p>
        </w:tc>
        <w:tc>
          <w:tcPr>
            <w:tcW w:w="1218" w:type="dxa"/>
            <w:tcBorders>
              <w:top w:val="nil"/>
              <w:left w:val="nil"/>
              <w:bottom w:val="nil"/>
              <w:right w:val="nil"/>
            </w:tcBorders>
            <w:shd w:val="clear" w:color="auto" w:fill="auto"/>
            <w:vAlign w:val="center"/>
            <w:hideMark/>
          </w:tcPr>
          <w:p w14:paraId="7BA5F8E9" w14:textId="77777777" w:rsidR="009B3A01" w:rsidRPr="005269E6" w:rsidRDefault="009B3A01" w:rsidP="00CF6D39">
            <w:pPr>
              <w:tabs>
                <w:tab w:val="clear" w:pos="794"/>
              </w:tabs>
              <w:spacing w:before="40" w:after="40" w:line="240" w:lineRule="exact"/>
              <w:jc w:val="left"/>
              <w:rPr>
                <w:rFonts w:eastAsia="Times New Roman"/>
                <w:sz w:val="18"/>
                <w:szCs w:val="18"/>
                <w:lang w:val="en-GB" w:eastAsia="en-GB"/>
              </w:rPr>
            </w:pPr>
          </w:p>
        </w:tc>
        <w:tc>
          <w:tcPr>
            <w:tcW w:w="1333" w:type="dxa"/>
            <w:tcBorders>
              <w:top w:val="nil"/>
              <w:left w:val="nil"/>
              <w:bottom w:val="nil"/>
              <w:right w:val="nil"/>
            </w:tcBorders>
            <w:shd w:val="clear" w:color="auto" w:fill="auto"/>
            <w:vAlign w:val="center"/>
            <w:hideMark/>
          </w:tcPr>
          <w:p w14:paraId="294AFB35" w14:textId="77777777" w:rsidR="009B3A01" w:rsidRPr="005269E6" w:rsidRDefault="009B3A01" w:rsidP="00CF6D39">
            <w:pPr>
              <w:tabs>
                <w:tab w:val="clear" w:pos="794"/>
              </w:tabs>
              <w:spacing w:before="40" w:after="40" w:line="240" w:lineRule="exact"/>
              <w:jc w:val="left"/>
              <w:rPr>
                <w:rFonts w:eastAsia="Times New Roman"/>
                <w:sz w:val="18"/>
                <w:szCs w:val="18"/>
                <w:lang w:val="en-GB" w:eastAsia="en-GB"/>
              </w:rPr>
            </w:pPr>
          </w:p>
        </w:tc>
        <w:tc>
          <w:tcPr>
            <w:tcW w:w="1143" w:type="dxa"/>
            <w:tcBorders>
              <w:top w:val="nil"/>
              <w:left w:val="nil"/>
              <w:bottom w:val="nil"/>
              <w:right w:val="nil"/>
            </w:tcBorders>
            <w:shd w:val="clear" w:color="auto" w:fill="auto"/>
            <w:vAlign w:val="center"/>
            <w:hideMark/>
          </w:tcPr>
          <w:p w14:paraId="3C93DDC5" w14:textId="77777777" w:rsidR="009B3A01" w:rsidRPr="005269E6" w:rsidRDefault="009B3A01" w:rsidP="00CF6D39">
            <w:pPr>
              <w:tabs>
                <w:tab w:val="clear" w:pos="794"/>
              </w:tabs>
              <w:spacing w:before="40" w:after="40" w:line="240" w:lineRule="exact"/>
              <w:jc w:val="left"/>
              <w:rPr>
                <w:rFonts w:eastAsia="Times New Roman"/>
                <w:sz w:val="18"/>
                <w:szCs w:val="18"/>
                <w:lang w:val="en-GB" w:eastAsia="en-GB"/>
              </w:rPr>
            </w:pPr>
          </w:p>
        </w:tc>
      </w:tr>
      <w:tr w:rsidR="009B3A01" w:rsidRPr="005269E6" w14:paraId="5559C6B0" w14:textId="77777777" w:rsidTr="00F409F6">
        <w:trPr>
          <w:trHeight w:val="282"/>
        </w:trPr>
        <w:tc>
          <w:tcPr>
            <w:tcW w:w="2324" w:type="dxa"/>
            <w:tcBorders>
              <w:top w:val="nil"/>
              <w:left w:val="nil"/>
              <w:bottom w:val="nil"/>
              <w:right w:val="nil"/>
            </w:tcBorders>
            <w:shd w:val="clear" w:color="auto" w:fill="auto"/>
            <w:vAlign w:val="center"/>
            <w:hideMark/>
          </w:tcPr>
          <w:p w14:paraId="6197470C" w14:textId="61F4846E" w:rsidR="009B3A01" w:rsidRPr="005269E6" w:rsidRDefault="00F409F6" w:rsidP="00F409F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 xml:space="preserve">الحسابات </w:t>
            </w:r>
            <w:r w:rsidRPr="005269E6">
              <w:rPr>
                <w:rFonts w:eastAsia="Times New Roman"/>
                <w:color w:val="000000"/>
                <w:sz w:val="18"/>
                <w:szCs w:val="18"/>
                <w:rtl/>
                <w:lang w:val="en-GB" w:eastAsia="en-GB"/>
              </w:rPr>
              <w:t>الاحتياطي</w:t>
            </w:r>
            <w:r w:rsidRPr="005269E6">
              <w:rPr>
                <w:rFonts w:eastAsia="Times New Roman" w:hint="cs"/>
                <w:color w:val="000000"/>
                <w:sz w:val="18"/>
                <w:szCs w:val="18"/>
                <w:rtl/>
                <w:lang w:val="en-GB" w:eastAsia="en-GB"/>
              </w:rPr>
              <w:t>ة المخصصة</w:t>
            </w:r>
            <w:r w:rsidRPr="005269E6">
              <w:rPr>
                <w:rFonts w:eastAsia="Times New Roman"/>
                <w:color w:val="000000"/>
                <w:sz w:val="18"/>
                <w:szCs w:val="18"/>
                <w:rtl/>
                <w:lang w:val="en-GB" w:eastAsia="en-GB"/>
              </w:rPr>
              <w:t xml:space="preserve"> من خارج الميزانية </w:t>
            </w:r>
          </w:p>
        </w:tc>
        <w:tc>
          <w:tcPr>
            <w:tcW w:w="1273" w:type="dxa"/>
            <w:tcBorders>
              <w:top w:val="nil"/>
              <w:left w:val="nil"/>
              <w:bottom w:val="nil"/>
              <w:right w:val="nil"/>
            </w:tcBorders>
            <w:shd w:val="clear" w:color="auto" w:fill="auto"/>
            <w:vAlign w:val="center"/>
            <w:hideMark/>
          </w:tcPr>
          <w:p w14:paraId="038D716D" w14:textId="1AE33010"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8 008</w:t>
            </w:r>
          </w:p>
        </w:tc>
        <w:tc>
          <w:tcPr>
            <w:tcW w:w="1218" w:type="dxa"/>
            <w:tcBorders>
              <w:top w:val="nil"/>
              <w:left w:val="nil"/>
              <w:bottom w:val="nil"/>
              <w:right w:val="nil"/>
            </w:tcBorders>
            <w:shd w:val="clear" w:color="auto" w:fill="auto"/>
            <w:vAlign w:val="center"/>
            <w:hideMark/>
          </w:tcPr>
          <w:p w14:paraId="644522CF" w14:textId="710EE502"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95</w:t>
            </w:r>
          </w:p>
        </w:tc>
        <w:tc>
          <w:tcPr>
            <w:tcW w:w="1130" w:type="dxa"/>
            <w:tcBorders>
              <w:top w:val="nil"/>
              <w:left w:val="nil"/>
              <w:bottom w:val="nil"/>
              <w:right w:val="nil"/>
            </w:tcBorders>
            <w:shd w:val="clear" w:color="auto" w:fill="auto"/>
            <w:vAlign w:val="center"/>
            <w:hideMark/>
          </w:tcPr>
          <w:p w14:paraId="4B555297" w14:textId="610BD61F"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8 103</w:t>
            </w:r>
          </w:p>
        </w:tc>
        <w:tc>
          <w:tcPr>
            <w:tcW w:w="1218" w:type="dxa"/>
            <w:tcBorders>
              <w:top w:val="nil"/>
              <w:left w:val="nil"/>
              <w:bottom w:val="nil"/>
              <w:right w:val="nil"/>
            </w:tcBorders>
            <w:shd w:val="clear" w:color="auto" w:fill="auto"/>
            <w:vAlign w:val="center"/>
            <w:hideMark/>
          </w:tcPr>
          <w:p w14:paraId="234E3A35" w14:textId="5D1B8DFC"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(1 825)</w:t>
            </w:r>
          </w:p>
        </w:tc>
        <w:tc>
          <w:tcPr>
            <w:tcW w:w="1333" w:type="dxa"/>
            <w:tcBorders>
              <w:top w:val="nil"/>
              <w:left w:val="nil"/>
              <w:bottom w:val="nil"/>
              <w:right w:val="nil"/>
            </w:tcBorders>
            <w:shd w:val="clear" w:color="auto" w:fill="auto"/>
            <w:vAlign w:val="center"/>
            <w:hideMark/>
          </w:tcPr>
          <w:p w14:paraId="0B1BC472" w14:textId="53464053"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301</w:t>
            </w:r>
          </w:p>
        </w:tc>
        <w:tc>
          <w:tcPr>
            <w:tcW w:w="1143" w:type="dxa"/>
            <w:tcBorders>
              <w:top w:val="nil"/>
              <w:left w:val="nil"/>
              <w:bottom w:val="nil"/>
              <w:right w:val="nil"/>
            </w:tcBorders>
            <w:shd w:val="clear" w:color="auto" w:fill="auto"/>
            <w:vAlign w:val="center"/>
            <w:hideMark/>
          </w:tcPr>
          <w:p w14:paraId="434BFDF0" w14:textId="4ED83686"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6 579</w:t>
            </w:r>
          </w:p>
        </w:tc>
      </w:tr>
      <w:tr w:rsidR="009B3A01" w:rsidRPr="005269E6" w14:paraId="029684E2" w14:textId="77777777" w:rsidTr="00F409F6">
        <w:trPr>
          <w:trHeight w:val="282"/>
        </w:trPr>
        <w:tc>
          <w:tcPr>
            <w:tcW w:w="2324" w:type="dxa"/>
            <w:tcBorders>
              <w:top w:val="nil"/>
              <w:left w:val="nil"/>
              <w:bottom w:val="nil"/>
              <w:right w:val="nil"/>
            </w:tcBorders>
            <w:shd w:val="clear" w:color="auto" w:fill="auto"/>
            <w:vAlign w:val="center"/>
            <w:hideMark/>
          </w:tcPr>
          <w:p w14:paraId="70283A5B" w14:textId="772F058A" w:rsidR="009B3A01" w:rsidRPr="005269E6" w:rsidRDefault="00F409F6" w:rsidP="009B3A0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صندوق رأس المال العامل لمعارض الاتحاد</w:t>
            </w:r>
          </w:p>
        </w:tc>
        <w:tc>
          <w:tcPr>
            <w:tcW w:w="1273" w:type="dxa"/>
            <w:tcBorders>
              <w:top w:val="nil"/>
              <w:left w:val="nil"/>
              <w:bottom w:val="nil"/>
              <w:right w:val="nil"/>
            </w:tcBorders>
            <w:shd w:val="clear" w:color="auto" w:fill="auto"/>
            <w:vAlign w:val="center"/>
            <w:hideMark/>
          </w:tcPr>
          <w:p w14:paraId="5253AEE4" w14:textId="13F67226"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6 616</w:t>
            </w:r>
          </w:p>
        </w:tc>
        <w:tc>
          <w:tcPr>
            <w:tcW w:w="1218" w:type="dxa"/>
            <w:tcBorders>
              <w:top w:val="nil"/>
              <w:left w:val="nil"/>
              <w:bottom w:val="nil"/>
              <w:right w:val="nil"/>
            </w:tcBorders>
            <w:shd w:val="clear" w:color="auto" w:fill="auto"/>
            <w:vAlign w:val="center"/>
            <w:hideMark/>
          </w:tcPr>
          <w:p w14:paraId="6F694827" w14:textId="5F8E2029"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(2 329)</w:t>
            </w:r>
          </w:p>
        </w:tc>
        <w:tc>
          <w:tcPr>
            <w:tcW w:w="1130" w:type="dxa"/>
            <w:tcBorders>
              <w:top w:val="nil"/>
              <w:left w:val="nil"/>
              <w:bottom w:val="nil"/>
              <w:right w:val="nil"/>
            </w:tcBorders>
            <w:shd w:val="clear" w:color="auto" w:fill="auto"/>
            <w:vAlign w:val="center"/>
            <w:hideMark/>
          </w:tcPr>
          <w:p w14:paraId="3501EC84" w14:textId="551DCF9E"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4 287</w:t>
            </w:r>
          </w:p>
        </w:tc>
        <w:tc>
          <w:tcPr>
            <w:tcW w:w="1218" w:type="dxa"/>
            <w:tcBorders>
              <w:top w:val="nil"/>
              <w:left w:val="nil"/>
              <w:bottom w:val="nil"/>
              <w:right w:val="nil"/>
            </w:tcBorders>
            <w:shd w:val="clear" w:color="auto" w:fill="auto"/>
            <w:vAlign w:val="center"/>
            <w:hideMark/>
          </w:tcPr>
          <w:p w14:paraId="25DB509B" w14:textId="2BBFEC29"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(510)</w:t>
            </w:r>
          </w:p>
        </w:tc>
        <w:tc>
          <w:tcPr>
            <w:tcW w:w="1333" w:type="dxa"/>
            <w:tcBorders>
              <w:top w:val="nil"/>
              <w:left w:val="nil"/>
              <w:bottom w:val="nil"/>
              <w:right w:val="nil"/>
            </w:tcBorders>
            <w:shd w:val="clear" w:color="auto" w:fill="auto"/>
            <w:vAlign w:val="center"/>
            <w:hideMark/>
          </w:tcPr>
          <w:p w14:paraId="69B01D2D" w14:textId="77777777"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p>
        </w:tc>
        <w:tc>
          <w:tcPr>
            <w:tcW w:w="1143" w:type="dxa"/>
            <w:tcBorders>
              <w:top w:val="nil"/>
              <w:left w:val="nil"/>
              <w:bottom w:val="nil"/>
              <w:right w:val="nil"/>
            </w:tcBorders>
            <w:shd w:val="clear" w:color="auto" w:fill="auto"/>
            <w:vAlign w:val="center"/>
            <w:hideMark/>
          </w:tcPr>
          <w:p w14:paraId="245C4381" w14:textId="22BB581F"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3 777</w:t>
            </w:r>
          </w:p>
        </w:tc>
      </w:tr>
      <w:tr w:rsidR="009B3A01" w:rsidRPr="005269E6" w14:paraId="0F4FE83A" w14:textId="77777777" w:rsidTr="00F409F6">
        <w:trPr>
          <w:trHeight w:val="282"/>
        </w:trPr>
        <w:tc>
          <w:tcPr>
            <w:tcW w:w="2324" w:type="dxa"/>
            <w:tcBorders>
              <w:top w:val="nil"/>
              <w:left w:val="nil"/>
              <w:bottom w:val="nil"/>
              <w:right w:val="nil"/>
            </w:tcBorders>
            <w:shd w:val="clear" w:color="auto" w:fill="auto"/>
            <w:vAlign w:val="center"/>
            <w:hideMark/>
          </w:tcPr>
          <w:p w14:paraId="63747D7C" w14:textId="2476FF6E" w:rsidR="009B3A01" w:rsidRPr="005269E6" w:rsidRDefault="00F409F6" w:rsidP="009B3A0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الحسابات الاحتياطية</w:t>
            </w:r>
            <w:r w:rsidRPr="005269E6">
              <w:rPr>
                <w:rFonts w:eastAsia="Times New Roman" w:hint="cs"/>
                <w:color w:val="000000"/>
                <w:sz w:val="18"/>
                <w:szCs w:val="18"/>
                <w:rtl/>
                <w:lang w:val="en-GB" w:eastAsia="en-GB"/>
              </w:rPr>
              <w:t xml:space="preserve"> غير</w:t>
            </w:r>
            <w:r w:rsidRPr="005269E6">
              <w:rPr>
                <w:rFonts w:eastAsia="Times New Roman"/>
                <w:color w:val="000000"/>
                <w:sz w:val="18"/>
                <w:szCs w:val="18"/>
                <w:rtl/>
                <w:lang w:val="en-GB" w:eastAsia="en-GB"/>
              </w:rPr>
              <w:t xml:space="preserve"> المخصصة من خارج الميزانية</w:t>
            </w:r>
          </w:p>
        </w:tc>
        <w:tc>
          <w:tcPr>
            <w:tcW w:w="1273" w:type="dxa"/>
            <w:tcBorders>
              <w:top w:val="nil"/>
              <w:left w:val="nil"/>
              <w:bottom w:val="nil"/>
              <w:right w:val="nil"/>
            </w:tcBorders>
            <w:shd w:val="clear" w:color="auto" w:fill="auto"/>
            <w:vAlign w:val="center"/>
            <w:hideMark/>
          </w:tcPr>
          <w:p w14:paraId="06FEDE69" w14:textId="2109C4E0"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3 767</w:t>
            </w:r>
          </w:p>
        </w:tc>
        <w:tc>
          <w:tcPr>
            <w:tcW w:w="1218" w:type="dxa"/>
            <w:tcBorders>
              <w:top w:val="nil"/>
              <w:left w:val="nil"/>
              <w:bottom w:val="nil"/>
              <w:right w:val="nil"/>
            </w:tcBorders>
            <w:shd w:val="clear" w:color="auto" w:fill="auto"/>
            <w:vAlign w:val="center"/>
            <w:hideMark/>
          </w:tcPr>
          <w:p w14:paraId="7AA71CE3" w14:textId="29FA2316"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464</w:t>
            </w:r>
          </w:p>
        </w:tc>
        <w:tc>
          <w:tcPr>
            <w:tcW w:w="1130" w:type="dxa"/>
            <w:tcBorders>
              <w:top w:val="nil"/>
              <w:left w:val="nil"/>
              <w:bottom w:val="nil"/>
              <w:right w:val="nil"/>
            </w:tcBorders>
            <w:shd w:val="clear" w:color="auto" w:fill="auto"/>
            <w:vAlign w:val="center"/>
            <w:hideMark/>
          </w:tcPr>
          <w:p w14:paraId="780C19E3" w14:textId="3C587734"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4 231</w:t>
            </w:r>
          </w:p>
        </w:tc>
        <w:tc>
          <w:tcPr>
            <w:tcW w:w="1218" w:type="dxa"/>
            <w:tcBorders>
              <w:top w:val="nil"/>
              <w:left w:val="nil"/>
              <w:bottom w:val="nil"/>
              <w:right w:val="nil"/>
            </w:tcBorders>
            <w:shd w:val="clear" w:color="auto" w:fill="auto"/>
            <w:vAlign w:val="center"/>
            <w:hideMark/>
          </w:tcPr>
          <w:p w14:paraId="034A0930" w14:textId="08619EF8"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(522)</w:t>
            </w:r>
          </w:p>
        </w:tc>
        <w:tc>
          <w:tcPr>
            <w:tcW w:w="1333" w:type="dxa"/>
            <w:tcBorders>
              <w:top w:val="nil"/>
              <w:left w:val="nil"/>
              <w:bottom w:val="nil"/>
              <w:right w:val="nil"/>
            </w:tcBorders>
            <w:shd w:val="clear" w:color="auto" w:fill="auto"/>
            <w:vAlign w:val="center"/>
            <w:hideMark/>
          </w:tcPr>
          <w:p w14:paraId="4A4F2352" w14:textId="77777777"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p>
        </w:tc>
        <w:tc>
          <w:tcPr>
            <w:tcW w:w="1143" w:type="dxa"/>
            <w:tcBorders>
              <w:top w:val="nil"/>
              <w:left w:val="nil"/>
              <w:bottom w:val="nil"/>
              <w:right w:val="nil"/>
            </w:tcBorders>
            <w:shd w:val="clear" w:color="auto" w:fill="auto"/>
            <w:vAlign w:val="center"/>
            <w:hideMark/>
          </w:tcPr>
          <w:p w14:paraId="590AD310" w14:textId="30A28ED1" w:rsidR="009B3A01" w:rsidRPr="005269E6" w:rsidRDefault="009B3A01"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3 680</w:t>
            </w:r>
          </w:p>
        </w:tc>
      </w:tr>
      <w:tr w:rsidR="009B3A01" w:rsidRPr="005269E6" w14:paraId="62959534" w14:textId="77777777" w:rsidTr="00F409F6">
        <w:trPr>
          <w:trHeight w:val="162"/>
        </w:trPr>
        <w:tc>
          <w:tcPr>
            <w:tcW w:w="2324" w:type="dxa"/>
            <w:tcBorders>
              <w:top w:val="nil"/>
              <w:left w:val="nil"/>
              <w:bottom w:val="nil"/>
              <w:right w:val="nil"/>
            </w:tcBorders>
            <w:shd w:val="clear" w:color="auto" w:fill="auto"/>
            <w:vAlign w:val="center"/>
            <w:hideMark/>
          </w:tcPr>
          <w:p w14:paraId="078CC3A1" w14:textId="77777777" w:rsidR="009B3A01" w:rsidRPr="005269E6" w:rsidRDefault="009B3A01" w:rsidP="009B3A01">
            <w:pPr>
              <w:tabs>
                <w:tab w:val="clear" w:pos="794"/>
              </w:tabs>
              <w:spacing w:before="0" w:line="200" w:lineRule="exact"/>
              <w:jc w:val="center"/>
              <w:rPr>
                <w:rFonts w:eastAsia="Times New Roman"/>
                <w:b/>
                <w:bCs/>
                <w:color w:val="000000"/>
                <w:sz w:val="18"/>
                <w:szCs w:val="18"/>
                <w:lang w:val="en-GB" w:eastAsia="en-GB"/>
              </w:rPr>
            </w:pPr>
          </w:p>
        </w:tc>
        <w:tc>
          <w:tcPr>
            <w:tcW w:w="1273" w:type="dxa"/>
            <w:tcBorders>
              <w:top w:val="nil"/>
              <w:left w:val="nil"/>
              <w:bottom w:val="nil"/>
              <w:right w:val="nil"/>
            </w:tcBorders>
            <w:shd w:val="clear" w:color="auto" w:fill="auto"/>
            <w:vAlign w:val="center"/>
            <w:hideMark/>
          </w:tcPr>
          <w:p w14:paraId="3E39A0B3" w14:textId="77777777" w:rsidR="009B3A01" w:rsidRPr="005269E6" w:rsidRDefault="009B3A01" w:rsidP="00CF6D39">
            <w:pPr>
              <w:tabs>
                <w:tab w:val="clear" w:pos="794"/>
              </w:tabs>
              <w:spacing w:before="0" w:line="200" w:lineRule="exact"/>
              <w:jc w:val="left"/>
              <w:rPr>
                <w:rFonts w:eastAsia="Times New Roman"/>
                <w:b/>
                <w:bCs/>
                <w:color w:val="000000"/>
                <w:sz w:val="18"/>
                <w:szCs w:val="18"/>
                <w:lang w:val="en-GB" w:eastAsia="en-GB"/>
              </w:rPr>
            </w:pPr>
          </w:p>
        </w:tc>
        <w:tc>
          <w:tcPr>
            <w:tcW w:w="1218" w:type="dxa"/>
            <w:tcBorders>
              <w:top w:val="nil"/>
              <w:left w:val="nil"/>
              <w:bottom w:val="nil"/>
              <w:right w:val="nil"/>
            </w:tcBorders>
            <w:shd w:val="clear" w:color="auto" w:fill="auto"/>
            <w:vAlign w:val="center"/>
            <w:hideMark/>
          </w:tcPr>
          <w:p w14:paraId="43D6C91F" w14:textId="77777777" w:rsidR="009B3A01" w:rsidRPr="005269E6" w:rsidRDefault="009B3A01" w:rsidP="00CF6D39">
            <w:pPr>
              <w:tabs>
                <w:tab w:val="clear" w:pos="794"/>
              </w:tabs>
              <w:spacing w:before="0" w:line="200" w:lineRule="exact"/>
              <w:jc w:val="left"/>
              <w:rPr>
                <w:rFonts w:eastAsia="Times New Roman"/>
                <w:b/>
                <w:bCs/>
                <w:color w:val="000000"/>
                <w:sz w:val="18"/>
                <w:szCs w:val="18"/>
                <w:lang w:val="en-GB" w:eastAsia="en-GB"/>
              </w:rPr>
            </w:pPr>
          </w:p>
        </w:tc>
        <w:tc>
          <w:tcPr>
            <w:tcW w:w="1130" w:type="dxa"/>
            <w:tcBorders>
              <w:top w:val="nil"/>
              <w:left w:val="nil"/>
              <w:bottom w:val="nil"/>
              <w:right w:val="nil"/>
            </w:tcBorders>
            <w:shd w:val="clear" w:color="auto" w:fill="auto"/>
            <w:vAlign w:val="center"/>
            <w:hideMark/>
          </w:tcPr>
          <w:p w14:paraId="21EE78CA" w14:textId="77777777" w:rsidR="009B3A01" w:rsidRPr="005269E6" w:rsidRDefault="009B3A01" w:rsidP="00CF6D39">
            <w:pPr>
              <w:tabs>
                <w:tab w:val="clear" w:pos="794"/>
              </w:tabs>
              <w:spacing w:before="0" w:line="200" w:lineRule="exact"/>
              <w:jc w:val="left"/>
              <w:rPr>
                <w:rFonts w:eastAsia="Times New Roman"/>
                <w:b/>
                <w:bCs/>
                <w:color w:val="000000"/>
                <w:sz w:val="18"/>
                <w:szCs w:val="18"/>
                <w:lang w:val="en-GB" w:eastAsia="en-GB"/>
              </w:rPr>
            </w:pPr>
          </w:p>
        </w:tc>
        <w:tc>
          <w:tcPr>
            <w:tcW w:w="1218" w:type="dxa"/>
            <w:tcBorders>
              <w:top w:val="nil"/>
              <w:left w:val="nil"/>
              <w:bottom w:val="nil"/>
              <w:right w:val="nil"/>
            </w:tcBorders>
            <w:shd w:val="clear" w:color="auto" w:fill="auto"/>
            <w:vAlign w:val="center"/>
            <w:hideMark/>
          </w:tcPr>
          <w:p w14:paraId="549C9EA5" w14:textId="77777777" w:rsidR="009B3A01" w:rsidRPr="005269E6" w:rsidRDefault="009B3A01" w:rsidP="00CF6D39">
            <w:pPr>
              <w:tabs>
                <w:tab w:val="clear" w:pos="794"/>
              </w:tabs>
              <w:spacing w:before="0" w:line="200" w:lineRule="exact"/>
              <w:jc w:val="left"/>
              <w:rPr>
                <w:rFonts w:eastAsia="Times New Roman"/>
                <w:b/>
                <w:bCs/>
                <w:color w:val="000000"/>
                <w:sz w:val="18"/>
                <w:szCs w:val="18"/>
                <w:lang w:val="en-GB" w:eastAsia="en-GB"/>
              </w:rPr>
            </w:pPr>
          </w:p>
        </w:tc>
        <w:tc>
          <w:tcPr>
            <w:tcW w:w="1333" w:type="dxa"/>
            <w:tcBorders>
              <w:top w:val="nil"/>
              <w:left w:val="nil"/>
              <w:bottom w:val="nil"/>
              <w:right w:val="nil"/>
            </w:tcBorders>
            <w:shd w:val="clear" w:color="auto" w:fill="auto"/>
            <w:vAlign w:val="center"/>
            <w:hideMark/>
          </w:tcPr>
          <w:p w14:paraId="177F01CD" w14:textId="77777777" w:rsidR="009B3A01" w:rsidRPr="005269E6" w:rsidRDefault="009B3A01" w:rsidP="00CF6D39">
            <w:pPr>
              <w:tabs>
                <w:tab w:val="clear" w:pos="794"/>
              </w:tabs>
              <w:spacing w:before="0" w:line="200" w:lineRule="exact"/>
              <w:jc w:val="left"/>
              <w:rPr>
                <w:rFonts w:eastAsia="Times New Roman"/>
                <w:b/>
                <w:bCs/>
                <w:color w:val="000000"/>
                <w:sz w:val="18"/>
                <w:szCs w:val="18"/>
                <w:lang w:val="en-GB" w:eastAsia="en-GB"/>
              </w:rPr>
            </w:pPr>
          </w:p>
        </w:tc>
        <w:tc>
          <w:tcPr>
            <w:tcW w:w="1143" w:type="dxa"/>
            <w:tcBorders>
              <w:top w:val="nil"/>
              <w:left w:val="nil"/>
              <w:bottom w:val="nil"/>
              <w:right w:val="nil"/>
            </w:tcBorders>
            <w:shd w:val="clear" w:color="auto" w:fill="auto"/>
            <w:vAlign w:val="center"/>
            <w:hideMark/>
          </w:tcPr>
          <w:p w14:paraId="7E74D17D" w14:textId="77777777" w:rsidR="009B3A01" w:rsidRPr="005269E6" w:rsidRDefault="009B3A01" w:rsidP="00CF6D39">
            <w:pPr>
              <w:tabs>
                <w:tab w:val="clear" w:pos="794"/>
              </w:tabs>
              <w:spacing w:before="0" w:line="200" w:lineRule="exact"/>
              <w:jc w:val="left"/>
              <w:rPr>
                <w:rFonts w:eastAsia="Times New Roman"/>
                <w:b/>
                <w:bCs/>
                <w:color w:val="000000"/>
                <w:sz w:val="18"/>
                <w:szCs w:val="18"/>
                <w:lang w:val="en-GB" w:eastAsia="en-GB"/>
              </w:rPr>
            </w:pPr>
          </w:p>
        </w:tc>
      </w:tr>
      <w:tr w:rsidR="009B3A01" w:rsidRPr="005269E6" w14:paraId="3006C987" w14:textId="77777777" w:rsidTr="00F409F6">
        <w:trPr>
          <w:trHeight w:val="510"/>
        </w:trPr>
        <w:tc>
          <w:tcPr>
            <w:tcW w:w="2324" w:type="dxa"/>
            <w:tcBorders>
              <w:top w:val="nil"/>
              <w:left w:val="nil"/>
              <w:bottom w:val="nil"/>
              <w:right w:val="nil"/>
            </w:tcBorders>
            <w:shd w:val="clear" w:color="000000" w:fill="538DD5"/>
            <w:vAlign w:val="center"/>
            <w:hideMark/>
          </w:tcPr>
          <w:p w14:paraId="1F89E234" w14:textId="21383DBE" w:rsidR="009B3A01" w:rsidRPr="005269E6" w:rsidRDefault="00F409F6" w:rsidP="009B3A0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مجموع صافي الأصول</w:t>
            </w:r>
          </w:p>
        </w:tc>
        <w:tc>
          <w:tcPr>
            <w:tcW w:w="1273" w:type="dxa"/>
            <w:tcBorders>
              <w:top w:val="nil"/>
              <w:left w:val="nil"/>
              <w:bottom w:val="nil"/>
              <w:right w:val="nil"/>
            </w:tcBorders>
            <w:shd w:val="clear" w:color="000000" w:fill="538DD5"/>
            <w:vAlign w:val="center"/>
            <w:hideMark/>
          </w:tcPr>
          <w:p w14:paraId="07B7B777" w14:textId="77B83017" w:rsidR="009B3A01" w:rsidRPr="005269E6" w:rsidRDefault="009B3A01"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18 391</w:t>
            </w:r>
          </w:p>
        </w:tc>
        <w:tc>
          <w:tcPr>
            <w:tcW w:w="1218" w:type="dxa"/>
            <w:tcBorders>
              <w:top w:val="nil"/>
              <w:left w:val="nil"/>
              <w:bottom w:val="nil"/>
              <w:right w:val="nil"/>
            </w:tcBorders>
            <w:shd w:val="clear" w:color="000000" w:fill="538DD5"/>
            <w:vAlign w:val="center"/>
            <w:hideMark/>
          </w:tcPr>
          <w:p w14:paraId="2E060A27" w14:textId="35357D76" w:rsidR="009B3A01" w:rsidRPr="005269E6" w:rsidRDefault="009B3A01"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(1 770)</w:t>
            </w:r>
          </w:p>
        </w:tc>
        <w:tc>
          <w:tcPr>
            <w:tcW w:w="1130" w:type="dxa"/>
            <w:tcBorders>
              <w:top w:val="nil"/>
              <w:left w:val="nil"/>
              <w:bottom w:val="nil"/>
              <w:right w:val="nil"/>
            </w:tcBorders>
            <w:shd w:val="clear" w:color="000000" w:fill="538DD5"/>
            <w:vAlign w:val="center"/>
            <w:hideMark/>
          </w:tcPr>
          <w:p w14:paraId="38C03D4E" w14:textId="46E776C8" w:rsidR="009B3A01" w:rsidRPr="005269E6" w:rsidRDefault="009B3A01"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16 621</w:t>
            </w:r>
          </w:p>
        </w:tc>
        <w:tc>
          <w:tcPr>
            <w:tcW w:w="1218" w:type="dxa"/>
            <w:tcBorders>
              <w:top w:val="nil"/>
              <w:left w:val="nil"/>
              <w:bottom w:val="nil"/>
              <w:right w:val="nil"/>
            </w:tcBorders>
            <w:shd w:val="clear" w:color="000000" w:fill="538DD5"/>
            <w:vAlign w:val="center"/>
            <w:hideMark/>
          </w:tcPr>
          <w:p w14:paraId="41FCA996" w14:textId="79362484" w:rsidR="009B3A01" w:rsidRPr="005269E6" w:rsidRDefault="009B3A01"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(2 886)</w:t>
            </w:r>
          </w:p>
        </w:tc>
        <w:tc>
          <w:tcPr>
            <w:tcW w:w="1333" w:type="dxa"/>
            <w:tcBorders>
              <w:top w:val="nil"/>
              <w:left w:val="nil"/>
              <w:bottom w:val="nil"/>
              <w:right w:val="nil"/>
            </w:tcBorders>
            <w:shd w:val="clear" w:color="000000" w:fill="538DD5"/>
            <w:vAlign w:val="center"/>
            <w:hideMark/>
          </w:tcPr>
          <w:p w14:paraId="1502A793" w14:textId="63A8AEDB" w:rsidR="009B3A01" w:rsidRPr="005269E6" w:rsidRDefault="009B3A01"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301</w:t>
            </w:r>
          </w:p>
        </w:tc>
        <w:tc>
          <w:tcPr>
            <w:tcW w:w="1143" w:type="dxa"/>
            <w:tcBorders>
              <w:top w:val="nil"/>
              <w:left w:val="nil"/>
              <w:bottom w:val="nil"/>
              <w:right w:val="nil"/>
            </w:tcBorders>
            <w:shd w:val="clear" w:color="000000" w:fill="538DD5"/>
            <w:vAlign w:val="center"/>
            <w:hideMark/>
          </w:tcPr>
          <w:p w14:paraId="21E38234" w14:textId="2A85D611" w:rsidR="009B3A01" w:rsidRPr="005269E6" w:rsidRDefault="009B3A01"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14 036</w:t>
            </w:r>
          </w:p>
        </w:tc>
      </w:tr>
    </w:tbl>
    <w:p w14:paraId="22EF3E0C" w14:textId="1A9E519B" w:rsidR="00C543C6" w:rsidRPr="005269E6" w:rsidRDefault="00C543C6" w:rsidP="00696AA6">
      <w:pPr>
        <w:pStyle w:val="Heading5"/>
        <w:rPr>
          <w:rtl/>
        </w:rPr>
      </w:pPr>
      <w:bookmarkStart w:id="308" w:name="_Toc387263373"/>
      <w:bookmarkStart w:id="309" w:name="_Toc387338348"/>
      <w:bookmarkStart w:id="310" w:name="_Toc419484070"/>
      <w:bookmarkStart w:id="311" w:name="_Toc452156622"/>
      <w:bookmarkStart w:id="312" w:name="_Toc482792208"/>
      <w:bookmarkStart w:id="313" w:name="_Toc482793713"/>
      <w:bookmarkStart w:id="314" w:name="_Toc511402228"/>
      <w:bookmarkStart w:id="315" w:name="_Toc511756665"/>
      <w:bookmarkStart w:id="316" w:name="_Toc9614784"/>
      <w:bookmarkStart w:id="317" w:name="_Toc42013539"/>
      <w:bookmarkStart w:id="318" w:name="_Toc42014540"/>
      <w:bookmarkStart w:id="319" w:name="_Toc74061572"/>
      <w:bookmarkStart w:id="320" w:name="_Toc162520623"/>
      <w:r w:rsidRPr="005269E6">
        <w:rPr>
          <w:rFonts w:hint="cs"/>
          <w:rtl/>
        </w:rPr>
        <w:t xml:space="preserve">الملاحظة </w:t>
      </w:r>
      <w:r w:rsidR="009B3A01" w:rsidRPr="005269E6">
        <w:t>5</w:t>
      </w:r>
      <w:r w:rsidRPr="005269E6">
        <w:rPr>
          <w:rFonts w:hint="cs"/>
          <w:rtl/>
        </w:rPr>
        <w:tab/>
        <w:t>إدارة المخاطر المالية</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4F2C145F" w14:textId="75DD75F3" w:rsidR="00C543C6" w:rsidRPr="005269E6" w:rsidRDefault="00C543C6" w:rsidP="00C543C6">
      <w:pPr>
        <w:rPr>
          <w:lang w:bidi="ar-SY"/>
        </w:rPr>
      </w:pPr>
      <w:r w:rsidRPr="005269E6">
        <w:rPr>
          <w:rFonts w:hint="cs"/>
          <w:rtl/>
          <w:lang w:bidi="ar-SY"/>
        </w:rPr>
        <w:t xml:space="preserve">يتعرض الاتحاد في إطار ما يقوم به من أعمال لعدد من المخاطر المالية من بينها مخاطر الائتمان ومخاطر السوق (مخاطر سعر الصرف للعملات الأجنبية) ومخاطر أسعار الفائدة ومخاطر السيولة. وتعرض هذه الملاحظات معلومات عن مدى تعرض الاتحاد لكل من المخاطر أعلاه وتقدم المبادئ التي يعتمدها الاتحاد من أجل إدارة المخاطر المالية والحفاظ على رأسماله. وتخضع إدارة المخاطر المالية مركزياً لمسؤولية </w:t>
      </w:r>
      <w:r w:rsidR="00515AA9" w:rsidRPr="005269E6">
        <w:rPr>
          <w:rFonts w:hint="cs"/>
          <w:rtl/>
          <w:lang w:bidi="ar-SY"/>
        </w:rPr>
        <w:t>الأمينة العامة</w:t>
      </w:r>
      <w:r w:rsidRPr="005269E6">
        <w:rPr>
          <w:rFonts w:hint="cs"/>
          <w:rtl/>
          <w:lang w:bidi="ar-SY"/>
        </w:rPr>
        <w:t>.</w:t>
      </w:r>
    </w:p>
    <w:p w14:paraId="69165B53" w14:textId="235F6133" w:rsidR="00C543C6" w:rsidRPr="005269E6" w:rsidRDefault="00C543C6" w:rsidP="00C543C6">
      <w:pPr>
        <w:pStyle w:val="Headingb"/>
        <w:rPr>
          <w:rtl/>
        </w:rPr>
      </w:pPr>
      <w:bookmarkStart w:id="321" w:name="_Toc419484071"/>
      <w:bookmarkStart w:id="322" w:name="_Toc452156623"/>
      <w:r w:rsidRPr="005269E6">
        <w:rPr>
          <w:rFonts w:hint="cs"/>
          <w:rtl/>
        </w:rPr>
        <w:t xml:space="preserve">القيمة </w:t>
      </w:r>
      <w:bookmarkEnd w:id="321"/>
      <w:bookmarkEnd w:id="322"/>
      <w:r w:rsidR="00415128" w:rsidRPr="005269E6">
        <w:rPr>
          <w:rFonts w:hint="cs"/>
          <w:rtl/>
        </w:rPr>
        <w:t>العادلة</w:t>
      </w:r>
    </w:p>
    <w:p w14:paraId="19BA5EB0" w14:textId="4BAE7EDA" w:rsidR="00C543C6" w:rsidRPr="005269E6" w:rsidRDefault="00415128" w:rsidP="00415128">
      <w:pPr>
        <w:rPr>
          <w:rtl/>
          <w:lang w:bidi="ar-SY"/>
        </w:rPr>
      </w:pPr>
      <w:r w:rsidRPr="005269E6">
        <w:rPr>
          <w:rtl/>
          <w:lang w:bidi="ar"/>
        </w:rPr>
        <w:t>وباستثناء</w:t>
      </w:r>
      <w:r w:rsidRPr="005269E6">
        <w:rPr>
          <w:lang w:val="en" w:bidi="ar-SY"/>
        </w:rPr>
        <w:t xml:space="preserve"> </w:t>
      </w:r>
      <w:r w:rsidRPr="005269E6">
        <w:rPr>
          <w:rtl/>
          <w:lang w:bidi="ar"/>
        </w:rPr>
        <w:t>الاقتراضات،</w:t>
      </w:r>
      <w:r w:rsidRPr="005269E6">
        <w:rPr>
          <w:lang w:val="en" w:bidi="ar-SY"/>
        </w:rPr>
        <w:t xml:space="preserve"> </w:t>
      </w:r>
      <w:r w:rsidRPr="005269E6">
        <w:rPr>
          <w:rtl/>
          <w:lang w:bidi="ar"/>
        </w:rPr>
        <w:t>لا</w:t>
      </w:r>
      <w:r w:rsidRPr="005269E6">
        <w:rPr>
          <w:lang w:val="en" w:bidi="ar-SY"/>
        </w:rPr>
        <w:t xml:space="preserve"> </w:t>
      </w:r>
      <w:r w:rsidRPr="005269E6">
        <w:rPr>
          <w:rtl/>
          <w:lang w:bidi="ar"/>
        </w:rPr>
        <w:t>يوجد</w:t>
      </w:r>
      <w:r w:rsidRPr="005269E6">
        <w:rPr>
          <w:lang w:val="en" w:bidi="ar-SY"/>
        </w:rPr>
        <w:t xml:space="preserve"> </w:t>
      </w:r>
      <w:r w:rsidRPr="005269E6">
        <w:rPr>
          <w:rtl/>
          <w:lang w:bidi="ar"/>
        </w:rPr>
        <w:t>فرق</w:t>
      </w:r>
      <w:r w:rsidRPr="005269E6">
        <w:rPr>
          <w:lang w:val="en" w:bidi="ar-SY"/>
        </w:rPr>
        <w:t xml:space="preserve"> </w:t>
      </w:r>
      <w:r w:rsidRPr="005269E6">
        <w:rPr>
          <w:rtl/>
          <w:lang w:bidi="ar"/>
        </w:rPr>
        <w:t>بين</w:t>
      </w:r>
      <w:r w:rsidRPr="005269E6">
        <w:rPr>
          <w:lang w:val="en" w:bidi="ar-SY"/>
        </w:rPr>
        <w:t xml:space="preserve"> </w:t>
      </w:r>
      <w:r w:rsidRPr="005269E6">
        <w:rPr>
          <w:rtl/>
          <w:lang w:bidi="ar"/>
        </w:rPr>
        <w:t>القيمة</w:t>
      </w:r>
      <w:r w:rsidRPr="005269E6">
        <w:rPr>
          <w:lang w:val="en" w:bidi="ar-SY"/>
        </w:rPr>
        <w:t xml:space="preserve"> </w:t>
      </w:r>
      <w:r w:rsidRPr="005269E6">
        <w:rPr>
          <w:rtl/>
          <w:lang w:bidi="ar"/>
        </w:rPr>
        <w:t>العادلة</w:t>
      </w:r>
      <w:r w:rsidRPr="005269E6">
        <w:rPr>
          <w:lang w:val="en" w:bidi="ar-SY"/>
        </w:rPr>
        <w:t xml:space="preserve"> </w:t>
      </w:r>
      <w:r w:rsidRPr="005269E6">
        <w:rPr>
          <w:rtl/>
          <w:lang w:bidi="ar"/>
        </w:rPr>
        <w:t>والقيمة</w:t>
      </w:r>
      <w:r w:rsidRPr="005269E6">
        <w:rPr>
          <w:lang w:val="en" w:bidi="ar-SY"/>
        </w:rPr>
        <w:t xml:space="preserve"> </w:t>
      </w:r>
      <w:r w:rsidRPr="005269E6">
        <w:rPr>
          <w:rtl/>
          <w:lang w:bidi="ar"/>
        </w:rPr>
        <w:t>الدفترية</w:t>
      </w:r>
      <w:r w:rsidRPr="005269E6">
        <w:rPr>
          <w:rFonts w:hint="cs"/>
          <w:rtl/>
          <w:lang w:bidi="ar-SY"/>
        </w:rPr>
        <w:t xml:space="preserve"> </w:t>
      </w:r>
      <w:r w:rsidR="00C543C6" w:rsidRPr="005269E6">
        <w:rPr>
          <w:rFonts w:hint="cs"/>
          <w:rtl/>
          <w:lang w:bidi="ar-SY"/>
        </w:rPr>
        <w:t>لل</w:t>
      </w:r>
      <w:r w:rsidR="00C2721A" w:rsidRPr="005269E6">
        <w:rPr>
          <w:rFonts w:hint="cs"/>
          <w:rtl/>
          <w:lang w:bidi="ar-SY"/>
        </w:rPr>
        <w:t>صكوك المالية</w:t>
      </w:r>
      <w:r w:rsidR="00C543C6" w:rsidRPr="005269E6">
        <w:rPr>
          <w:rFonts w:hint="cs"/>
          <w:rtl/>
          <w:lang w:bidi="ar-SY"/>
        </w:rPr>
        <w:t xml:space="preserve"> للاتحاد.</w:t>
      </w:r>
    </w:p>
    <w:p w14:paraId="579E3445" w14:textId="78819C87" w:rsidR="00C543C6" w:rsidRPr="005269E6" w:rsidRDefault="00C543C6" w:rsidP="00484378">
      <w:pPr>
        <w:rPr>
          <w:rtl/>
          <w:lang w:bidi="ar-SY"/>
        </w:rPr>
      </w:pPr>
      <w:r w:rsidRPr="005269E6">
        <w:rPr>
          <w:rFonts w:hint="cs"/>
          <w:rtl/>
          <w:lang w:bidi="ar-SY"/>
        </w:rPr>
        <w:t xml:space="preserve">وتدرج </w:t>
      </w:r>
      <w:r w:rsidR="00415128" w:rsidRPr="005269E6">
        <w:rPr>
          <w:rFonts w:hint="cs"/>
          <w:rtl/>
          <w:lang w:bidi="ar-SY"/>
        </w:rPr>
        <w:t>القيمة العادلة</w:t>
      </w:r>
      <w:r w:rsidRPr="005269E6">
        <w:rPr>
          <w:rFonts w:hint="cs"/>
          <w:rtl/>
          <w:lang w:bidi="ar-SY"/>
        </w:rPr>
        <w:t xml:space="preserve"> للأصول والخصوم المالية بالقيمة التي يمكن أن يتم بها تبادل </w:t>
      </w:r>
      <w:r w:rsidR="00415128" w:rsidRPr="005269E6">
        <w:rPr>
          <w:rFonts w:hint="cs"/>
          <w:rtl/>
          <w:lang w:bidi="ar-SY"/>
        </w:rPr>
        <w:t>الصك</w:t>
      </w:r>
      <w:r w:rsidRPr="005269E6">
        <w:rPr>
          <w:rFonts w:hint="cs"/>
          <w:rtl/>
          <w:lang w:bidi="ar-SY"/>
        </w:rPr>
        <w:t xml:space="preserve"> المالي في معاملة حالية بين أطراف راغبة، خلاف قيمة التبادل في عملية بيع إجبارية أو تصفية.</w:t>
      </w:r>
    </w:p>
    <w:p w14:paraId="6B480F95" w14:textId="14E04466" w:rsidR="00C543C6" w:rsidRPr="005269E6" w:rsidRDefault="00C543C6" w:rsidP="00C543C6">
      <w:pPr>
        <w:rPr>
          <w:rtl/>
          <w:lang w:bidi="ar-SY"/>
        </w:rPr>
      </w:pPr>
      <w:r w:rsidRPr="005269E6">
        <w:rPr>
          <w:rFonts w:hint="cs"/>
          <w:rtl/>
          <w:lang w:bidi="ar-SY"/>
        </w:rPr>
        <w:t xml:space="preserve">وقد استعملت الأساليب والافتراضات التالية لتقدير </w:t>
      </w:r>
      <w:r w:rsidR="00415128" w:rsidRPr="005269E6">
        <w:rPr>
          <w:rFonts w:hint="cs"/>
          <w:rtl/>
          <w:lang w:bidi="ar-SY"/>
        </w:rPr>
        <w:t>القيمة العادلة</w:t>
      </w:r>
      <w:r w:rsidRPr="005269E6">
        <w:rPr>
          <w:rFonts w:hint="cs"/>
          <w:rtl/>
          <w:lang w:bidi="ar-SY"/>
        </w:rPr>
        <w:t>:</w:t>
      </w:r>
    </w:p>
    <w:p w14:paraId="468AC323" w14:textId="77777777" w:rsidR="00C543C6" w:rsidRPr="005269E6" w:rsidRDefault="00C543C6" w:rsidP="00C543C6">
      <w:pPr>
        <w:pStyle w:val="enumlev1"/>
        <w:rPr>
          <w:rtl/>
        </w:rPr>
      </w:pPr>
      <w:bookmarkStart w:id="323" w:name="_Toc520365519"/>
      <w:r w:rsidRPr="005269E6">
        <w:rPr>
          <w:rFonts w:hint="cs"/>
          <w:rtl/>
        </w:rPr>
        <w:lastRenderedPageBreak/>
        <w:t>-</w:t>
      </w:r>
      <w:r w:rsidRPr="005269E6">
        <w:rPr>
          <w:rFonts w:hint="cs"/>
          <w:rtl/>
        </w:rPr>
        <w:tab/>
        <w:t>الأموال النقدية وما يعادلها والإيداعات قصيرة الأجل والمستحقات من العمليات المتعلقة بسعر الصرف والمستحقات الأخرى والمدفوعات من العمليات المتعلقة بسعر الصرف والمدفوعات الأخرى تقترب من قيمها المحاسبية بشكل كبير نتيجة فترات الاستحقاق القصيرة لهذه الاستثمارات؛</w:t>
      </w:r>
      <w:bookmarkEnd w:id="323"/>
    </w:p>
    <w:p w14:paraId="546CE0DE" w14:textId="1096EF24" w:rsidR="00C543C6" w:rsidRPr="005269E6" w:rsidRDefault="00C543C6" w:rsidP="00C543C6">
      <w:pPr>
        <w:pStyle w:val="enumlev1"/>
        <w:rPr>
          <w:rtl/>
        </w:rPr>
      </w:pPr>
      <w:bookmarkStart w:id="324" w:name="_Toc520365520"/>
      <w:r w:rsidRPr="005269E6">
        <w:rPr>
          <w:rFonts w:hint="cs"/>
          <w:rtl/>
        </w:rPr>
        <w:t>-</w:t>
      </w:r>
      <w:r w:rsidRPr="005269E6">
        <w:rPr>
          <w:rFonts w:hint="cs"/>
          <w:rtl/>
        </w:rPr>
        <w:tab/>
        <w:t xml:space="preserve">تقدر قيمة المستحقات قصيرة وطويلة الأجل حسبما هو مبين في الملاحظة </w:t>
      </w:r>
      <w:r w:rsidR="00415128" w:rsidRPr="005269E6">
        <w:rPr>
          <w:rFonts w:hint="cs"/>
          <w:rtl/>
        </w:rPr>
        <w:t>9</w:t>
      </w:r>
      <w:r w:rsidRPr="005269E6">
        <w:rPr>
          <w:rFonts w:hint="cs"/>
          <w:rtl/>
        </w:rPr>
        <w:t>؛</w:t>
      </w:r>
      <w:bookmarkEnd w:id="324"/>
    </w:p>
    <w:p w14:paraId="1F4166CC" w14:textId="4E6D3E09" w:rsidR="00C543C6" w:rsidRPr="005269E6" w:rsidRDefault="00C543C6" w:rsidP="00C543C6">
      <w:pPr>
        <w:pStyle w:val="Headingb"/>
        <w:rPr>
          <w:rtl/>
        </w:rPr>
      </w:pPr>
      <w:bookmarkStart w:id="325" w:name="_Toc419484072"/>
      <w:bookmarkStart w:id="326" w:name="_Toc452156624"/>
      <w:r w:rsidRPr="005269E6">
        <w:rPr>
          <w:rFonts w:hint="cs"/>
          <w:rtl/>
        </w:rPr>
        <w:t xml:space="preserve">تراتب </w:t>
      </w:r>
      <w:r w:rsidR="00415128" w:rsidRPr="005269E6">
        <w:rPr>
          <w:rFonts w:hint="cs"/>
          <w:rtl/>
        </w:rPr>
        <w:t>القيمة العادلة</w:t>
      </w:r>
      <w:bookmarkEnd w:id="325"/>
      <w:bookmarkEnd w:id="326"/>
    </w:p>
    <w:p w14:paraId="2B1171B5" w14:textId="785E3B77" w:rsidR="00C543C6" w:rsidRPr="005269E6" w:rsidRDefault="00C543C6" w:rsidP="00C543C6">
      <w:pPr>
        <w:rPr>
          <w:rtl/>
          <w:lang w:bidi="ar-SY"/>
        </w:rPr>
      </w:pPr>
      <w:r w:rsidRPr="005269E6">
        <w:rPr>
          <w:rFonts w:hint="cs"/>
          <w:rtl/>
          <w:lang w:bidi="ar-SY"/>
        </w:rPr>
        <w:t xml:space="preserve">يستعمل الاتحاد التراتب التالي لتحديد والكشف عن </w:t>
      </w:r>
      <w:r w:rsidR="00415128" w:rsidRPr="005269E6">
        <w:rPr>
          <w:rFonts w:hint="cs"/>
          <w:rtl/>
          <w:lang w:bidi="ar-SY"/>
        </w:rPr>
        <w:t>القيمة العادلة</w:t>
      </w:r>
      <w:r w:rsidRPr="005269E6">
        <w:rPr>
          <w:rFonts w:hint="cs"/>
          <w:rtl/>
          <w:lang w:bidi="ar-SY"/>
        </w:rPr>
        <w:t xml:space="preserve"> لل</w:t>
      </w:r>
      <w:r w:rsidR="00C2721A" w:rsidRPr="005269E6">
        <w:rPr>
          <w:rFonts w:hint="cs"/>
          <w:rtl/>
          <w:lang w:bidi="ar-SY"/>
        </w:rPr>
        <w:t>صكوك المالية</w:t>
      </w:r>
      <w:r w:rsidRPr="005269E6">
        <w:rPr>
          <w:rFonts w:hint="cs"/>
          <w:rtl/>
          <w:lang w:bidi="ar-SY"/>
        </w:rPr>
        <w:t xml:space="preserve"> باستخدام تقنية من تقنيات تحديد</w:t>
      </w:r>
      <w:r w:rsidRPr="005269E6">
        <w:rPr>
          <w:rFonts w:hint="eastAsia"/>
          <w:rtl/>
          <w:lang w:bidi="ar-SY"/>
        </w:rPr>
        <w:t> </w:t>
      </w:r>
      <w:r w:rsidRPr="005269E6">
        <w:rPr>
          <w:rFonts w:hint="cs"/>
          <w:rtl/>
          <w:lang w:bidi="ar-SY"/>
        </w:rPr>
        <w:t>القيمة:</w:t>
      </w:r>
    </w:p>
    <w:p w14:paraId="5743FF2D" w14:textId="77777777" w:rsidR="00C543C6" w:rsidRPr="005269E6" w:rsidRDefault="00C543C6" w:rsidP="00C543C6">
      <w:pPr>
        <w:rPr>
          <w:rtl/>
          <w:lang w:bidi="ar-SY"/>
        </w:rPr>
      </w:pPr>
      <w:r w:rsidRPr="005269E6">
        <w:rPr>
          <w:rFonts w:hint="cs"/>
          <w:rtl/>
          <w:lang w:bidi="ar-SY"/>
        </w:rPr>
        <w:t xml:space="preserve">المستوى </w:t>
      </w:r>
      <w:r w:rsidRPr="005269E6">
        <w:rPr>
          <w:lang w:bidi="ar-SY"/>
        </w:rPr>
        <w:t>1</w:t>
      </w:r>
      <w:r w:rsidRPr="005269E6">
        <w:rPr>
          <w:rFonts w:hint="cs"/>
          <w:rtl/>
          <w:lang w:bidi="ar-SY"/>
        </w:rPr>
        <w:t>: أسعار مقتبسة من أسواق نشطة لأصول وخصوم مماثلة؛</w:t>
      </w:r>
    </w:p>
    <w:p w14:paraId="66A133B1" w14:textId="77777777" w:rsidR="00C543C6" w:rsidRPr="005269E6" w:rsidRDefault="00C543C6" w:rsidP="00C543C6">
      <w:pPr>
        <w:rPr>
          <w:rtl/>
          <w:lang w:bidi="ar-SY"/>
        </w:rPr>
      </w:pPr>
      <w:r w:rsidRPr="005269E6">
        <w:rPr>
          <w:rFonts w:hint="cs"/>
          <w:rtl/>
          <w:lang w:bidi="ar-SY"/>
        </w:rPr>
        <w:t xml:space="preserve">المستوى </w:t>
      </w:r>
      <w:r w:rsidRPr="005269E6">
        <w:rPr>
          <w:lang w:bidi="ar-SY"/>
        </w:rPr>
        <w:t>2</w:t>
      </w:r>
      <w:r w:rsidRPr="005269E6">
        <w:rPr>
          <w:rFonts w:hint="cs"/>
          <w:rtl/>
          <w:lang w:bidi="ar-SY"/>
        </w:rPr>
        <w:t xml:space="preserve">: بيانات خلاف الأسعار المقتبسة الواردة في المستوى </w:t>
      </w:r>
      <w:r w:rsidRPr="005269E6">
        <w:rPr>
          <w:lang w:bidi="ar-SY"/>
        </w:rPr>
        <w:t>1</w:t>
      </w:r>
      <w:r w:rsidRPr="005269E6">
        <w:rPr>
          <w:rFonts w:hint="cs"/>
          <w:rtl/>
          <w:lang w:bidi="ar-SY"/>
        </w:rPr>
        <w:t xml:space="preserve"> يتم رصدها بالنسبة للأصول أو الخصوم سواء كان بطريق مباشر أو غير</w:t>
      </w:r>
      <w:r w:rsidRPr="005269E6">
        <w:rPr>
          <w:rFonts w:hint="eastAsia"/>
          <w:rtl/>
          <w:lang w:bidi="ar-SY"/>
        </w:rPr>
        <w:t> </w:t>
      </w:r>
      <w:r w:rsidRPr="005269E6">
        <w:rPr>
          <w:rFonts w:hint="cs"/>
          <w:rtl/>
          <w:lang w:bidi="ar-SY"/>
        </w:rPr>
        <w:t>مباشر؛</w:t>
      </w:r>
    </w:p>
    <w:p w14:paraId="5148FF0B" w14:textId="22A51AA0" w:rsidR="00C543C6" w:rsidRPr="005269E6" w:rsidRDefault="00C543C6" w:rsidP="00C543C6">
      <w:pPr>
        <w:rPr>
          <w:rtl/>
          <w:lang w:bidi="ar-SY"/>
        </w:rPr>
      </w:pPr>
      <w:r w:rsidRPr="005269E6">
        <w:rPr>
          <w:rFonts w:hint="cs"/>
          <w:rtl/>
          <w:lang w:bidi="ar-SY"/>
        </w:rPr>
        <w:t xml:space="preserve">المستوى </w:t>
      </w:r>
      <w:r w:rsidRPr="005269E6">
        <w:rPr>
          <w:lang w:bidi="ar-SY"/>
        </w:rPr>
        <w:t>3</w:t>
      </w:r>
      <w:r w:rsidRPr="005269E6">
        <w:rPr>
          <w:rFonts w:hint="cs"/>
          <w:rtl/>
          <w:lang w:bidi="ar-SY"/>
        </w:rPr>
        <w:t xml:space="preserve">: تقنيات تستعمل بيانات لها تأثير كبير على </w:t>
      </w:r>
      <w:r w:rsidR="00415128" w:rsidRPr="005269E6">
        <w:rPr>
          <w:rFonts w:hint="cs"/>
          <w:rtl/>
          <w:lang w:bidi="ar-SY"/>
        </w:rPr>
        <w:t>القيمة العادلة</w:t>
      </w:r>
      <w:r w:rsidRPr="005269E6">
        <w:rPr>
          <w:rFonts w:hint="cs"/>
          <w:rtl/>
          <w:lang w:bidi="ar-SY"/>
        </w:rPr>
        <w:t xml:space="preserve"> المسجلة لا تقوم على بيانات أسواق</w:t>
      </w:r>
      <w:r w:rsidRPr="005269E6">
        <w:rPr>
          <w:rFonts w:hint="eastAsia"/>
          <w:rtl/>
          <w:lang w:bidi="ar-SY"/>
        </w:rPr>
        <w:t> </w:t>
      </w:r>
      <w:r w:rsidRPr="005269E6">
        <w:rPr>
          <w:rFonts w:hint="cs"/>
          <w:rtl/>
          <w:lang w:bidi="ar-SY"/>
        </w:rPr>
        <w:t>مرصودة.</w:t>
      </w:r>
    </w:p>
    <w:p w14:paraId="786D187E" w14:textId="082AAA4C" w:rsidR="00C543C6" w:rsidRPr="005269E6" w:rsidRDefault="00C543C6" w:rsidP="00B52FB7">
      <w:pPr>
        <w:rPr>
          <w:rtl/>
          <w:lang w:bidi="ar-SY"/>
        </w:rPr>
      </w:pPr>
      <w:r w:rsidRPr="005269E6">
        <w:rPr>
          <w:rFonts w:hint="cs"/>
          <w:rtl/>
          <w:lang w:bidi="ar-SY"/>
        </w:rPr>
        <w:t xml:space="preserve">وفي </w:t>
      </w:r>
      <w:r w:rsidRPr="005269E6">
        <w:rPr>
          <w:lang w:bidi="ar-SY"/>
        </w:rPr>
        <w:t>31</w:t>
      </w:r>
      <w:r w:rsidRPr="005269E6">
        <w:rPr>
          <w:rFonts w:hint="cs"/>
          <w:rtl/>
          <w:lang w:bidi="ar-SY"/>
        </w:rPr>
        <w:t xml:space="preserve"> ديسمبر </w:t>
      </w:r>
      <w:r w:rsidR="00B1238D" w:rsidRPr="005269E6">
        <w:rPr>
          <w:lang w:bidi="ar-SY"/>
        </w:rPr>
        <w:t>2022</w:t>
      </w:r>
      <w:r w:rsidRPr="005269E6">
        <w:rPr>
          <w:rFonts w:hint="cs"/>
          <w:rtl/>
          <w:lang w:bidi="ar-SY"/>
        </w:rPr>
        <w:t xml:space="preserve">، </w:t>
      </w:r>
      <w:r w:rsidR="00B52FB7" w:rsidRPr="005269E6">
        <w:rPr>
          <w:rtl/>
          <w:lang w:bidi="ar-SY"/>
        </w:rPr>
        <w:t>قارب</w:t>
      </w:r>
      <w:r w:rsidR="00B52FB7" w:rsidRPr="005269E6">
        <w:rPr>
          <w:rFonts w:hint="cs"/>
          <w:rtl/>
          <w:lang w:bidi="ar-EG"/>
        </w:rPr>
        <w:t>ت</w:t>
      </w:r>
      <w:r w:rsidR="00B52FB7" w:rsidRPr="005269E6">
        <w:rPr>
          <w:rtl/>
          <w:lang w:bidi="ar-SY"/>
        </w:rPr>
        <w:t xml:space="preserve"> القيم العادلة لجميع </w:t>
      </w:r>
      <w:r w:rsidRPr="005269E6">
        <w:rPr>
          <w:rFonts w:hint="cs"/>
          <w:rtl/>
          <w:lang w:bidi="ar-SY"/>
        </w:rPr>
        <w:t xml:space="preserve">الاستثمارات </w:t>
      </w:r>
      <w:r w:rsidR="00B52FB7" w:rsidRPr="005269E6">
        <w:rPr>
          <w:rtl/>
          <w:lang w:bidi="ar-SY"/>
        </w:rPr>
        <w:t xml:space="preserve">(الودائع المصرفية والاستثمارات المصرفية قصيرة الأجل) </w:t>
      </w:r>
      <w:r w:rsidR="00B52FB7" w:rsidRPr="005269E6">
        <w:rPr>
          <w:rFonts w:hint="cs"/>
          <w:rtl/>
          <w:lang w:bidi="ar-SY"/>
        </w:rPr>
        <w:t>مبلغها الدفتري</w:t>
      </w:r>
      <w:r w:rsidR="00B52FB7" w:rsidRPr="005269E6">
        <w:rPr>
          <w:rtl/>
          <w:lang w:bidi="ar-SY"/>
        </w:rPr>
        <w:t xml:space="preserve"> المسج</w:t>
      </w:r>
      <w:r w:rsidR="00B52FB7" w:rsidRPr="005269E6">
        <w:rPr>
          <w:rFonts w:hint="cs"/>
          <w:rtl/>
          <w:lang w:bidi="ar-SY"/>
        </w:rPr>
        <w:t>َّ</w:t>
      </w:r>
      <w:r w:rsidR="00B52FB7" w:rsidRPr="005269E6">
        <w:rPr>
          <w:rtl/>
          <w:lang w:bidi="ar-SY"/>
        </w:rPr>
        <w:t>ل نظرا</w:t>
      </w:r>
      <w:r w:rsidR="0004141E" w:rsidRPr="005269E6">
        <w:rPr>
          <w:rFonts w:hint="cs"/>
          <w:rtl/>
          <w:lang w:bidi="ar-SY"/>
        </w:rPr>
        <w:t>ً</w:t>
      </w:r>
      <w:r w:rsidR="00B52FB7" w:rsidRPr="005269E6">
        <w:rPr>
          <w:rtl/>
          <w:lang w:bidi="ar-SY"/>
        </w:rPr>
        <w:t xml:space="preserve"> لطبيعتها قصيرة الأجل.</w:t>
      </w:r>
    </w:p>
    <w:p w14:paraId="7C4C33DE" w14:textId="35D3FCC4" w:rsidR="00B52FB7" w:rsidRPr="005269E6" w:rsidRDefault="00B52FB7" w:rsidP="00B52FB7">
      <w:pPr>
        <w:rPr>
          <w:rtl/>
          <w:lang w:bidi="ar-SY"/>
        </w:rPr>
      </w:pPr>
      <w:r w:rsidRPr="005269E6">
        <w:rPr>
          <w:rFonts w:hint="cs"/>
          <w:rtl/>
          <w:lang w:bidi="ar-SY"/>
        </w:rPr>
        <w:t>و</w:t>
      </w:r>
      <w:r w:rsidRPr="005269E6">
        <w:rPr>
          <w:rtl/>
          <w:lang w:bidi="ar-SY"/>
        </w:rPr>
        <w:t xml:space="preserve">تقارب القيمة العادلة للذمم الدائنة للموردين والخصوم </w:t>
      </w:r>
      <w:r w:rsidRPr="005269E6">
        <w:rPr>
          <w:rFonts w:hint="cs"/>
          <w:rtl/>
          <w:lang w:bidi="ar-SY"/>
        </w:rPr>
        <w:t>الجارية</w:t>
      </w:r>
      <w:r w:rsidRPr="005269E6">
        <w:rPr>
          <w:rtl/>
          <w:lang w:bidi="ar-SY"/>
        </w:rPr>
        <w:t xml:space="preserve"> الأخرى والمساهمات الطوعية قيمتها الدفترية المسجلة نظرا</w:t>
      </w:r>
      <w:r w:rsidR="00B44434" w:rsidRPr="005269E6">
        <w:rPr>
          <w:rFonts w:hint="cs"/>
          <w:rtl/>
          <w:lang w:bidi="ar-SY"/>
        </w:rPr>
        <w:t>ً</w:t>
      </w:r>
      <w:r w:rsidRPr="005269E6">
        <w:rPr>
          <w:rtl/>
          <w:lang w:bidi="ar-SY"/>
        </w:rPr>
        <w:t xml:space="preserve"> لطبيعتها قصيرة الأجل.</w:t>
      </w:r>
    </w:p>
    <w:p w14:paraId="7B30985C" w14:textId="08307180" w:rsidR="00B52FB7" w:rsidRPr="005269E6" w:rsidRDefault="00B52FB7" w:rsidP="00B52FB7">
      <w:pPr>
        <w:rPr>
          <w:rtl/>
          <w:lang w:bidi="ar-SY"/>
        </w:rPr>
      </w:pPr>
      <w:r w:rsidRPr="005269E6">
        <w:rPr>
          <w:rtl/>
          <w:lang w:bidi="ar-SY"/>
        </w:rPr>
        <w:t xml:space="preserve">وتسجل </w:t>
      </w:r>
      <w:r w:rsidRPr="005269E6">
        <w:rPr>
          <w:rFonts w:hint="cs"/>
          <w:rtl/>
          <w:lang w:bidi="ar-SY"/>
        </w:rPr>
        <w:t>الاقتراضات</w:t>
      </w:r>
      <w:r w:rsidRPr="005269E6">
        <w:rPr>
          <w:rtl/>
          <w:lang w:bidi="ar-SY"/>
        </w:rPr>
        <w:t xml:space="preserve"> (القروض) في الحسابات على أساس التكاليف المستهلكة. وهذا تحديث للسياسات المحاسبية في الماضي وترد تفاصيل أخرى في الملاحظة 17. وتقاس جميع </w:t>
      </w:r>
      <w:r w:rsidRPr="005269E6">
        <w:rPr>
          <w:rFonts w:hint="cs"/>
          <w:rtl/>
          <w:lang w:bidi="ar-SY"/>
        </w:rPr>
        <w:t>الصكوك</w:t>
      </w:r>
      <w:r w:rsidRPr="005269E6">
        <w:rPr>
          <w:rtl/>
          <w:lang w:bidi="ar-SY"/>
        </w:rPr>
        <w:t xml:space="preserve"> المالية للاتحاد </w:t>
      </w:r>
      <w:r w:rsidRPr="005269E6">
        <w:rPr>
          <w:rFonts w:hint="cs"/>
          <w:rtl/>
          <w:lang w:bidi="ar-SY"/>
        </w:rPr>
        <w:t>ب</w:t>
      </w:r>
      <w:r w:rsidRPr="005269E6">
        <w:rPr>
          <w:rtl/>
          <w:lang w:bidi="ar-SY"/>
        </w:rPr>
        <w:t>المستوى 1 من تراتب القيمة العادلة.</w:t>
      </w:r>
    </w:p>
    <w:p w14:paraId="0C518F44" w14:textId="77777777" w:rsidR="00C543C6" w:rsidRPr="005269E6" w:rsidRDefault="00C543C6" w:rsidP="00C543C6">
      <w:pPr>
        <w:pStyle w:val="enumlev1"/>
        <w:keepNext/>
        <w:keepLines/>
        <w:rPr>
          <w:i/>
          <w:iCs/>
          <w:rtl/>
        </w:rPr>
      </w:pPr>
      <w:r w:rsidRPr="005269E6">
        <w:rPr>
          <w:rFonts w:hint="cs"/>
          <w:i/>
          <w:iCs/>
          <w:rtl/>
        </w:rPr>
        <w:t xml:space="preserve"> أ )</w:t>
      </w:r>
      <w:r w:rsidRPr="005269E6">
        <w:rPr>
          <w:rFonts w:hint="cs"/>
          <w:i/>
          <w:iCs/>
          <w:rtl/>
        </w:rPr>
        <w:tab/>
        <w:t>مخاطر الائتمان</w:t>
      </w:r>
    </w:p>
    <w:p w14:paraId="2FF1CFFD" w14:textId="33B062EC" w:rsidR="00C543C6" w:rsidRPr="005269E6" w:rsidRDefault="00C543C6" w:rsidP="00C543C6">
      <w:pPr>
        <w:pStyle w:val="enumlev1"/>
        <w:keepNext/>
        <w:keepLines/>
        <w:spacing w:after="120"/>
        <w:rPr>
          <w:rtl/>
        </w:rPr>
      </w:pPr>
      <w:r w:rsidRPr="005269E6">
        <w:rPr>
          <w:spacing w:val="-4"/>
          <w:rtl/>
        </w:rPr>
        <w:tab/>
      </w:r>
      <w:bookmarkStart w:id="327" w:name="_Toc520365522"/>
      <w:r w:rsidRPr="005269E6">
        <w:rPr>
          <w:rFonts w:hint="cs"/>
          <w:rtl/>
        </w:rPr>
        <w:t>مخاطر الائتمان هي مخاطر الخسائر المالية التي يتكبدها الاتحاد عندما يعجز العملاء أو الأطراف النظيرة في ال</w:t>
      </w:r>
      <w:r w:rsidR="00C2721A" w:rsidRPr="005269E6">
        <w:rPr>
          <w:rFonts w:hint="cs"/>
          <w:rtl/>
        </w:rPr>
        <w:t>صكوك المالية</w:t>
      </w:r>
      <w:r w:rsidRPr="005269E6">
        <w:rPr>
          <w:rFonts w:hint="cs"/>
          <w:rtl/>
        </w:rPr>
        <w:t xml:space="preserve"> عن الوفاء بالتزاماتهم التعاقدية وتنشأ بشكل أساسي عن الاستثمارات والمستحقات والأموال النقدية وما</w:t>
      </w:r>
      <w:r w:rsidRPr="005269E6">
        <w:rPr>
          <w:rFonts w:hint="eastAsia"/>
          <w:rtl/>
        </w:rPr>
        <w:t> </w:t>
      </w:r>
      <w:r w:rsidRPr="005269E6">
        <w:rPr>
          <w:rFonts w:hint="cs"/>
          <w:rtl/>
        </w:rPr>
        <w:t xml:space="preserve">يعادلها. وتمثل القيمة المحاسبية للأصول المالية الحد الأقصى للتعرض لمخاطر الائتمان. وكان أقصى تعرض لمخاطر الائتمان حتى </w:t>
      </w:r>
      <w:r w:rsidRPr="005269E6">
        <w:t>31</w:t>
      </w:r>
      <w:r w:rsidRPr="005269E6">
        <w:rPr>
          <w:rFonts w:hint="cs"/>
          <w:rtl/>
        </w:rPr>
        <w:t xml:space="preserve"> ديسمبر كالتالي:</w:t>
      </w:r>
      <w:bookmarkEnd w:id="327"/>
    </w:p>
    <w:tbl>
      <w:tblPr>
        <w:bidiVisual/>
        <w:tblW w:w="5000" w:type="pct"/>
        <w:tblLook w:val="04A0" w:firstRow="1" w:lastRow="0" w:firstColumn="1" w:lastColumn="0" w:noHBand="0" w:noVBand="1"/>
      </w:tblPr>
      <w:tblGrid>
        <w:gridCol w:w="5208"/>
        <w:gridCol w:w="1477"/>
        <w:gridCol w:w="1477"/>
        <w:gridCol w:w="1477"/>
      </w:tblGrid>
      <w:tr w:rsidR="005E020D" w:rsidRPr="005269E6" w14:paraId="63FAAFF2" w14:textId="77777777" w:rsidTr="0004141E">
        <w:trPr>
          <w:trHeight w:val="826"/>
        </w:trPr>
        <w:tc>
          <w:tcPr>
            <w:tcW w:w="4300" w:type="dxa"/>
            <w:tcBorders>
              <w:top w:val="nil"/>
              <w:left w:val="nil"/>
              <w:bottom w:val="nil"/>
              <w:right w:val="nil"/>
            </w:tcBorders>
            <w:shd w:val="clear" w:color="000000" w:fill="538DD5"/>
            <w:vAlign w:val="center"/>
            <w:hideMark/>
          </w:tcPr>
          <w:p w14:paraId="638661EF" w14:textId="73090258" w:rsidR="005E020D" w:rsidRPr="005269E6" w:rsidRDefault="000E7839" w:rsidP="00B4443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220" w:type="dxa"/>
            <w:tcBorders>
              <w:top w:val="nil"/>
              <w:left w:val="nil"/>
              <w:bottom w:val="nil"/>
              <w:right w:val="nil"/>
            </w:tcBorders>
            <w:shd w:val="clear" w:color="000000" w:fill="538DD5"/>
            <w:vAlign w:val="center"/>
            <w:hideMark/>
          </w:tcPr>
          <w:p w14:paraId="3567F8AC" w14:textId="435A9182" w:rsidR="005E020D" w:rsidRPr="005269E6" w:rsidRDefault="000E7839" w:rsidP="00B4443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w:t>
            </w:r>
            <w:r w:rsidRPr="005269E6">
              <w:rPr>
                <w:rFonts w:eastAsia="Times New Roman" w:hint="cs"/>
                <w:b/>
                <w:bCs/>
                <w:color w:val="000000"/>
                <w:sz w:val="18"/>
                <w:szCs w:val="18"/>
                <w:rtl/>
                <w:lang w:val="en-GB" w:eastAsia="en-GB"/>
              </w:rPr>
              <w:t xml:space="preserve"> </w:t>
            </w:r>
            <w:r w:rsidR="005E020D" w:rsidRPr="005269E6">
              <w:rPr>
                <w:rFonts w:eastAsia="Times New Roman"/>
                <w:b/>
                <w:bCs/>
                <w:color w:val="000000"/>
                <w:sz w:val="18"/>
                <w:szCs w:val="18"/>
                <w:lang w:val="en-GB" w:eastAsia="en-GB"/>
              </w:rPr>
              <w:t>2022</w:t>
            </w:r>
          </w:p>
        </w:tc>
        <w:tc>
          <w:tcPr>
            <w:tcW w:w="1220" w:type="dxa"/>
            <w:tcBorders>
              <w:top w:val="nil"/>
              <w:left w:val="nil"/>
              <w:bottom w:val="nil"/>
              <w:right w:val="nil"/>
            </w:tcBorders>
            <w:shd w:val="clear" w:color="000000" w:fill="538DD5"/>
            <w:vAlign w:val="center"/>
            <w:hideMark/>
          </w:tcPr>
          <w:p w14:paraId="70BBB912" w14:textId="0BD8DA3E" w:rsidR="005E020D" w:rsidRPr="005269E6" w:rsidRDefault="0087422D" w:rsidP="00B4443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hint="cs"/>
                <w:b/>
                <w:bCs/>
                <w:color w:val="000000"/>
                <w:sz w:val="18"/>
                <w:szCs w:val="18"/>
                <w:rtl/>
                <w:lang w:val="en-GB" w:eastAsia="en-GB"/>
              </w:rPr>
              <w:t xml:space="preserve"> ديسمبر </w:t>
            </w: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(أعيد بيانه)</w:t>
            </w:r>
          </w:p>
        </w:tc>
        <w:tc>
          <w:tcPr>
            <w:tcW w:w="1220" w:type="dxa"/>
            <w:tcBorders>
              <w:top w:val="nil"/>
              <w:left w:val="nil"/>
              <w:bottom w:val="nil"/>
              <w:right w:val="nil"/>
            </w:tcBorders>
            <w:shd w:val="clear" w:color="000000" w:fill="538DD5"/>
            <w:vAlign w:val="center"/>
            <w:hideMark/>
          </w:tcPr>
          <w:p w14:paraId="6CB7D887" w14:textId="61BFFAC6" w:rsidR="005E020D" w:rsidRPr="005269E6" w:rsidRDefault="0087422D" w:rsidP="00B4443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01</w:t>
            </w:r>
            <w:r w:rsidRPr="005269E6">
              <w:rPr>
                <w:rFonts w:eastAsia="Times New Roman"/>
                <w:b/>
                <w:bCs/>
                <w:color w:val="000000"/>
                <w:sz w:val="18"/>
                <w:szCs w:val="18"/>
                <w:rtl/>
                <w:lang w:val="en-GB" w:eastAsia="en-GB"/>
              </w:rPr>
              <w:t xml:space="preserve"> يناير 2021 (أعيد </w:t>
            </w:r>
            <w:r w:rsidRPr="005269E6">
              <w:rPr>
                <w:rFonts w:eastAsia="Times New Roman" w:hint="cs"/>
                <w:b/>
                <w:bCs/>
                <w:color w:val="000000"/>
                <w:sz w:val="18"/>
                <w:szCs w:val="18"/>
                <w:rtl/>
                <w:lang w:val="en-GB" w:eastAsia="en-GB"/>
              </w:rPr>
              <w:t>بيانه</w:t>
            </w:r>
            <w:r w:rsidRPr="005269E6">
              <w:rPr>
                <w:rFonts w:eastAsia="Times New Roman"/>
                <w:b/>
                <w:bCs/>
                <w:color w:val="000000"/>
                <w:sz w:val="18"/>
                <w:szCs w:val="18"/>
                <w:rtl/>
                <w:lang w:val="en-GB" w:eastAsia="en-GB"/>
              </w:rPr>
              <w:t>)</w:t>
            </w:r>
          </w:p>
        </w:tc>
      </w:tr>
      <w:tr w:rsidR="005E020D" w:rsidRPr="005269E6" w14:paraId="70F861AF" w14:textId="77777777" w:rsidTr="00787B57">
        <w:trPr>
          <w:trHeight w:val="150"/>
        </w:trPr>
        <w:tc>
          <w:tcPr>
            <w:tcW w:w="4300" w:type="dxa"/>
            <w:tcBorders>
              <w:top w:val="nil"/>
              <w:left w:val="nil"/>
              <w:bottom w:val="nil"/>
              <w:right w:val="nil"/>
            </w:tcBorders>
            <w:shd w:val="clear" w:color="auto" w:fill="auto"/>
            <w:noWrap/>
            <w:vAlign w:val="bottom"/>
            <w:hideMark/>
          </w:tcPr>
          <w:p w14:paraId="233CCF53" w14:textId="77777777" w:rsidR="005E020D" w:rsidRPr="005269E6" w:rsidRDefault="005E020D" w:rsidP="00B44434">
            <w:pPr>
              <w:tabs>
                <w:tab w:val="clear" w:pos="794"/>
              </w:tabs>
              <w:spacing w:before="40" w:after="40" w:line="200" w:lineRule="exact"/>
              <w:jc w:val="left"/>
              <w:rPr>
                <w:rFonts w:eastAsia="Times New Roman"/>
                <w:color w:val="000000"/>
                <w:sz w:val="18"/>
                <w:szCs w:val="18"/>
                <w:lang w:val="en-GB" w:eastAsia="en-GB"/>
              </w:rPr>
            </w:pPr>
          </w:p>
        </w:tc>
        <w:tc>
          <w:tcPr>
            <w:tcW w:w="1220" w:type="dxa"/>
            <w:tcBorders>
              <w:top w:val="nil"/>
              <w:left w:val="nil"/>
              <w:bottom w:val="nil"/>
              <w:right w:val="nil"/>
            </w:tcBorders>
            <w:shd w:val="clear" w:color="auto" w:fill="auto"/>
            <w:noWrap/>
            <w:vAlign w:val="bottom"/>
            <w:hideMark/>
          </w:tcPr>
          <w:p w14:paraId="6EEA7905" w14:textId="77777777" w:rsidR="005E020D" w:rsidRPr="005269E6" w:rsidRDefault="005E020D" w:rsidP="00CF6D39">
            <w:pPr>
              <w:tabs>
                <w:tab w:val="clear" w:pos="794"/>
              </w:tabs>
              <w:spacing w:before="40" w:after="40" w:line="200" w:lineRule="exact"/>
              <w:jc w:val="left"/>
              <w:rPr>
                <w:rFonts w:eastAsia="Times New Roman"/>
                <w:color w:val="000000"/>
                <w:sz w:val="18"/>
                <w:szCs w:val="18"/>
                <w:lang w:val="en-GB" w:eastAsia="en-GB"/>
              </w:rPr>
            </w:pPr>
          </w:p>
        </w:tc>
        <w:tc>
          <w:tcPr>
            <w:tcW w:w="1220" w:type="dxa"/>
            <w:tcBorders>
              <w:top w:val="nil"/>
              <w:left w:val="nil"/>
              <w:bottom w:val="nil"/>
              <w:right w:val="nil"/>
            </w:tcBorders>
            <w:shd w:val="clear" w:color="auto" w:fill="auto"/>
            <w:noWrap/>
            <w:vAlign w:val="bottom"/>
            <w:hideMark/>
          </w:tcPr>
          <w:p w14:paraId="343194CD" w14:textId="77777777" w:rsidR="005E020D" w:rsidRPr="005269E6" w:rsidRDefault="005E020D" w:rsidP="00CF6D39">
            <w:pPr>
              <w:tabs>
                <w:tab w:val="clear" w:pos="794"/>
              </w:tabs>
              <w:spacing w:before="40" w:after="40" w:line="200" w:lineRule="exact"/>
              <w:jc w:val="left"/>
              <w:rPr>
                <w:rFonts w:eastAsia="Times New Roman"/>
                <w:color w:val="000000"/>
                <w:sz w:val="18"/>
                <w:szCs w:val="18"/>
                <w:lang w:val="en-GB" w:eastAsia="en-GB"/>
              </w:rPr>
            </w:pPr>
          </w:p>
        </w:tc>
        <w:tc>
          <w:tcPr>
            <w:tcW w:w="1220" w:type="dxa"/>
            <w:tcBorders>
              <w:top w:val="nil"/>
              <w:left w:val="nil"/>
              <w:bottom w:val="nil"/>
              <w:right w:val="nil"/>
            </w:tcBorders>
            <w:shd w:val="clear" w:color="auto" w:fill="auto"/>
            <w:noWrap/>
            <w:vAlign w:val="bottom"/>
            <w:hideMark/>
          </w:tcPr>
          <w:p w14:paraId="6D264A2C" w14:textId="77777777" w:rsidR="005E020D" w:rsidRPr="005269E6" w:rsidRDefault="005E020D" w:rsidP="00CF6D39">
            <w:pPr>
              <w:tabs>
                <w:tab w:val="clear" w:pos="794"/>
              </w:tabs>
              <w:spacing w:before="40" w:after="40" w:line="200" w:lineRule="exact"/>
              <w:jc w:val="left"/>
              <w:rPr>
                <w:rFonts w:eastAsia="Times New Roman"/>
                <w:color w:val="000000"/>
                <w:sz w:val="18"/>
                <w:szCs w:val="18"/>
                <w:lang w:val="en-GB" w:eastAsia="en-GB"/>
              </w:rPr>
            </w:pPr>
          </w:p>
        </w:tc>
      </w:tr>
      <w:tr w:rsidR="005E020D" w:rsidRPr="005269E6" w14:paraId="326D2D3D" w14:textId="77777777" w:rsidTr="00787B57">
        <w:trPr>
          <w:trHeight w:val="255"/>
        </w:trPr>
        <w:tc>
          <w:tcPr>
            <w:tcW w:w="4300" w:type="dxa"/>
            <w:tcBorders>
              <w:top w:val="nil"/>
              <w:left w:val="nil"/>
              <w:bottom w:val="nil"/>
              <w:right w:val="nil"/>
            </w:tcBorders>
            <w:shd w:val="clear" w:color="auto" w:fill="auto"/>
            <w:noWrap/>
            <w:vAlign w:val="bottom"/>
            <w:hideMark/>
          </w:tcPr>
          <w:p w14:paraId="03C85F67" w14:textId="553EFA52" w:rsidR="005E020D" w:rsidRPr="005269E6" w:rsidRDefault="0087422D" w:rsidP="00B4443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الاستثمارات</w:t>
            </w:r>
          </w:p>
        </w:tc>
        <w:tc>
          <w:tcPr>
            <w:tcW w:w="1220" w:type="dxa"/>
            <w:tcBorders>
              <w:top w:val="nil"/>
              <w:left w:val="nil"/>
              <w:bottom w:val="nil"/>
              <w:right w:val="nil"/>
            </w:tcBorders>
            <w:shd w:val="clear" w:color="auto" w:fill="auto"/>
            <w:noWrap/>
            <w:vAlign w:val="bottom"/>
            <w:hideMark/>
          </w:tcPr>
          <w:p w14:paraId="3900AA64" w14:textId="0F24930C"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860 </w:t>
            </w:r>
          </w:p>
        </w:tc>
        <w:tc>
          <w:tcPr>
            <w:tcW w:w="1220" w:type="dxa"/>
            <w:tcBorders>
              <w:top w:val="nil"/>
              <w:left w:val="nil"/>
              <w:bottom w:val="nil"/>
              <w:right w:val="nil"/>
            </w:tcBorders>
            <w:shd w:val="clear" w:color="auto" w:fill="auto"/>
            <w:noWrap/>
            <w:vAlign w:val="bottom"/>
            <w:hideMark/>
          </w:tcPr>
          <w:p w14:paraId="69958C1A" w14:textId="2A913E6C"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21</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275 </w:t>
            </w:r>
          </w:p>
        </w:tc>
        <w:tc>
          <w:tcPr>
            <w:tcW w:w="1220" w:type="dxa"/>
            <w:tcBorders>
              <w:top w:val="nil"/>
              <w:left w:val="nil"/>
              <w:bottom w:val="nil"/>
              <w:right w:val="nil"/>
            </w:tcBorders>
            <w:shd w:val="clear" w:color="auto" w:fill="auto"/>
            <w:noWrap/>
            <w:vAlign w:val="bottom"/>
            <w:hideMark/>
          </w:tcPr>
          <w:p w14:paraId="292CB01E" w14:textId="21147680"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59</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253 </w:t>
            </w:r>
          </w:p>
        </w:tc>
      </w:tr>
      <w:tr w:rsidR="005E020D" w:rsidRPr="005269E6" w14:paraId="70D20D2E" w14:textId="77777777" w:rsidTr="00787B57">
        <w:trPr>
          <w:trHeight w:val="255"/>
        </w:trPr>
        <w:tc>
          <w:tcPr>
            <w:tcW w:w="4300" w:type="dxa"/>
            <w:tcBorders>
              <w:top w:val="nil"/>
              <w:left w:val="nil"/>
              <w:bottom w:val="nil"/>
              <w:right w:val="nil"/>
            </w:tcBorders>
            <w:shd w:val="clear" w:color="auto" w:fill="auto"/>
            <w:noWrap/>
            <w:vAlign w:val="bottom"/>
            <w:hideMark/>
          </w:tcPr>
          <w:p w14:paraId="216D5BCC" w14:textId="528EE9D8" w:rsidR="005E020D" w:rsidRPr="005269E6" w:rsidRDefault="0087422D" w:rsidP="00B4443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w:t>
            </w:r>
          </w:p>
        </w:tc>
        <w:tc>
          <w:tcPr>
            <w:tcW w:w="1220" w:type="dxa"/>
            <w:tcBorders>
              <w:top w:val="nil"/>
              <w:left w:val="nil"/>
              <w:bottom w:val="nil"/>
              <w:right w:val="nil"/>
            </w:tcBorders>
            <w:shd w:val="clear" w:color="auto" w:fill="auto"/>
            <w:noWrap/>
            <w:vAlign w:val="bottom"/>
            <w:hideMark/>
          </w:tcPr>
          <w:p w14:paraId="7B676464" w14:textId="0929EC4F"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17</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794 </w:t>
            </w:r>
          </w:p>
        </w:tc>
        <w:tc>
          <w:tcPr>
            <w:tcW w:w="1220" w:type="dxa"/>
            <w:tcBorders>
              <w:top w:val="nil"/>
              <w:left w:val="nil"/>
              <w:bottom w:val="nil"/>
              <w:right w:val="nil"/>
            </w:tcBorders>
            <w:shd w:val="clear" w:color="auto" w:fill="auto"/>
            <w:noWrap/>
            <w:vAlign w:val="bottom"/>
            <w:hideMark/>
          </w:tcPr>
          <w:p w14:paraId="488354E0" w14:textId="7F48E54A"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19</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491 </w:t>
            </w:r>
          </w:p>
        </w:tc>
        <w:tc>
          <w:tcPr>
            <w:tcW w:w="1220" w:type="dxa"/>
            <w:tcBorders>
              <w:top w:val="nil"/>
              <w:left w:val="nil"/>
              <w:bottom w:val="nil"/>
              <w:right w:val="nil"/>
            </w:tcBorders>
            <w:shd w:val="clear" w:color="auto" w:fill="auto"/>
            <w:noWrap/>
            <w:vAlign w:val="bottom"/>
            <w:hideMark/>
          </w:tcPr>
          <w:p w14:paraId="715BFBA6" w14:textId="2912C7FF"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15</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877 </w:t>
            </w:r>
          </w:p>
        </w:tc>
      </w:tr>
      <w:tr w:rsidR="005E020D" w:rsidRPr="005269E6" w14:paraId="5E7DFE75" w14:textId="77777777" w:rsidTr="00787B57">
        <w:trPr>
          <w:trHeight w:val="255"/>
        </w:trPr>
        <w:tc>
          <w:tcPr>
            <w:tcW w:w="4300" w:type="dxa"/>
            <w:tcBorders>
              <w:top w:val="nil"/>
              <w:left w:val="nil"/>
              <w:bottom w:val="nil"/>
              <w:right w:val="nil"/>
            </w:tcBorders>
            <w:shd w:val="clear" w:color="auto" w:fill="auto"/>
            <w:noWrap/>
            <w:vAlign w:val="bottom"/>
            <w:hideMark/>
          </w:tcPr>
          <w:p w14:paraId="4550A3E8" w14:textId="3B37A5FE" w:rsidR="005E020D" w:rsidRPr="005269E6" w:rsidRDefault="0087422D" w:rsidP="00B4443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الأموال النقدية وما يعادلها</w:t>
            </w:r>
          </w:p>
        </w:tc>
        <w:tc>
          <w:tcPr>
            <w:tcW w:w="1220" w:type="dxa"/>
            <w:tcBorders>
              <w:top w:val="nil"/>
              <w:left w:val="nil"/>
              <w:bottom w:val="nil"/>
              <w:right w:val="nil"/>
            </w:tcBorders>
            <w:shd w:val="clear" w:color="auto" w:fill="auto"/>
            <w:noWrap/>
            <w:vAlign w:val="bottom"/>
            <w:hideMark/>
          </w:tcPr>
          <w:p w14:paraId="41ACE169" w14:textId="285B47FA"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193</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868 </w:t>
            </w:r>
          </w:p>
        </w:tc>
        <w:tc>
          <w:tcPr>
            <w:tcW w:w="1220" w:type="dxa"/>
            <w:tcBorders>
              <w:top w:val="nil"/>
              <w:left w:val="nil"/>
              <w:bottom w:val="nil"/>
              <w:right w:val="nil"/>
            </w:tcBorders>
            <w:shd w:val="clear" w:color="auto" w:fill="auto"/>
            <w:noWrap/>
            <w:vAlign w:val="bottom"/>
            <w:hideMark/>
          </w:tcPr>
          <w:p w14:paraId="205042BA" w14:textId="31074759"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203</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811 </w:t>
            </w:r>
          </w:p>
        </w:tc>
        <w:tc>
          <w:tcPr>
            <w:tcW w:w="1220" w:type="dxa"/>
            <w:tcBorders>
              <w:top w:val="nil"/>
              <w:left w:val="nil"/>
              <w:bottom w:val="nil"/>
              <w:right w:val="nil"/>
            </w:tcBorders>
            <w:shd w:val="clear" w:color="auto" w:fill="auto"/>
            <w:noWrap/>
            <w:vAlign w:val="bottom"/>
            <w:hideMark/>
          </w:tcPr>
          <w:p w14:paraId="421C9B48" w14:textId="508F3DA7"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135</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330 </w:t>
            </w:r>
          </w:p>
        </w:tc>
      </w:tr>
      <w:tr w:rsidR="005E020D" w:rsidRPr="005269E6" w14:paraId="03D92BC5" w14:textId="77777777" w:rsidTr="00787B57">
        <w:trPr>
          <w:trHeight w:val="255"/>
        </w:trPr>
        <w:tc>
          <w:tcPr>
            <w:tcW w:w="4300" w:type="dxa"/>
            <w:tcBorders>
              <w:top w:val="nil"/>
              <w:left w:val="nil"/>
              <w:bottom w:val="nil"/>
              <w:right w:val="nil"/>
            </w:tcBorders>
            <w:shd w:val="clear" w:color="auto" w:fill="auto"/>
            <w:noWrap/>
            <w:vAlign w:val="bottom"/>
            <w:hideMark/>
          </w:tcPr>
          <w:p w14:paraId="2297BE86" w14:textId="4871FB6B" w:rsidR="005E020D" w:rsidRPr="005269E6" w:rsidRDefault="0087422D" w:rsidP="00B4443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 xml:space="preserve">الذمم </w:t>
            </w:r>
            <w:r w:rsidRPr="005269E6">
              <w:rPr>
                <w:rFonts w:eastAsia="Times New Roman" w:hint="cs"/>
                <w:color w:val="000000"/>
                <w:sz w:val="18"/>
                <w:szCs w:val="18"/>
                <w:rtl/>
                <w:lang w:val="en-GB" w:eastAsia="en-GB"/>
              </w:rPr>
              <w:t>الدائنة</w:t>
            </w:r>
          </w:p>
        </w:tc>
        <w:tc>
          <w:tcPr>
            <w:tcW w:w="1220" w:type="dxa"/>
            <w:tcBorders>
              <w:top w:val="nil"/>
              <w:left w:val="nil"/>
              <w:bottom w:val="nil"/>
              <w:right w:val="nil"/>
            </w:tcBorders>
            <w:shd w:val="clear" w:color="auto" w:fill="auto"/>
            <w:noWrap/>
            <w:vAlign w:val="bottom"/>
            <w:hideMark/>
          </w:tcPr>
          <w:p w14:paraId="3274E35C" w14:textId="50E4FAEA"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10</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541 </w:t>
            </w:r>
          </w:p>
        </w:tc>
        <w:tc>
          <w:tcPr>
            <w:tcW w:w="1220" w:type="dxa"/>
            <w:tcBorders>
              <w:top w:val="nil"/>
              <w:left w:val="nil"/>
              <w:bottom w:val="nil"/>
              <w:right w:val="nil"/>
            </w:tcBorders>
            <w:shd w:val="clear" w:color="auto" w:fill="auto"/>
            <w:noWrap/>
            <w:vAlign w:val="bottom"/>
            <w:hideMark/>
          </w:tcPr>
          <w:p w14:paraId="4943219B" w14:textId="7B7ACC94"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456 </w:t>
            </w:r>
          </w:p>
        </w:tc>
        <w:tc>
          <w:tcPr>
            <w:tcW w:w="1220" w:type="dxa"/>
            <w:tcBorders>
              <w:top w:val="nil"/>
              <w:left w:val="nil"/>
              <w:bottom w:val="nil"/>
              <w:right w:val="nil"/>
            </w:tcBorders>
            <w:shd w:val="clear" w:color="auto" w:fill="auto"/>
            <w:noWrap/>
            <w:vAlign w:val="bottom"/>
            <w:hideMark/>
          </w:tcPr>
          <w:p w14:paraId="2F6D0157" w14:textId="223D1C77"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687 </w:t>
            </w:r>
          </w:p>
        </w:tc>
      </w:tr>
      <w:tr w:rsidR="005E020D" w:rsidRPr="005269E6" w14:paraId="2A0C345E" w14:textId="77777777" w:rsidTr="00787B57">
        <w:trPr>
          <w:trHeight w:val="255"/>
        </w:trPr>
        <w:tc>
          <w:tcPr>
            <w:tcW w:w="4300" w:type="dxa"/>
            <w:tcBorders>
              <w:top w:val="nil"/>
              <w:left w:val="nil"/>
              <w:bottom w:val="nil"/>
              <w:right w:val="nil"/>
            </w:tcBorders>
            <w:shd w:val="clear" w:color="auto" w:fill="auto"/>
            <w:noWrap/>
            <w:vAlign w:val="bottom"/>
            <w:hideMark/>
          </w:tcPr>
          <w:p w14:paraId="3D70CAC8" w14:textId="3EAE72F7" w:rsidR="005E020D" w:rsidRPr="005269E6" w:rsidRDefault="0026323B" w:rsidP="00B4443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المبلغ المتبقي سداده على</w:t>
            </w:r>
            <w:r w:rsidRPr="005269E6">
              <w:rPr>
                <w:rFonts w:eastAsia="Times New Roman" w:hint="cs"/>
                <w:color w:val="000000"/>
                <w:sz w:val="18"/>
                <w:szCs w:val="18"/>
                <w:rtl/>
                <w:lang w:val="en-GB" w:eastAsia="en-GB"/>
              </w:rPr>
              <w:t xml:space="preserve"> القروض</w:t>
            </w:r>
          </w:p>
        </w:tc>
        <w:tc>
          <w:tcPr>
            <w:tcW w:w="1220" w:type="dxa"/>
            <w:tcBorders>
              <w:top w:val="nil"/>
              <w:left w:val="nil"/>
              <w:bottom w:val="nil"/>
              <w:right w:val="nil"/>
            </w:tcBorders>
            <w:shd w:val="clear" w:color="auto" w:fill="auto"/>
            <w:noWrap/>
            <w:vAlign w:val="bottom"/>
            <w:hideMark/>
          </w:tcPr>
          <w:p w14:paraId="2B20268F" w14:textId="048CF136"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48</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332 </w:t>
            </w:r>
          </w:p>
        </w:tc>
        <w:tc>
          <w:tcPr>
            <w:tcW w:w="1220" w:type="dxa"/>
            <w:tcBorders>
              <w:top w:val="nil"/>
              <w:left w:val="nil"/>
              <w:bottom w:val="nil"/>
              <w:right w:val="nil"/>
            </w:tcBorders>
            <w:shd w:val="clear" w:color="auto" w:fill="auto"/>
            <w:noWrap/>
            <w:vAlign w:val="bottom"/>
            <w:hideMark/>
          </w:tcPr>
          <w:p w14:paraId="0B7415DE" w14:textId="307C1050"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53</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382 </w:t>
            </w:r>
          </w:p>
        </w:tc>
        <w:tc>
          <w:tcPr>
            <w:tcW w:w="1220" w:type="dxa"/>
            <w:tcBorders>
              <w:top w:val="nil"/>
              <w:left w:val="nil"/>
              <w:bottom w:val="nil"/>
              <w:right w:val="nil"/>
            </w:tcBorders>
            <w:shd w:val="clear" w:color="auto" w:fill="auto"/>
            <w:noWrap/>
            <w:vAlign w:val="bottom"/>
            <w:hideMark/>
          </w:tcPr>
          <w:p w14:paraId="7F7797EC" w14:textId="228A8BA1" w:rsidR="005E020D" w:rsidRPr="005269E6" w:rsidRDefault="005E020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47</w:t>
            </w:r>
            <w:r w:rsidR="00AA157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110 </w:t>
            </w:r>
          </w:p>
        </w:tc>
      </w:tr>
      <w:tr w:rsidR="005E020D" w:rsidRPr="005269E6" w14:paraId="3480A8A3" w14:textId="77777777" w:rsidTr="00787B57">
        <w:trPr>
          <w:trHeight w:val="120"/>
        </w:trPr>
        <w:tc>
          <w:tcPr>
            <w:tcW w:w="4300" w:type="dxa"/>
            <w:tcBorders>
              <w:top w:val="nil"/>
              <w:left w:val="nil"/>
              <w:bottom w:val="nil"/>
              <w:right w:val="nil"/>
            </w:tcBorders>
            <w:shd w:val="clear" w:color="auto" w:fill="auto"/>
            <w:noWrap/>
            <w:vAlign w:val="bottom"/>
            <w:hideMark/>
          </w:tcPr>
          <w:p w14:paraId="3141C8E6" w14:textId="77777777" w:rsidR="005E020D" w:rsidRPr="005269E6" w:rsidRDefault="005E020D" w:rsidP="00B44434">
            <w:pPr>
              <w:tabs>
                <w:tab w:val="clear" w:pos="794"/>
              </w:tabs>
              <w:spacing w:before="40" w:after="40" w:line="200" w:lineRule="exact"/>
              <w:jc w:val="left"/>
              <w:rPr>
                <w:rFonts w:eastAsia="Times New Roman"/>
                <w:color w:val="000000"/>
                <w:sz w:val="18"/>
                <w:szCs w:val="18"/>
                <w:lang w:val="en-GB" w:eastAsia="en-GB"/>
              </w:rPr>
            </w:pPr>
          </w:p>
        </w:tc>
        <w:tc>
          <w:tcPr>
            <w:tcW w:w="1220" w:type="dxa"/>
            <w:tcBorders>
              <w:top w:val="nil"/>
              <w:left w:val="nil"/>
              <w:bottom w:val="nil"/>
              <w:right w:val="nil"/>
            </w:tcBorders>
            <w:shd w:val="clear" w:color="auto" w:fill="auto"/>
            <w:noWrap/>
            <w:vAlign w:val="bottom"/>
            <w:hideMark/>
          </w:tcPr>
          <w:p w14:paraId="43C4F5B9" w14:textId="77777777" w:rsidR="005E020D" w:rsidRPr="005269E6" w:rsidRDefault="005E020D" w:rsidP="00CF6D39">
            <w:pPr>
              <w:tabs>
                <w:tab w:val="clear" w:pos="794"/>
              </w:tabs>
              <w:spacing w:before="40" w:after="40" w:line="200" w:lineRule="exact"/>
              <w:jc w:val="left"/>
              <w:rPr>
                <w:rFonts w:eastAsia="Times New Roman"/>
                <w:sz w:val="18"/>
                <w:szCs w:val="18"/>
                <w:lang w:val="en-GB" w:eastAsia="en-GB"/>
              </w:rPr>
            </w:pPr>
          </w:p>
        </w:tc>
        <w:tc>
          <w:tcPr>
            <w:tcW w:w="1220" w:type="dxa"/>
            <w:tcBorders>
              <w:top w:val="nil"/>
              <w:left w:val="nil"/>
              <w:bottom w:val="nil"/>
              <w:right w:val="nil"/>
            </w:tcBorders>
            <w:shd w:val="clear" w:color="auto" w:fill="auto"/>
            <w:noWrap/>
            <w:vAlign w:val="bottom"/>
            <w:hideMark/>
          </w:tcPr>
          <w:p w14:paraId="76138FB2" w14:textId="77777777" w:rsidR="005E020D" w:rsidRPr="005269E6" w:rsidRDefault="005E020D" w:rsidP="00CF6D39">
            <w:pPr>
              <w:tabs>
                <w:tab w:val="clear" w:pos="794"/>
              </w:tabs>
              <w:spacing w:before="40" w:after="40" w:line="200" w:lineRule="exact"/>
              <w:jc w:val="left"/>
              <w:rPr>
                <w:rFonts w:eastAsia="Times New Roman"/>
                <w:sz w:val="18"/>
                <w:szCs w:val="18"/>
                <w:lang w:val="en-GB" w:eastAsia="en-GB"/>
              </w:rPr>
            </w:pPr>
          </w:p>
        </w:tc>
        <w:tc>
          <w:tcPr>
            <w:tcW w:w="1220" w:type="dxa"/>
            <w:tcBorders>
              <w:top w:val="nil"/>
              <w:left w:val="nil"/>
              <w:bottom w:val="nil"/>
              <w:right w:val="nil"/>
            </w:tcBorders>
            <w:shd w:val="clear" w:color="auto" w:fill="auto"/>
            <w:noWrap/>
            <w:vAlign w:val="bottom"/>
            <w:hideMark/>
          </w:tcPr>
          <w:p w14:paraId="677CA988" w14:textId="77777777" w:rsidR="005E020D" w:rsidRPr="005269E6" w:rsidRDefault="005E020D" w:rsidP="00CF6D39">
            <w:pPr>
              <w:tabs>
                <w:tab w:val="clear" w:pos="794"/>
              </w:tabs>
              <w:spacing w:before="40" w:after="40" w:line="200" w:lineRule="exact"/>
              <w:jc w:val="left"/>
              <w:rPr>
                <w:rFonts w:eastAsia="Times New Roman"/>
                <w:sz w:val="18"/>
                <w:szCs w:val="18"/>
                <w:lang w:val="en-GB" w:eastAsia="en-GB"/>
              </w:rPr>
            </w:pPr>
          </w:p>
        </w:tc>
      </w:tr>
      <w:tr w:rsidR="005E020D" w:rsidRPr="005269E6" w14:paraId="04ADD8DB" w14:textId="77777777" w:rsidTr="009C7E20">
        <w:trPr>
          <w:trHeight w:val="308"/>
        </w:trPr>
        <w:tc>
          <w:tcPr>
            <w:tcW w:w="4300" w:type="dxa"/>
            <w:tcBorders>
              <w:top w:val="nil"/>
              <w:left w:val="nil"/>
              <w:bottom w:val="nil"/>
              <w:right w:val="nil"/>
            </w:tcBorders>
            <w:shd w:val="clear" w:color="000000" w:fill="538DD5"/>
            <w:vAlign w:val="bottom"/>
            <w:hideMark/>
          </w:tcPr>
          <w:p w14:paraId="46D25413" w14:textId="61EB5A4E" w:rsidR="005E020D" w:rsidRPr="005269E6" w:rsidRDefault="0026323B" w:rsidP="00B44434">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rtl/>
                <w:lang w:val="en-GB" w:eastAsia="en-GB"/>
              </w:rPr>
              <w:t>الحد الأقصى للتعرض لمخاطر الائتمان</w:t>
            </w:r>
          </w:p>
        </w:tc>
        <w:tc>
          <w:tcPr>
            <w:tcW w:w="1220" w:type="dxa"/>
            <w:tcBorders>
              <w:top w:val="nil"/>
              <w:left w:val="nil"/>
              <w:bottom w:val="nil"/>
              <w:right w:val="nil"/>
            </w:tcBorders>
            <w:shd w:val="clear" w:color="000000" w:fill="538DD5"/>
            <w:vAlign w:val="bottom"/>
            <w:hideMark/>
          </w:tcPr>
          <w:p w14:paraId="0DF03519" w14:textId="2E0E54F3" w:rsidR="005E020D" w:rsidRPr="005269E6" w:rsidRDefault="005E020D" w:rsidP="00CF6D3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284</w:t>
            </w:r>
            <w:r w:rsidR="00AA1574" w:rsidRPr="005269E6">
              <w:rPr>
                <w:rFonts w:eastAsia="Times New Roman"/>
                <w:b/>
                <w:bCs/>
                <w:sz w:val="18"/>
                <w:szCs w:val="18"/>
                <w:lang w:val="en-GB" w:eastAsia="en-GB"/>
              </w:rPr>
              <w:t xml:space="preserve"> </w:t>
            </w:r>
            <w:r w:rsidRPr="005269E6">
              <w:rPr>
                <w:rFonts w:eastAsia="Times New Roman"/>
                <w:b/>
                <w:bCs/>
                <w:sz w:val="18"/>
                <w:szCs w:val="18"/>
                <w:lang w:val="en-GB" w:eastAsia="en-GB"/>
              </w:rPr>
              <w:t xml:space="preserve">396 </w:t>
            </w:r>
          </w:p>
        </w:tc>
        <w:tc>
          <w:tcPr>
            <w:tcW w:w="1220" w:type="dxa"/>
            <w:tcBorders>
              <w:top w:val="nil"/>
              <w:left w:val="nil"/>
              <w:bottom w:val="nil"/>
              <w:right w:val="nil"/>
            </w:tcBorders>
            <w:shd w:val="clear" w:color="000000" w:fill="538DD5"/>
            <w:vAlign w:val="bottom"/>
            <w:hideMark/>
          </w:tcPr>
          <w:p w14:paraId="5331AB8A" w14:textId="76DDA7D2" w:rsidR="005E020D" w:rsidRPr="005269E6" w:rsidRDefault="005E020D" w:rsidP="00CF6D3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305</w:t>
            </w:r>
            <w:r w:rsidR="00AA1574" w:rsidRPr="005269E6">
              <w:rPr>
                <w:rFonts w:eastAsia="Times New Roman"/>
                <w:b/>
                <w:bCs/>
                <w:sz w:val="18"/>
                <w:szCs w:val="18"/>
                <w:lang w:val="en-GB" w:eastAsia="en-GB"/>
              </w:rPr>
              <w:t xml:space="preserve"> </w:t>
            </w:r>
            <w:r w:rsidRPr="005269E6">
              <w:rPr>
                <w:rFonts w:eastAsia="Times New Roman"/>
                <w:b/>
                <w:bCs/>
                <w:sz w:val="18"/>
                <w:szCs w:val="18"/>
                <w:lang w:val="en-GB" w:eastAsia="en-GB"/>
              </w:rPr>
              <w:t xml:space="preserve">415 </w:t>
            </w:r>
          </w:p>
        </w:tc>
        <w:tc>
          <w:tcPr>
            <w:tcW w:w="1220" w:type="dxa"/>
            <w:tcBorders>
              <w:top w:val="nil"/>
              <w:left w:val="nil"/>
              <w:bottom w:val="nil"/>
              <w:right w:val="nil"/>
            </w:tcBorders>
            <w:shd w:val="clear" w:color="000000" w:fill="538DD5"/>
            <w:vAlign w:val="bottom"/>
            <w:hideMark/>
          </w:tcPr>
          <w:p w14:paraId="338EB476" w14:textId="381B6CAA" w:rsidR="005E020D" w:rsidRPr="005269E6" w:rsidRDefault="005E020D" w:rsidP="00CF6D3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263</w:t>
            </w:r>
            <w:r w:rsidR="00AA1574" w:rsidRPr="005269E6">
              <w:rPr>
                <w:rFonts w:eastAsia="Times New Roman"/>
                <w:b/>
                <w:bCs/>
                <w:sz w:val="18"/>
                <w:szCs w:val="18"/>
                <w:lang w:val="en-GB" w:eastAsia="en-GB"/>
              </w:rPr>
              <w:t xml:space="preserve"> </w:t>
            </w:r>
            <w:r w:rsidRPr="005269E6">
              <w:rPr>
                <w:rFonts w:eastAsia="Times New Roman"/>
                <w:b/>
                <w:bCs/>
                <w:sz w:val="18"/>
                <w:szCs w:val="18"/>
                <w:lang w:val="en-GB" w:eastAsia="en-GB"/>
              </w:rPr>
              <w:t xml:space="preserve">257 </w:t>
            </w:r>
          </w:p>
        </w:tc>
      </w:tr>
    </w:tbl>
    <w:p w14:paraId="5BBF83D9" w14:textId="77777777" w:rsidR="00C543C6" w:rsidRPr="005269E6" w:rsidRDefault="00C543C6" w:rsidP="00A1443F">
      <w:pPr>
        <w:pStyle w:val="enumlev1"/>
        <w:keepNext/>
        <w:spacing w:before="240"/>
        <w:rPr>
          <w:i/>
          <w:iCs/>
          <w:rtl/>
          <w:lang w:bidi="ar-SA"/>
        </w:rPr>
      </w:pPr>
      <w:r w:rsidRPr="005269E6">
        <w:rPr>
          <w:rFonts w:hint="cs"/>
          <w:i/>
          <w:iCs/>
          <w:rtl/>
        </w:rPr>
        <w:t>ب)</w:t>
      </w:r>
      <w:r w:rsidRPr="005269E6">
        <w:rPr>
          <w:rFonts w:hint="cs"/>
          <w:i/>
          <w:iCs/>
          <w:rtl/>
        </w:rPr>
        <w:tab/>
        <w:t>جودة الائتمان</w:t>
      </w:r>
    </w:p>
    <w:p w14:paraId="5D320AF3" w14:textId="7164A72C" w:rsidR="00C543C6" w:rsidRPr="005269E6" w:rsidRDefault="00C543C6" w:rsidP="00C543C6">
      <w:pPr>
        <w:pStyle w:val="enumlev1"/>
        <w:rPr>
          <w:rtl/>
        </w:rPr>
      </w:pPr>
      <w:r w:rsidRPr="005269E6">
        <w:rPr>
          <w:rFonts w:hint="cs"/>
          <w:rtl/>
        </w:rPr>
        <w:tab/>
      </w:r>
      <w:bookmarkStart w:id="328" w:name="_Toc520365523"/>
      <w:r w:rsidRPr="005269E6">
        <w:rPr>
          <w:rFonts w:hint="cs"/>
          <w:rtl/>
        </w:rPr>
        <w:t>جودة الائتمان هي المخاطر المقدرة للإخلال بالالتزامات من جانب الأطراف النظيرة التي يوفر لها الاتحاد الائتمان وكذلك الأطراف التي يستثمر</w:t>
      </w:r>
      <w:r w:rsidRPr="005269E6">
        <w:rPr>
          <w:rFonts w:hint="eastAsia"/>
          <w:rtl/>
        </w:rPr>
        <w:t> </w:t>
      </w:r>
      <w:r w:rsidRPr="005269E6">
        <w:rPr>
          <w:rFonts w:hint="cs"/>
          <w:rtl/>
        </w:rPr>
        <w:t>معها.</w:t>
      </w:r>
      <w:bookmarkEnd w:id="328"/>
      <w:r w:rsidR="00AA1574" w:rsidRPr="005269E6">
        <w:rPr>
          <w:rFonts w:hint="cs"/>
          <w:rtl/>
        </w:rPr>
        <w:t xml:space="preserve"> </w:t>
      </w:r>
      <w:r w:rsidR="0026323B" w:rsidRPr="005269E6">
        <w:rPr>
          <w:rFonts w:hint="cs"/>
          <w:rtl/>
        </w:rPr>
        <w:t>ولدى</w:t>
      </w:r>
      <w:r w:rsidR="0026323B" w:rsidRPr="005269E6">
        <w:rPr>
          <w:rtl/>
        </w:rPr>
        <w:t xml:space="preserve"> الاتحاد </w:t>
      </w:r>
      <w:r w:rsidR="0026323B" w:rsidRPr="005269E6">
        <w:rPr>
          <w:rFonts w:hint="cs"/>
          <w:rtl/>
        </w:rPr>
        <w:t>استعراضات</w:t>
      </w:r>
      <w:r w:rsidR="0026323B" w:rsidRPr="005269E6">
        <w:rPr>
          <w:rtl/>
        </w:rPr>
        <w:t xml:space="preserve"> </w:t>
      </w:r>
      <w:r w:rsidR="0026323B" w:rsidRPr="005269E6">
        <w:rPr>
          <w:rFonts w:hint="cs"/>
          <w:rtl/>
        </w:rPr>
        <w:t>مواكبة</w:t>
      </w:r>
      <w:r w:rsidR="0026323B" w:rsidRPr="005269E6">
        <w:rPr>
          <w:rtl/>
        </w:rPr>
        <w:t xml:space="preserve"> ل</w:t>
      </w:r>
      <w:r w:rsidR="0026323B" w:rsidRPr="005269E6">
        <w:rPr>
          <w:rFonts w:hint="cs"/>
          <w:rtl/>
        </w:rPr>
        <w:t xml:space="preserve">آخر </w:t>
      </w:r>
      <w:r w:rsidR="0026323B" w:rsidRPr="005269E6">
        <w:rPr>
          <w:rtl/>
        </w:rPr>
        <w:t>مستويات حسابات</w:t>
      </w:r>
      <w:r w:rsidR="0026323B" w:rsidRPr="005269E6">
        <w:rPr>
          <w:rFonts w:hint="cs"/>
          <w:rtl/>
        </w:rPr>
        <w:t xml:space="preserve"> الذمم</w:t>
      </w:r>
      <w:r w:rsidR="0026323B" w:rsidRPr="005269E6">
        <w:rPr>
          <w:rtl/>
        </w:rPr>
        <w:t xml:space="preserve"> </w:t>
      </w:r>
      <w:r w:rsidR="0026323B" w:rsidRPr="005269E6">
        <w:rPr>
          <w:rFonts w:hint="cs"/>
          <w:rtl/>
        </w:rPr>
        <w:t>المدينة</w:t>
      </w:r>
      <w:r w:rsidR="0026323B" w:rsidRPr="005269E6">
        <w:rPr>
          <w:rtl/>
        </w:rPr>
        <w:t xml:space="preserve"> من </w:t>
      </w:r>
      <w:r w:rsidR="0026323B" w:rsidRPr="005269E6">
        <w:rPr>
          <w:rFonts w:hint="cs"/>
          <w:rtl/>
        </w:rPr>
        <w:t>المساهمات</w:t>
      </w:r>
      <w:r w:rsidR="0026323B" w:rsidRPr="005269E6">
        <w:rPr>
          <w:rtl/>
        </w:rPr>
        <w:t xml:space="preserve"> المقررة والمصادر الأخرى. </w:t>
      </w:r>
      <w:r w:rsidR="0026323B" w:rsidRPr="005269E6">
        <w:rPr>
          <w:rFonts w:hint="cs"/>
          <w:rtl/>
        </w:rPr>
        <w:t>وثمة</w:t>
      </w:r>
      <w:r w:rsidR="0026323B" w:rsidRPr="005269E6">
        <w:rPr>
          <w:rtl/>
        </w:rPr>
        <w:t xml:space="preserve"> قلق بشأن تقادم هذه المبالغ ونتيجة لذلك ش</w:t>
      </w:r>
      <w:r w:rsidR="0026323B" w:rsidRPr="005269E6">
        <w:rPr>
          <w:rFonts w:hint="cs"/>
          <w:rtl/>
        </w:rPr>
        <w:t>ُ</w:t>
      </w:r>
      <w:r w:rsidR="0026323B" w:rsidRPr="005269E6">
        <w:rPr>
          <w:rtl/>
        </w:rPr>
        <w:t xml:space="preserve">طب مبلغ 2,9 </w:t>
      </w:r>
      <w:r w:rsidR="00732C73" w:rsidRPr="005269E6">
        <w:rPr>
          <w:rFonts w:hint="cs"/>
          <w:rtl/>
        </w:rPr>
        <w:t xml:space="preserve">مليون </w:t>
      </w:r>
      <w:r w:rsidR="0026323B" w:rsidRPr="005269E6">
        <w:rPr>
          <w:rtl/>
        </w:rPr>
        <w:t>فرنك سويسري في عام 2023. و</w:t>
      </w:r>
      <w:r w:rsidR="0026323B" w:rsidRPr="005269E6">
        <w:rPr>
          <w:rFonts w:hint="cs"/>
          <w:rtl/>
        </w:rPr>
        <w:t>يت</w:t>
      </w:r>
      <w:r w:rsidR="0026323B" w:rsidRPr="005269E6">
        <w:rPr>
          <w:rtl/>
        </w:rPr>
        <w:t xml:space="preserve">واصل العمل لضمان قيام الاتحاد بتحصيل الذمم المدينة </w:t>
      </w:r>
      <w:r w:rsidR="0026323B" w:rsidRPr="005269E6">
        <w:rPr>
          <w:rFonts w:hint="cs"/>
          <w:rtl/>
        </w:rPr>
        <w:t xml:space="preserve">له </w:t>
      </w:r>
      <w:r w:rsidR="0026323B" w:rsidRPr="005269E6">
        <w:rPr>
          <w:rtl/>
        </w:rPr>
        <w:t>في الوقت المناسب من الآن فصاعداً.</w:t>
      </w:r>
    </w:p>
    <w:p w14:paraId="63DAF46D" w14:textId="1EC0F80F" w:rsidR="00C543C6" w:rsidRPr="005269E6" w:rsidRDefault="00C543C6" w:rsidP="00C543C6">
      <w:pPr>
        <w:pStyle w:val="enumlev1"/>
        <w:rPr>
          <w:rtl/>
        </w:rPr>
      </w:pPr>
      <w:r w:rsidRPr="005269E6">
        <w:rPr>
          <w:rFonts w:hint="cs"/>
          <w:rtl/>
        </w:rPr>
        <w:tab/>
      </w:r>
      <w:bookmarkStart w:id="329" w:name="_Toc520365524"/>
      <w:r w:rsidRPr="005269E6">
        <w:rPr>
          <w:rFonts w:hint="cs"/>
          <w:rtl/>
        </w:rPr>
        <w:t>وقد اتخذت تدابير، من قبيل إرسال كشف بالحساب كل ثلاثة أشهر وتعليق المشاركة في أعمال الاتحاد</w:t>
      </w:r>
      <w:r w:rsidR="00E77567" w:rsidRPr="005269E6">
        <w:rPr>
          <w:rFonts w:hint="cs"/>
          <w:rtl/>
          <w:lang w:bidi="ar-EG"/>
        </w:rPr>
        <w:t xml:space="preserve"> الدولي للاتصالات</w:t>
      </w:r>
      <w:r w:rsidRPr="005269E6">
        <w:rPr>
          <w:rFonts w:hint="cs"/>
          <w:rtl/>
        </w:rPr>
        <w:t xml:space="preserve"> للحرص على قيام الدول الأعضاء وأعضاء القطاعات والمنتسبين بتسوية متأخراتهم. وعلاوةً على ذلك، أخذ بحرمان الدول الأعضاء من حق التصويت لتشجيع الدول الأعضاء على تسوية متأخراتها في الوقت</w:t>
      </w:r>
      <w:r w:rsidRPr="005269E6">
        <w:rPr>
          <w:rFonts w:hint="eastAsia"/>
          <w:rtl/>
        </w:rPr>
        <w:t> </w:t>
      </w:r>
      <w:r w:rsidRPr="005269E6">
        <w:rPr>
          <w:rFonts w:hint="cs"/>
          <w:rtl/>
        </w:rPr>
        <w:t>المناسب.</w:t>
      </w:r>
      <w:bookmarkEnd w:id="329"/>
    </w:p>
    <w:p w14:paraId="61DFE5DE" w14:textId="293440F9" w:rsidR="00C543C6" w:rsidRPr="005269E6" w:rsidRDefault="00C543C6" w:rsidP="00C543C6">
      <w:pPr>
        <w:pStyle w:val="enumlev1"/>
        <w:rPr>
          <w:rtl/>
          <w:lang w:bidi="ar-EG"/>
        </w:rPr>
      </w:pPr>
      <w:r w:rsidRPr="005269E6">
        <w:rPr>
          <w:rFonts w:hint="cs"/>
          <w:rtl/>
        </w:rPr>
        <w:lastRenderedPageBreak/>
        <w:tab/>
      </w:r>
      <w:bookmarkStart w:id="330" w:name="_Toc520365525"/>
      <w:r w:rsidRPr="005269E6">
        <w:rPr>
          <w:rFonts w:hint="cs"/>
          <w:rtl/>
        </w:rPr>
        <w:t xml:space="preserve">ويسعى الاتحاد إلى الحد من مخاطر الائتمان فيما يتعلق بالتدفقات النقدية وما يعادلها بالاستثمارات، بتوزيعها بين العديد من المؤسسات المصرفية التي تتمتع بدرجة عالية من التصنيف الائتماني. وطبقاً للمادة </w:t>
      </w:r>
      <w:r w:rsidRPr="005269E6">
        <w:t>16</w:t>
      </w:r>
      <w:r w:rsidRPr="005269E6">
        <w:rPr>
          <w:rFonts w:hint="cs"/>
          <w:rtl/>
        </w:rPr>
        <w:t xml:space="preserve"> من اللوائح المالية والقواعد المالية، </w:t>
      </w:r>
      <w:r w:rsidR="00432E2B" w:rsidRPr="005269E6">
        <w:rPr>
          <w:rFonts w:hint="cs"/>
          <w:rtl/>
        </w:rPr>
        <w:t>ت</w:t>
      </w:r>
      <w:r w:rsidRPr="005269E6">
        <w:rPr>
          <w:rFonts w:hint="cs"/>
          <w:rtl/>
        </w:rPr>
        <w:t xml:space="preserve">ختار </w:t>
      </w:r>
      <w:r w:rsidR="00515AA9" w:rsidRPr="005269E6">
        <w:rPr>
          <w:rFonts w:hint="cs"/>
          <w:rtl/>
        </w:rPr>
        <w:t>الأمينة العامة</w:t>
      </w:r>
      <w:r w:rsidRPr="005269E6">
        <w:rPr>
          <w:rFonts w:hint="cs"/>
          <w:rtl/>
        </w:rPr>
        <w:t xml:space="preserve"> المصارف أو المؤسسات الأخرى التي تودع فيها أموال الاتحاد. وفي هذا الصدد، </w:t>
      </w:r>
      <w:r w:rsidR="00432E2B" w:rsidRPr="005269E6">
        <w:rPr>
          <w:rFonts w:hint="cs"/>
          <w:rtl/>
        </w:rPr>
        <w:t>ت</w:t>
      </w:r>
      <w:r w:rsidRPr="005269E6">
        <w:rPr>
          <w:rFonts w:hint="cs"/>
          <w:rtl/>
        </w:rPr>
        <w:t xml:space="preserve">كفل </w:t>
      </w:r>
      <w:r w:rsidR="00515AA9" w:rsidRPr="005269E6">
        <w:rPr>
          <w:rFonts w:hint="cs"/>
          <w:rtl/>
        </w:rPr>
        <w:t>الأمينة العامة</w:t>
      </w:r>
      <w:r w:rsidRPr="005269E6">
        <w:rPr>
          <w:rFonts w:hint="cs"/>
          <w:rtl/>
        </w:rPr>
        <w:t xml:space="preserve"> أن يكون استثمار الأموال بطريقة تشدد في المقام الأول على تقليل المخاطرة على الأموال الأساسية مع كفالة وجود السيولة اللازمة للوفاء بمتطلبات الاتحاد من التدفقات النقدية. ولا يودع الاتحاد أموال في المصارف التي </w:t>
      </w:r>
      <w:r w:rsidR="00490142" w:rsidRPr="005269E6">
        <w:rPr>
          <w:rFonts w:hint="cs"/>
          <w:rtl/>
        </w:rPr>
        <w:t>ي</w:t>
      </w:r>
      <w:r w:rsidRPr="005269E6">
        <w:rPr>
          <w:rFonts w:hint="cs"/>
          <w:rtl/>
        </w:rPr>
        <w:t>كون تصنيف الائتمان الخاص بها أقل من</w:t>
      </w:r>
      <w:r w:rsidRPr="005269E6">
        <w:rPr>
          <w:rFonts w:hint="eastAsia"/>
          <w:rtl/>
        </w:rPr>
        <w:t> </w:t>
      </w:r>
      <w:r w:rsidRPr="005269E6">
        <w:t>A3</w:t>
      </w:r>
      <w:r w:rsidRPr="005269E6">
        <w:rPr>
          <w:rFonts w:hint="cs"/>
          <w:rtl/>
        </w:rPr>
        <w:t>.</w:t>
      </w:r>
      <w:bookmarkEnd w:id="330"/>
    </w:p>
    <w:p w14:paraId="6582618B" w14:textId="77777777" w:rsidR="00C543C6" w:rsidRPr="005269E6" w:rsidRDefault="00C543C6" w:rsidP="00C543C6">
      <w:pPr>
        <w:pStyle w:val="enumlev1"/>
      </w:pPr>
      <w:r w:rsidRPr="005269E6">
        <w:rPr>
          <w:rFonts w:hint="cs"/>
          <w:rtl/>
        </w:rPr>
        <w:tab/>
      </w:r>
      <w:bookmarkStart w:id="331" w:name="_Toc520365526"/>
      <w:r w:rsidRPr="005269E6">
        <w:rPr>
          <w:rFonts w:hint="cs"/>
          <w:rtl/>
        </w:rPr>
        <w:t>وبالإضافة إلى هذه المعايير، يكون اختيار الاستثمارات على أساس تحقيق أعلى معدل معقول من العائدات ويكون منسجماً مع المبادئ المتبعة في الأمم المتحدة.</w:t>
      </w:r>
      <w:bookmarkEnd w:id="331"/>
    </w:p>
    <w:p w14:paraId="55E500EA" w14:textId="3E555B25" w:rsidR="00C543C6" w:rsidRPr="005269E6" w:rsidRDefault="00C543C6" w:rsidP="00C543C6">
      <w:pPr>
        <w:pStyle w:val="enumlev1"/>
        <w:rPr>
          <w:rtl/>
        </w:rPr>
      </w:pPr>
      <w:r w:rsidRPr="005269E6">
        <w:rPr>
          <w:rFonts w:hint="cs"/>
          <w:rtl/>
        </w:rPr>
        <w:tab/>
      </w:r>
      <w:bookmarkStart w:id="332" w:name="_Toc520365527"/>
      <w:r w:rsidRPr="005269E6">
        <w:rPr>
          <w:rFonts w:hint="cs"/>
          <w:rtl/>
        </w:rPr>
        <w:t>و</w:t>
      </w:r>
      <w:r w:rsidR="00432E2B" w:rsidRPr="005269E6">
        <w:rPr>
          <w:rFonts w:hint="cs"/>
          <w:rtl/>
        </w:rPr>
        <w:t>ت</w:t>
      </w:r>
      <w:r w:rsidRPr="005269E6">
        <w:rPr>
          <w:rFonts w:hint="cs"/>
          <w:rtl/>
        </w:rPr>
        <w:t xml:space="preserve">سمي </w:t>
      </w:r>
      <w:r w:rsidR="00515AA9" w:rsidRPr="005269E6">
        <w:rPr>
          <w:rFonts w:hint="cs"/>
          <w:rtl/>
        </w:rPr>
        <w:t>الأمينة العامة</w:t>
      </w:r>
      <w:r w:rsidRPr="005269E6">
        <w:rPr>
          <w:rFonts w:hint="cs"/>
          <w:rtl/>
        </w:rPr>
        <w:t xml:space="preserve"> المصارف التي يتم فيها الاحتفاظ بأموال الاتحاد وينشئ جميع الحسابات المصرفية المطلوبة للاتحاد و</w:t>
      </w:r>
      <w:r w:rsidR="00432E2B" w:rsidRPr="005269E6">
        <w:rPr>
          <w:rFonts w:hint="cs"/>
          <w:rtl/>
        </w:rPr>
        <w:t>ت</w:t>
      </w:r>
      <w:r w:rsidRPr="005269E6">
        <w:rPr>
          <w:rFonts w:hint="cs"/>
          <w:rtl/>
        </w:rPr>
        <w:t>سمي المسؤولين الذين تفوض لهم سلطة التوقيع لتشغيل هذه الحسابات. و</w:t>
      </w:r>
      <w:r w:rsidR="001C3E2B" w:rsidRPr="005269E6">
        <w:rPr>
          <w:rFonts w:hint="cs"/>
          <w:rtl/>
        </w:rPr>
        <w:t>ت</w:t>
      </w:r>
      <w:r w:rsidRPr="005269E6">
        <w:rPr>
          <w:rFonts w:hint="cs"/>
          <w:rtl/>
        </w:rPr>
        <w:t xml:space="preserve">صرح </w:t>
      </w:r>
      <w:r w:rsidR="00515AA9" w:rsidRPr="005269E6">
        <w:rPr>
          <w:rFonts w:hint="cs"/>
          <w:rtl/>
        </w:rPr>
        <w:t>الأمينة العامة</w:t>
      </w:r>
      <w:r w:rsidRPr="005269E6">
        <w:rPr>
          <w:rFonts w:hint="cs"/>
          <w:rtl/>
        </w:rPr>
        <w:t xml:space="preserve"> أيضاً بإغلاق جميع الحسابات</w:t>
      </w:r>
      <w:r w:rsidRPr="005269E6">
        <w:rPr>
          <w:rFonts w:hint="eastAsia"/>
          <w:rtl/>
        </w:rPr>
        <w:t> </w:t>
      </w:r>
      <w:r w:rsidRPr="005269E6">
        <w:rPr>
          <w:rFonts w:hint="cs"/>
          <w:rtl/>
        </w:rPr>
        <w:t>المصرفية.</w:t>
      </w:r>
      <w:bookmarkEnd w:id="332"/>
    </w:p>
    <w:p w14:paraId="4D60EEAB" w14:textId="77777777" w:rsidR="00C543C6" w:rsidRPr="005269E6" w:rsidRDefault="00C543C6" w:rsidP="00C543C6">
      <w:pPr>
        <w:pStyle w:val="enumlev1"/>
        <w:keepNext/>
        <w:keepLines/>
        <w:rPr>
          <w:i/>
          <w:iCs/>
          <w:rtl/>
        </w:rPr>
      </w:pPr>
      <w:r w:rsidRPr="005269E6">
        <w:rPr>
          <w:rFonts w:hint="cs"/>
          <w:i/>
          <w:iCs/>
          <w:rtl/>
        </w:rPr>
        <w:t>ج)</w:t>
      </w:r>
      <w:r w:rsidRPr="005269E6">
        <w:rPr>
          <w:rFonts w:hint="cs"/>
          <w:i/>
          <w:iCs/>
          <w:rtl/>
        </w:rPr>
        <w:tab/>
        <w:t>مخاطر معدلات أسعار الفائدة</w:t>
      </w:r>
    </w:p>
    <w:p w14:paraId="1AB0F1E9" w14:textId="176ED96D" w:rsidR="00C543C6" w:rsidRPr="005269E6" w:rsidRDefault="00C543C6" w:rsidP="00C543C6">
      <w:pPr>
        <w:pStyle w:val="enumlev1"/>
        <w:rPr>
          <w:rtl/>
        </w:rPr>
      </w:pPr>
      <w:r w:rsidRPr="005269E6">
        <w:rPr>
          <w:rFonts w:hint="cs"/>
          <w:rtl/>
        </w:rPr>
        <w:tab/>
      </w:r>
      <w:bookmarkStart w:id="333" w:name="_Toc520365528"/>
      <w:r w:rsidRPr="005269E6">
        <w:rPr>
          <w:rFonts w:hint="cs"/>
          <w:rtl/>
        </w:rPr>
        <w:t xml:space="preserve">يتعرض الاتحاد لمخاطر معدلات أسعار الفائدة من خلال استثماراته قصيرة الأجل. </w:t>
      </w:r>
      <w:r w:rsidR="00430696" w:rsidRPr="005269E6">
        <w:rPr>
          <w:rFonts w:hint="cs"/>
          <w:rtl/>
        </w:rPr>
        <w:t>وفي سبتمبر 2022، عُلق</w:t>
      </w:r>
      <w:r w:rsidRPr="005269E6">
        <w:rPr>
          <w:rFonts w:hint="cs"/>
          <w:rtl/>
        </w:rPr>
        <w:t xml:space="preserve"> سعر الفائدة السالب </w:t>
      </w:r>
      <w:r w:rsidR="00430696" w:rsidRPr="005269E6">
        <w:rPr>
          <w:rFonts w:hint="cs"/>
          <w:rtl/>
        </w:rPr>
        <w:t>الذي عُمل به</w:t>
      </w:r>
      <w:r w:rsidRPr="005269E6">
        <w:rPr>
          <w:rFonts w:hint="cs"/>
          <w:rtl/>
        </w:rPr>
        <w:t xml:space="preserve"> </w:t>
      </w:r>
      <w:r w:rsidR="00430696" w:rsidRPr="005269E6">
        <w:rPr>
          <w:rFonts w:hint="cs"/>
          <w:rtl/>
        </w:rPr>
        <w:t>منذ سبتمبر</w:t>
      </w:r>
      <w:r w:rsidRPr="005269E6">
        <w:rPr>
          <w:rFonts w:hint="cs"/>
          <w:rtl/>
        </w:rPr>
        <w:t xml:space="preserve"> </w:t>
      </w:r>
      <w:r w:rsidRPr="005269E6">
        <w:t>2015</w:t>
      </w:r>
      <w:r w:rsidR="00430696" w:rsidRPr="005269E6">
        <w:rPr>
          <w:rFonts w:hint="cs"/>
          <w:rtl/>
        </w:rPr>
        <w:t>.</w:t>
      </w:r>
    </w:p>
    <w:p w14:paraId="07FFF109" w14:textId="4FA923BC" w:rsidR="00B46410" w:rsidRPr="005269E6" w:rsidRDefault="00C543C6" w:rsidP="0004141E">
      <w:pPr>
        <w:pStyle w:val="enumlev1"/>
        <w:rPr>
          <w:rtl/>
        </w:rPr>
      </w:pPr>
      <w:r w:rsidRPr="005269E6">
        <w:rPr>
          <w:rtl/>
        </w:rPr>
        <w:tab/>
      </w:r>
      <w:r w:rsidR="00B46410" w:rsidRPr="005269E6">
        <w:rPr>
          <w:rFonts w:hint="cs"/>
          <w:rtl/>
        </w:rPr>
        <w:t>و</w:t>
      </w:r>
      <w:r w:rsidR="00B46410" w:rsidRPr="005269E6">
        <w:rPr>
          <w:rtl/>
        </w:rPr>
        <w:t xml:space="preserve">في عام 2022، </w:t>
      </w:r>
      <w:r w:rsidR="00B46410" w:rsidRPr="005269E6">
        <w:rPr>
          <w:rFonts w:hint="cs"/>
          <w:rtl/>
        </w:rPr>
        <w:t>أ</w:t>
      </w:r>
      <w:r w:rsidR="00B46410" w:rsidRPr="005269E6">
        <w:rPr>
          <w:rtl/>
        </w:rPr>
        <w:t>مكننا أيضا</w:t>
      </w:r>
      <w:r w:rsidR="0004141E" w:rsidRPr="005269E6">
        <w:rPr>
          <w:rFonts w:hint="cs"/>
          <w:rtl/>
        </w:rPr>
        <w:t>ً</w:t>
      </w:r>
      <w:r w:rsidR="00B46410" w:rsidRPr="005269E6">
        <w:rPr>
          <w:rtl/>
        </w:rPr>
        <w:t xml:space="preserve"> ملاحظة زيادة في سعر الفائدة على الودائع قصيرة الأجل بالدولار الأمريكي. </w:t>
      </w:r>
      <w:r w:rsidR="00B46410" w:rsidRPr="005269E6">
        <w:rPr>
          <w:rFonts w:hint="cs"/>
          <w:rtl/>
        </w:rPr>
        <w:t>و</w:t>
      </w:r>
      <w:r w:rsidR="00B46410" w:rsidRPr="005269E6">
        <w:rPr>
          <w:rtl/>
        </w:rPr>
        <w:t>هذه الزيادة</w:t>
      </w:r>
      <w:r w:rsidR="00B46410" w:rsidRPr="005269E6">
        <w:rPr>
          <w:rFonts w:hint="cs"/>
          <w:rtl/>
        </w:rPr>
        <w:t>،</w:t>
      </w:r>
      <w:r w:rsidR="00B46410" w:rsidRPr="005269E6">
        <w:rPr>
          <w:rtl/>
        </w:rPr>
        <w:t xml:space="preserve"> مقترنة باستعمال منتج إيداع جديد للاتحاد</w:t>
      </w:r>
      <w:r w:rsidR="00B46410" w:rsidRPr="005269E6">
        <w:rPr>
          <w:rFonts w:hint="cs"/>
          <w:rtl/>
        </w:rPr>
        <w:t>،</w:t>
      </w:r>
      <w:r w:rsidR="00B46410" w:rsidRPr="005269E6">
        <w:rPr>
          <w:rtl/>
        </w:rPr>
        <w:t xml:space="preserve"> أتاحت توليد فائدة قدرها 1,5 مليون فرنك سويسري (</w:t>
      </w:r>
      <w:r w:rsidR="0004141E" w:rsidRPr="005269E6">
        <w:t>241 000</w:t>
      </w:r>
      <w:r w:rsidR="00B46410" w:rsidRPr="005269E6">
        <w:rPr>
          <w:rFonts w:hint="cs"/>
          <w:rtl/>
        </w:rPr>
        <w:t xml:space="preserve"> </w:t>
      </w:r>
      <w:r w:rsidR="00B46410" w:rsidRPr="005269E6">
        <w:rPr>
          <w:rtl/>
        </w:rPr>
        <w:t>فرنك سويسري في عام 2021).</w:t>
      </w:r>
    </w:p>
    <w:p w14:paraId="21FA7CC5" w14:textId="06CFEE36" w:rsidR="00B46410" w:rsidRPr="005269E6" w:rsidRDefault="0045431E" w:rsidP="0004141E">
      <w:pPr>
        <w:pStyle w:val="enumlev1"/>
        <w:rPr>
          <w:rtl/>
        </w:rPr>
      </w:pPr>
      <w:r w:rsidRPr="005269E6">
        <w:rPr>
          <w:rtl/>
        </w:rPr>
        <w:tab/>
      </w:r>
      <w:bookmarkEnd w:id="333"/>
      <w:r w:rsidR="00B46410" w:rsidRPr="005269E6">
        <w:rPr>
          <w:rtl/>
        </w:rPr>
        <w:t>و</w:t>
      </w:r>
      <w:r w:rsidR="00B46410" w:rsidRPr="005269E6">
        <w:rPr>
          <w:rFonts w:hint="cs"/>
          <w:rtl/>
        </w:rPr>
        <w:t>ت</w:t>
      </w:r>
      <w:r w:rsidR="00B46410" w:rsidRPr="005269E6">
        <w:rPr>
          <w:rtl/>
        </w:rPr>
        <w:t>ظل الأموال النقدية وما يعادلها والاستثمار</w:t>
      </w:r>
      <w:r w:rsidR="00B46410" w:rsidRPr="005269E6">
        <w:rPr>
          <w:rFonts w:hint="cs"/>
          <w:rtl/>
        </w:rPr>
        <w:t xml:space="preserve">ات </w:t>
      </w:r>
      <w:r w:rsidR="00B46410" w:rsidRPr="005269E6">
        <w:rPr>
          <w:rtl/>
        </w:rPr>
        <w:t>(الودائع القصيرة الأجل) للاتحاد آمن</w:t>
      </w:r>
      <w:r w:rsidR="00B46410" w:rsidRPr="005269E6">
        <w:rPr>
          <w:rFonts w:hint="cs"/>
          <w:rtl/>
        </w:rPr>
        <w:t>ة</w:t>
      </w:r>
      <w:r w:rsidR="00B46410" w:rsidRPr="005269E6">
        <w:rPr>
          <w:rtl/>
        </w:rPr>
        <w:t>، لأنه يحتفظ بأصول عالية الجودة تهدف إلى الحفاظ على رأس المال.</w:t>
      </w:r>
    </w:p>
    <w:p w14:paraId="759A542D" w14:textId="77777777" w:rsidR="00C543C6" w:rsidRPr="005269E6" w:rsidRDefault="00C543C6" w:rsidP="00C543C6">
      <w:pPr>
        <w:pStyle w:val="enumlev1"/>
        <w:keepNext/>
        <w:rPr>
          <w:i/>
          <w:iCs/>
          <w:rtl/>
        </w:rPr>
      </w:pPr>
      <w:r w:rsidRPr="005269E6">
        <w:rPr>
          <w:rFonts w:hint="cs"/>
          <w:i/>
          <w:iCs/>
          <w:rtl/>
        </w:rPr>
        <w:t>د )</w:t>
      </w:r>
      <w:r w:rsidRPr="005269E6">
        <w:rPr>
          <w:rFonts w:hint="cs"/>
          <w:i/>
          <w:iCs/>
          <w:rtl/>
        </w:rPr>
        <w:tab/>
        <w:t>مخاطر السيولة</w:t>
      </w:r>
    </w:p>
    <w:p w14:paraId="3C9C40AD" w14:textId="77777777" w:rsidR="00C543C6" w:rsidRPr="005269E6" w:rsidRDefault="00C543C6" w:rsidP="00C543C6">
      <w:pPr>
        <w:pStyle w:val="enumlev1"/>
        <w:rPr>
          <w:rtl/>
        </w:rPr>
      </w:pPr>
      <w:r w:rsidRPr="005269E6">
        <w:rPr>
          <w:rFonts w:hint="cs"/>
          <w:rtl/>
        </w:rPr>
        <w:tab/>
      </w:r>
      <w:bookmarkStart w:id="334" w:name="_Toc520365529"/>
      <w:r w:rsidRPr="005269E6">
        <w:rPr>
          <w:rFonts w:hint="cs"/>
          <w:rtl/>
        </w:rPr>
        <w:t>مخاطر السيولة هي المخاطر المتعلقة بعدم قدرة الاتحاد على الوفاء بالتزاماته عند استحقاقها. ويتمثل نهج الاتحاد في إدارة السيولة في ضمان توفير سيولة كافية للوفاء بالتزاماته عند استحقاقها. ويعمل الاتحاد على ضمان أن يكون لديه الأموال النقدية الكافية للوفاء بالنفقات التشغيلية المتوقعة من خلال استعمال تنبؤات التدفقات</w:t>
      </w:r>
      <w:r w:rsidRPr="005269E6">
        <w:rPr>
          <w:rFonts w:hint="eastAsia"/>
          <w:rtl/>
        </w:rPr>
        <w:t> </w:t>
      </w:r>
      <w:r w:rsidRPr="005269E6">
        <w:rPr>
          <w:rFonts w:hint="cs"/>
          <w:rtl/>
        </w:rPr>
        <w:t>النقدية.</w:t>
      </w:r>
      <w:bookmarkEnd w:id="334"/>
    </w:p>
    <w:p w14:paraId="6CFF4F0E" w14:textId="77777777" w:rsidR="00C543C6" w:rsidRPr="005269E6" w:rsidRDefault="00C543C6" w:rsidP="00C543C6">
      <w:pPr>
        <w:pStyle w:val="enumlev1"/>
        <w:rPr>
          <w:rtl/>
        </w:rPr>
      </w:pPr>
      <w:r w:rsidRPr="005269E6">
        <w:rPr>
          <w:rFonts w:hint="cs"/>
          <w:rtl/>
        </w:rPr>
        <w:tab/>
      </w:r>
      <w:bookmarkStart w:id="335" w:name="_Toc520365531"/>
      <w:r w:rsidRPr="005269E6">
        <w:rPr>
          <w:rFonts w:hint="cs"/>
          <w:rtl/>
        </w:rPr>
        <w:t>والهدف الأساسي من وراء إدارة رأسمال الاتحاد هو ضمان وجود أموال نقدية كافية لدعم احتياجات الاتحاد من التمويل، بما في ذلك النفقات الرأسمالية لضمان الحفاظ على الوضع المالي السليم</w:t>
      </w:r>
      <w:r w:rsidRPr="005269E6">
        <w:rPr>
          <w:rFonts w:hint="eastAsia"/>
          <w:rtl/>
        </w:rPr>
        <w:t> </w:t>
      </w:r>
      <w:r w:rsidRPr="005269E6">
        <w:rPr>
          <w:rFonts w:hint="cs"/>
          <w:rtl/>
        </w:rPr>
        <w:t>للاتحاد.</w:t>
      </w:r>
      <w:bookmarkEnd w:id="335"/>
    </w:p>
    <w:p w14:paraId="1988AF12" w14:textId="77777777" w:rsidR="00C543C6" w:rsidRPr="005269E6" w:rsidRDefault="00C543C6" w:rsidP="00C543C6">
      <w:pPr>
        <w:pStyle w:val="enumlev1"/>
        <w:keepNext/>
        <w:keepLines/>
        <w:rPr>
          <w:i/>
          <w:iCs/>
          <w:rtl/>
        </w:rPr>
      </w:pPr>
      <w:r w:rsidRPr="005269E6">
        <w:rPr>
          <w:i/>
          <w:iCs/>
          <w:rtl/>
        </w:rPr>
        <w:t>ه</w:t>
      </w:r>
      <w:r w:rsidRPr="005269E6">
        <w:rPr>
          <w:rFonts w:hint="cs"/>
          <w:i/>
          <w:iCs/>
          <w:rtl/>
        </w:rPr>
        <w:t>‍</w:t>
      </w:r>
      <w:r w:rsidRPr="005269E6">
        <w:rPr>
          <w:rFonts w:hint="eastAsia"/>
          <w:i/>
          <w:iCs/>
          <w:rtl/>
        </w:rPr>
        <w:t> )</w:t>
      </w:r>
      <w:r w:rsidRPr="005269E6">
        <w:rPr>
          <w:rFonts w:hint="eastAsia"/>
          <w:i/>
          <w:iCs/>
          <w:rtl/>
        </w:rPr>
        <w:tab/>
        <w:t>مخاطر العملة</w:t>
      </w:r>
    </w:p>
    <w:p w14:paraId="2BB0F711" w14:textId="77777777" w:rsidR="00C543C6" w:rsidRPr="005269E6" w:rsidRDefault="00C543C6" w:rsidP="00C543C6">
      <w:pPr>
        <w:pStyle w:val="enumlev1"/>
        <w:keepNext/>
        <w:keepLines/>
      </w:pPr>
      <w:r w:rsidRPr="005269E6">
        <w:rPr>
          <w:rFonts w:hint="cs"/>
          <w:rtl/>
        </w:rPr>
        <w:tab/>
      </w:r>
      <w:bookmarkStart w:id="336" w:name="_Toc520365532"/>
      <w:r w:rsidRPr="005269E6">
        <w:rPr>
          <w:rFonts w:hint="cs"/>
          <w:rtl/>
        </w:rPr>
        <w:t>يتلقى الاتحاد مساهمات الدول الأعضاء ومساهمات للميزانية العادية بالفرنك السويسري، وـأما المساهمات خارج الميزانية فيتلقاها بعملات أخرى غير الفرنك السويسري. ولا يلجأ الاتحاد إلى عقود الصرف الآجل أو المقبلة أو المقايضة أو</w:t>
      </w:r>
      <w:r w:rsidRPr="005269E6">
        <w:rPr>
          <w:rFonts w:hint="eastAsia"/>
          <w:rtl/>
        </w:rPr>
        <w:t> </w:t>
      </w:r>
      <w:r w:rsidRPr="005269E6">
        <w:rPr>
          <w:rFonts w:hint="cs"/>
          <w:rtl/>
        </w:rPr>
        <w:t>خيارات العملة الرامية إلى حماية مكاسب أو خسائر أسعار الصرف المحققة أو غير المحققة. ويطبق، بقدر الإمكان، غطاء حماية طبيعي من خلال تخصيص العملات اللازمة مباشرةً من أجل الحسابات المصرفية الملائمة.</w:t>
      </w:r>
      <w:bookmarkEnd w:id="336"/>
    </w:p>
    <w:p w14:paraId="3F03237D" w14:textId="77777777" w:rsidR="00C543C6" w:rsidRPr="005269E6" w:rsidRDefault="00C543C6" w:rsidP="00C543C6">
      <w:pPr>
        <w:pStyle w:val="enumlev1"/>
        <w:rPr>
          <w:spacing w:val="2"/>
          <w:rtl/>
        </w:rPr>
      </w:pPr>
      <w:r w:rsidRPr="005269E6">
        <w:rPr>
          <w:rFonts w:hint="cs"/>
          <w:spacing w:val="2"/>
          <w:rtl/>
        </w:rPr>
        <w:tab/>
      </w:r>
      <w:bookmarkStart w:id="337" w:name="_Toc520365533"/>
      <w:r w:rsidRPr="005269E6">
        <w:rPr>
          <w:rFonts w:hint="cs"/>
          <w:spacing w:val="2"/>
          <w:rtl/>
        </w:rPr>
        <w:t>وجدير بالملاحظة أن إدارة نظام التأمين الصحي ستكون بالفرنك السويسري، مما يخفض بشكل كبير التعرض لتقلبات أسعار الصرف. ولا</w:t>
      </w:r>
      <w:r w:rsidRPr="005269E6">
        <w:rPr>
          <w:rFonts w:hint="eastAsia"/>
          <w:spacing w:val="2"/>
          <w:rtl/>
        </w:rPr>
        <w:t> </w:t>
      </w:r>
      <w:r w:rsidRPr="005269E6">
        <w:rPr>
          <w:rFonts w:hint="cs"/>
          <w:spacing w:val="2"/>
          <w:rtl/>
        </w:rPr>
        <w:t xml:space="preserve">يزال الاتحاد معرضاً لمكاسب أو خسائر سعر الصرف الناتجة عن دفع المساهمات إلى </w:t>
      </w:r>
      <w:r w:rsidRPr="005269E6">
        <w:rPr>
          <w:spacing w:val="2"/>
          <w:rtl/>
        </w:rPr>
        <w:t>الصندوق المشترك للمعاشات التقاعدية لموظفي الأمم المتحدة</w:t>
      </w:r>
      <w:r w:rsidRPr="005269E6">
        <w:rPr>
          <w:rFonts w:hint="cs"/>
          <w:spacing w:val="2"/>
          <w:rtl/>
        </w:rPr>
        <w:t xml:space="preserve"> بالدولار الأمريكي. ولكن بما أن اشتراكات الموظفين من الفئة الفنية محددة بالدولار الأمريكي واشتراكات موظفي فئة الخدمة العامة محددة بالفرنك السويسري إضافةً إلى أن عدد الموظفين موزع بالتساوي بين هاتين الفئتين فإن تقلبات أسعار الصرف ستميل إلى تعويض بعضها البعض.</w:t>
      </w:r>
      <w:bookmarkEnd w:id="337"/>
    </w:p>
    <w:p w14:paraId="37BA188A" w14:textId="07ED9E8B" w:rsidR="00B46410" w:rsidRPr="005269E6" w:rsidRDefault="00C543C6" w:rsidP="0004141E">
      <w:pPr>
        <w:pStyle w:val="enumlev1"/>
        <w:spacing w:after="120"/>
        <w:rPr>
          <w:rtl/>
        </w:rPr>
      </w:pPr>
      <w:r w:rsidRPr="005269E6">
        <w:rPr>
          <w:rFonts w:hint="cs"/>
          <w:rtl/>
        </w:rPr>
        <w:tab/>
      </w:r>
      <w:bookmarkStart w:id="338" w:name="_Toc520365534"/>
      <w:r w:rsidRPr="005269E6">
        <w:rPr>
          <w:rFonts w:hint="cs"/>
          <w:rtl/>
        </w:rPr>
        <w:t>وتدار المساهمات خارج الميزانية بعملة المساهمة وتحول إلى الفرنك السويسري لأغراض تقديم</w:t>
      </w:r>
      <w:r w:rsidRPr="005269E6">
        <w:rPr>
          <w:rFonts w:hint="eastAsia"/>
          <w:rtl/>
        </w:rPr>
        <w:t> </w:t>
      </w:r>
      <w:r w:rsidRPr="005269E6">
        <w:rPr>
          <w:rFonts w:hint="cs"/>
          <w:rtl/>
        </w:rPr>
        <w:t>البيانات.</w:t>
      </w:r>
      <w:bookmarkEnd w:id="338"/>
      <w:r w:rsidR="00B46410" w:rsidRPr="005269E6">
        <w:rPr>
          <w:rtl/>
        </w:rPr>
        <w:t xml:space="preserve"> </w:t>
      </w:r>
      <w:r w:rsidR="00B46410" w:rsidRPr="005269E6">
        <w:rPr>
          <w:rFonts w:hint="cs"/>
          <w:rtl/>
        </w:rPr>
        <w:t>و</w:t>
      </w:r>
      <w:r w:rsidR="00B46410" w:rsidRPr="005269E6">
        <w:rPr>
          <w:rtl/>
        </w:rPr>
        <w:t xml:space="preserve">يوضح الجدول أدناه المبالغ الرئيسية المحتفظ بها بالعملات الأجنبية، </w:t>
      </w:r>
      <w:r w:rsidR="00B46410" w:rsidRPr="005269E6">
        <w:rPr>
          <w:rFonts w:hint="cs"/>
          <w:rtl/>
        </w:rPr>
        <w:t>لدى</w:t>
      </w:r>
      <w:r w:rsidR="00B46410" w:rsidRPr="005269E6">
        <w:rPr>
          <w:rtl/>
        </w:rPr>
        <w:t xml:space="preserve"> </w:t>
      </w:r>
      <w:r w:rsidR="00B46410" w:rsidRPr="005269E6">
        <w:rPr>
          <w:rFonts w:hint="cs"/>
          <w:rtl/>
        </w:rPr>
        <w:t>مصارفنا</w:t>
      </w:r>
      <w:r w:rsidR="00B46410" w:rsidRPr="005269E6">
        <w:rPr>
          <w:rtl/>
        </w:rPr>
        <w:t xml:space="preserve"> باليورو والدولار الأمريكي.</w:t>
      </w:r>
    </w:p>
    <w:tbl>
      <w:tblPr>
        <w:bidiVisual/>
        <w:tblW w:w="5000" w:type="pct"/>
        <w:tblLook w:val="04A0" w:firstRow="1" w:lastRow="0" w:firstColumn="1" w:lastColumn="0" w:noHBand="0" w:noVBand="1"/>
      </w:tblPr>
      <w:tblGrid>
        <w:gridCol w:w="3205"/>
        <w:gridCol w:w="1466"/>
        <w:gridCol w:w="1844"/>
        <w:gridCol w:w="1697"/>
        <w:gridCol w:w="1417"/>
      </w:tblGrid>
      <w:tr w:rsidR="00D518AF" w:rsidRPr="005269E6" w14:paraId="4525A945" w14:textId="77777777" w:rsidTr="00B46410">
        <w:trPr>
          <w:trHeight w:val="518"/>
        </w:trPr>
        <w:tc>
          <w:tcPr>
            <w:tcW w:w="9629" w:type="dxa"/>
            <w:gridSpan w:val="5"/>
            <w:tcBorders>
              <w:top w:val="single" w:sz="4" w:space="0" w:color="auto"/>
              <w:left w:val="single" w:sz="4" w:space="0" w:color="auto"/>
              <w:bottom w:val="single" w:sz="4" w:space="0" w:color="auto"/>
              <w:right w:val="single" w:sz="4" w:space="0" w:color="000000"/>
            </w:tcBorders>
            <w:shd w:val="clear" w:color="000000" w:fill="538DD5"/>
            <w:noWrap/>
            <w:vAlign w:val="center"/>
            <w:hideMark/>
          </w:tcPr>
          <w:p w14:paraId="204D00D5" w14:textId="70E5DF05" w:rsidR="00D518AF" w:rsidRPr="005269E6" w:rsidRDefault="00AA059C" w:rsidP="00AA059C">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تأثير تقلبات أسعار صرف الفرنك السويسري على العملات الأخرى</w:t>
            </w:r>
          </w:p>
        </w:tc>
      </w:tr>
      <w:tr w:rsidR="00D518AF" w:rsidRPr="005269E6" w14:paraId="5D9CD11A" w14:textId="77777777" w:rsidTr="006154A9">
        <w:trPr>
          <w:trHeight w:val="255"/>
        </w:trPr>
        <w:tc>
          <w:tcPr>
            <w:tcW w:w="3205" w:type="dxa"/>
            <w:tcBorders>
              <w:top w:val="nil"/>
              <w:left w:val="single" w:sz="4" w:space="0" w:color="auto"/>
              <w:bottom w:val="nil"/>
              <w:right w:val="nil"/>
            </w:tcBorders>
            <w:shd w:val="clear" w:color="auto" w:fill="auto"/>
            <w:noWrap/>
            <w:vAlign w:val="bottom"/>
            <w:hideMark/>
          </w:tcPr>
          <w:p w14:paraId="50DB9741" w14:textId="505BC30E" w:rsidR="00D518AF" w:rsidRPr="005269E6" w:rsidRDefault="00AA059C" w:rsidP="00D518A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(المبالغ بالآلاف)</w:t>
            </w:r>
          </w:p>
        </w:tc>
        <w:tc>
          <w:tcPr>
            <w:tcW w:w="1466" w:type="dxa"/>
            <w:tcBorders>
              <w:top w:val="nil"/>
              <w:left w:val="nil"/>
              <w:bottom w:val="nil"/>
              <w:right w:val="nil"/>
            </w:tcBorders>
            <w:shd w:val="clear" w:color="auto" w:fill="auto"/>
            <w:noWrap/>
            <w:vAlign w:val="bottom"/>
            <w:hideMark/>
          </w:tcPr>
          <w:p w14:paraId="134674A1" w14:textId="77777777" w:rsidR="00D518AF" w:rsidRPr="005269E6" w:rsidRDefault="00D518AF" w:rsidP="00D518AF">
            <w:pPr>
              <w:tabs>
                <w:tab w:val="clear" w:pos="794"/>
              </w:tabs>
              <w:spacing w:before="40" w:after="40" w:line="240" w:lineRule="exact"/>
              <w:jc w:val="left"/>
              <w:rPr>
                <w:rFonts w:eastAsia="Times New Roman"/>
                <w:color w:val="000000"/>
                <w:sz w:val="18"/>
                <w:szCs w:val="18"/>
                <w:lang w:val="en-GB" w:eastAsia="en-GB"/>
              </w:rPr>
            </w:pPr>
          </w:p>
        </w:tc>
        <w:tc>
          <w:tcPr>
            <w:tcW w:w="1844" w:type="dxa"/>
            <w:tcBorders>
              <w:top w:val="nil"/>
              <w:left w:val="nil"/>
              <w:bottom w:val="nil"/>
              <w:right w:val="nil"/>
            </w:tcBorders>
            <w:shd w:val="clear" w:color="auto" w:fill="auto"/>
            <w:noWrap/>
            <w:vAlign w:val="bottom"/>
            <w:hideMark/>
          </w:tcPr>
          <w:p w14:paraId="10F4FA11" w14:textId="77777777" w:rsidR="00D518AF" w:rsidRPr="005269E6" w:rsidRDefault="00D518AF" w:rsidP="00D518A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1697" w:type="dxa"/>
            <w:tcBorders>
              <w:top w:val="nil"/>
              <w:left w:val="nil"/>
              <w:bottom w:val="nil"/>
              <w:right w:val="nil"/>
            </w:tcBorders>
            <w:shd w:val="clear" w:color="auto" w:fill="auto"/>
            <w:noWrap/>
            <w:vAlign w:val="bottom"/>
            <w:hideMark/>
          </w:tcPr>
          <w:p w14:paraId="212A0CC9" w14:textId="77777777" w:rsidR="00D518AF" w:rsidRPr="005269E6" w:rsidRDefault="00D518AF" w:rsidP="00D518A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417" w:type="dxa"/>
            <w:tcBorders>
              <w:top w:val="nil"/>
              <w:left w:val="nil"/>
              <w:bottom w:val="nil"/>
              <w:right w:val="single" w:sz="4" w:space="0" w:color="auto"/>
            </w:tcBorders>
            <w:shd w:val="clear" w:color="auto" w:fill="auto"/>
            <w:noWrap/>
            <w:vAlign w:val="bottom"/>
            <w:hideMark/>
          </w:tcPr>
          <w:p w14:paraId="65392DBE" w14:textId="77777777" w:rsidR="00D518AF" w:rsidRPr="005269E6" w:rsidRDefault="00D518AF" w:rsidP="00D518A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r>
      <w:tr w:rsidR="00D518AF" w:rsidRPr="005269E6" w14:paraId="115B411B" w14:textId="77777777" w:rsidTr="006154A9">
        <w:trPr>
          <w:trHeight w:val="90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EAEAE" w14:textId="6C2847EA" w:rsidR="00D518AF" w:rsidRPr="005269E6" w:rsidRDefault="00AA059C" w:rsidP="00D518A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lastRenderedPageBreak/>
              <w:t>العملة</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14:paraId="22503A0E" w14:textId="212B6E5D" w:rsidR="00D518AF" w:rsidRPr="005269E6" w:rsidRDefault="00AA059C" w:rsidP="00D518AF">
            <w:pPr>
              <w:tabs>
                <w:tab w:val="clear" w:pos="794"/>
              </w:tabs>
              <w:spacing w:before="40" w:after="40" w:line="240" w:lineRule="exact"/>
              <w:jc w:val="center"/>
              <w:rPr>
                <w:rFonts w:eastAsia="Times New Roman"/>
                <w:color w:val="000000"/>
                <w:sz w:val="18"/>
                <w:szCs w:val="18"/>
                <w:rtl/>
                <w:lang w:val="en-GB" w:eastAsia="en-GB" w:bidi="ar-SY"/>
              </w:rPr>
            </w:pPr>
            <w:r w:rsidRPr="005269E6">
              <w:rPr>
                <w:rFonts w:eastAsia="Times New Roman" w:hint="cs"/>
                <w:color w:val="000000"/>
                <w:sz w:val="18"/>
                <w:szCs w:val="18"/>
                <w:rtl/>
                <w:lang w:val="en-GB" w:eastAsia="en-GB"/>
              </w:rPr>
              <w:t xml:space="preserve">الرصيد بالعملة الأجنبية في </w:t>
            </w:r>
            <w:r w:rsidR="0004141E" w:rsidRPr="005269E6">
              <w:rPr>
                <w:rFonts w:eastAsia="Times New Roman"/>
                <w:color w:val="000000"/>
                <w:sz w:val="18"/>
                <w:szCs w:val="18"/>
                <w:lang w:val="en-GB" w:eastAsia="en-GB"/>
              </w:rPr>
              <w:t>2022.12.31</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7ACFF3B0" w14:textId="6AC6D102" w:rsidR="00D518AF" w:rsidRPr="005269E6" w:rsidRDefault="00AA059C" w:rsidP="00D518AF">
            <w:pPr>
              <w:tabs>
                <w:tab w:val="clear" w:pos="794"/>
              </w:tabs>
              <w:spacing w:before="40" w:after="40" w:line="240" w:lineRule="exact"/>
              <w:jc w:val="center"/>
              <w:rPr>
                <w:rFonts w:eastAsia="Times New Roman"/>
                <w:color w:val="000000"/>
                <w:sz w:val="18"/>
                <w:szCs w:val="18"/>
                <w:lang w:val="en-GB" w:eastAsia="en-GB"/>
              </w:rPr>
            </w:pPr>
            <w:r w:rsidRPr="005269E6">
              <w:rPr>
                <w:rFonts w:eastAsia="Times New Roman" w:hint="cs"/>
                <w:color w:val="000000"/>
                <w:sz w:val="18"/>
                <w:szCs w:val="18"/>
                <w:rtl/>
                <w:lang w:val="en-GB" w:eastAsia="en-GB"/>
              </w:rPr>
              <w:t>الرصيد المكافئ بالفرنك السويسري بتاريخ</w:t>
            </w:r>
            <w:r w:rsidR="00D518AF" w:rsidRPr="005269E6">
              <w:rPr>
                <w:rFonts w:eastAsia="Times New Roman"/>
                <w:color w:val="000000"/>
                <w:sz w:val="18"/>
                <w:szCs w:val="18"/>
                <w:lang w:val="en-GB" w:eastAsia="en-GB"/>
              </w:rPr>
              <w:t xml:space="preserve"> 31 </w:t>
            </w:r>
            <w:r w:rsidRPr="005269E6">
              <w:rPr>
                <w:rFonts w:eastAsia="Times New Roman" w:hint="cs"/>
                <w:color w:val="000000"/>
                <w:sz w:val="18"/>
                <w:szCs w:val="18"/>
                <w:rtl/>
                <w:lang w:val="en-GB" w:eastAsia="en-GB"/>
              </w:rPr>
              <w:t>ديسمبر</w:t>
            </w:r>
            <w:r w:rsidR="006154A9" w:rsidRPr="005269E6">
              <w:rPr>
                <w:rFonts w:eastAsia="Times New Roman" w:hint="cs"/>
                <w:color w:val="000000"/>
                <w:sz w:val="18"/>
                <w:szCs w:val="18"/>
                <w:rtl/>
                <w:lang w:val="en-GB" w:eastAsia="en-GB"/>
              </w:rPr>
              <w:t xml:space="preserve"> </w:t>
            </w:r>
            <w:r w:rsidR="00D518AF" w:rsidRPr="005269E6">
              <w:rPr>
                <w:rFonts w:eastAsia="Times New Roman"/>
                <w:color w:val="000000"/>
                <w:sz w:val="18"/>
                <w:szCs w:val="18"/>
                <w:lang w:val="en-GB" w:eastAsia="en-GB"/>
              </w:rPr>
              <w:t>2022</w:t>
            </w:r>
          </w:p>
        </w:tc>
        <w:tc>
          <w:tcPr>
            <w:tcW w:w="3114" w:type="dxa"/>
            <w:gridSpan w:val="2"/>
            <w:tcBorders>
              <w:top w:val="single" w:sz="4" w:space="0" w:color="auto"/>
              <w:left w:val="nil"/>
              <w:bottom w:val="single" w:sz="4" w:space="0" w:color="auto"/>
              <w:right w:val="single" w:sz="4" w:space="0" w:color="000000"/>
            </w:tcBorders>
            <w:shd w:val="clear" w:color="auto" w:fill="auto"/>
            <w:vAlign w:val="bottom"/>
            <w:hideMark/>
          </w:tcPr>
          <w:p w14:paraId="16C4A784" w14:textId="6D9543B3" w:rsidR="00D518AF" w:rsidRPr="005269E6" w:rsidRDefault="00AA059C" w:rsidP="00AA059C">
            <w:pPr>
              <w:jc w:val="center"/>
              <w:rPr>
                <w:rFonts w:eastAsia="Times New Roman"/>
                <w:color w:val="000000"/>
                <w:sz w:val="18"/>
                <w:szCs w:val="18"/>
                <w:lang w:val="en-GB" w:eastAsia="en-GB"/>
              </w:rPr>
            </w:pPr>
            <w:r w:rsidRPr="005269E6">
              <w:rPr>
                <w:rFonts w:eastAsia="Times New Roman"/>
                <w:color w:val="000000"/>
                <w:sz w:val="18"/>
                <w:szCs w:val="18"/>
                <w:rtl/>
                <w:lang w:val="en-GB" w:eastAsia="en-GB"/>
              </w:rPr>
              <w:t>تأثير الزيادة / النقصان في قيمة العملة الأجنبية بالفرنك السويسري</w:t>
            </w:r>
          </w:p>
        </w:tc>
      </w:tr>
      <w:tr w:rsidR="00D518AF" w:rsidRPr="005269E6" w14:paraId="26871A12" w14:textId="77777777" w:rsidTr="006154A9">
        <w:trPr>
          <w:trHeight w:val="255"/>
        </w:trPr>
        <w:tc>
          <w:tcPr>
            <w:tcW w:w="3205" w:type="dxa"/>
            <w:tcBorders>
              <w:top w:val="nil"/>
              <w:left w:val="single" w:sz="4" w:space="0" w:color="auto"/>
              <w:bottom w:val="nil"/>
              <w:right w:val="nil"/>
            </w:tcBorders>
            <w:shd w:val="clear" w:color="auto" w:fill="auto"/>
            <w:noWrap/>
            <w:vAlign w:val="bottom"/>
            <w:hideMark/>
          </w:tcPr>
          <w:p w14:paraId="74DD6D97" w14:textId="77777777" w:rsidR="00D518AF" w:rsidRPr="005269E6" w:rsidRDefault="00D518AF" w:rsidP="00D518A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466" w:type="dxa"/>
            <w:tcBorders>
              <w:top w:val="nil"/>
              <w:left w:val="single" w:sz="4" w:space="0" w:color="auto"/>
              <w:bottom w:val="nil"/>
              <w:right w:val="single" w:sz="4" w:space="0" w:color="auto"/>
            </w:tcBorders>
            <w:shd w:val="clear" w:color="auto" w:fill="auto"/>
            <w:noWrap/>
            <w:vAlign w:val="bottom"/>
            <w:hideMark/>
          </w:tcPr>
          <w:p w14:paraId="6DC23051" w14:textId="77777777" w:rsidR="00D518AF" w:rsidRPr="005269E6" w:rsidRDefault="00D518AF" w:rsidP="00D518A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844" w:type="dxa"/>
            <w:tcBorders>
              <w:top w:val="nil"/>
              <w:left w:val="nil"/>
              <w:bottom w:val="nil"/>
              <w:right w:val="nil"/>
            </w:tcBorders>
            <w:shd w:val="clear" w:color="auto" w:fill="auto"/>
            <w:noWrap/>
            <w:vAlign w:val="bottom"/>
            <w:hideMark/>
          </w:tcPr>
          <w:p w14:paraId="4DC47402" w14:textId="77777777" w:rsidR="00D518AF" w:rsidRPr="005269E6" w:rsidRDefault="00D518AF" w:rsidP="00D518A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697" w:type="dxa"/>
            <w:tcBorders>
              <w:top w:val="nil"/>
              <w:left w:val="single" w:sz="4" w:space="0" w:color="auto"/>
              <w:bottom w:val="nil"/>
              <w:right w:val="single" w:sz="4" w:space="0" w:color="auto"/>
            </w:tcBorders>
            <w:shd w:val="clear" w:color="auto" w:fill="auto"/>
            <w:noWrap/>
            <w:vAlign w:val="bottom"/>
            <w:hideMark/>
          </w:tcPr>
          <w:p w14:paraId="04A34FD1" w14:textId="66EF246F" w:rsidR="00D518AF" w:rsidRPr="005269E6" w:rsidRDefault="00AA059C" w:rsidP="00D518AF">
            <w:pPr>
              <w:tabs>
                <w:tab w:val="clear" w:pos="794"/>
              </w:tabs>
              <w:spacing w:before="40" w:after="40" w:line="240" w:lineRule="exact"/>
              <w:jc w:val="center"/>
              <w:rPr>
                <w:rFonts w:eastAsia="Times New Roman"/>
                <w:color w:val="000000"/>
                <w:sz w:val="18"/>
                <w:szCs w:val="18"/>
                <w:rtl/>
                <w:lang w:eastAsia="en-GB" w:bidi="ar-SY"/>
              </w:rPr>
            </w:pPr>
            <w:r w:rsidRPr="005269E6">
              <w:rPr>
                <w:rFonts w:eastAsia="Times New Roman" w:hint="cs"/>
                <w:color w:val="000000"/>
                <w:sz w:val="18"/>
                <w:szCs w:val="18"/>
                <w:rtl/>
                <w:lang w:val="en-GB" w:eastAsia="en-GB"/>
              </w:rPr>
              <w:t xml:space="preserve">بنسبة </w:t>
            </w:r>
            <w:r w:rsidRPr="005269E6">
              <w:rPr>
                <w:rFonts w:eastAsia="Times New Roman"/>
                <w:color w:val="000000"/>
                <w:sz w:val="18"/>
                <w:szCs w:val="18"/>
                <w:rtl/>
                <w:lang w:val="en-GB" w:eastAsia="en-GB"/>
              </w:rPr>
              <w:t>+/-</w:t>
            </w:r>
            <w:r w:rsidR="0004141E" w:rsidRPr="005269E6">
              <w:rPr>
                <w:rFonts w:eastAsia="Times New Roman" w:hint="cs"/>
                <w:color w:val="000000"/>
                <w:sz w:val="18"/>
                <w:szCs w:val="18"/>
                <w:rtl/>
                <w:lang w:eastAsia="en-GB" w:bidi="ar-SY"/>
              </w:rPr>
              <w:t xml:space="preserve"> </w:t>
            </w:r>
            <w:r w:rsidR="0004141E" w:rsidRPr="005269E6">
              <w:rPr>
                <w:rFonts w:eastAsia="Times New Roman"/>
                <w:color w:val="000000"/>
                <w:sz w:val="18"/>
                <w:szCs w:val="18"/>
                <w:lang w:eastAsia="en-GB" w:bidi="ar-SY"/>
              </w:rPr>
              <w:t>5</w:t>
            </w:r>
            <w:r w:rsidR="0004141E" w:rsidRPr="005269E6">
              <w:rPr>
                <w:rFonts w:eastAsia="Times New Roman" w:hint="cs"/>
                <w:color w:val="000000"/>
                <w:sz w:val="18"/>
                <w:szCs w:val="18"/>
                <w:rtl/>
                <w:lang w:eastAsia="en-GB" w:bidi="ar-SY"/>
              </w:rPr>
              <w:t>%</w:t>
            </w:r>
          </w:p>
        </w:tc>
        <w:tc>
          <w:tcPr>
            <w:tcW w:w="1417" w:type="dxa"/>
            <w:tcBorders>
              <w:top w:val="nil"/>
              <w:left w:val="nil"/>
              <w:bottom w:val="nil"/>
              <w:right w:val="single" w:sz="4" w:space="0" w:color="auto"/>
            </w:tcBorders>
            <w:shd w:val="clear" w:color="auto" w:fill="auto"/>
            <w:noWrap/>
            <w:vAlign w:val="bottom"/>
            <w:hideMark/>
          </w:tcPr>
          <w:p w14:paraId="0839A54C" w14:textId="578BE26C" w:rsidR="00D518AF" w:rsidRPr="005269E6" w:rsidRDefault="0004141E" w:rsidP="00D518AF">
            <w:pPr>
              <w:tabs>
                <w:tab w:val="clear" w:pos="794"/>
              </w:tabs>
              <w:spacing w:before="40" w:after="40" w:line="240" w:lineRule="exact"/>
              <w:jc w:val="center"/>
              <w:rPr>
                <w:rFonts w:eastAsia="Times New Roman"/>
                <w:color w:val="000000"/>
                <w:sz w:val="18"/>
                <w:szCs w:val="18"/>
                <w:lang w:val="en-GB" w:eastAsia="en-GB"/>
              </w:rPr>
            </w:pPr>
            <w:r w:rsidRPr="005269E6">
              <w:rPr>
                <w:rFonts w:eastAsia="Times New Roman" w:hint="cs"/>
                <w:color w:val="000000"/>
                <w:sz w:val="18"/>
                <w:szCs w:val="18"/>
                <w:rtl/>
                <w:lang w:val="en-GB" w:eastAsia="en-GB"/>
              </w:rPr>
              <w:t xml:space="preserve">بنسبة </w:t>
            </w:r>
            <w:r w:rsidRPr="005269E6">
              <w:rPr>
                <w:rFonts w:eastAsia="Times New Roman"/>
                <w:color w:val="000000"/>
                <w:sz w:val="18"/>
                <w:szCs w:val="18"/>
                <w:rtl/>
                <w:lang w:val="en-GB" w:eastAsia="en-GB"/>
              </w:rPr>
              <w:t>+/-</w:t>
            </w:r>
            <w:r w:rsidRPr="005269E6">
              <w:rPr>
                <w:rFonts w:eastAsia="Times New Roman" w:hint="cs"/>
                <w:color w:val="000000"/>
                <w:sz w:val="18"/>
                <w:szCs w:val="18"/>
                <w:rtl/>
                <w:lang w:eastAsia="en-GB" w:bidi="ar-SY"/>
              </w:rPr>
              <w:t xml:space="preserve"> </w:t>
            </w:r>
            <w:r w:rsidRPr="005269E6">
              <w:rPr>
                <w:rFonts w:eastAsia="Times New Roman"/>
                <w:color w:val="000000"/>
                <w:sz w:val="18"/>
                <w:szCs w:val="18"/>
                <w:lang w:eastAsia="en-GB" w:bidi="ar-SY"/>
              </w:rPr>
              <w:t>10</w:t>
            </w:r>
            <w:r w:rsidRPr="005269E6">
              <w:rPr>
                <w:rFonts w:eastAsia="Times New Roman" w:hint="cs"/>
                <w:color w:val="000000"/>
                <w:sz w:val="18"/>
                <w:szCs w:val="18"/>
                <w:rtl/>
                <w:lang w:eastAsia="en-GB" w:bidi="ar-SY"/>
              </w:rPr>
              <w:t>%</w:t>
            </w:r>
          </w:p>
        </w:tc>
      </w:tr>
      <w:tr w:rsidR="00D518AF" w:rsidRPr="005269E6" w14:paraId="4476D777" w14:textId="77777777" w:rsidTr="006154A9">
        <w:trPr>
          <w:trHeight w:val="255"/>
        </w:trPr>
        <w:tc>
          <w:tcPr>
            <w:tcW w:w="3205" w:type="dxa"/>
            <w:tcBorders>
              <w:top w:val="nil"/>
              <w:left w:val="single" w:sz="4" w:space="0" w:color="auto"/>
              <w:bottom w:val="nil"/>
              <w:right w:val="nil"/>
            </w:tcBorders>
            <w:shd w:val="clear" w:color="auto" w:fill="auto"/>
            <w:noWrap/>
            <w:vAlign w:val="bottom"/>
            <w:hideMark/>
          </w:tcPr>
          <w:p w14:paraId="27FFE6A1" w14:textId="56035953" w:rsidR="00D518AF" w:rsidRPr="005269E6" w:rsidRDefault="00AA059C" w:rsidP="00D518A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يورو</w:t>
            </w:r>
          </w:p>
        </w:tc>
        <w:tc>
          <w:tcPr>
            <w:tcW w:w="1466" w:type="dxa"/>
            <w:tcBorders>
              <w:top w:val="nil"/>
              <w:left w:val="single" w:sz="4" w:space="0" w:color="auto"/>
              <w:bottom w:val="nil"/>
              <w:right w:val="single" w:sz="4" w:space="0" w:color="auto"/>
            </w:tcBorders>
            <w:shd w:val="clear" w:color="auto" w:fill="auto"/>
            <w:noWrap/>
            <w:vAlign w:val="bottom"/>
            <w:hideMark/>
          </w:tcPr>
          <w:p w14:paraId="1F3F69E9" w14:textId="6D9DB9D7" w:rsidR="00D518AF" w:rsidRPr="005269E6" w:rsidRDefault="00D518AF"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13 617</w:t>
            </w:r>
          </w:p>
        </w:tc>
        <w:tc>
          <w:tcPr>
            <w:tcW w:w="1844" w:type="dxa"/>
            <w:tcBorders>
              <w:top w:val="nil"/>
              <w:left w:val="nil"/>
              <w:bottom w:val="nil"/>
              <w:right w:val="nil"/>
            </w:tcBorders>
            <w:shd w:val="clear" w:color="auto" w:fill="auto"/>
            <w:noWrap/>
            <w:vAlign w:val="bottom"/>
            <w:hideMark/>
          </w:tcPr>
          <w:p w14:paraId="5ECEC4B1" w14:textId="3A4EE8DA" w:rsidR="00D518AF" w:rsidRPr="005269E6" w:rsidRDefault="00D518AF"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13 414</w:t>
            </w:r>
          </w:p>
        </w:tc>
        <w:tc>
          <w:tcPr>
            <w:tcW w:w="1697" w:type="dxa"/>
            <w:tcBorders>
              <w:top w:val="nil"/>
              <w:left w:val="single" w:sz="4" w:space="0" w:color="auto"/>
              <w:bottom w:val="nil"/>
              <w:right w:val="single" w:sz="4" w:space="0" w:color="auto"/>
            </w:tcBorders>
            <w:shd w:val="clear" w:color="auto" w:fill="auto"/>
            <w:noWrap/>
            <w:vAlign w:val="bottom"/>
            <w:hideMark/>
          </w:tcPr>
          <w:p w14:paraId="3D5CAB38" w14:textId="2746B6E3" w:rsidR="00D518AF" w:rsidRPr="005269E6" w:rsidRDefault="00D518AF"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671 </w:t>
            </w:r>
          </w:p>
        </w:tc>
        <w:tc>
          <w:tcPr>
            <w:tcW w:w="1417" w:type="dxa"/>
            <w:tcBorders>
              <w:top w:val="nil"/>
              <w:left w:val="nil"/>
              <w:bottom w:val="nil"/>
              <w:right w:val="single" w:sz="4" w:space="0" w:color="auto"/>
            </w:tcBorders>
            <w:shd w:val="clear" w:color="auto" w:fill="auto"/>
            <w:noWrap/>
            <w:vAlign w:val="bottom"/>
            <w:hideMark/>
          </w:tcPr>
          <w:p w14:paraId="272152EB" w14:textId="5BDF9778" w:rsidR="00D518AF" w:rsidRPr="005269E6" w:rsidRDefault="00D518AF"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1 341</w:t>
            </w:r>
          </w:p>
        </w:tc>
      </w:tr>
      <w:tr w:rsidR="00D518AF" w:rsidRPr="005269E6" w14:paraId="4E8AC8CC" w14:textId="77777777" w:rsidTr="006154A9">
        <w:trPr>
          <w:trHeight w:val="255"/>
        </w:trPr>
        <w:tc>
          <w:tcPr>
            <w:tcW w:w="3205" w:type="dxa"/>
            <w:tcBorders>
              <w:top w:val="nil"/>
              <w:left w:val="single" w:sz="4" w:space="0" w:color="auto"/>
              <w:bottom w:val="nil"/>
              <w:right w:val="nil"/>
            </w:tcBorders>
            <w:shd w:val="clear" w:color="auto" w:fill="auto"/>
            <w:noWrap/>
            <w:vAlign w:val="bottom"/>
            <w:hideMark/>
          </w:tcPr>
          <w:p w14:paraId="1E34BEC2" w14:textId="1D4C7CA0" w:rsidR="00D518AF" w:rsidRPr="005269E6" w:rsidRDefault="00AA059C" w:rsidP="00D518A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دولار أمريكي</w:t>
            </w:r>
          </w:p>
        </w:tc>
        <w:tc>
          <w:tcPr>
            <w:tcW w:w="1466" w:type="dxa"/>
            <w:tcBorders>
              <w:top w:val="nil"/>
              <w:left w:val="single" w:sz="4" w:space="0" w:color="auto"/>
              <w:bottom w:val="nil"/>
              <w:right w:val="single" w:sz="4" w:space="0" w:color="auto"/>
            </w:tcBorders>
            <w:shd w:val="clear" w:color="auto" w:fill="auto"/>
            <w:noWrap/>
            <w:vAlign w:val="bottom"/>
            <w:hideMark/>
          </w:tcPr>
          <w:p w14:paraId="6886D9BD" w14:textId="682B048B" w:rsidR="00D518AF" w:rsidRPr="005269E6" w:rsidRDefault="00D518AF"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56 270</w:t>
            </w:r>
          </w:p>
        </w:tc>
        <w:tc>
          <w:tcPr>
            <w:tcW w:w="1844" w:type="dxa"/>
            <w:tcBorders>
              <w:top w:val="nil"/>
              <w:left w:val="nil"/>
              <w:bottom w:val="nil"/>
              <w:right w:val="nil"/>
            </w:tcBorders>
            <w:shd w:val="clear" w:color="auto" w:fill="auto"/>
            <w:noWrap/>
            <w:vAlign w:val="bottom"/>
            <w:hideMark/>
          </w:tcPr>
          <w:p w14:paraId="185C0985" w14:textId="0003567A" w:rsidR="00D518AF" w:rsidRPr="005269E6" w:rsidRDefault="00D518AF"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51 994</w:t>
            </w:r>
          </w:p>
        </w:tc>
        <w:tc>
          <w:tcPr>
            <w:tcW w:w="1697" w:type="dxa"/>
            <w:tcBorders>
              <w:top w:val="nil"/>
              <w:left w:val="single" w:sz="4" w:space="0" w:color="auto"/>
              <w:bottom w:val="nil"/>
              <w:right w:val="single" w:sz="4" w:space="0" w:color="auto"/>
            </w:tcBorders>
            <w:shd w:val="clear" w:color="auto" w:fill="auto"/>
            <w:noWrap/>
            <w:vAlign w:val="bottom"/>
            <w:hideMark/>
          </w:tcPr>
          <w:p w14:paraId="1DE5EF56" w14:textId="2FFC4D9B" w:rsidR="00D518AF" w:rsidRPr="005269E6" w:rsidRDefault="00D518AF"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2 600</w:t>
            </w:r>
          </w:p>
        </w:tc>
        <w:tc>
          <w:tcPr>
            <w:tcW w:w="1417" w:type="dxa"/>
            <w:tcBorders>
              <w:top w:val="nil"/>
              <w:left w:val="nil"/>
              <w:bottom w:val="nil"/>
              <w:right w:val="single" w:sz="4" w:space="0" w:color="auto"/>
            </w:tcBorders>
            <w:shd w:val="clear" w:color="auto" w:fill="auto"/>
            <w:noWrap/>
            <w:vAlign w:val="bottom"/>
            <w:hideMark/>
          </w:tcPr>
          <w:p w14:paraId="191B7CAD" w14:textId="350AA414" w:rsidR="00D518AF" w:rsidRPr="005269E6" w:rsidRDefault="00D518AF"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5 199</w:t>
            </w:r>
          </w:p>
        </w:tc>
      </w:tr>
      <w:tr w:rsidR="00D518AF" w:rsidRPr="005269E6" w14:paraId="614D870B" w14:textId="77777777" w:rsidTr="006154A9">
        <w:trPr>
          <w:trHeight w:val="255"/>
        </w:trPr>
        <w:tc>
          <w:tcPr>
            <w:tcW w:w="3205" w:type="dxa"/>
            <w:tcBorders>
              <w:top w:val="nil"/>
              <w:left w:val="single" w:sz="4" w:space="0" w:color="auto"/>
              <w:bottom w:val="nil"/>
              <w:right w:val="nil"/>
            </w:tcBorders>
            <w:shd w:val="clear" w:color="auto" w:fill="auto"/>
            <w:noWrap/>
            <w:vAlign w:val="bottom"/>
            <w:hideMark/>
          </w:tcPr>
          <w:p w14:paraId="3D460CAE" w14:textId="0C33A305" w:rsidR="00D518AF" w:rsidRPr="005269E6" w:rsidRDefault="00AA059C" w:rsidP="00D518A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عملات أخرى</w:t>
            </w:r>
          </w:p>
        </w:tc>
        <w:tc>
          <w:tcPr>
            <w:tcW w:w="1466" w:type="dxa"/>
            <w:tcBorders>
              <w:top w:val="nil"/>
              <w:left w:val="single" w:sz="4" w:space="0" w:color="auto"/>
              <w:bottom w:val="nil"/>
              <w:right w:val="single" w:sz="4" w:space="0" w:color="auto"/>
            </w:tcBorders>
            <w:shd w:val="clear" w:color="auto" w:fill="auto"/>
            <w:noWrap/>
            <w:vAlign w:val="bottom"/>
            <w:hideMark/>
          </w:tcPr>
          <w:p w14:paraId="43614F7E" w14:textId="77777777" w:rsidR="00D518AF" w:rsidRPr="005269E6" w:rsidRDefault="00D518AF"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1844" w:type="dxa"/>
            <w:tcBorders>
              <w:top w:val="nil"/>
              <w:left w:val="nil"/>
              <w:bottom w:val="nil"/>
              <w:right w:val="nil"/>
            </w:tcBorders>
            <w:shd w:val="clear" w:color="auto" w:fill="auto"/>
            <w:noWrap/>
            <w:vAlign w:val="bottom"/>
            <w:hideMark/>
          </w:tcPr>
          <w:p w14:paraId="07337E47" w14:textId="77777777" w:rsidR="00D518AF" w:rsidRPr="005269E6" w:rsidRDefault="00D518AF"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137</w:t>
            </w:r>
          </w:p>
        </w:tc>
        <w:tc>
          <w:tcPr>
            <w:tcW w:w="1697" w:type="dxa"/>
            <w:tcBorders>
              <w:top w:val="nil"/>
              <w:left w:val="single" w:sz="4" w:space="0" w:color="auto"/>
              <w:bottom w:val="nil"/>
              <w:right w:val="single" w:sz="4" w:space="0" w:color="auto"/>
            </w:tcBorders>
            <w:shd w:val="clear" w:color="auto" w:fill="auto"/>
            <w:noWrap/>
            <w:vAlign w:val="bottom"/>
            <w:hideMark/>
          </w:tcPr>
          <w:p w14:paraId="5D8013AD" w14:textId="77777777" w:rsidR="00D518AF" w:rsidRPr="005269E6" w:rsidRDefault="00D518AF"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w:t>
            </w:r>
          </w:p>
        </w:tc>
        <w:tc>
          <w:tcPr>
            <w:tcW w:w="1417" w:type="dxa"/>
            <w:tcBorders>
              <w:top w:val="nil"/>
              <w:left w:val="nil"/>
              <w:bottom w:val="nil"/>
              <w:right w:val="single" w:sz="4" w:space="0" w:color="auto"/>
            </w:tcBorders>
            <w:shd w:val="clear" w:color="auto" w:fill="auto"/>
            <w:noWrap/>
            <w:vAlign w:val="bottom"/>
            <w:hideMark/>
          </w:tcPr>
          <w:p w14:paraId="157FC24B" w14:textId="77777777" w:rsidR="00D518AF" w:rsidRPr="005269E6" w:rsidRDefault="00D518AF"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14</w:t>
            </w:r>
          </w:p>
        </w:tc>
      </w:tr>
      <w:tr w:rsidR="00D518AF" w:rsidRPr="005269E6" w14:paraId="1F6C38CB" w14:textId="77777777" w:rsidTr="006154A9">
        <w:trPr>
          <w:trHeight w:val="53"/>
        </w:trPr>
        <w:tc>
          <w:tcPr>
            <w:tcW w:w="3205" w:type="dxa"/>
            <w:tcBorders>
              <w:top w:val="nil"/>
              <w:left w:val="single" w:sz="4" w:space="0" w:color="auto"/>
              <w:bottom w:val="nil"/>
              <w:right w:val="nil"/>
            </w:tcBorders>
            <w:shd w:val="clear" w:color="auto" w:fill="auto"/>
            <w:noWrap/>
            <w:vAlign w:val="bottom"/>
            <w:hideMark/>
          </w:tcPr>
          <w:p w14:paraId="76429BFE" w14:textId="77777777" w:rsidR="00D518AF" w:rsidRPr="005269E6" w:rsidRDefault="00D518AF" w:rsidP="004C39BB">
            <w:pPr>
              <w:tabs>
                <w:tab w:val="clear" w:pos="794"/>
              </w:tabs>
              <w:spacing w:before="40" w:after="40" w:line="20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466" w:type="dxa"/>
            <w:tcBorders>
              <w:top w:val="nil"/>
              <w:left w:val="single" w:sz="4" w:space="0" w:color="auto"/>
              <w:bottom w:val="nil"/>
              <w:right w:val="single" w:sz="4" w:space="0" w:color="auto"/>
            </w:tcBorders>
            <w:shd w:val="clear" w:color="auto" w:fill="auto"/>
            <w:noWrap/>
            <w:vAlign w:val="bottom"/>
            <w:hideMark/>
          </w:tcPr>
          <w:p w14:paraId="746747CC" w14:textId="77777777" w:rsidR="00D518AF" w:rsidRPr="005269E6" w:rsidRDefault="00D518AF" w:rsidP="00CF6D39">
            <w:pPr>
              <w:tabs>
                <w:tab w:val="clear" w:pos="794"/>
              </w:tabs>
              <w:spacing w:before="40" w:after="40" w:line="20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844" w:type="dxa"/>
            <w:tcBorders>
              <w:top w:val="nil"/>
              <w:left w:val="nil"/>
              <w:bottom w:val="nil"/>
              <w:right w:val="nil"/>
            </w:tcBorders>
            <w:shd w:val="clear" w:color="auto" w:fill="auto"/>
            <w:noWrap/>
            <w:vAlign w:val="bottom"/>
            <w:hideMark/>
          </w:tcPr>
          <w:p w14:paraId="393A45EF" w14:textId="77777777" w:rsidR="00D518AF" w:rsidRPr="005269E6" w:rsidRDefault="00D518AF" w:rsidP="00CF6D39">
            <w:pPr>
              <w:tabs>
                <w:tab w:val="clear" w:pos="794"/>
              </w:tabs>
              <w:spacing w:before="40" w:after="40" w:line="20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697" w:type="dxa"/>
            <w:tcBorders>
              <w:top w:val="nil"/>
              <w:left w:val="single" w:sz="4" w:space="0" w:color="auto"/>
              <w:bottom w:val="nil"/>
              <w:right w:val="single" w:sz="4" w:space="0" w:color="auto"/>
            </w:tcBorders>
            <w:shd w:val="clear" w:color="auto" w:fill="auto"/>
            <w:noWrap/>
            <w:vAlign w:val="bottom"/>
            <w:hideMark/>
          </w:tcPr>
          <w:p w14:paraId="0B99C02A" w14:textId="77777777" w:rsidR="00D518AF" w:rsidRPr="005269E6" w:rsidRDefault="00D518AF" w:rsidP="00CF6D39">
            <w:pPr>
              <w:tabs>
                <w:tab w:val="clear" w:pos="794"/>
              </w:tabs>
              <w:spacing w:before="40" w:after="40" w:line="20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417" w:type="dxa"/>
            <w:tcBorders>
              <w:top w:val="nil"/>
              <w:left w:val="nil"/>
              <w:bottom w:val="nil"/>
              <w:right w:val="single" w:sz="4" w:space="0" w:color="auto"/>
            </w:tcBorders>
            <w:shd w:val="clear" w:color="auto" w:fill="auto"/>
            <w:noWrap/>
            <w:vAlign w:val="bottom"/>
            <w:hideMark/>
          </w:tcPr>
          <w:p w14:paraId="246DB2AC" w14:textId="77777777" w:rsidR="00D518AF" w:rsidRPr="005269E6" w:rsidRDefault="00D518AF" w:rsidP="00CF6D39">
            <w:pPr>
              <w:tabs>
                <w:tab w:val="clear" w:pos="794"/>
              </w:tabs>
              <w:spacing w:before="40" w:after="40" w:line="20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r>
      <w:tr w:rsidR="00D518AF" w:rsidRPr="005269E6" w14:paraId="79F11634" w14:textId="77777777" w:rsidTr="006154A9">
        <w:trPr>
          <w:trHeight w:val="285"/>
        </w:trPr>
        <w:tc>
          <w:tcPr>
            <w:tcW w:w="3205" w:type="dxa"/>
            <w:tcBorders>
              <w:top w:val="single" w:sz="4" w:space="0" w:color="auto"/>
              <w:left w:val="single" w:sz="4" w:space="0" w:color="auto"/>
              <w:bottom w:val="single" w:sz="4" w:space="0" w:color="auto"/>
              <w:right w:val="nil"/>
            </w:tcBorders>
            <w:shd w:val="clear" w:color="000000" w:fill="538DD5"/>
            <w:vAlign w:val="center"/>
            <w:hideMark/>
          </w:tcPr>
          <w:p w14:paraId="15CB8217" w14:textId="569EBE77" w:rsidR="00D518AF" w:rsidRPr="005269E6" w:rsidRDefault="00AA059C" w:rsidP="00D518A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المجموع الكلي</w:t>
            </w:r>
          </w:p>
        </w:tc>
        <w:tc>
          <w:tcPr>
            <w:tcW w:w="1466" w:type="dxa"/>
            <w:tcBorders>
              <w:top w:val="single" w:sz="4" w:space="0" w:color="auto"/>
              <w:left w:val="nil"/>
              <w:bottom w:val="single" w:sz="4" w:space="0" w:color="auto"/>
              <w:right w:val="nil"/>
            </w:tcBorders>
            <w:shd w:val="clear" w:color="000000" w:fill="538DD5"/>
            <w:noWrap/>
            <w:vAlign w:val="center"/>
            <w:hideMark/>
          </w:tcPr>
          <w:p w14:paraId="3B4A64A1" w14:textId="77777777" w:rsidR="00D518AF" w:rsidRPr="005269E6" w:rsidRDefault="00D518AF"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w:t>
            </w:r>
          </w:p>
        </w:tc>
        <w:tc>
          <w:tcPr>
            <w:tcW w:w="1844" w:type="dxa"/>
            <w:tcBorders>
              <w:top w:val="single" w:sz="4" w:space="0" w:color="auto"/>
              <w:left w:val="nil"/>
              <w:bottom w:val="single" w:sz="4" w:space="0" w:color="auto"/>
              <w:right w:val="nil"/>
            </w:tcBorders>
            <w:shd w:val="clear" w:color="000000" w:fill="538DD5"/>
            <w:noWrap/>
            <w:vAlign w:val="center"/>
            <w:hideMark/>
          </w:tcPr>
          <w:p w14:paraId="300337C6" w14:textId="27017046" w:rsidR="00D518AF" w:rsidRPr="005269E6" w:rsidRDefault="00D518AF"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65 545</w:t>
            </w:r>
          </w:p>
        </w:tc>
        <w:tc>
          <w:tcPr>
            <w:tcW w:w="1697" w:type="dxa"/>
            <w:tcBorders>
              <w:top w:val="single" w:sz="4" w:space="0" w:color="auto"/>
              <w:left w:val="nil"/>
              <w:bottom w:val="single" w:sz="4" w:space="0" w:color="auto"/>
              <w:right w:val="nil"/>
            </w:tcBorders>
            <w:shd w:val="clear" w:color="000000" w:fill="538DD5"/>
            <w:noWrap/>
            <w:vAlign w:val="center"/>
            <w:hideMark/>
          </w:tcPr>
          <w:p w14:paraId="067F851E" w14:textId="285B3E9A" w:rsidR="00D518AF" w:rsidRPr="005269E6" w:rsidRDefault="00D518AF"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3 277</w:t>
            </w:r>
          </w:p>
        </w:tc>
        <w:tc>
          <w:tcPr>
            <w:tcW w:w="1417" w:type="dxa"/>
            <w:tcBorders>
              <w:top w:val="single" w:sz="4" w:space="0" w:color="auto"/>
              <w:left w:val="nil"/>
              <w:bottom w:val="single" w:sz="4" w:space="0" w:color="auto"/>
              <w:right w:val="single" w:sz="4" w:space="0" w:color="auto"/>
            </w:tcBorders>
            <w:shd w:val="clear" w:color="000000" w:fill="538DD5"/>
            <w:noWrap/>
            <w:vAlign w:val="center"/>
            <w:hideMark/>
          </w:tcPr>
          <w:p w14:paraId="65228FBC" w14:textId="1AE6B6A9" w:rsidR="00D518AF" w:rsidRPr="005269E6" w:rsidRDefault="00D518AF"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6 554</w:t>
            </w:r>
          </w:p>
        </w:tc>
      </w:tr>
    </w:tbl>
    <w:p w14:paraId="562A5785" w14:textId="77777777" w:rsidR="00C543C6" w:rsidRPr="005269E6" w:rsidRDefault="00C543C6" w:rsidP="00C543C6">
      <w:pPr>
        <w:keepNext/>
        <w:keepLines/>
        <w:spacing w:before="160"/>
        <w:rPr>
          <w:i/>
          <w:iCs/>
          <w:rtl/>
          <w:lang w:bidi="ar-SY"/>
        </w:rPr>
      </w:pPr>
      <w:r w:rsidRPr="005269E6">
        <w:rPr>
          <w:rFonts w:hint="cs"/>
          <w:i/>
          <w:iCs/>
          <w:rtl/>
          <w:lang w:bidi="ar-SY"/>
        </w:rPr>
        <w:t>و )</w:t>
      </w:r>
      <w:r w:rsidRPr="005269E6">
        <w:rPr>
          <w:rFonts w:hint="cs"/>
          <w:i/>
          <w:iCs/>
          <w:rtl/>
          <w:lang w:bidi="ar-SY"/>
        </w:rPr>
        <w:tab/>
        <w:t>مخاطر السوق</w:t>
      </w:r>
    </w:p>
    <w:p w14:paraId="316C61E2" w14:textId="77777777" w:rsidR="00C543C6" w:rsidRPr="005269E6" w:rsidRDefault="00C543C6" w:rsidP="00C543C6">
      <w:pPr>
        <w:pStyle w:val="enumlev1"/>
        <w:rPr>
          <w:rtl/>
        </w:rPr>
      </w:pPr>
      <w:r w:rsidRPr="005269E6">
        <w:rPr>
          <w:rFonts w:hint="cs"/>
          <w:rtl/>
        </w:rPr>
        <w:tab/>
      </w:r>
      <w:bookmarkStart w:id="339" w:name="_Toc520365535"/>
      <w:r w:rsidRPr="005269E6">
        <w:rPr>
          <w:rFonts w:hint="cs"/>
          <w:rtl/>
        </w:rPr>
        <w:t>مخاطر السوق هي مخاطر التغييرات في أسعار السوق، مثل أسعار صرف العملات الأجنبية وأسعار الفائدة التي تؤثر على دخل الاتحاد أو قيمة أدواته المالية. والهدف من إدارة مخاطر السوق هو إدارة التعرض لمخاطر السوق والتحكم فيه ضمن معلمات مقبولة مع استمثال الإيرادات بالنسبة</w:t>
      </w:r>
      <w:r w:rsidRPr="005269E6">
        <w:rPr>
          <w:rFonts w:hint="eastAsia"/>
          <w:rtl/>
        </w:rPr>
        <w:t> </w:t>
      </w:r>
      <w:r w:rsidRPr="005269E6">
        <w:rPr>
          <w:rFonts w:hint="cs"/>
          <w:rtl/>
        </w:rPr>
        <w:t>للمخاطر.</w:t>
      </w:r>
      <w:bookmarkEnd w:id="339"/>
    </w:p>
    <w:p w14:paraId="06332404" w14:textId="0D886F10" w:rsidR="00B24029" w:rsidRPr="005269E6" w:rsidRDefault="000834CC" w:rsidP="00B24029">
      <w:pPr>
        <w:rPr>
          <w:rtl/>
          <w:lang w:bidi="ar-SY"/>
        </w:rPr>
      </w:pPr>
      <w:r w:rsidRPr="005269E6">
        <w:rPr>
          <w:rtl/>
        </w:rPr>
        <w:tab/>
      </w:r>
      <w:r w:rsidR="00B24029" w:rsidRPr="005269E6">
        <w:rPr>
          <w:rtl/>
          <w:lang w:bidi="ar-SY"/>
        </w:rPr>
        <w:t>وحددت جميع الصكوك المالية التي يحتفظ بها الاتحاد أسعارا</w:t>
      </w:r>
      <w:r w:rsidR="0032155C" w:rsidRPr="005269E6">
        <w:rPr>
          <w:rFonts w:hint="cs"/>
          <w:rtl/>
          <w:lang w:bidi="ar-SY"/>
        </w:rPr>
        <w:t>ً</w:t>
      </w:r>
      <w:r w:rsidR="00B24029" w:rsidRPr="005269E6">
        <w:rPr>
          <w:rtl/>
          <w:lang w:bidi="ar-SY"/>
        </w:rPr>
        <w:t xml:space="preserve"> في الأسواق النشطة تصنف على أنها من المستوى 1.</w:t>
      </w:r>
    </w:p>
    <w:p w14:paraId="25F3E967" w14:textId="488A9C8E" w:rsidR="00C543C6" w:rsidRPr="005269E6" w:rsidRDefault="00C543C6" w:rsidP="0004141E">
      <w:pPr>
        <w:spacing w:after="120"/>
        <w:rPr>
          <w:rtl/>
          <w:lang w:bidi="ar-SY"/>
        </w:rPr>
      </w:pPr>
      <w:r w:rsidRPr="005269E6">
        <w:rPr>
          <w:rFonts w:hint="cs"/>
          <w:rtl/>
          <w:lang w:bidi="ar-SY"/>
        </w:rPr>
        <w:t>وفيما يلي ملخص بيانات بشأن استحقاق ال</w:t>
      </w:r>
      <w:r w:rsidR="00C2721A" w:rsidRPr="005269E6">
        <w:rPr>
          <w:rFonts w:hint="cs"/>
          <w:rtl/>
          <w:lang w:bidi="ar-SY"/>
        </w:rPr>
        <w:t>صكوك المالية</w:t>
      </w:r>
      <w:r w:rsidRPr="005269E6">
        <w:rPr>
          <w:rFonts w:hint="cs"/>
          <w:rtl/>
          <w:lang w:bidi="ar-SY"/>
        </w:rPr>
        <w:t xml:space="preserve"> حتى </w:t>
      </w:r>
      <w:r w:rsidRPr="005269E6">
        <w:rPr>
          <w:lang w:bidi="ar-SY"/>
        </w:rPr>
        <w:t>31</w:t>
      </w:r>
      <w:r w:rsidRPr="005269E6">
        <w:rPr>
          <w:rFonts w:hint="cs"/>
          <w:rtl/>
          <w:lang w:bidi="ar-SY"/>
        </w:rPr>
        <w:t xml:space="preserve"> ديسمبر</w:t>
      </w:r>
      <w:r w:rsidRPr="005269E6">
        <w:rPr>
          <w:rFonts w:hint="eastAsia"/>
          <w:rtl/>
        </w:rPr>
        <w:t> </w:t>
      </w:r>
      <w:r w:rsidRPr="005269E6">
        <w:rPr>
          <w:lang w:bidi="ar-SY"/>
        </w:rPr>
        <w:t>2020</w:t>
      </w:r>
      <w:r w:rsidRPr="005269E6">
        <w:rPr>
          <w:rFonts w:hint="cs"/>
          <w:rtl/>
          <w:lang w:bidi="ar-SY"/>
        </w:rPr>
        <w:t>:</w:t>
      </w:r>
    </w:p>
    <w:tbl>
      <w:tblPr>
        <w:bidiVisual/>
        <w:tblW w:w="4714" w:type="pct"/>
        <w:jc w:val="center"/>
        <w:tblLook w:val="04A0" w:firstRow="1" w:lastRow="0" w:firstColumn="1" w:lastColumn="0" w:noHBand="0" w:noVBand="1"/>
      </w:tblPr>
      <w:tblGrid>
        <w:gridCol w:w="2748"/>
        <w:gridCol w:w="2364"/>
        <w:gridCol w:w="1399"/>
        <w:gridCol w:w="1447"/>
        <w:gridCol w:w="1130"/>
      </w:tblGrid>
      <w:tr w:rsidR="005F565D" w:rsidRPr="005269E6" w14:paraId="59A6A877" w14:textId="77777777" w:rsidTr="0032155C">
        <w:trPr>
          <w:trHeight w:val="529"/>
          <w:jc w:val="center"/>
        </w:trPr>
        <w:tc>
          <w:tcPr>
            <w:tcW w:w="2748" w:type="dxa"/>
            <w:tcBorders>
              <w:top w:val="nil"/>
              <w:left w:val="nil"/>
              <w:bottom w:val="nil"/>
              <w:right w:val="nil"/>
            </w:tcBorders>
            <w:shd w:val="clear" w:color="000000" w:fill="538DD5"/>
            <w:vAlign w:val="center"/>
            <w:hideMark/>
          </w:tcPr>
          <w:p w14:paraId="7F8CA96E" w14:textId="1F7F75DE" w:rsidR="005F565D" w:rsidRPr="005269E6" w:rsidRDefault="00B24029" w:rsidP="00883F15">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بآلاف الفرنكات السويسرية</w:t>
            </w:r>
          </w:p>
        </w:tc>
        <w:tc>
          <w:tcPr>
            <w:tcW w:w="2364" w:type="dxa"/>
            <w:tcBorders>
              <w:top w:val="nil"/>
              <w:left w:val="nil"/>
              <w:bottom w:val="nil"/>
              <w:right w:val="nil"/>
            </w:tcBorders>
            <w:shd w:val="clear" w:color="000000" w:fill="538DD5"/>
            <w:vAlign w:val="center"/>
            <w:hideMark/>
          </w:tcPr>
          <w:p w14:paraId="524CCE21" w14:textId="461962C6" w:rsidR="005F565D" w:rsidRPr="005269E6" w:rsidRDefault="00B24029" w:rsidP="00883F15">
            <w:pPr>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المتوسط المرجَّح لسعر الفائدة</w:t>
            </w:r>
          </w:p>
        </w:tc>
        <w:tc>
          <w:tcPr>
            <w:tcW w:w="1399" w:type="dxa"/>
            <w:tcBorders>
              <w:top w:val="nil"/>
              <w:left w:val="nil"/>
              <w:bottom w:val="nil"/>
              <w:right w:val="nil"/>
            </w:tcBorders>
            <w:shd w:val="clear" w:color="000000" w:fill="538DD5"/>
            <w:vAlign w:val="center"/>
            <w:hideMark/>
          </w:tcPr>
          <w:p w14:paraId="678CBADA" w14:textId="2D8593A1" w:rsidR="005F565D" w:rsidRPr="005269E6" w:rsidRDefault="00B24029" w:rsidP="00883F15">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سنة أو أقل</w:t>
            </w:r>
          </w:p>
        </w:tc>
        <w:tc>
          <w:tcPr>
            <w:tcW w:w="1447" w:type="dxa"/>
            <w:tcBorders>
              <w:top w:val="nil"/>
              <w:left w:val="nil"/>
              <w:bottom w:val="nil"/>
              <w:right w:val="nil"/>
            </w:tcBorders>
            <w:shd w:val="clear" w:color="000000" w:fill="538DD5"/>
            <w:vAlign w:val="center"/>
            <w:hideMark/>
          </w:tcPr>
          <w:p w14:paraId="1CE9287F" w14:textId="19B6D457" w:rsidR="005F565D" w:rsidRPr="005269E6" w:rsidRDefault="00B24029" w:rsidP="00883F15">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أكثر من سنة</w:t>
            </w:r>
          </w:p>
        </w:tc>
        <w:tc>
          <w:tcPr>
            <w:tcW w:w="1130" w:type="dxa"/>
            <w:tcBorders>
              <w:top w:val="nil"/>
              <w:left w:val="nil"/>
              <w:bottom w:val="nil"/>
              <w:right w:val="nil"/>
            </w:tcBorders>
            <w:shd w:val="clear" w:color="000000" w:fill="538DD5"/>
            <w:vAlign w:val="center"/>
            <w:hideMark/>
          </w:tcPr>
          <w:p w14:paraId="37C347CF" w14:textId="61B02CAA" w:rsidR="005F565D" w:rsidRPr="005269E6" w:rsidRDefault="00B24029" w:rsidP="00883F15">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المجموع الكلي</w:t>
            </w:r>
          </w:p>
        </w:tc>
      </w:tr>
      <w:tr w:rsidR="005F565D" w:rsidRPr="005269E6" w14:paraId="0DBFFFFB" w14:textId="77777777" w:rsidTr="0032155C">
        <w:trPr>
          <w:trHeight w:val="255"/>
          <w:jc w:val="center"/>
        </w:trPr>
        <w:tc>
          <w:tcPr>
            <w:tcW w:w="2748" w:type="dxa"/>
            <w:tcBorders>
              <w:top w:val="nil"/>
              <w:left w:val="nil"/>
              <w:bottom w:val="nil"/>
              <w:right w:val="nil"/>
            </w:tcBorders>
            <w:shd w:val="clear" w:color="auto" w:fill="auto"/>
            <w:vAlign w:val="bottom"/>
            <w:hideMark/>
          </w:tcPr>
          <w:p w14:paraId="6999B605" w14:textId="77777777" w:rsidR="005F565D" w:rsidRPr="005269E6" w:rsidRDefault="005F565D" w:rsidP="005F565D">
            <w:pPr>
              <w:tabs>
                <w:tab w:val="clear" w:pos="794"/>
              </w:tabs>
              <w:spacing w:before="0" w:line="200" w:lineRule="exact"/>
              <w:jc w:val="left"/>
              <w:rPr>
                <w:rFonts w:eastAsia="Times New Roman"/>
                <w:b/>
                <w:bCs/>
                <w:color w:val="000000"/>
                <w:sz w:val="18"/>
                <w:szCs w:val="18"/>
                <w:lang w:val="en-GB" w:eastAsia="en-GB"/>
              </w:rPr>
            </w:pPr>
          </w:p>
        </w:tc>
        <w:tc>
          <w:tcPr>
            <w:tcW w:w="2364" w:type="dxa"/>
            <w:tcBorders>
              <w:top w:val="nil"/>
              <w:left w:val="nil"/>
              <w:bottom w:val="nil"/>
              <w:right w:val="nil"/>
            </w:tcBorders>
            <w:shd w:val="clear" w:color="auto" w:fill="auto"/>
            <w:vAlign w:val="bottom"/>
            <w:hideMark/>
          </w:tcPr>
          <w:p w14:paraId="48E8C105" w14:textId="77777777" w:rsidR="005F565D" w:rsidRPr="005269E6" w:rsidRDefault="005F565D" w:rsidP="004C39BB">
            <w:pPr>
              <w:tabs>
                <w:tab w:val="clear" w:pos="794"/>
              </w:tabs>
              <w:spacing w:before="0" w:line="200" w:lineRule="exact"/>
              <w:jc w:val="right"/>
              <w:rPr>
                <w:rFonts w:eastAsia="Times New Roman"/>
                <w:sz w:val="18"/>
                <w:szCs w:val="18"/>
                <w:lang w:val="en-GB" w:eastAsia="en-GB"/>
              </w:rPr>
            </w:pPr>
          </w:p>
        </w:tc>
        <w:tc>
          <w:tcPr>
            <w:tcW w:w="1399" w:type="dxa"/>
            <w:tcBorders>
              <w:top w:val="nil"/>
              <w:left w:val="nil"/>
              <w:bottom w:val="nil"/>
              <w:right w:val="nil"/>
            </w:tcBorders>
            <w:shd w:val="clear" w:color="auto" w:fill="auto"/>
            <w:vAlign w:val="bottom"/>
            <w:hideMark/>
          </w:tcPr>
          <w:p w14:paraId="2441C98A" w14:textId="77777777" w:rsidR="005F565D" w:rsidRPr="005269E6" w:rsidRDefault="005F565D" w:rsidP="004C39BB">
            <w:pPr>
              <w:tabs>
                <w:tab w:val="clear" w:pos="794"/>
              </w:tabs>
              <w:spacing w:before="0" w:line="200" w:lineRule="exact"/>
              <w:jc w:val="right"/>
              <w:rPr>
                <w:rFonts w:eastAsia="Times New Roman"/>
                <w:sz w:val="18"/>
                <w:szCs w:val="18"/>
                <w:lang w:val="en-GB" w:eastAsia="en-GB"/>
              </w:rPr>
            </w:pPr>
          </w:p>
        </w:tc>
        <w:tc>
          <w:tcPr>
            <w:tcW w:w="1447" w:type="dxa"/>
            <w:tcBorders>
              <w:top w:val="nil"/>
              <w:left w:val="nil"/>
              <w:bottom w:val="nil"/>
              <w:right w:val="nil"/>
            </w:tcBorders>
            <w:shd w:val="clear" w:color="auto" w:fill="auto"/>
            <w:vAlign w:val="bottom"/>
            <w:hideMark/>
          </w:tcPr>
          <w:p w14:paraId="0ADD7C1E" w14:textId="77777777" w:rsidR="005F565D" w:rsidRPr="005269E6" w:rsidRDefault="005F565D" w:rsidP="004C39BB">
            <w:pPr>
              <w:tabs>
                <w:tab w:val="clear" w:pos="794"/>
              </w:tabs>
              <w:spacing w:before="0" w:line="200" w:lineRule="exact"/>
              <w:jc w:val="right"/>
              <w:rPr>
                <w:rFonts w:eastAsia="Times New Roman"/>
                <w:sz w:val="18"/>
                <w:szCs w:val="18"/>
                <w:lang w:val="en-GB" w:eastAsia="en-GB"/>
              </w:rPr>
            </w:pPr>
          </w:p>
        </w:tc>
        <w:tc>
          <w:tcPr>
            <w:tcW w:w="1130" w:type="dxa"/>
            <w:tcBorders>
              <w:top w:val="nil"/>
              <w:left w:val="nil"/>
              <w:bottom w:val="nil"/>
              <w:right w:val="nil"/>
            </w:tcBorders>
            <w:shd w:val="clear" w:color="auto" w:fill="auto"/>
            <w:vAlign w:val="bottom"/>
            <w:hideMark/>
          </w:tcPr>
          <w:p w14:paraId="6DEF3B3A" w14:textId="77777777" w:rsidR="005F565D" w:rsidRPr="005269E6" w:rsidRDefault="005F565D" w:rsidP="004C39BB">
            <w:pPr>
              <w:tabs>
                <w:tab w:val="clear" w:pos="794"/>
              </w:tabs>
              <w:spacing w:before="0" w:line="200" w:lineRule="exact"/>
              <w:jc w:val="right"/>
              <w:rPr>
                <w:rFonts w:eastAsia="Times New Roman"/>
                <w:sz w:val="18"/>
                <w:szCs w:val="18"/>
                <w:lang w:val="en-GB" w:eastAsia="en-GB"/>
              </w:rPr>
            </w:pPr>
          </w:p>
        </w:tc>
      </w:tr>
      <w:tr w:rsidR="005F565D" w:rsidRPr="005269E6" w14:paraId="723D8C82" w14:textId="77777777" w:rsidTr="0032155C">
        <w:trPr>
          <w:trHeight w:val="255"/>
          <w:jc w:val="center"/>
        </w:trPr>
        <w:tc>
          <w:tcPr>
            <w:tcW w:w="2748" w:type="dxa"/>
            <w:tcBorders>
              <w:top w:val="nil"/>
              <w:left w:val="nil"/>
              <w:bottom w:val="nil"/>
              <w:right w:val="nil"/>
            </w:tcBorders>
            <w:shd w:val="clear" w:color="000000" w:fill="auto"/>
            <w:noWrap/>
            <w:vAlign w:val="bottom"/>
            <w:hideMark/>
          </w:tcPr>
          <w:p w14:paraId="19CC06D8" w14:textId="0EC7771C" w:rsidR="005F565D" w:rsidRPr="005269E6" w:rsidRDefault="00B24029" w:rsidP="005F565D">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الأصول المالية</w:t>
            </w:r>
          </w:p>
        </w:tc>
        <w:tc>
          <w:tcPr>
            <w:tcW w:w="2364" w:type="dxa"/>
            <w:tcBorders>
              <w:top w:val="nil"/>
              <w:left w:val="nil"/>
              <w:bottom w:val="nil"/>
              <w:right w:val="nil"/>
            </w:tcBorders>
            <w:shd w:val="clear" w:color="000000" w:fill="auto"/>
            <w:noWrap/>
            <w:vAlign w:val="bottom"/>
            <w:hideMark/>
          </w:tcPr>
          <w:p w14:paraId="432F4AF6" w14:textId="77777777" w:rsidR="005F565D" w:rsidRPr="005269E6" w:rsidRDefault="005F565D" w:rsidP="00CF6D39">
            <w:pPr>
              <w:tabs>
                <w:tab w:val="clear" w:pos="794"/>
              </w:tabs>
              <w:spacing w:before="40" w:after="40" w:line="240" w:lineRule="exact"/>
              <w:jc w:val="left"/>
              <w:rPr>
                <w:rFonts w:eastAsia="Times New Roman"/>
                <w:b/>
                <w:bCs/>
                <w:color w:val="000000"/>
                <w:sz w:val="18"/>
                <w:szCs w:val="18"/>
                <w:lang w:val="en-GB" w:eastAsia="en-GB"/>
              </w:rPr>
            </w:pPr>
          </w:p>
        </w:tc>
        <w:tc>
          <w:tcPr>
            <w:tcW w:w="1399" w:type="dxa"/>
            <w:tcBorders>
              <w:top w:val="nil"/>
              <w:left w:val="nil"/>
              <w:bottom w:val="nil"/>
              <w:right w:val="nil"/>
            </w:tcBorders>
            <w:shd w:val="clear" w:color="000000" w:fill="auto"/>
            <w:noWrap/>
            <w:vAlign w:val="bottom"/>
            <w:hideMark/>
          </w:tcPr>
          <w:p w14:paraId="085B8594" w14:textId="77777777" w:rsidR="005F565D" w:rsidRPr="005269E6" w:rsidRDefault="005F565D" w:rsidP="00CF6D39">
            <w:pPr>
              <w:tabs>
                <w:tab w:val="clear" w:pos="794"/>
              </w:tabs>
              <w:spacing w:before="40" w:after="40" w:line="240" w:lineRule="exact"/>
              <w:jc w:val="left"/>
              <w:rPr>
                <w:rFonts w:eastAsia="Times New Roman"/>
                <w:sz w:val="18"/>
                <w:szCs w:val="18"/>
                <w:lang w:val="en-GB" w:eastAsia="en-GB"/>
              </w:rPr>
            </w:pPr>
          </w:p>
        </w:tc>
        <w:tc>
          <w:tcPr>
            <w:tcW w:w="1447" w:type="dxa"/>
            <w:tcBorders>
              <w:top w:val="nil"/>
              <w:left w:val="nil"/>
              <w:bottom w:val="nil"/>
              <w:right w:val="nil"/>
            </w:tcBorders>
            <w:shd w:val="clear" w:color="000000" w:fill="auto"/>
            <w:noWrap/>
            <w:vAlign w:val="bottom"/>
            <w:hideMark/>
          </w:tcPr>
          <w:p w14:paraId="3A2039CF" w14:textId="77777777" w:rsidR="005F565D" w:rsidRPr="005269E6" w:rsidRDefault="005F565D" w:rsidP="00CF6D39">
            <w:pPr>
              <w:tabs>
                <w:tab w:val="clear" w:pos="794"/>
              </w:tabs>
              <w:spacing w:before="40" w:after="40" w:line="240" w:lineRule="exact"/>
              <w:jc w:val="left"/>
              <w:rPr>
                <w:rFonts w:eastAsia="Times New Roman"/>
                <w:sz w:val="18"/>
                <w:szCs w:val="18"/>
                <w:lang w:val="en-GB" w:eastAsia="en-GB"/>
              </w:rPr>
            </w:pPr>
          </w:p>
        </w:tc>
        <w:tc>
          <w:tcPr>
            <w:tcW w:w="1130" w:type="dxa"/>
            <w:tcBorders>
              <w:top w:val="nil"/>
              <w:left w:val="nil"/>
              <w:bottom w:val="nil"/>
              <w:right w:val="nil"/>
            </w:tcBorders>
            <w:shd w:val="clear" w:color="000000" w:fill="auto"/>
            <w:noWrap/>
            <w:vAlign w:val="bottom"/>
            <w:hideMark/>
          </w:tcPr>
          <w:p w14:paraId="01569923" w14:textId="77777777" w:rsidR="005F565D" w:rsidRPr="005269E6" w:rsidRDefault="005F565D" w:rsidP="00CF6D39">
            <w:pPr>
              <w:tabs>
                <w:tab w:val="clear" w:pos="794"/>
              </w:tabs>
              <w:spacing w:before="40" w:after="40" w:line="240" w:lineRule="exact"/>
              <w:jc w:val="left"/>
              <w:rPr>
                <w:rFonts w:eastAsia="Times New Roman"/>
                <w:sz w:val="18"/>
                <w:szCs w:val="18"/>
                <w:lang w:val="en-GB" w:eastAsia="en-GB"/>
              </w:rPr>
            </w:pPr>
          </w:p>
        </w:tc>
      </w:tr>
      <w:tr w:rsidR="005F565D" w:rsidRPr="005269E6" w14:paraId="4045BD31" w14:textId="77777777" w:rsidTr="0032155C">
        <w:trPr>
          <w:trHeight w:val="255"/>
          <w:jc w:val="center"/>
        </w:trPr>
        <w:tc>
          <w:tcPr>
            <w:tcW w:w="2748" w:type="dxa"/>
            <w:tcBorders>
              <w:top w:val="nil"/>
              <w:left w:val="nil"/>
              <w:bottom w:val="nil"/>
              <w:right w:val="nil"/>
            </w:tcBorders>
            <w:shd w:val="clear" w:color="000000" w:fill="auto"/>
            <w:noWrap/>
            <w:vAlign w:val="bottom"/>
            <w:hideMark/>
          </w:tcPr>
          <w:p w14:paraId="3E444B4B" w14:textId="7F58006F" w:rsidR="005F565D" w:rsidRPr="005269E6" w:rsidRDefault="00B24029" w:rsidP="005F565D">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الاستثمارات</w:t>
            </w:r>
          </w:p>
        </w:tc>
        <w:tc>
          <w:tcPr>
            <w:tcW w:w="2364" w:type="dxa"/>
            <w:tcBorders>
              <w:top w:val="nil"/>
              <w:left w:val="nil"/>
              <w:bottom w:val="nil"/>
              <w:right w:val="nil"/>
            </w:tcBorders>
            <w:shd w:val="clear" w:color="000000" w:fill="auto"/>
            <w:noWrap/>
            <w:vAlign w:val="bottom"/>
            <w:hideMark/>
          </w:tcPr>
          <w:p w14:paraId="5D094932" w14:textId="77777777"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p>
        </w:tc>
        <w:tc>
          <w:tcPr>
            <w:tcW w:w="1399" w:type="dxa"/>
            <w:tcBorders>
              <w:top w:val="nil"/>
              <w:left w:val="nil"/>
              <w:bottom w:val="nil"/>
              <w:right w:val="nil"/>
            </w:tcBorders>
            <w:shd w:val="clear" w:color="000000" w:fill="auto"/>
            <w:noWrap/>
            <w:vAlign w:val="bottom"/>
            <w:hideMark/>
          </w:tcPr>
          <w:p w14:paraId="4849F1E8" w14:textId="1B07FF9F"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13 860</w:t>
            </w:r>
          </w:p>
        </w:tc>
        <w:tc>
          <w:tcPr>
            <w:tcW w:w="1447" w:type="dxa"/>
            <w:tcBorders>
              <w:top w:val="nil"/>
              <w:left w:val="nil"/>
              <w:bottom w:val="nil"/>
              <w:right w:val="nil"/>
            </w:tcBorders>
            <w:shd w:val="clear" w:color="000000" w:fill="auto"/>
            <w:noWrap/>
            <w:vAlign w:val="bottom"/>
            <w:hideMark/>
          </w:tcPr>
          <w:p w14:paraId="57D23CF4" w14:textId="43F63985"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30" w:type="dxa"/>
            <w:tcBorders>
              <w:top w:val="nil"/>
              <w:left w:val="nil"/>
              <w:bottom w:val="nil"/>
              <w:right w:val="nil"/>
            </w:tcBorders>
            <w:shd w:val="clear" w:color="000000" w:fill="auto"/>
            <w:noWrap/>
            <w:vAlign w:val="bottom"/>
            <w:hideMark/>
          </w:tcPr>
          <w:p w14:paraId="37793728" w14:textId="44D27920"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13 860</w:t>
            </w:r>
          </w:p>
        </w:tc>
      </w:tr>
      <w:tr w:rsidR="005F565D" w:rsidRPr="005269E6" w14:paraId="62C18EAC" w14:textId="77777777" w:rsidTr="0032155C">
        <w:trPr>
          <w:trHeight w:val="255"/>
          <w:jc w:val="center"/>
        </w:trPr>
        <w:tc>
          <w:tcPr>
            <w:tcW w:w="2748" w:type="dxa"/>
            <w:tcBorders>
              <w:top w:val="nil"/>
              <w:left w:val="nil"/>
              <w:bottom w:val="nil"/>
              <w:right w:val="nil"/>
            </w:tcBorders>
            <w:shd w:val="clear" w:color="000000" w:fill="auto"/>
            <w:noWrap/>
            <w:vAlign w:val="bottom"/>
            <w:hideMark/>
          </w:tcPr>
          <w:p w14:paraId="4E77DB77" w14:textId="7FB84A42" w:rsidR="005F565D" w:rsidRPr="005269E6" w:rsidRDefault="00B24029" w:rsidP="005F565D">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الأموال النقدية وما يعادلها</w:t>
            </w:r>
          </w:p>
        </w:tc>
        <w:tc>
          <w:tcPr>
            <w:tcW w:w="2364" w:type="dxa"/>
            <w:tcBorders>
              <w:top w:val="nil"/>
              <w:left w:val="nil"/>
              <w:bottom w:val="nil"/>
              <w:right w:val="nil"/>
            </w:tcBorders>
            <w:shd w:val="clear" w:color="000000" w:fill="auto"/>
            <w:noWrap/>
            <w:vAlign w:val="bottom"/>
            <w:hideMark/>
          </w:tcPr>
          <w:p w14:paraId="672B35D3" w14:textId="77777777"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p>
        </w:tc>
        <w:tc>
          <w:tcPr>
            <w:tcW w:w="1399" w:type="dxa"/>
            <w:tcBorders>
              <w:top w:val="nil"/>
              <w:left w:val="nil"/>
              <w:bottom w:val="nil"/>
              <w:right w:val="nil"/>
            </w:tcBorders>
            <w:shd w:val="clear" w:color="000000" w:fill="auto"/>
            <w:noWrap/>
            <w:vAlign w:val="bottom"/>
            <w:hideMark/>
          </w:tcPr>
          <w:p w14:paraId="7FBCD86F" w14:textId="42F794C4"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193 868</w:t>
            </w:r>
          </w:p>
        </w:tc>
        <w:tc>
          <w:tcPr>
            <w:tcW w:w="1447" w:type="dxa"/>
            <w:tcBorders>
              <w:top w:val="nil"/>
              <w:left w:val="nil"/>
              <w:bottom w:val="nil"/>
              <w:right w:val="nil"/>
            </w:tcBorders>
            <w:shd w:val="clear" w:color="000000" w:fill="auto"/>
            <w:noWrap/>
            <w:vAlign w:val="bottom"/>
            <w:hideMark/>
          </w:tcPr>
          <w:p w14:paraId="0AC8130A" w14:textId="58096BD9"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30" w:type="dxa"/>
            <w:tcBorders>
              <w:top w:val="nil"/>
              <w:left w:val="nil"/>
              <w:bottom w:val="nil"/>
              <w:right w:val="nil"/>
            </w:tcBorders>
            <w:shd w:val="clear" w:color="000000" w:fill="auto"/>
            <w:noWrap/>
            <w:vAlign w:val="bottom"/>
            <w:hideMark/>
          </w:tcPr>
          <w:p w14:paraId="388F0BB9" w14:textId="03ED3E6B"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193 868</w:t>
            </w:r>
          </w:p>
        </w:tc>
      </w:tr>
      <w:tr w:rsidR="005F565D" w:rsidRPr="005269E6" w14:paraId="64FA4477" w14:textId="77777777" w:rsidTr="0032155C">
        <w:trPr>
          <w:trHeight w:val="255"/>
          <w:jc w:val="center"/>
        </w:trPr>
        <w:tc>
          <w:tcPr>
            <w:tcW w:w="2748" w:type="dxa"/>
            <w:tcBorders>
              <w:top w:val="nil"/>
              <w:left w:val="nil"/>
              <w:bottom w:val="nil"/>
              <w:right w:val="nil"/>
            </w:tcBorders>
            <w:shd w:val="clear" w:color="000000" w:fill="auto"/>
            <w:noWrap/>
            <w:vAlign w:val="bottom"/>
            <w:hideMark/>
          </w:tcPr>
          <w:p w14:paraId="368B4DDA" w14:textId="73F6C893" w:rsidR="005F565D" w:rsidRPr="005269E6" w:rsidRDefault="00B24029" w:rsidP="005F565D">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w:t>
            </w:r>
          </w:p>
        </w:tc>
        <w:tc>
          <w:tcPr>
            <w:tcW w:w="2364" w:type="dxa"/>
            <w:tcBorders>
              <w:top w:val="nil"/>
              <w:left w:val="nil"/>
              <w:bottom w:val="nil"/>
              <w:right w:val="nil"/>
            </w:tcBorders>
            <w:shd w:val="clear" w:color="000000" w:fill="auto"/>
            <w:noWrap/>
            <w:vAlign w:val="bottom"/>
            <w:hideMark/>
          </w:tcPr>
          <w:p w14:paraId="19367738" w14:textId="77777777"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p>
        </w:tc>
        <w:tc>
          <w:tcPr>
            <w:tcW w:w="1399" w:type="dxa"/>
            <w:tcBorders>
              <w:top w:val="nil"/>
              <w:left w:val="nil"/>
              <w:bottom w:val="nil"/>
              <w:right w:val="nil"/>
            </w:tcBorders>
            <w:shd w:val="clear" w:color="000000" w:fill="auto"/>
            <w:noWrap/>
            <w:vAlign w:val="bottom"/>
            <w:hideMark/>
          </w:tcPr>
          <w:p w14:paraId="59885CB5" w14:textId="34BDB62E"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17 794</w:t>
            </w:r>
          </w:p>
        </w:tc>
        <w:tc>
          <w:tcPr>
            <w:tcW w:w="1447" w:type="dxa"/>
            <w:tcBorders>
              <w:top w:val="nil"/>
              <w:left w:val="nil"/>
              <w:bottom w:val="nil"/>
              <w:right w:val="nil"/>
            </w:tcBorders>
            <w:shd w:val="clear" w:color="000000" w:fill="auto"/>
            <w:noWrap/>
            <w:vAlign w:val="bottom"/>
            <w:hideMark/>
          </w:tcPr>
          <w:p w14:paraId="5F5982E3" w14:textId="7C7B3713"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30" w:type="dxa"/>
            <w:tcBorders>
              <w:top w:val="nil"/>
              <w:left w:val="nil"/>
              <w:bottom w:val="nil"/>
              <w:right w:val="nil"/>
            </w:tcBorders>
            <w:shd w:val="clear" w:color="000000" w:fill="auto"/>
            <w:noWrap/>
            <w:vAlign w:val="bottom"/>
            <w:hideMark/>
          </w:tcPr>
          <w:p w14:paraId="07FF3754" w14:textId="205E2FB6"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17 794</w:t>
            </w:r>
          </w:p>
        </w:tc>
      </w:tr>
      <w:tr w:rsidR="005F565D" w:rsidRPr="005269E6" w14:paraId="494F9B5F" w14:textId="77777777" w:rsidTr="0032155C">
        <w:trPr>
          <w:trHeight w:val="255"/>
          <w:jc w:val="center"/>
        </w:trPr>
        <w:tc>
          <w:tcPr>
            <w:tcW w:w="2748" w:type="dxa"/>
            <w:tcBorders>
              <w:top w:val="nil"/>
              <w:left w:val="nil"/>
              <w:bottom w:val="nil"/>
              <w:right w:val="nil"/>
            </w:tcBorders>
            <w:shd w:val="clear" w:color="000000" w:fill="auto"/>
            <w:noWrap/>
            <w:vAlign w:val="bottom"/>
            <w:hideMark/>
          </w:tcPr>
          <w:p w14:paraId="702176D9" w14:textId="266954C6" w:rsidR="005F565D" w:rsidRPr="005269E6" w:rsidRDefault="00B24029" w:rsidP="005F565D">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مجموع</w:t>
            </w:r>
            <w:r w:rsidRPr="005269E6">
              <w:rPr>
                <w:sz w:val="18"/>
                <w:szCs w:val="18"/>
                <w:rtl/>
              </w:rPr>
              <w:t xml:space="preserve"> </w:t>
            </w:r>
            <w:r w:rsidRPr="005269E6">
              <w:rPr>
                <w:rFonts w:eastAsia="Times New Roman"/>
                <w:b/>
                <w:bCs/>
                <w:sz w:val="18"/>
                <w:szCs w:val="18"/>
                <w:rtl/>
                <w:lang w:val="en-GB" w:eastAsia="en-GB"/>
              </w:rPr>
              <w:t>الأصول المالية</w:t>
            </w:r>
          </w:p>
        </w:tc>
        <w:tc>
          <w:tcPr>
            <w:tcW w:w="2364" w:type="dxa"/>
            <w:tcBorders>
              <w:top w:val="nil"/>
              <w:left w:val="nil"/>
              <w:bottom w:val="nil"/>
              <w:right w:val="nil"/>
            </w:tcBorders>
            <w:shd w:val="clear" w:color="000000" w:fill="auto"/>
            <w:noWrap/>
            <w:vAlign w:val="bottom"/>
            <w:hideMark/>
          </w:tcPr>
          <w:p w14:paraId="4ED95911" w14:textId="77777777" w:rsidR="005F565D" w:rsidRPr="005269E6" w:rsidRDefault="005F565D" w:rsidP="00CF6D39">
            <w:pPr>
              <w:tabs>
                <w:tab w:val="clear" w:pos="794"/>
              </w:tabs>
              <w:spacing w:before="40" w:after="40" w:line="240" w:lineRule="exact"/>
              <w:jc w:val="left"/>
              <w:rPr>
                <w:rFonts w:eastAsia="Times New Roman"/>
                <w:b/>
                <w:bCs/>
                <w:color w:val="000000"/>
                <w:sz w:val="18"/>
                <w:szCs w:val="18"/>
                <w:lang w:val="en-GB" w:eastAsia="en-GB"/>
              </w:rPr>
            </w:pPr>
          </w:p>
        </w:tc>
        <w:tc>
          <w:tcPr>
            <w:tcW w:w="1399" w:type="dxa"/>
            <w:tcBorders>
              <w:top w:val="nil"/>
              <w:left w:val="nil"/>
              <w:bottom w:val="nil"/>
              <w:right w:val="nil"/>
            </w:tcBorders>
            <w:shd w:val="clear" w:color="000000" w:fill="auto"/>
            <w:noWrap/>
            <w:vAlign w:val="bottom"/>
            <w:hideMark/>
          </w:tcPr>
          <w:p w14:paraId="033AD34C" w14:textId="6AFFF7FE" w:rsidR="005F565D" w:rsidRPr="005269E6" w:rsidRDefault="005F565D"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225 522</w:t>
            </w:r>
          </w:p>
        </w:tc>
        <w:tc>
          <w:tcPr>
            <w:tcW w:w="1447" w:type="dxa"/>
            <w:tcBorders>
              <w:top w:val="nil"/>
              <w:left w:val="nil"/>
              <w:bottom w:val="nil"/>
              <w:right w:val="nil"/>
            </w:tcBorders>
            <w:shd w:val="clear" w:color="000000" w:fill="auto"/>
            <w:noWrap/>
            <w:vAlign w:val="bottom"/>
            <w:hideMark/>
          </w:tcPr>
          <w:p w14:paraId="02C8B03A" w14:textId="1DFCCC8A" w:rsidR="005F565D" w:rsidRPr="005269E6" w:rsidRDefault="005F565D"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w:t>
            </w:r>
          </w:p>
        </w:tc>
        <w:tc>
          <w:tcPr>
            <w:tcW w:w="1130" w:type="dxa"/>
            <w:tcBorders>
              <w:top w:val="nil"/>
              <w:left w:val="nil"/>
              <w:bottom w:val="nil"/>
              <w:right w:val="nil"/>
            </w:tcBorders>
            <w:shd w:val="clear" w:color="000000" w:fill="auto"/>
            <w:noWrap/>
            <w:vAlign w:val="bottom"/>
            <w:hideMark/>
          </w:tcPr>
          <w:p w14:paraId="681D5B97" w14:textId="53E1B5C7" w:rsidR="005F565D" w:rsidRPr="005269E6" w:rsidRDefault="005F565D"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225 522</w:t>
            </w:r>
          </w:p>
        </w:tc>
      </w:tr>
      <w:tr w:rsidR="005F565D" w:rsidRPr="005269E6" w14:paraId="045B9A76" w14:textId="77777777" w:rsidTr="0032155C">
        <w:trPr>
          <w:trHeight w:val="255"/>
          <w:jc w:val="center"/>
        </w:trPr>
        <w:tc>
          <w:tcPr>
            <w:tcW w:w="2748" w:type="dxa"/>
            <w:tcBorders>
              <w:top w:val="nil"/>
              <w:left w:val="nil"/>
              <w:bottom w:val="nil"/>
              <w:right w:val="nil"/>
            </w:tcBorders>
            <w:shd w:val="clear" w:color="000000" w:fill="auto"/>
            <w:noWrap/>
            <w:vAlign w:val="bottom"/>
            <w:hideMark/>
          </w:tcPr>
          <w:p w14:paraId="0E0876D0" w14:textId="0C2FB2AF" w:rsidR="005F565D" w:rsidRPr="005269E6" w:rsidRDefault="00B24029" w:rsidP="005F565D">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الخصوم المالية</w:t>
            </w:r>
          </w:p>
        </w:tc>
        <w:tc>
          <w:tcPr>
            <w:tcW w:w="2364" w:type="dxa"/>
            <w:tcBorders>
              <w:top w:val="nil"/>
              <w:left w:val="nil"/>
              <w:bottom w:val="nil"/>
              <w:right w:val="nil"/>
            </w:tcBorders>
            <w:shd w:val="clear" w:color="000000" w:fill="auto"/>
            <w:noWrap/>
            <w:vAlign w:val="bottom"/>
            <w:hideMark/>
          </w:tcPr>
          <w:p w14:paraId="75C2C13B" w14:textId="77777777" w:rsidR="005F565D" w:rsidRPr="005269E6" w:rsidRDefault="005F565D" w:rsidP="00CF6D39">
            <w:pPr>
              <w:tabs>
                <w:tab w:val="clear" w:pos="794"/>
              </w:tabs>
              <w:spacing w:before="40" w:after="40" w:line="240" w:lineRule="exact"/>
              <w:jc w:val="left"/>
              <w:rPr>
                <w:rFonts w:eastAsia="Times New Roman"/>
                <w:b/>
                <w:bCs/>
                <w:color w:val="000000"/>
                <w:sz w:val="18"/>
                <w:szCs w:val="18"/>
                <w:lang w:val="en-GB" w:eastAsia="en-GB"/>
              </w:rPr>
            </w:pPr>
          </w:p>
        </w:tc>
        <w:tc>
          <w:tcPr>
            <w:tcW w:w="1399" w:type="dxa"/>
            <w:tcBorders>
              <w:top w:val="nil"/>
              <w:left w:val="nil"/>
              <w:bottom w:val="nil"/>
              <w:right w:val="nil"/>
            </w:tcBorders>
            <w:shd w:val="clear" w:color="000000" w:fill="auto"/>
            <w:noWrap/>
            <w:vAlign w:val="bottom"/>
            <w:hideMark/>
          </w:tcPr>
          <w:p w14:paraId="4B7BF310" w14:textId="77777777" w:rsidR="005F565D" w:rsidRPr="005269E6" w:rsidRDefault="005F565D" w:rsidP="00CF6D39">
            <w:pPr>
              <w:tabs>
                <w:tab w:val="clear" w:pos="794"/>
              </w:tabs>
              <w:spacing w:before="40" w:after="40" w:line="240" w:lineRule="exact"/>
              <w:jc w:val="left"/>
              <w:rPr>
                <w:rFonts w:eastAsia="Times New Roman"/>
                <w:sz w:val="18"/>
                <w:szCs w:val="18"/>
                <w:lang w:val="en-GB" w:eastAsia="en-GB"/>
              </w:rPr>
            </w:pPr>
          </w:p>
        </w:tc>
        <w:tc>
          <w:tcPr>
            <w:tcW w:w="1447" w:type="dxa"/>
            <w:tcBorders>
              <w:top w:val="nil"/>
              <w:left w:val="nil"/>
              <w:bottom w:val="nil"/>
              <w:right w:val="nil"/>
            </w:tcBorders>
            <w:shd w:val="clear" w:color="000000" w:fill="auto"/>
            <w:noWrap/>
            <w:vAlign w:val="bottom"/>
            <w:hideMark/>
          </w:tcPr>
          <w:p w14:paraId="6D2885C0" w14:textId="77777777" w:rsidR="005F565D" w:rsidRPr="005269E6" w:rsidRDefault="005F565D" w:rsidP="00CF6D39">
            <w:pPr>
              <w:tabs>
                <w:tab w:val="clear" w:pos="794"/>
              </w:tabs>
              <w:spacing w:before="40" w:after="40" w:line="240" w:lineRule="exact"/>
              <w:jc w:val="left"/>
              <w:rPr>
                <w:rFonts w:eastAsia="Times New Roman"/>
                <w:sz w:val="18"/>
                <w:szCs w:val="18"/>
                <w:lang w:val="en-GB" w:eastAsia="en-GB"/>
              </w:rPr>
            </w:pPr>
          </w:p>
        </w:tc>
        <w:tc>
          <w:tcPr>
            <w:tcW w:w="1130" w:type="dxa"/>
            <w:tcBorders>
              <w:top w:val="nil"/>
              <w:left w:val="nil"/>
              <w:bottom w:val="nil"/>
              <w:right w:val="nil"/>
            </w:tcBorders>
            <w:shd w:val="clear" w:color="000000" w:fill="auto"/>
            <w:noWrap/>
            <w:vAlign w:val="bottom"/>
            <w:hideMark/>
          </w:tcPr>
          <w:p w14:paraId="46A007E4" w14:textId="77777777" w:rsidR="005F565D" w:rsidRPr="005269E6" w:rsidRDefault="005F565D" w:rsidP="00CF6D39">
            <w:pPr>
              <w:tabs>
                <w:tab w:val="clear" w:pos="794"/>
              </w:tabs>
              <w:spacing w:before="40" w:after="40" w:line="240" w:lineRule="exact"/>
              <w:jc w:val="left"/>
              <w:rPr>
                <w:rFonts w:eastAsia="Times New Roman"/>
                <w:sz w:val="18"/>
                <w:szCs w:val="18"/>
                <w:lang w:val="en-GB" w:eastAsia="en-GB"/>
              </w:rPr>
            </w:pPr>
          </w:p>
        </w:tc>
      </w:tr>
      <w:tr w:rsidR="005F565D" w:rsidRPr="005269E6" w14:paraId="21021630" w14:textId="77777777" w:rsidTr="0032155C">
        <w:trPr>
          <w:trHeight w:val="255"/>
          <w:jc w:val="center"/>
        </w:trPr>
        <w:tc>
          <w:tcPr>
            <w:tcW w:w="2748" w:type="dxa"/>
            <w:tcBorders>
              <w:top w:val="nil"/>
              <w:left w:val="nil"/>
              <w:bottom w:val="nil"/>
              <w:right w:val="nil"/>
            </w:tcBorders>
            <w:shd w:val="clear" w:color="000000" w:fill="auto"/>
            <w:noWrap/>
            <w:vAlign w:val="bottom"/>
            <w:hideMark/>
          </w:tcPr>
          <w:p w14:paraId="4941522B" w14:textId="21CC5B89" w:rsidR="005F565D" w:rsidRPr="005269E6" w:rsidRDefault="00B24029" w:rsidP="005F565D">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الدائنة</w:t>
            </w:r>
          </w:p>
        </w:tc>
        <w:tc>
          <w:tcPr>
            <w:tcW w:w="2364" w:type="dxa"/>
            <w:tcBorders>
              <w:top w:val="nil"/>
              <w:left w:val="nil"/>
              <w:bottom w:val="nil"/>
              <w:right w:val="nil"/>
            </w:tcBorders>
            <w:shd w:val="clear" w:color="000000" w:fill="auto"/>
            <w:noWrap/>
            <w:vAlign w:val="bottom"/>
            <w:hideMark/>
          </w:tcPr>
          <w:p w14:paraId="69FA2964" w14:textId="77777777"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p>
        </w:tc>
        <w:tc>
          <w:tcPr>
            <w:tcW w:w="1399" w:type="dxa"/>
            <w:tcBorders>
              <w:top w:val="nil"/>
              <w:left w:val="nil"/>
              <w:bottom w:val="nil"/>
              <w:right w:val="nil"/>
            </w:tcBorders>
            <w:shd w:val="clear" w:color="000000" w:fill="auto"/>
            <w:noWrap/>
            <w:vAlign w:val="bottom"/>
            <w:hideMark/>
          </w:tcPr>
          <w:p w14:paraId="3D12BF24" w14:textId="590F41BB"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10 541</w:t>
            </w:r>
          </w:p>
        </w:tc>
        <w:tc>
          <w:tcPr>
            <w:tcW w:w="1447" w:type="dxa"/>
            <w:tcBorders>
              <w:top w:val="nil"/>
              <w:left w:val="nil"/>
              <w:bottom w:val="nil"/>
              <w:right w:val="nil"/>
            </w:tcBorders>
            <w:shd w:val="clear" w:color="000000" w:fill="auto"/>
            <w:noWrap/>
            <w:vAlign w:val="bottom"/>
            <w:hideMark/>
          </w:tcPr>
          <w:p w14:paraId="133B8B71" w14:textId="77777777"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p>
        </w:tc>
        <w:tc>
          <w:tcPr>
            <w:tcW w:w="1130" w:type="dxa"/>
            <w:tcBorders>
              <w:top w:val="nil"/>
              <w:left w:val="nil"/>
              <w:bottom w:val="nil"/>
              <w:right w:val="nil"/>
            </w:tcBorders>
            <w:shd w:val="clear" w:color="000000" w:fill="auto"/>
            <w:noWrap/>
            <w:vAlign w:val="bottom"/>
            <w:hideMark/>
          </w:tcPr>
          <w:p w14:paraId="6E612CD7" w14:textId="38960F4B"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10 541</w:t>
            </w:r>
          </w:p>
        </w:tc>
      </w:tr>
      <w:tr w:rsidR="005F565D" w:rsidRPr="005269E6" w14:paraId="5265D8C6" w14:textId="77777777" w:rsidTr="0032155C">
        <w:trPr>
          <w:trHeight w:val="255"/>
          <w:jc w:val="center"/>
        </w:trPr>
        <w:tc>
          <w:tcPr>
            <w:tcW w:w="2748" w:type="dxa"/>
            <w:tcBorders>
              <w:top w:val="nil"/>
              <w:left w:val="nil"/>
              <w:bottom w:val="nil"/>
              <w:right w:val="nil"/>
            </w:tcBorders>
            <w:shd w:val="clear" w:color="000000" w:fill="auto"/>
            <w:noWrap/>
            <w:vAlign w:val="bottom"/>
            <w:hideMark/>
          </w:tcPr>
          <w:p w14:paraId="681A006F" w14:textId="1D6659AB" w:rsidR="005F565D" w:rsidRPr="005269E6" w:rsidRDefault="00B24029" w:rsidP="005F565D">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المبلغ المتبقي سداده على القروض</w:t>
            </w:r>
          </w:p>
        </w:tc>
        <w:tc>
          <w:tcPr>
            <w:tcW w:w="2364" w:type="dxa"/>
            <w:tcBorders>
              <w:top w:val="nil"/>
              <w:left w:val="nil"/>
              <w:bottom w:val="nil"/>
              <w:right w:val="nil"/>
            </w:tcBorders>
            <w:shd w:val="clear" w:color="000000" w:fill="auto"/>
            <w:noWrap/>
            <w:vAlign w:val="bottom"/>
            <w:hideMark/>
          </w:tcPr>
          <w:p w14:paraId="488F89BA" w14:textId="27685F4C" w:rsidR="005F565D" w:rsidRPr="005269E6" w:rsidRDefault="0032155C" w:rsidP="00CF6D39">
            <w:pPr>
              <w:tabs>
                <w:tab w:val="clear" w:pos="794"/>
              </w:tabs>
              <w:spacing w:before="40" w:after="40" w:line="240" w:lineRule="exact"/>
              <w:jc w:val="left"/>
              <w:rPr>
                <w:rFonts w:eastAsia="Times New Roman"/>
                <w:color w:val="000000"/>
                <w:sz w:val="18"/>
                <w:szCs w:val="18"/>
                <w:lang w:eastAsia="en-GB"/>
              </w:rPr>
            </w:pPr>
            <w:r w:rsidRPr="005269E6">
              <w:rPr>
                <w:rFonts w:eastAsia="Times New Roman" w:hint="cs"/>
                <w:color w:val="000000"/>
                <w:sz w:val="18"/>
                <w:szCs w:val="18"/>
                <w:rtl/>
                <w:lang w:val="en-GB" w:eastAsia="en-GB"/>
              </w:rPr>
              <w:t>0</w:t>
            </w:r>
            <w:r w:rsidRPr="005269E6">
              <w:rPr>
                <w:rFonts w:eastAsia="Times New Roman"/>
                <w:color w:val="000000"/>
                <w:sz w:val="18"/>
                <w:szCs w:val="18"/>
                <w:lang w:eastAsia="en-GB"/>
              </w:rPr>
              <w:t>%</w:t>
            </w:r>
          </w:p>
        </w:tc>
        <w:tc>
          <w:tcPr>
            <w:tcW w:w="1399" w:type="dxa"/>
            <w:tcBorders>
              <w:top w:val="nil"/>
              <w:left w:val="nil"/>
              <w:bottom w:val="nil"/>
              <w:right w:val="nil"/>
            </w:tcBorders>
            <w:shd w:val="clear" w:color="000000" w:fill="auto"/>
            <w:noWrap/>
            <w:vAlign w:val="bottom"/>
            <w:hideMark/>
          </w:tcPr>
          <w:p w14:paraId="45A37186" w14:textId="6C7B928B"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1 391</w:t>
            </w:r>
          </w:p>
        </w:tc>
        <w:tc>
          <w:tcPr>
            <w:tcW w:w="1447" w:type="dxa"/>
            <w:tcBorders>
              <w:top w:val="nil"/>
              <w:left w:val="nil"/>
              <w:bottom w:val="nil"/>
              <w:right w:val="nil"/>
            </w:tcBorders>
            <w:shd w:val="clear" w:color="000000" w:fill="auto"/>
            <w:noWrap/>
            <w:vAlign w:val="bottom"/>
            <w:hideMark/>
          </w:tcPr>
          <w:p w14:paraId="2A46EA10" w14:textId="4FD66080"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46 940</w:t>
            </w:r>
          </w:p>
        </w:tc>
        <w:tc>
          <w:tcPr>
            <w:tcW w:w="1130" w:type="dxa"/>
            <w:tcBorders>
              <w:top w:val="nil"/>
              <w:left w:val="nil"/>
              <w:bottom w:val="nil"/>
              <w:right w:val="nil"/>
            </w:tcBorders>
            <w:shd w:val="clear" w:color="000000" w:fill="auto"/>
            <w:noWrap/>
            <w:vAlign w:val="bottom"/>
            <w:hideMark/>
          </w:tcPr>
          <w:p w14:paraId="7D8E2D1E" w14:textId="4C5D34EC" w:rsidR="005F565D" w:rsidRPr="005269E6" w:rsidRDefault="005F565D"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48 331</w:t>
            </w:r>
          </w:p>
        </w:tc>
      </w:tr>
      <w:tr w:rsidR="005F565D" w:rsidRPr="005269E6" w14:paraId="4897042D" w14:textId="77777777" w:rsidTr="0032155C">
        <w:trPr>
          <w:trHeight w:val="522"/>
          <w:jc w:val="center"/>
        </w:trPr>
        <w:tc>
          <w:tcPr>
            <w:tcW w:w="2748" w:type="dxa"/>
            <w:tcBorders>
              <w:top w:val="nil"/>
              <w:left w:val="nil"/>
              <w:bottom w:val="nil"/>
              <w:right w:val="nil"/>
            </w:tcBorders>
            <w:shd w:val="clear" w:color="000000" w:fill="538DD5"/>
            <w:noWrap/>
            <w:vAlign w:val="center"/>
            <w:hideMark/>
          </w:tcPr>
          <w:p w14:paraId="283A0DF4" w14:textId="5D5A4163" w:rsidR="005F565D" w:rsidRPr="005269E6" w:rsidRDefault="00B24029" w:rsidP="005F565D">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مجموع</w:t>
            </w:r>
            <w:r w:rsidRPr="005269E6">
              <w:rPr>
                <w:sz w:val="18"/>
                <w:szCs w:val="18"/>
                <w:rtl/>
              </w:rPr>
              <w:t xml:space="preserve"> </w:t>
            </w:r>
            <w:r w:rsidRPr="005269E6">
              <w:rPr>
                <w:rFonts w:eastAsia="Times New Roman"/>
                <w:b/>
                <w:bCs/>
                <w:color w:val="000000"/>
                <w:sz w:val="18"/>
                <w:szCs w:val="18"/>
                <w:rtl/>
                <w:lang w:val="en-GB" w:eastAsia="en-GB"/>
              </w:rPr>
              <w:t>الخصوم المالية</w:t>
            </w:r>
          </w:p>
        </w:tc>
        <w:tc>
          <w:tcPr>
            <w:tcW w:w="2364" w:type="dxa"/>
            <w:tcBorders>
              <w:top w:val="nil"/>
              <w:left w:val="nil"/>
              <w:bottom w:val="nil"/>
              <w:right w:val="nil"/>
            </w:tcBorders>
            <w:shd w:val="clear" w:color="000000" w:fill="538DD5"/>
            <w:noWrap/>
            <w:vAlign w:val="center"/>
            <w:hideMark/>
          </w:tcPr>
          <w:p w14:paraId="5636244E" w14:textId="77777777" w:rsidR="005F565D" w:rsidRPr="005269E6" w:rsidRDefault="005F565D"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w:t>
            </w:r>
          </w:p>
        </w:tc>
        <w:tc>
          <w:tcPr>
            <w:tcW w:w="1399" w:type="dxa"/>
            <w:tcBorders>
              <w:top w:val="nil"/>
              <w:left w:val="nil"/>
              <w:bottom w:val="nil"/>
              <w:right w:val="nil"/>
            </w:tcBorders>
            <w:shd w:val="clear" w:color="000000" w:fill="538DD5"/>
            <w:noWrap/>
            <w:vAlign w:val="center"/>
            <w:hideMark/>
          </w:tcPr>
          <w:p w14:paraId="761B95EE" w14:textId="34C463AE" w:rsidR="005F565D" w:rsidRPr="005269E6" w:rsidRDefault="005F565D"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11 932</w:t>
            </w:r>
          </w:p>
        </w:tc>
        <w:tc>
          <w:tcPr>
            <w:tcW w:w="1447" w:type="dxa"/>
            <w:tcBorders>
              <w:top w:val="nil"/>
              <w:left w:val="nil"/>
              <w:bottom w:val="nil"/>
              <w:right w:val="nil"/>
            </w:tcBorders>
            <w:shd w:val="clear" w:color="000000" w:fill="538DD5"/>
            <w:noWrap/>
            <w:vAlign w:val="center"/>
            <w:hideMark/>
          </w:tcPr>
          <w:p w14:paraId="1B53C43F" w14:textId="03D8445F" w:rsidR="005F565D" w:rsidRPr="005269E6" w:rsidRDefault="005F565D"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46 940</w:t>
            </w:r>
          </w:p>
        </w:tc>
        <w:tc>
          <w:tcPr>
            <w:tcW w:w="1130" w:type="dxa"/>
            <w:tcBorders>
              <w:top w:val="nil"/>
              <w:left w:val="nil"/>
              <w:bottom w:val="nil"/>
              <w:right w:val="nil"/>
            </w:tcBorders>
            <w:shd w:val="clear" w:color="000000" w:fill="538DD5"/>
            <w:noWrap/>
            <w:vAlign w:val="center"/>
            <w:hideMark/>
          </w:tcPr>
          <w:p w14:paraId="779C773B" w14:textId="5BAE12A7" w:rsidR="005F565D" w:rsidRPr="005269E6" w:rsidRDefault="005F565D"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58 872</w:t>
            </w:r>
          </w:p>
        </w:tc>
      </w:tr>
    </w:tbl>
    <w:p w14:paraId="1C9D452A" w14:textId="16239372" w:rsidR="00C543C6" w:rsidRPr="005269E6" w:rsidRDefault="00C543C6" w:rsidP="00696AA6">
      <w:pPr>
        <w:pStyle w:val="Heading5"/>
        <w:rPr>
          <w:rtl/>
        </w:rPr>
      </w:pPr>
      <w:bookmarkStart w:id="340" w:name="_Toc387263374"/>
      <w:bookmarkStart w:id="341" w:name="_Toc387338349"/>
      <w:bookmarkStart w:id="342" w:name="_Toc419484073"/>
      <w:bookmarkStart w:id="343" w:name="_Toc452156625"/>
      <w:bookmarkStart w:id="344" w:name="_Toc482792209"/>
      <w:bookmarkStart w:id="345" w:name="_Toc482793714"/>
      <w:bookmarkStart w:id="346" w:name="_Toc511402229"/>
      <w:bookmarkStart w:id="347" w:name="_Toc511756666"/>
      <w:bookmarkStart w:id="348" w:name="_Toc9614785"/>
      <w:bookmarkStart w:id="349" w:name="_Toc42013540"/>
      <w:bookmarkStart w:id="350" w:name="_Toc42014541"/>
      <w:bookmarkStart w:id="351" w:name="_Toc74061573"/>
      <w:bookmarkStart w:id="352" w:name="_Toc162520624"/>
      <w:r w:rsidRPr="005269E6">
        <w:rPr>
          <w:rFonts w:hint="cs"/>
          <w:rtl/>
        </w:rPr>
        <w:t xml:space="preserve">الملاحظة </w:t>
      </w:r>
      <w:r w:rsidR="000D1BA3" w:rsidRPr="005269E6">
        <w:t>6</w:t>
      </w:r>
      <w:r w:rsidRPr="005269E6">
        <w:rPr>
          <w:rFonts w:hint="cs"/>
          <w:rtl/>
        </w:rPr>
        <w:tab/>
        <w:t>حسن التدبير والتقديرات المحاسبية</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58732FBA" w14:textId="69332ADB" w:rsidR="00C543C6" w:rsidRPr="005269E6" w:rsidRDefault="00C543C6" w:rsidP="00C543C6">
      <w:pPr>
        <w:keepNext/>
        <w:rPr>
          <w:rtl/>
          <w:lang w:bidi="ar-SY"/>
        </w:rPr>
      </w:pPr>
      <w:r w:rsidRPr="005269E6">
        <w:rPr>
          <w:rtl/>
          <w:lang w:bidi="ar-EG"/>
        </w:rPr>
        <w:t>يقتضي إعداد البيانات المالية</w:t>
      </w:r>
      <w:r w:rsidR="0028011C" w:rsidRPr="005269E6">
        <w:rPr>
          <w:rFonts w:hint="cs"/>
          <w:rtl/>
          <w:lang w:bidi="ar-EG"/>
        </w:rPr>
        <w:t>،</w:t>
      </w:r>
      <w:r w:rsidRPr="005269E6">
        <w:rPr>
          <w:rtl/>
          <w:lang w:bidi="ar-EG"/>
        </w:rPr>
        <w:t xml:space="preserve"> وفقاً </w:t>
      </w:r>
      <w:r w:rsidR="0028011C" w:rsidRPr="005269E6">
        <w:rPr>
          <w:rFonts w:hint="cs"/>
          <w:rtl/>
          <w:lang w:bidi="ar-EG"/>
        </w:rPr>
        <w:t>ل</w:t>
      </w:r>
      <w:r w:rsidRPr="005269E6">
        <w:rPr>
          <w:rtl/>
          <w:lang w:bidi="ar-EG"/>
        </w:rPr>
        <w:t xml:space="preserve">لمعايير </w:t>
      </w:r>
      <w:r w:rsidR="0028011C" w:rsidRPr="005269E6">
        <w:rPr>
          <w:rtl/>
          <w:lang w:val="fr-CH" w:bidi="ar-EG"/>
        </w:rPr>
        <w:t>المحاسبية الدولية للقطاع العام (</w:t>
      </w:r>
      <w:r w:rsidR="0028011C" w:rsidRPr="005269E6">
        <w:rPr>
          <w:cs/>
          <w:lang w:val="fr-CH" w:bidi="ar-EG"/>
        </w:rPr>
        <w:t>‎</w:t>
      </w:r>
      <w:r w:rsidR="0028011C" w:rsidRPr="005269E6">
        <w:rPr>
          <w:lang w:val="fr-CH" w:bidi="ar-EG"/>
        </w:rPr>
        <w:t>IPSAS</w:t>
      </w:r>
      <w:r w:rsidR="0028011C" w:rsidRPr="005269E6">
        <w:rPr>
          <w:rtl/>
          <w:lang w:val="fr-CH" w:bidi="ar-EG"/>
        </w:rPr>
        <w:t>)</w:t>
      </w:r>
      <w:r w:rsidR="0028011C" w:rsidRPr="005269E6">
        <w:rPr>
          <w:rFonts w:hint="cs"/>
          <w:rtl/>
          <w:lang w:val="fr-CH" w:bidi="ar-EG"/>
        </w:rPr>
        <w:t>،</w:t>
      </w:r>
      <w:r w:rsidR="0028011C" w:rsidRPr="005269E6">
        <w:rPr>
          <w:rtl/>
          <w:lang w:val="fr-CH" w:bidi="ar-EG"/>
        </w:rPr>
        <w:t xml:space="preserve"> </w:t>
      </w:r>
      <w:r w:rsidRPr="005269E6">
        <w:rPr>
          <w:rtl/>
          <w:lang w:bidi="ar-EG"/>
        </w:rPr>
        <w:t>اللجوء إلى تقديرات و/أو افتراضات لها تأثير، من جهة</w:t>
      </w:r>
      <w:r w:rsidRPr="005269E6">
        <w:rPr>
          <w:rFonts w:hint="cs"/>
          <w:rtl/>
          <w:lang w:bidi="ar-EG"/>
        </w:rPr>
        <w:t xml:space="preserve"> أولى</w:t>
      </w:r>
      <w:r w:rsidRPr="005269E6">
        <w:rPr>
          <w:rtl/>
          <w:lang w:bidi="ar-EG"/>
        </w:rPr>
        <w:t>، على مبالغ الأصول والخصوم المعروضة وعلى تقديم الأصول والالتزامات المشروطة في تاريخ كشف الحساب، ومن جهة أخرى، على مبلغ الإيرادات والنفقات للفترة المشمولة بالمحاسبة. ومع أن</w:t>
      </w:r>
      <w:r w:rsidRPr="005269E6">
        <w:rPr>
          <w:rtl/>
          <w:lang w:bidi="ar-SY"/>
        </w:rPr>
        <w:t xml:space="preserve"> التقديرات تقوم على أساس الخبرة الماضية إلى جانب عوامل أخرى تعتبر معقولة في الظروف الراهنة، فإن النتائج الفعلية قد تختلف عن النتائج المنظورة في هذه</w:t>
      </w:r>
      <w:r w:rsidRPr="005269E6">
        <w:rPr>
          <w:rFonts w:hint="eastAsia"/>
          <w:rtl/>
        </w:rPr>
        <w:t> </w:t>
      </w:r>
      <w:r w:rsidRPr="005269E6">
        <w:rPr>
          <w:rtl/>
          <w:lang w:bidi="ar-SY"/>
        </w:rPr>
        <w:t>التقديرات.</w:t>
      </w:r>
    </w:p>
    <w:p w14:paraId="55FAD9BF" w14:textId="77777777" w:rsidR="00C543C6" w:rsidRPr="005269E6" w:rsidRDefault="00C543C6" w:rsidP="00C543C6">
      <w:pPr>
        <w:rPr>
          <w:lang w:bidi="ar-EG"/>
        </w:rPr>
      </w:pPr>
      <w:r w:rsidRPr="005269E6">
        <w:rPr>
          <w:rtl/>
          <w:lang w:bidi="ar-SY"/>
        </w:rPr>
        <w:t>والمجالات التي تنطوي على درجة عالية من التعقيد وتتطلب درجة عالية من حسن التدبير أو تلك التي يترتب على افتراضاتها وتقديراتها آثار هامة فيما يتعلق بإعداد البيانات المالية</w:t>
      </w:r>
      <w:r w:rsidRPr="005269E6">
        <w:rPr>
          <w:rFonts w:hint="eastAsia"/>
          <w:rtl/>
        </w:rPr>
        <w:t> </w:t>
      </w:r>
      <w:r w:rsidRPr="005269E6">
        <w:rPr>
          <w:rtl/>
          <w:lang w:bidi="ar-SY"/>
        </w:rPr>
        <w:t>هي:</w:t>
      </w:r>
    </w:p>
    <w:p w14:paraId="138052CD" w14:textId="26A72F05" w:rsidR="00C543C6" w:rsidRPr="005269E6" w:rsidRDefault="00C543C6" w:rsidP="00C543C6">
      <w:pPr>
        <w:pStyle w:val="enumlev1"/>
        <w:rPr>
          <w:rtl/>
        </w:rPr>
      </w:pPr>
      <w:bookmarkStart w:id="353" w:name="_Toc520365536"/>
      <w:r w:rsidRPr="005269E6">
        <w:sym w:font="Symbol" w:char="F0B7"/>
      </w:r>
      <w:r w:rsidRPr="005269E6">
        <w:rPr>
          <w:rtl/>
        </w:rPr>
        <w:tab/>
        <w:t>ال</w:t>
      </w:r>
      <w:r w:rsidR="006B32D8" w:rsidRPr="005269E6">
        <w:rPr>
          <w:rtl/>
        </w:rPr>
        <w:t>استحقاقات</w:t>
      </w:r>
      <w:r w:rsidRPr="005269E6">
        <w:rPr>
          <w:rtl/>
        </w:rPr>
        <w:t xml:space="preserve"> المستحقة بعد انتهاء الخدمة، خصوصاً ما يتعلق بالخطة </w:t>
      </w:r>
      <w:r w:rsidRPr="005269E6">
        <w:t>ASHI</w:t>
      </w:r>
      <w:r w:rsidR="00DA5ED5" w:rsidRPr="005269E6">
        <w:rPr>
          <w:rFonts w:hint="cs"/>
          <w:rtl/>
        </w:rPr>
        <w:t xml:space="preserve"> (انظر الملاحظة </w:t>
      </w:r>
      <w:r w:rsidR="00DA5ED5" w:rsidRPr="005269E6">
        <w:t>18</w:t>
      </w:r>
      <w:r w:rsidR="00DA5ED5" w:rsidRPr="005269E6">
        <w:rPr>
          <w:rFonts w:hint="cs"/>
          <w:rtl/>
        </w:rPr>
        <w:t>)</w:t>
      </w:r>
      <w:r w:rsidRPr="005269E6">
        <w:rPr>
          <w:rtl/>
        </w:rPr>
        <w:t>؛</w:t>
      </w:r>
      <w:bookmarkEnd w:id="353"/>
    </w:p>
    <w:p w14:paraId="3CF530DB" w14:textId="55A35717" w:rsidR="00C543C6" w:rsidRPr="005269E6" w:rsidRDefault="00C543C6" w:rsidP="00C543C6">
      <w:pPr>
        <w:pStyle w:val="enumlev1"/>
        <w:rPr>
          <w:rtl/>
        </w:rPr>
      </w:pPr>
      <w:bookmarkStart w:id="354" w:name="_Toc520365537"/>
      <w:r w:rsidRPr="005269E6">
        <w:sym w:font="Symbol" w:char="F0B7"/>
      </w:r>
      <w:r w:rsidRPr="005269E6">
        <w:rPr>
          <w:rtl/>
        </w:rPr>
        <w:tab/>
        <w:t xml:space="preserve">فترات الانتفاع من </w:t>
      </w:r>
      <w:r w:rsidRPr="005269E6">
        <w:rPr>
          <w:rFonts w:hint="cs"/>
          <w:rtl/>
        </w:rPr>
        <w:t>الأصول الثابتة</w:t>
      </w:r>
      <w:r w:rsidRPr="005269E6">
        <w:rPr>
          <w:rtl/>
        </w:rPr>
        <w:t xml:space="preserve"> </w:t>
      </w:r>
      <w:r w:rsidR="00912410" w:rsidRPr="005269E6">
        <w:rPr>
          <w:rFonts w:hint="cs"/>
          <w:rtl/>
        </w:rPr>
        <w:t xml:space="preserve">وغير الملموسة </w:t>
      </w:r>
      <w:r w:rsidRPr="005269E6">
        <w:rPr>
          <w:rtl/>
        </w:rPr>
        <w:t xml:space="preserve">واحتمال </w:t>
      </w:r>
      <w:r w:rsidRPr="005269E6">
        <w:rPr>
          <w:rFonts w:hint="cs"/>
          <w:rtl/>
        </w:rPr>
        <w:t>استهلاكها</w:t>
      </w:r>
      <w:r w:rsidR="00DA5ED5" w:rsidRPr="005269E6">
        <w:rPr>
          <w:rFonts w:hint="cs"/>
          <w:rtl/>
        </w:rPr>
        <w:t xml:space="preserve"> (انظر الملاحظات </w:t>
      </w:r>
      <w:r w:rsidR="00DA5ED5" w:rsidRPr="005269E6">
        <w:t>3.3</w:t>
      </w:r>
      <w:r w:rsidR="00DA5ED5" w:rsidRPr="005269E6">
        <w:rPr>
          <w:rFonts w:hint="cs"/>
          <w:rtl/>
        </w:rPr>
        <w:t xml:space="preserve"> و</w:t>
      </w:r>
      <w:r w:rsidR="00DA5ED5" w:rsidRPr="005269E6">
        <w:t>4.3</w:t>
      </w:r>
      <w:r w:rsidR="00DA5ED5" w:rsidRPr="005269E6">
        <w:rPr>
          <w:rFonts w:hint="cs"/>
          <w:rtl/>
        </w:rPr>
        <w:t xml:space="preserve"> و</w:t>
      </w:r>
      <w:r w:rsidR="00DA5ED5" w:rsidRPr="005269E6">
        <w:t>12</w:t>
      </w:r>
      <w:r w:rsidR="00DA5ED5" w:rsidRPr="005269E6">
        <w:rPr>
          <w:rFonts w:hint="cs"/>
          <w:rtl/>
        </w:rPr>
        <w:t xml:space="preserve"> و</w:t>
      </w:r>
      <w:r w:rsidR="00DA5ED5" w:rsidRPr="005269E6">
        <w:t>13</w:t>
      </w:r>
      <w:r w:rsidR="00DA5ED5" w:rsidRPr="005269E6">
        <w:rPr>
          <w:rFonts w:hint="cs"/>
          <w:rtl/>
        </w:rPr>
        <w:t>)</w:t>
      </w:r>
      <w:r w:rsidRPr="005269E6">
        <w:rPr>
          <w:rtl/>
        </w:rPr>
        <w:t>؛</w:t>
      </w:r>
      <w:bookmarkEnd w:id="354"/>
    </w:p>
    <w:p w14:paraId="26645CE8" w14:textId="6A487E70" w:rsidR="00912410" w:rsidRPr="005269E6" w:rsidRDefault="00912410" w:rsidP="00C543C6">
      <w:pPr>
        <w:pStyle w:val="enumlev1"/>
        <w:rPr>
          <w:rtl/>
        </w:rPr>
      </w:pPr>
      <w:r w:rsidRPr="005269E6">
        <w:rPr>
          <w:rtl/>
        </w:rPr>
        <w:t>الأعمار الإنتاجية للأصول الثابتة وغير الملموسة واحتمال انخفاض قيمتها</w:t>
      </w:r>
    </w:p>
    <w:p w14:paraId="256005BF" w14:textId="30C48E69" w:rsidR="00C543C6" w:rsidRPr="005269E6" w:rsidRDefault="00C543C6" w:rsidP="00C543C6">
      <w:pPr>
        <w:pStyle w:val="enumlev1"/>
        <w:rPr>
          <w:rtl/>
        </w:rPr>
      </w:pPr>
      <w:bookmarkStart w:id="355" w:name="_Toc520365538"/>
      <w:r w:rsidRPr="005269E6">
        <w:sym w:font="Symbol" w:char="F0B7"/>
      </w:r>
      <w:r w:rsidRPr="005269E6">
        <w:rPr>
          <w:rtl/>
        </w:rPr>
        <w:tab/>
      </w:r>
      <w:r w:rsidR="00912410" w:rsidRPr="005269E6">
        <w:rPr>
          <w:rFonts w:hint="cs"/>
          <w:rtl/>
        </w:rPr>
        <w:t xml:space="preserve">استهلاك </w:t>
      </w:r>
      <w:r w:rsidRPr="005269E6">
        <w:rPr>
          <w:rtl/>
        </w:rPr>
        <w:t>المستحقات</w:t>
      </w:r>
      <w:r w:rsidR="00DA5ED5" w:rsidRPr="005269E6">
        <w:rPr>
          <w:rFonts w:hint="cs"/>
          <w:rtl/>
        </w:rPr>
        <w:t xml:space="preserve"> (انظر الملاحظة </w:t>
      </w:r>
      <w:r w:rsidR="00DA5ED5" w:rsidRPr="005269E6">
        <w:t>9</w:t>
      </w:r>
      <w:r w:rsidR="00DA5ED5" w:rsidRPr="005269E6">
        <w:rPr>
          <w:rFonts w:hint="cs"/>
          <w:rtl/>
        </w:rPr>
        <w:t>)</w:t>
      </w:r>
      <w:r w:rsidRPr="005269E6">
        <w:rPr>
          <w:rtl/>
        </w:rPr>
        <w:t>؛</w:t>
      </w:r>
      <w:bookmarkEnd w:id="355"/>
    </w:p>
    <w:p w14:paraId="6FC92F19" w14:textId="1AE36EF0" w:rsidR="00C543C6" w:rsidRPr="005269E6" w:rsidRDefault="00C543C6" w:rsidP="00C543C6">
      <w:pPr>
        <w:pStyle w:val="enumlev1"/>
        <w:rPr>
          <w:rtl/>
        </w:rPr>
      </w:pPr>
      <w:bookmarkStart w:id="356" w:name="_Toc520365539"/>
      <w:r w:rsidRPr="005269E6">
        <w:sym w:font="Symbol" w:char="F0B7"/>
      </w:r>
      <w:r w:rsidRPr="005269E6">
        <w:rPr>
          <w:rtl/>
        </w:rPr>
        <w:tab/>
        <w:t>احتمالات بيع المخزون من المنشورات</w:t>
      </w:r>
      <w:r w:rsidR="00DA5ED5" w:rsidRPr="005269E6">
        <w:rPr>
          <w:rFonts w:hint="cs"/>
          <w:rtl/>
        </w:rPr>
        <w:t xml:space="preserve"> (انظر الملاحظة </w:t>
      </w:r>
      <w:r w:rsidR="00DA5ED5" w:rsidRPr="005269E6">
        <w:t>10</w:t>
      </w:r>
      <w:r w:rsidR="00DA5ED5" w:rsidRPr="005269E6">
        <w:rPr>
          <w:rFonts w:hint="cs"/>
          <w:rtl/>
        </w:rPr>
        <w:t>)</w:t>
      </w:r>
      <w:r w:rsidRPr="005269E6">
        <w:rPr>
          <w:rtl/>
        </w:rPr>
        <w:t>؛</w:t>
      </w:r>
      <w:bookmarkEnd w:id="356"/>
    </w:p>
    <w:p w14:paraId="1420D390" w14:textId="62EF5F48" w:rsidR="00C543C6" w:rsidRPr="005269E6" w:rsidRDefault="00C543C6" w:rsidP="00C543C6">
      <w:pPr>
        <w:pStyle w:val="enumlev1"/>
        <w:rPr>
          <w:rtl/>
        </w:rPr>
      </w:pPr>
      <w:bookmarkStart w:id="357" w:name="_Toc520365540"/>
      <w:r w:rsidRPr="005269E6">
        <w:sym w:font="Symbol" w:char="F0B7"/>
      </w:r>
      <w:r w:rsidRPr="005269E6">
        <w:rPr>
          <w:rtl/>
        </w:rPr>
        <w:tab/>
        <w:t>الإيرادات المؤجلة من معالجة بطاقات التبليغ عن الشبكات الساتلية</w:t>
      </w:r>
      <w:bookmarkStart w:id="358" w:name="_Toc329296024"/>
      <w:bookmarkEnd w:id="357"/>
      <w:r w:rsidR="00DA5ED5" w:rsidRPr="005269E6">
        <w:rPr>
          <w:rFonts w:hint="cs"/>
          <w:rtl/>
        </w:rPr>
        <w:t xml:space="preserve"> (انظر الملاحظة </w:t>
      </w:r>
      <w:r w:rsidR="00DA5ED5" w:rsidRPr="005269E6">
        <w:t>16</w:t>
      </w:r>
      <w:r w:rsidR="00DA5ED5" w:rsidRPr="005269E6">
        <w:rPr>
          <w:rFonts w:hint="cs"/>
          <w:rtl/>
        </w:rPr>
        <w:t>)؛</w:t>
      </w:r>
    </w:p>
    <w:p w14:paraId="3F62DB8A" w14:textId="62147F80" w:rsidR="00DA5ED5" w:rsidRPr="005269E6" w:rsidRDefault="00DA5ED5" w:rsidP="00DA5ED5">
      <w:pPr>
        <w:pStyle w:val="enumlev1"/>
        <w:rPr>
          <w:rtl/>
        </w:rPr>
      </w:pPr>
      <w:r w:rsidRPr="005269E6">
        <w:lastRenderedPageBreak/>
        <w:sym w:font="Symbol" w:char="F0B7"/>
      </w:r>
      <w:r w:rsidRPr="005269E6">
        <w:rPr>
          <w:rtl/>
        </w:rPr>
        <w:tab/>
      </w:r>
      <w:r w:rsidR="00B24029" w:rsidRPr="005269E6">
        <w:rPr>
          <w:rtl/>
        </w:rPr>
        <w:t>أحكام بشأن بطاقات التبليغ عن الشبكات الساتلية والتقاضي بشأنها</w:t>
      </w:r>
      <w:r w:rsidR="00B24029" w:rsidRPr="005269E6">
        <w:rPr>
          <w:rFonts w:hint="cs"/>
          <w:rtl/>
        </w:rPr>
        <w:t xml:space="preserve"> </w:t>
      </w:r>
      <w:r w:rsidRPr="005269E6">
        <w:rPr>
          <w:rFonts w:hint="cs"/>
          <w:rtl/>
        </w:rPr>
        <w:t xml:space="preserve">(انظر الملاحظة </w:t>
      </w:r>
      <w:r w:rsidRPr="005269E6">
        <w:t>19</w:t>
      </w:r>
      <w:r w:rsidRPr="005269E6">
        <w:rPr>
          <w:rFonts w:hint="cs"/>
          <w:rtl/>
        </w:rPr>
        <w:t>)</w:t>
      </w:r>
      <w:r w:rsidR="00883F15" w:rsidRPr="005269E6">
        <w:rPr>
          <w:rFonts w:hint="cs"/>
          <w:rtl/>
        </w:rPr>
        <w:t>.</w:t>
      </w:r>
    </w:p>
    <w:p w14:paraId="4A60E9FE" w14:textId="131661A5" w:rsidR="00C543C6" w:rsidRPr="005269E6" w:rsidRDefault="00C543C6" w:rsidP="00696AA6">
      <w:pPr>
        <w:pStyle w:val="Heading5"/>
        <w:rPr>
          <w:rtl/>
        </w:rPr>
      </w:pPr>
      <w:bookmarkStart w:id="359" w:name="_Toc358648344"/>
      <w:bookmarkStart w:id="360" w:name="_Toc358648543"/>
      <w:bookmarkStart w:id="361" w:name="_Toc387263375"/>
      <w:bookmarkStart w:id="362" w:name="_Toc387338350"/>
      <w:bookmarkStart w:id="363" w:name="_Toc419484074"/>
      <w:bookmarkStart w:id="364" w:name="_Toc452156626"/>
      <w:bookmarkStart w:id="365" w:name="_Toc482792210"/>
      <w:bookmarkStart w:id="366" w:name="_Toc482793715"/>
      <w:bookmarkStart w:id="367" w:name="_Toc511402230"/>
      <w:bookmarkStart w:id="368" w:name="_Toc511756667"/>
      <w:bookmarkStart w:id="369" w:name="_Toc9614786"/>
      <w:bookmarkStart w:id="370" w:name="_Toc42013541"/>
      <w:bookmarkStart w:id="371" w:name="_Toc42014542"/>
      <w:bookmarkStart w:id="372" w:name="_Toc74061574"/>
      <w:bookmarkStart w:id="373" w:name="_Toc162520625"/>
      <w:r w:rsidRPr="005269E6">
        <w:rPr>
          <w:rtl/>
        </w:rPr>
        <w:t xml:space="preserve">الملاحظة </w:t>
      </w:r>
      <w:r w:rsidR="00AD3B51" w:rsidRPr="005269E6">
        <w:t>7</w:t>
      </w:r>
      <w:r w:rsidRPr="005269E6">
        <w:rPr>
          <w:rtl/>
        </w:rPr>
        <w:tab/>
      </w:r>
      <w:r w:rsidR="00B22B01" w:rsidRPr="005269E6">
        <w:rPr>
          <w:rtl/>
        </w:rPr>
        <w:t xml:space="preserve">الأموال </w:t>
      </w:r>
      <w:r w:rsidRPr="005269E6">
        <w:rPr>
          <w:rtl/>
        </w:rPr>
        <w:t xml:space="preserve">النقدية وما </w:t>
      </w:r>
      <w:bookmarkEnd w:id="358"/>
      <w:bookmarkEnd w:id="359"/>
      <w:bookmarkEnd w:id="360"/>
      <w:bookmarkEnd w:id="361"/>
      <w:bookmarkEnd w:id="362"/>
      <w:bookmarkEnd w:id="363"/>
      <w:bookmarkEnd w:id="364"/>
      <w:bookmarkEnd w:id="365"/>
      <w:bookmarkEnd w:id="366"/>
      <w:r w:rsidRPr="005269E6">
        <w:rPr>
          <w:rFonts w:hint="cs"/>
          <w:rtl/>
        </w:rPr>
        <w:t>يعادلها</w:t>
      </w:r>
      <w:bookmarkEnd w:id="367"/>
      <w:bookmarkEnd w:id="368"/>
      <w:bookmarkEnd w:id="369"/>
      <w:bookmarkEnd w:id="370"/>
      <w:bookmarkEnd w:id="371"/>
      <w:bookmarkEnd w:id="372"/>
      <w:bookmarkEnd w:id="373"/>
    </w:p>
    <w:tbl>
      <w:tblPr>
        <w:bidiVisual/>
        <w:tblW w:w="4193" w:type="pct"/>
        <w:jc w:val="center"/>
        <w:tblLook w:val="04A0" w:firstRow="1" w:lastRow="0" w:firstColumn="1" w:lastColumn="0" w:noHBand="0" w:noVBand="1"/>
      </w:tblPr>
      <w:tblGrid>
        <w:gridCol w:w="3344"/>
        <w:gridCol w:w="2358"/>
        <w:gridCol w:w="2381"/>
      </w:tblGrid>
      <w:tr w:rsidR="00AD3B51" w:rsidRPr="005269E6" w14:paraId="454ADFFF" w14:textId="77777777" w:rsidTr="00883F15">
        <w:trPr>
          <w:trHeight w:val="510"/>
          <w:jc w:val="center"/>
        </w:trPr>
        <w:tc>
          <w:tcPr>
            <w:tcW w:w="3344" w:type="dxa"/>
            <w:tcBorders>
              <w:top w:val="nil"/>
              <w:left w:val="nil"/>
              <w:bottom w:val="nil"/>
              <w:right w:val="nil"/>
            </w:tcBorders>
            <w:shd w:val="clear" w:color="000000" w:fill="538DD5"/>
            <w:noWrap/>
            <w:vAlign w:val="center"/>
            <w:hideMark/>
          </w:tcPr>
          <w:p w14:paraId="598871F2" w14:textId="4E3CA06B" w:rsidR="00AD3B51" w:rsidRPr="005269E6" w:rsidRDefault="00E1414A" w:rsidP="00ED5A54">
            <w:pPr>
              <w:tabs>
                <w:tab w:val="clear" w:pos="794"/>
              </w:tabs>
              <w:spacing w:before="20" w:after="20" w:line="26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2358" w:type="dxa"/>
            <w:tcBorders>
              <w:top w:val="nil"/>
              <w:left w:val="nil"/>
              <w:bottom w:val="nil"/>
              <w:right w:val="nil"/>
            </w:tcBorders>
            <w:shd w:val="clear" w:color="000000" w:fill="538DD5"/>
            <w:noWrap/>
            <w:vAlign w:val="center"/>
            <w:hideMark/>
          </w:tcPr>
          <w:p w14:paraId="62883EE8" w14:textId="476C3C6C" w:rsidR="00AD3B51" w:rsidRPr="005269E6" w:rsidRDefault="00E1414A" w:rsidP="00ED5A54">
            <w:pPr>
              <w:spacing w:before="20" w:after="20" w:line="26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2381" w:type="dxa"/>
            <w:tcBorders>
              <w:top w:val="nil"/>
              <w:left w:val="nil"/>
              <w:bottom w:val="nil"/>
              <w:right w:val="nil"/>
            </w:tcBorders>
            <w:shd w:val="clear" w:color="000000" w:fill="538DD5"/>
            <w:vAlign w:val="center"/>
            <w:hideMark/>
          </w:tcPr>
          <w:p w14:paraId="1FE23D00" w14:textId="19F97D9E" w:rsidR="00AD3B51" w:rsidRPr="005269E6" w:rsidRDefault="00E1414A" w:rsidP="00ED5A54">
            <w:pPr>
              <w:tabs>
                <w:tab w:val="clear" w:pos="794"/>
              </w:tabs>
              <w:spacing w:before="20" w:after="20" w:line="26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AD3B51" w:rsidRPr="005269E6" w14:paraId="44EEEEA4" w14:textId="77777777" w:rsidTr="00883F15">
        <w:trPr>
          <w:trHeight w:val="255"/>
          <w:jc w:val="center"/>
        </w:trPr>
        <w:tc>
          <w:tcPr>
            <w:tcW w:w="3344" w:type="dxa"/>
            <w:tcBorders>
              <w:top w:val="nil"/>
              <w:left w:val="nil"/>
              <w:bottom w:val="nil"/>
              <w:right w:val="nil"/>
            </w:tcBorders>
            <w:shd w:val="clear" w:color="auto" w:fill="auto"/>
            <w:noWrap/>
            <w:vAlign w:val="bottom"/>
            <w:hideMark/>
          </w:tcPr>
          <w:p w14:paraId="64801FE9" w14:textId="77777777" w:rsidR="00AD3B51" w:rsidRPr="005269E6" w:rsidRDefault="00AD3B51" w:rsidP="00ED5A54">
            <w:pPr>
              <w:tabs>
                <w:tab w:val="clear" w:pos="794"/>
              </w:tabs>
              <w:spacing w:before="20" w:after="20" w:line="260" w:lineRule="exact"/>
              <w:jc w:val="center"/>
              <w:rPr>
                <w:rFonts w:eastAsia="Times New Roman"/>
                <w:b/>
                <w:bCs/>
                <w:color w:val="000000"/>
                <w:sz w:val="18"/>
                <w:szCs w:val="18"/>
                <w:lang w:val="en-GB" w:eastAsia="en-GB"/>
              </w:rPr>
            </w:pPr>
          </w:p>
        </w:tc>
        <w:tc>
          <w:tcPr>
            <w:tcW w:w="2358" w:type="dxa"/>
            <w:tcBorders>
              <w:top w:val="nil"/>
              <w:left w:val="nil"/>
              <w:bottom w:val="nil"/>
              <w:right w:val="nil"/>
            </w:tcBorders>
            <w:shd w:val="clear" w:color="auto" w:fill="auto"/>
            <w:noWrap/>
            <w:vAlign w:val="bottom"/>
            <w:hideMark/>
          </w:tcPr>
          <w:p w14:paraId="22552B87" w14:textId="77777777" w:rsidR="00AD3B51" w:rsidRPr="005269E6" w:rsidRDefault="00AD3B51" w:rsidP="00ED5A54">
            <w:pPr>
              <w:tabs>
                <w:tab w:val="clear" w:pos="794"/>
              </w:tabs>
              <w:spacing w:before="20" w:after="20" w:line="260" w:lineRule="exact"/>
              <w:jc w:val="right"/>
              <w:rPr>
                <w:rFonts w:eastAsia="Times New Roman"/>
                <w:sz w:val="18"/>
                <w:szCs w:val="18"/>
                <w:lang w:val="en-GB" w:eastAsia="en-GB"/>
              </w:rPr>
            </w:pPr>
          </w:p>
        </w:tc>
        <w:tc>
          <w:tcPr>
            <w:tcW w:w="2381" w:type="dxa"/>
            <w:tcBorders>
              <w:top w:val="nil"/>
              <w:left w:val="nil"/>
              <w:bottom w:val="nil"/>
              <w:right w:val="nil"/>
            </w:tcBorders>
            <w:shd w:val="clear" w:color="auto" w:fill="auto"/>
            <w:noWrap/>
            <w:vAlign w:val="bottom"/>
            <w:hideMark/>
          </w:tcPr>
          <w:p w14:paraId="38739384" w14:textId="77777777" w:rsidR="00AD3B51" w:rsidRPr="005269E6" w:rsidRDefault="00AD3B51" w:rsidP="00ED5A54">
            <w:pPr>
              <w:tabs>
                <w:tab w:val="clear" w:pos="794"/>
              </w:tabs>
              <w:spacing w:before="20" w:after="20" w:line="260" w:lineRule="exact"/>
              <w:jc w:val="right"/>
              <w:rPr>
                <w:rFonts w:eastAsia="Times New Roman"/>
                <w:sz w:val="18"/>
                <w:szCs w:val="18"/>
                <w:lang w:val="en-GB" w:eastAsia="en-GB"/>
              </w:rPr>
            </w:pPr>
          </w:p>
        </w:tc>
      </w:tr>
      <w:tr w:rsidR="00AD3B51" w:rsidRPr="005269E6" w14:paraId="119E8DA7" w14:textId="77777777" w:rsidTr="00883F15">
        <w:trPr>
          <w:trHeight w:val="255"/>
          <w:jc w:val="center"/>
        </w:trPr>
        <w:tc>
          <w:tcPr>
            <w:tcW w:w="3344" w:type="dxa"/>
            <w:tcBorders>
              <w:top w:val="nil"/>
              <w:left w:val="nil"/>
              <w:bottom w:val="nil"/>
              <w:right w:val="nil"/>
            </w:tcBorders>
            <w:shd w:val="clear" w:color="auto" w:fill="auto"/>
            <w:noWrap/>
            <w:vAlign w:val="bottom"/>
            <w:hideMark/>
          </w:tcPr>
          <w:p w14:paraId="1D45F28E" w14:textId="422F6725" w:rsidR="00AD3B51" w:rsidRPr="005269E6" w:rsidRDefault="00E1414A" w:rsidP="00ED5A54">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النثريات</w:t>
            </w:r>
            <w:r w:rsidRPr="005269E6">
              <w:rPr>
                <w:rFonts w:eastAsia="Times New Roman" w:hint="cs"/>
                <w:color w:val="000000"/>
                <w:sz w:val="18"/>
                <w:szCs w:val="18"/>
                <w:rtl/>
                <w:lang w:val="en-GB" w:eastAsia="en-GB" w:bidi="ar-EG"/>
              </w:rPr>
              <w:t xml:space="preserve"> النقدية</w:t>
            </w:r>
            <w:r w:rsidRPr="005269E6">
              <w:rPr>
                <w:rFonts w:eastAsia="Times New Roman"/>
                <w:color w:val="000000"/>
                <w:sz w:val="18"/>
                <w:szCs w:val="18"/>
                <w:rtl/>
                <w:lang w:val="en-GB" w:eastAsia="en-GB"/>
              </w:rPr>
              <w:t xml:space="preserve"> بالفرنك السويسري</w:t>
            </w:r>
          </w:p>
        </w:tc>
        <w:tc>
          <w:tcPr>
            <w:tcW w:w="2358" w:type="dxa"/>
            <w:tcBorders>
              <w:top w:val="nil"/>
              <w:left w:val="nil"/>
              <w:bottom w:val="nil"/>
              <w:right w:val="nil"/>
            </w:tcBorders>
            <w:shd w:val="clear" w:color="auto" w:fill="auto"/>
            <w:noWrap/>
            <w:vAlign w:val="bottom"/>
            <w:hideMark/>
          </w:tcPr>
          <w:p w14:paraId="1F76F76C" w14:textId="063F8EB2" w:rsidR="00AD3B51" w:rsidRPr="005269E6" w:rsidRDefault="00AD3B51"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10 </w:t>
            </w:r>
          </w:p>
        </w:tc>
        <w:tc>
          <w:tcPr>
            <w:tcW w:w="2381" w:type="dxa"/>
            <w:tcBorders>
              <w:top w:val="nil"/>
              <w:left w:val="nil"/>
              <w:bottom w:val="nil"/>
              <w:right w:val="nil"/>
            </w:tcBorders>
            <w:shd w:val="clear" w:color="auto" w:fill="auto"/>
            <w:noWrap/>
            <w:vAlign w:val="bottom"/>
            <w:hideMark/>
          </w:tcPr>
          <w:p w14:paraId="31FEA8CD" w14:textId="4F51FDDB" w:rsidR="00AD3B51" w:rsidRPr="005269E6" w:rsidRDefault="00AD3B51"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18 </w:t>
            </w:r>
          </w:p>
        </w:tc>
      </w:tr>
      <w:tr w:rsidR="00AD3B51" w:rsidRPr="005269E6" w14:paraId="64B84CA6" w14:textId="77777777" w:rsidTr="00883F15">
        <w:trPr>
          <w:trHeight w:val="255"/>
          <w:jc w:val="center"/>
        </w:trPr>
        <w:tc>
          <w:tcPr>
            <w:tcW w:w="3344" w:type="dxa"/>
            <w:tcBorders>
              <w:top w:val="nil"/>
              <w:left w:val="nil"/>
              <w:bottom w:val="nil"/>
              <w:right w:val="nil"/>
            </w:tcBorders>
            <w:shd w:val="clear" w:color="auto" w:fill="auto"/>
            <w:noWrap/>
            <w:vAlign w:val="bottom"/>
            <w:hideMark/>
          </w:tcPr>
          <w:p w14:paraId="0AACF698" w14:textId="0F29E8B8" w:rsidR="00AD3B51" w:rsidRPr="005269E6" w:rsidRDefault="00E1414A" w:rsidP="00ED5A54">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 xml:space="preserve">النثريات النقدية </w:t>
            </w:r>
            <w:r w:rsidRPr="005269E6">
              <w:rPr>
                <w:rFonts w:eastAsia="Times New Roman" w:hint="cs"/>
                <w:color w:val="000000"/>
                <w:sz w:val="18"/>
                <w:szCs w:val="18"/>
                <w:rtl/>
                <w:lang w:val="en-GB" w:eastAsia="en-GB"/>
              </w:rPr>
              <w:t>بالعملة الأجنبية</w:t>
            </w:r>
          </w:p>
        </w:tc>
        <w:tc>
          <w:tcPr>
            <w:tcW w:w="2358" w:type="dxa"/>
            <w:tcBorders>
              <w:top w:val="nil"/>
              <w:left w:val="nil"/>
              <w:bottom w:val="nil"/>
              <w:right w:val="nil"/>
            </w:tcBorders>
            <w:shd w:val="clear" w:color="auto" w:fill="auto"/>
            <w:noWrap/>
            <w:vAlign w:val="bottom"/>
            <w:hideMark/>
          </w:tcPr>
          <w:p w14:paraId="287CDE2B" w14:textId="1784A76F" w:rsidR="00AD3B51" w:rsidRPr="005269E6" w:rsidRDefault="00AD3B51"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108 </w:t>
            </w:r>
          </w:p>
        </w:tc>
        <w:tc>
          <w:tcPr>
            <w:tcW w:w="2381" w:type="dxa"/>
            <w:tcBorders>
              <w:top w:val="nil"/>
              <w:left w:val="nil"/>
              <w:bottom w:val="nil"/>
              <w:right w:val="nil"/>
            </w:tcBorders>
            <w:shd w:val="clear" w:color="auto" w:fill="auto"/>
            <w:noWrap/>
            <w:vAlign w:val="bottom"/>
            <w:hideMark/>
          </w:tcPr>
          <w:p w14:paraId="5963CCE5" w14:textId="5717FDE0" w:rsidR="00AD3B51" w:rsidRPr="005269E6" w:rsidRDefault="00AD3B51"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93 </w:t>
            </w:r>
          </w:p>
        </w:tc>
      </w:tr>
      <w:tr w:rsidR="00AD3B51" w:rsidRPr="005269E6" w14:paraId="15799CFB" w14:textId="77777777" w:rsidTr="00883F15">
        <w:trPr>
          <w:trHeight w:val="255"/>
          <w:jc w:val="center"/>
        </w:trPr>
        <w:tc>
          <w:tcPr>
            <w:tcW w:w="3344" w:type="dxa"/>
            <w:tcBorders>
              <w:top w:val="nil"/>
              <w:left w:val="nil"/>
              <w:bottom w:val="nil"/>
              <w:right w:val="nil"/>
            </w:tcBorders>
            <w:shd w:val="clear" w:color="auto" w:fill="auto"/>
            <w:noWrap/>
            <w:vAlign w:val="bottom"/>
            <w:hideMark/>
          </w:tcPr>
          <w:p w14:paraId="0D6165E2" w14:textId="1DE3CF69" w:rsidR="00AD3B51" w:rsidRPr="005269E6" w:rsidRDefault="00E1414A" w:rsidP="00ED5A54">
            <w:pPr>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الحسابات المصرفية الجارية بالفرنك السويسري</w:t>
            </w:r>
          </w:p>
        </w:tc>
        <w:tc>
          <w:tcPr>
            <w:tcW w:w="2358" w:type="dxa"/>
            <w:tcBorders>
              <w:top w:val="nil"/>
              <w:left w:val="nil"/>
              <w:bottom w:val="nil"/>
              <w:right w:val="nil"/>
            </w:tcBorders>
            <w:shd w:val="clear" w:color="auto" w:fill="auto"/>
            <w:noWrap/>
            <w:vAlign w:val="bottom"/>
            <w:hideMark/>
          </w:tcPr>
          <w:p w14:paraId="6C8E3FF4" w14:textId="4E736F30" w:rsidR="00AD3B51" w:rsidRPr="005269E6" w:rsidRDefault="00AD3B51"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68 637 </w:t>
            </w:r>
          </w:p>
        </w:tc>
        <w:tc>
          <w:tcPr>
            <w:tcW w:w="2381" w:type="dxa"/>
            <w:tcBorders>
              <w:top w:val="nil"/>
              <w:left w:val="nil"/>
              <w:bottom w:val="nil"/>
              <w:right w:val="nil"/>
            </w:tcBorders>
            <w:shd w:val="clear" w:color="auto" w:fill="auto"/>
            <w:noWrap/>
            <w:vAlign w:val="bottom"/>
            <w:hideMark/>
          </w:tcPr>
          <w:p w14:paraId="28385DF7" w14:textId="3D7D6518" w:rsidR="00AD3B51" w:rsidRPr="005269E6" w:rsidRDefault="00AD3B51"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97 815 </w:t>
            </w:r>
          </w:p>
        </w:tc>
      </w:tr>
      <w:tr w:rsidR="00AD3B51" w:rsidRPr="005269E6" w14:paraId="15813A89" w14:textId="77777777" w:rsidTr="00883F15">
        <w:trPr>
          <w:trHeight w:val="255"/>
          <w:jc w:val="center"/>
        </w:trPr>
        <w:tc>
          <w:tcPr>
            <w:tcW w:w="3344" w:type="dxa"/>
            <w:tcBorders>
              <w:top w:val="nil"/>
              <w:left w:val="nil"/>
              <w:bottom w:val="nil"/>
              <w:right w:val="nil"/>
            </w:tcBorders>
            <w:shd w:val="clear" w:color="auto" w:fill="auto"/>
            <w:noWrap/>
            <w:vAlign w:val="bottom"/>
            <w:hideMark/>
          </w:tcPr>
          <w:p w14:paraId="75881143" w14:textId="3EB3ED3F" w:rsidR="00AD3B51" w:rsidRPr="005269E6" w:rsidRDefault="00E1414A" w:rsidP="00ED5A54">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الحسابات المصرفية الجارية</w:t>
            </w:r>
            <w:r w:rsidRPr="005269E6">
              <w:rPr>
                <w:sz w:val="18"/>
                <w:szCs w:val="18"/>
                <w:rtl/>
              </w:rPr>
              <w:t xml:space="preserve"> </w:t>
            </w:r>
            <w:r w:rsidRPr="005269E6">
              <w:rPr>
                <w:rFonts w:eastAsia="Times New Roman"/>
                <w:color w:val="000000"/>
                <w:sz w:val="18"/>
                <w:szCs w:val="18"/>
                <w:rtl/>
                <w:lang w:val="en-GB" w:eastAsia="en-GB"/>
              </w:rPr>
              <w:t>بالعملة الأجنبية</w:t>
            </w:r>
          </w:p>
        </w:tc>
        <w:tc>
          <w:tcPr>
            <w:tcW w:w="2358" w:type="dxa"/>
            <w:tcBorders>
              <w:top w:val="nil"/>
              <w:left w:val="nil"/>
              <w:bottom w:val="nil"/>
              <w:right w:val="nil"/>
            </w:tcBorders>
            <w:shd w:val="clear" w:color="auto" w:fill="auto"/>
            <w:noWrap/>
            <w:vAlign w:val="bottom"/>
            <w:hideMark/>
          </w:tcPr>
          <w:p w14:paraId="000B2D82" w14:textId="0E9C2FB3" w:rsidR="00AD3B51" w:rsidRPr="005269E6" w:rsidRDefault="00AD3B51"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54 099 </w:t>
            </w:r>
          </w:p>
        </w:tc>
        <w:tc>
          <w:tcPr>
            <w:tcW w:w="2381" w:type="dxa"/>
            <w:tcBorders>
              <w:top w:val="nil"/>
              <w:left w:val="nil"/>
              <w:bottom w:val="nil"/>
              <w:right w:val="nil"/>
            </w:tcBorders>
            <w:shd w:val="clear" w:color="auto" w:fill="auto"/>
            <w:noWrap/>
            <w:vAlign w:val="bottom"/>
            <w:hideMark/>
          </w:tcPr>
          <w:p w14:paraId="47DD7293" w14:textId="18DEA1AC" w:rsidR="00AD3B51" w:rsidRPr="005269E6" w:rsidRDefault="00AD3B51"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20 485 </w:t>
            </w:r>
          </w:p>
        </w:tc>
      </w:tr>
      <w:tr w:rsidR="00AD3B51" w:rsidRPr="005269E6" w14:paraId="1D0E1803" w14:textId="77777777" w:rsidTr="00883F15">
        <w:trPr>
          <w:trHeight w:val="255"/>
          <w:jc w:val="center"/>
        </w:trPr>
        <w:tc>
          <w:tcPr>
            <w:tcW w:w="3344" w:type="dxa"/>
            <w:tcBorders>
              <w:top w:val="nil"/>
              <w:left w:val="nil"/>
              <w:bottom w:val="nil"/>
              <w:right w:val="nil"/>
            </w:tcBorders>
            <w:shd w:val="clear" w:color="auto" w:fill="auto"/>
            <w:noWrap/>
            <w:vAlign w:val="bottom"/>
            <w:hideMark/>
          </w:tcPr>
          <w:p w14:paraId="19AF65AD" w14:textId="338869CD" w:rsidR="00AD3B51" w:rsidRPr="005269E6" w:rsidRDefault="00E1414A" w:rsidP="00ED5A54">
            <w:pPr>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حسابات الإيداع باليورو</w:t>
            </w:r>
          </w:p>
        </w:tc>
        <w:tc>
          <w:tcPr>
            <w:tcW w:w="2358" w:type="dxa"/>
            <w:tcBorders>
              <w:top w:val="nil"/>
              <w:left w:val="nil"/>
              <w:bottom w:val="nil"/>
              <w:right w:val="nil"/>
            </w:tcBorders>
            <w:shd w:val="clear" w:color="auto" w:fill="auto"/>
            <w:noWrap/>
            <w:vAlign w:val="bottom"/>
            <w:hideMark/>
          </w:tcPr>
          <w:p w14:paraId="78DC5165" w14:textId="2FED0D71" w:rsidR="00AD3B51" w:rsidRPr="005269E6" w:rsidRDefault="00AD3B51"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11 337 </w:t>
            </w:r>
          </w:p>
        </w:tc>
        <w:tc>
          <w:tcPr>
            <w:tcW w:w="2381" w:type="dxa"/>
            <w:tcBorders>
              <w:top w:val="nil"/>
              <w:left w:val="nil"/>
              <w:bottom w:val="nil"/>
              <w:right w:val="nil"/>
            </w:tcBorders>
            <w:shd w:val="clear" w:color="auto" w:fill="auto"/>
            <w:noWrap/>
            <w:vAlign w:val="bottom"/>
            <w:hideMark/>
          </w:tcPr>
          <w:p w14:paraId="372B8EB2" w14:textId="3429663E" w:rsidR="00AD3B51" w:rsidRPr="005269E6" w:rsidRDefault="00AD3B51"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11 982 </w:t>
            </w:r>
          </w:p>
        </w:tc>
      </w:tr>
      <w:tr w:rsidR="00AD3B51" w:rsidRPr="005269E6" w14:paraId="613F00E0" w14:textId="77777777" w:rsidTr="00883F15">
        <w:trPr>
          <w:trHeight w:val="255"/>
          <w:jc w:val="center"/>
        </w:trPr>
        <w:tc>
          <w:tcPr>
            <w:tcW w:w="3344" w:type="dxa"/>
            <w:tcBorders>
              <w:top w:val="nil"/>
              <w:left w:val="nil"/>
              <w:bottom w:val="nil"/>
              <w:right w:val="nil"/>
            </w:tcBorders>
            <w:shd w:val="clear" w:color="auto" w:fill="auto"/>
            <w:noWrap/>
            <w:vAlign w:val="bottom"/>
            <w:hideMark/>
          </w:tcPr>
          <w:p w14:paraId="40BBDA4C" w14:textId="341D14ED" w:rsidR="00AD3B51" w:rsidRPr="005269E6" w:rsidRDefault="00B22B01" w:rsidP="00ED5A54">
            <w:pPr>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استثمار</w:t>
            </w:r>
            <w:r w:rsidRPr="005269E6">
              <w:rPr>
                <w:rFonts w:eastAsia="Times New Roman" w:hint="cs"/>
                <w:color w:val="000000"/>
                <w:sz w:val="18"/>
                <w:szCs w:val="18"/>
                <w:rtl/>
                <w:lang w:val="en-GB" w:eastAsia="en-GB"/>
              </w:rPr>
              <w:t>ات</w:t>
            </w:r>
            <w:r w:rsidRPr="005269E6">
              <w:rPr>
                <w:rFonts w:eastAsia="Times New Roman"/>
                <w:color w:val="000000"/>
                <w:sz w:val="18"/>
                <w:szCs w:val="18"/>
                <w:rtl/>
                <w:lang w:val="en-GB" w:eastAsia="en-GB"/>
              </w:rPr>
              <w:t xml:space="preserve"> قصير</w:t>
            </w:r>
            <w:r w:rsidRPr="005269E6">
              <w:rPr>
                <w:rFonts w:eastAsia="Times New Roman" w:hint="cs"/>
                <w:color w:val="000000"/>
                <w:sz w:val="18"/>
                <w:szCs w:val="18"/>
                <w:rtl/>
                <w:lang w:val="en-GB" w:eastAsia="en-GB"/>
              </w:rPr>
              <w:t>ة</w:t>
            </w:r>
            <w:r w:rsidRPr="005269E6">
              <w:rPr>
                <w:rFonts w:eastAsia="Times New Roman"/>
                <w:color w:val="000000"/>
                <w:sz w:val="18"/>
                <w:szCs w:val="18"/>
                <w:rtl/>
                <w:lang w:val="en-GB" w:eastAsia="en-GB"/>
              </w:rPr>
              <w:t xml:space="preserve"> الأجل 0-3 أشهر</w:t>
            </w:r>
          </w:p>
        </w:tc>
        <w:tc>
          <w:tcPr>
            <w:tcW w:w="2358" w:type="dxa"/>
            <w:tcBorders>
              <w:top w:val="nil"/>
              <w:left w:val="nil"/>
              <w:bottom w:val="nil"/>
              <w:right w:val="nil"/>
            </w:tcBorders>
            <w:shd w:val="clear" w:color="auto" w:fill="auto"/>
            <w:noWrap/>
            <w:vAlign w:val="bottom"/>
            <w:hideMark/>
          </w:tcPr>
          <w:p w14:paraId="01B259B9" w14:textId="33442939" w:rsidR="00AD3B51" w:rsidRPr="005269E6" w:rsidRDefault="00AD3B51"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59 676 </w:t>
            </w:r>
          </w:p>
        </w:tc>
        <w:tc>
          <w:tcPr>
            <w:tcW w:w="2381" w:type="dxa"/>
            <w:tcBorders>
              <w:top w:val="nil"/>
              <w:left w:val="nil"/>
              <w:bottom w:val="nil"/>
              <w:right w:val="nil"/>
            </w:tcBorders>
            <w:shd w:val="clear" w:color="auto" w:fill="auto"/>
            <w:noWrap/>
            <w:vAlign w:val="bottom"/>
            <w:hideMark/>
          </w:tcPr>
          <w:p w14:paraId="3228C5F4" w14:textId="58EE3B3C" w:rsidR="00AD3B51" w:rsidRPr="005269E6" w:rsidRDefault="00AD3B51"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73 419 </w:t>
            </w:r>
          </w:p>
        </w:tc>
      </w:tr>
      <w:tr w:rsidR="00AD3B51" w:rsidRPr="005269E6" w14:paraId="628EDBEE" w14:textId="77777777" w:rsidTr="004C39BB">
        <w:trPr>
          <w:trHeight w:val="365"/>
          <w:jc w:val="center"/>
        </w:trPr>
        <w:tc>
          <w:tcPr>
            <w:tcW w:w="3344" w:type="dxa"/>
            <w:tcBorders>
              <w:top w:val="nil"/>
              <w:left w:val="nil"/>
              <w:bottom w:val="nil"/>
              <w:right w:val="nil"/>
            </w:tcBorders>
            <w:shd w:val="clear" w:color="000000" w:fill="538DD5"/>
            <w:noWrap/>
            <w:vAlign w:val="center"/>
            <w:hideMark/>
          </w:tcPr>
          <w:p w14:paraId="49117D0C" w14:textId="568B7435" w:rsidR="00AD3B51" w:rsidRPr="005269E6" w:rsidRDefault="00B22B01" w:rsidP="00ED5A54">
            <w:pPr>
              <w:tabs>
                <w:tab w:val="clear" w:pos="794"/>
              </w:tabs>
              <w:spacing w:before="20" w:after="20" w:line="26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الأموال النقدية وما يعادلها</w:t>
            </w:r>
          </w:p>
        </w:tc>
        <w:tc>
          <w:tcPr>
            <w:tcW w:w="2358" w:type="dxa"/>
            <w:tcBorders>
              <w:top w:val="nil"/>
              <w:left w:val="nil"/>
              <w:bottom w:val="nil"/>
              <w:right w:val="nil"/>
            </w:tcBorders>
            <w:shd w:val="clear" w:color="000000" w:fill="538DD5"/>
            <w:noWrap/>
            <w:vAlign w:val="center"/>
            <w:hideMark/>
          </w:tcPr>
          <w:p w14:paraId="3EF70FE0" w14:textId="46634A3B" w:rsidR="00AD3B51" w:rsidRPr="005269E6" w:rsidRDefault="00AD3B51" w:rsidP="001D7135">
            <w:pPr>
              <w:tabs>
                <w:tab w:val="clear" w:pos="794"/>
              </w:tabs>
              <w:spacing w:before="20" w:after="20" w:line="26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193 868 </w:t>
            </w:r>
          </w:p>
        </w:tc>
        <w:tc>
          <w:tcPr>
            <w:tcW w:w="2381" w:type="dxa"/>
            <w:tcBorders>
              <w:top w:val="nil"/>
              <w:left w:val="nil"/>
              <w:bottom w:val="nil"/>
              <w:right w:val="nil"/>
            </w:tcBorders>
            <w:shd w:val="clear" w:color="000000" w:fill="538DD5"/>
            <w:noWrap/>
            <w:vAlign w:val="center"/>
            <w:hideMark/>
          </w:tcPr>
          <w:p w14:paraId="2728C809" w14:textId="6A23A6AD" w:rsidR="00AD3B51" w:rsidRPr="005269E6" w:rsidRDefault="00AD3B51" w:rsidP="001D7135">
            <w:pPr>
              <w:tabs>
                <w:tab w:val="clear" w:pos="794"/>
              </w:tabs>
              <w:spacing w:before="20" w:after="20" w:line="26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203 811 </w:t>
            </w:r>
          </w:p>
        </w:tc>
      </w:tr>
    </w:tbl>
    <w:p w14:paraId="62A0ADD2" w14:textId="0E528959" w:rsidR="00C543C6" w:rsidRPr="005269E6" w:rsidRDefault="00920133" w:rsidP="00924DC6">
      <w:pPr>
        <w:spacing w:before="240" w:after="120"/>
        <w:rPr>
          <w:rtl/>
        </w:rPr>
      </w:pPr>
      <w:r w:rsidRPr="005269E6">
        <w:rPr>
          <w:rtl/>
        </w:rPr>
        <w:t>يشير الجدول أعلاه إلى الأرصدة النقدية في 31 ديسمبر 2022 و2021 ويبين الجدول أدناه مستوى القيود المفروضة على الاستعمال الفوري أثناء مسار العمل العادي. وتتألف الأموال النقدية المقيدة من تلك المتأتية من مؤسسة مباني المنظمات الدولية والتبرعات للمبنى الجديد وصندوق المعاشات التقاعدية القديم للاتحاد.</w:t>
      </w:r>
    </w:p>
    <w:tbl>
      <w:tblPr>
        <w:bidiVisual/>
        <w:tblW w:w="3855" w:type="pct"/>
        <w:jc w:val="center"/>
        <w:tblLook w:val="04A0" w:firstRow="1" w:lastRow="0" w:firstColumn="1" w:lastColumn="0" w:noHBand="0" w:noVBand="1"/>
      </w:tblPr>
      <w:tblGrid>
        <w:gridCol w:w="3345"/>
        <w:gridCol w:w="1992"/>
        <w:gridCol w:w="2095"/>
      </w:tblGrid>
      <w:tr w:rsidR="00920133" w:rsidRPr="005269E6" w14:paraId="3D9CB239" w14:textId="77777777" w:rsidTr="00883F15">
        <w:trPr>
          <w:trHeight w:val="499"/>
          <w:jc w:val="center"/>
        </w:trPr>
        <w:tc>
          <w:tcPr>
            <w:tcW w:w="3344" w:type="dxa"/>
            <w:tcBorders>
              <w:top w:val="nil"/>
              <w:left w:val="nil"/>
              <w:bottom w:val="nil"/>
              <w:right w:val="nil"/>
            </w:tcBorders>
            <w:shd w:val="clear" w:color="000000" w:fill="538DD5"/>
            <w:noWrap/>
            <w:vAlign w:val="center"/>
            <w:hideMark/>
          </w:tcPr>
          <w:p w14:paraId="424F7510" w14:textId="6D1E5674" w:rsidR="00920133" w:rsidRPr="005269E6" w:rsidRDefault="00920133" w:rsidP="00ED5A54">
            <w:pPr>
              <w:tabs>
                <w:tab w:val="clear" w:pos="794"/>
              </w:tabs>
              <w:spacing w:before="20" w:after="20" w:line="26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992" w:type="dxa"/>
            <w:tcBorders>
              <w:top w:val="nil"/>
              <w:left w:val="nil"/>
              <w:bottom w:val="nil"/>
              <w:right w:val="nil"/>
            </w:tcBorders>
            <w:shd w:val="clear" w:color="000000" w:fill="538DD5"/>
            <w:noWrap/>
            <w:vAlign w:val="center"/>
            <w:hideMark/>
          </w:tcPr>
          <w:p w14:paraId="7D4ACEE2" w14:textId="048E022F" w:rsidR="00920133" w:rsidRPr="005269E6" w:rsidRDefault="00920133" w:rsidP="00ED5A54">
            <w:pPr>
              <w:spacing w:before="20" w:after="20" w:line="26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2095" w:type="dxa"/>
            <w:tcBorders>
              <w:top w:val="nil"/>
              <w:left w:val="nil"/>
              <w:bottom w:val="nil"/>
              <w:right w:val="nil"/>
            </w:tcBorders>
            <w:shd w:val="clear" w:color="000000" w:fill="538DD5"/>
            <w:noWrap/>
            <w:vAlign w:val="center"/>
            <w:hideMark/>
          </w:tcPr>
          <w:p w14:paraId="39EFBFC5" w14:textId="0023494B" w:rsidR="00920133" w:rsidRPr="005269E6" w:rsidRDefault="00920133" w:rsidP="00ED5A54">
            <w:pPr>
              <w:tabs>
                <w:tab w:val="clear" w:pos="794"/>
              </w:tabs>
              <w:spacing w:before="20" w:after="20" w:line="26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w:t>
            </w:r>
          </w:p>
        </w:tc>
      </w:tr>
      <w:tr w:rsidR="002C0CD4" w:rsidRPr="005269E6" w14:paraId="28D125E7" w14:textId="77777777" w:rsidTr="00883F15">
        <w:trPr>
          <w:trHeight w:val="499"/>
          <w:jc w:val="center"/>
        </w:trPr>
        <w:tc>
          <w:tcPr>
            <w:tcW w:w="3344" w:type="dxa"/>
            <w:tcBorders>
              <w:top w:val="nil"/>
              <w:left w:val="nil"/>
              <w:bottom w:val="nil"/>
              <w:right w:val="nil"/>
            </w:tcBorders>
            <w:shd w:val="clear" w:color="auto" w:fill="auto"/>
            <w:noWrap/>
            <w:vAlign w:val="center"/>
            <w:hideMark/>
          </w:tcPr>
          <w:p w14:paraId="3F6DFD63" w14:textId="3AEF1AF5" w:rsidR="002C0CD4" w:rsidRPr="005269E6" w:rsidRDefault="00920133" w:rsidP="00ED5A54">
            <w:pPr>
              <w:tabs>
                <w:tab w:val="clear" w:pos="794"/>
              </w:tabs>
              <w:spacing w:before="20" w:after="20" w:line="26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الأموال النقدية</w:t>
            </w:r>
            <w:r w:rsidR="00CB5C96" w:rsidRPr="005269E6">
              <w:rPr>
                <w:rFonts w:eastAsia="Times New Roman" w:hint="cs"/>
                <w:b/>
                <w:bCs/>
                <w:color w:val="000000"/>
                <w:sz w:val="18"/>
                <w:szCs w:val="18"/>
                <w:rtl/>
                <w:lang w:val="en-GB" w:eastAsia="en-GB"/>
              </w:rPr>
              <w:t xml:space="preserve"> غير</w:t>
            </w:r>
            <w:r w:rsidRPr="005269E6">
              <w:rPr>
                <w:rFonts w:eastAsia="Times New Roman"/>
                <w:b/>
                <w:bCs/>
                <w:color w:val="000000"/>
                <w:sz w:val="18"/>
                <w:szCs w:val="18"/>
                <w:rtl/>
                <w:lang w:val="en-GB" w:eastAsia="en-GB"/>
              </w:rPr>
              <w:t xml:space="preserve"> المقيدة</w:t>
            </w:r>
          </w:p>
        </w:tc>
        <w:tc>
          <w:tcPr>
            <w:tcW w:w="1992" w:type="dxa"/>
            <w:tcBorders>
              <w:top w:val="nil"/>
              <w:left w:val="nil"/>
              <w:bottom w:val="nil"/>
              <w:right w:val="nil"/>
            </w:tcBorders>
            <w:shd w:val="clear" w:color="auto" w:fill="auto"/>
            <w:noWrap/>
            <w:vAlign w:val="center"/>
            <w:hideMark/>
          </w:tcPr>
          <w:p w14:paraId="799EA025" w14:textId="74BE349A" w:rsidR="002C0CD4" w:rsidRPr="005269E6" w:rsidRDefault="002C0CD4" w:rsidP="001D7135">
            <w:pPr>
              <w:tabs>
                <w:tab w:val="clear" w:pos="794"/>
              </w:tabs>
              <w:spacing w:before="20" w:after="20" w:line="26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166 726 </w:t>
            </w:r>
          </w:p>
        </w:tc>
        <w:tc>
          <w:tcPr>
            <w:tcW w:w="2095" w:type="dxa"/>
            <w:tcBorders>
              <w:top w:val="nil"/>
              <w:left w:val="nil"/>
              <w:bottom w:val="nil"/>
              <w:right w:val="nil"/>
            </w:tcBorders>
            <w:shd w:val="clear" w:color="auto" w:fill="auto"/>
            <w:noWrap/>
            <w:vAlign w:val="center"/>
            <w:hideMark/>
          </w:tcPr>
          <w:p w14:paraId="55729BD5" w14:textId="3FF4FE84" w:rsidR="002C0CD4" w:rsidRPr="005269E6" w:rsidRDefault="002C0CD4" w:rsidP="001D7135">
            <w:pPr>
              <w:tabs>
                <w:tab w:val="clear" w:pos="794"/>
              </w:tabs>
              <w:spacing w:before="20" w:after="20" w:line="26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174 991 </w:t>
            </w:r>
          </w:p>
        </w:tc>
      </w:tr>
      <w:tr w:rsidR="00CB5C96" w:rsidRPr="005269E6" w14:paraId="1171C360" w14:textId="77777777" w:rsidTr="00883F15">
        <w:trPr>
          <w:trHeight w:val="315"/>
          <w:jc w:val="center"/>
        </w:trPr>
        <w:tc>
          <w:tcPr>
            <w:tcW w:w="3344" w:type="dxa"/>
            <w:tcBorders>
              <w:top w:val="nil"/>
              <w:left w:val="nil"/>
              <w:bottom w:val="nil"/>
              <w:right w:val="nil"/>
            </w:tcBorders>
            <w:shd w:val="clear" w:color="auto" w:fill="auto"/>
            <w:noWrap/>
            <w:vAlign w:val="bottom"/>
            <w:hideMark/>
          </w:tcPr>
          <w:p w14:paraId="7AA7DB7E" w14:textId="12A3AA27" w:rsidR="00CB5C96" w:rsidRPr="005269E6" w:rsidRDefault="00CB5C96" w:rsidP="00ED5A54">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النثريات</w:t>
            </w:r>
            <w:r w:rsidRPr="005269E6">
              <w:rPr>
                <w:rFonts w:eastAsia="Times New Roman" w:hint="cs"/>
                <w:color w:val="000000"/>
                <w:sz w:val="18"/>
                <w:szCs w:val="18"/>
                <w:rtl/>
                <w:lang w:val="en-GB" w:eastAsia="en-GB" w:bidi="ar-EG"/>
              </w:rPr>
              <w:t xml:space="preserve"> النقدية</w:t>
            </w:r>
            <w:r w:rsidRPr="005269E6">
              <w:rPr>
                <w:rFonts w:eastAsia="Times New Roman"/>
                <w:color w:val="000000"/>
                <w:sz w:val="18"/>
                <w:szCs w:val="18"/>
                <w:rtl/>
                <w:lang w:val="en-GB" w:eastAsia="en-GB"/>
              </w:rPr>
              <w:t xml:space="preserve"> بالفرنك السويسري</w:t>
            </w:r>
          </w:p>
        </w:tc>
        <w:tc>
          <w:tcPr>
            <w:tcW w:w="1992" w:type="dxa"/>
            <w:tcBorders>
              <w:top w:val="nil"/>
              <w:left w:val="nil"/>
              <w:bottom w:val="nil"/>
              <w:right w:val="nil"/>
            </w:tcBorders>
            <w:shd w:val="clear" w:color="auto" w:fill="auto"/>
            <w:noWrap/>
            <w:vAlign w:val="bottom"/>
            <w:hideMark/>
          </w:tcPr>
          <w:p w14:paraId="149C630B" w14:textId="34D4F07C" w:rsidR="00CB5C96" w:rsidRPr="005269E6" w:rsidRDefault="00CB5C96"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10 </w:t>
            </w:r>
          </w:p>
        </w:tc>
        <w:tc>
          <w:tcPr>
            <w:tcW w:w="2095" w:type="dxa"/>
            <w:tcBorders>
              <w:top w:val="nil"/>
              <w:left w:val="nil"/>
              <w:bottom w:val="nil"/>
              <w:right w:val="nil"/>
            </w:tcBorders>
            <w:shd w:val="clear" w:color="auto" w:fill="auto"/>
            <w:noWrap/>
            <w:vAlign w:val="bottom"/>
            <w:hideMark/>
          </w:tcPr>
          <w:p w14:paraId="4E90509F" w14:textId="681A996A" w:rsidR="00CB5C96" w:rsidRPr="005269E6" w:rsidRDefault="00CB5C96"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18 </w:t>
            </w:r>
          </w:p>
        </w:tc>
      </w:tr>
      <w:tr w:rsidR="00CB5C96" w:rsidRPr="005269E6" w14:paraId="1019D6D7" w14:textId="77777777" w:rsidTr="00883F15">
        <w:trPr>
          <w:trHeight w:val="315"/>
          <w:jc w:val="center"/>
        </w:trPr>
        <w:tc>
          <w:tcPr>
            <w:tcW w:w="3344" w:type="dxa"/>
            <w:tcBorders>
              <w:top w:val="nil"/>
              <w:left w:val="nil"/>
              <w:bottom w:val="nil"/>
              <w:right w:val="nil"/>
            </w:tcBorders>
            <w:shd w:val="clear" w:color="auto" w:fill="auto"/>
            <w:noWrap/>
            <w:vAlign w:val="bottom"/>
            <w:hideMark/>
          </w:tcPr>
          <w:p w14:paraId="5460E4A8" w14:textId="011BA6DF" w:rsidR="00CB5C96" w:rsidRPr="005269E6" w:rsidRDefault="00CB5C96" w:rsidP="00ED5A54">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 xml:space="preserve">النثريات النقدية </w:t>
            </w:r>
            <w:r w:rsidRPr="005269E6">
              <w:rPr>
                <w:rFonts w:eastAsia="Times New Roman" w:hint="cs"/>
                <w:color w:val="000000"/>
                <w:sz w:val="18"/>
                <w:szCs w:val="18"/>
                <w:rtl/>
                <w:lang w:val="en-GB" w:eastAsia="en-GB"/>
              </w:rPr>
              <w:t>بالعملة الأجنبية</w:t>
            </w:r>
          </w:p>
        </w:tc>
        <w:tc>
          <w:tcPr>
            <w:tcW w:w="1992" w:type="dxa"/>
            <w:tcBorders>
              <w:top w:val="nil"/>
              <w:left w:val="nil"/>
              <w:bottom w:val="nil"/>
              <w:right w:val="nil"/>
            </w:tcBorders>
            <w:shd w:val="clear" w:color="auto" w:fill="auto"/>
            <w:noWrap/>
            <w:vAlign w:val="bottom"/>
            <w:hideMark/>
          </w:tcPr>
          <w:p w14:paraId="2430F65F" w14:textId="5F7C6593" w:rsidR="00CB5C96" w:rsidRPr="005269E6" w:rsidRDefault="00CB5C96"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108 </w:t>
            </w:r>
          </w:p>
        </w:tc>
        <w:tc>
          <w:tcPr>
            <w:tcW w:w="2095" w:type="dxa"/>
            <w:tcBorders>
              <w:top w:val="nil"/>
              <w:left w:val="nil"/>
              <w:bottom w:val="nil"/>
              <w:right w:val="nil"/>
            </w:tcBorders>
            <w:shd w:val="clear" w:color="auto" w:fill="auto"/>
            <w:noWrap/>
            <w:vAlign w:val="bottom"/>
            <w:hideMark/>
          </w:tcPr>
          <w:p w14:paraId="05685F3A" w14:textId="4251B216" w:rsidR="00CB5C96" w:rsidRPr="005269E6" w:rsidRDefault="00CB5C96"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93 </w:t>
            </w:r>
          </w:p>
        </w:tc>
      </w:tr>
      <w:tr w:rsidR="002C0CD4" w:rsidRPr="005269E6" w14:paraId="430810B5" w14:textId="77777777" w:rsidTr="00883F15">
        <w:trPr>
          <w:trHeight w:val="255"/>
          <w:jc w:val="center"/>
        </w:trPr>
        <w:tc>
          <w:tcPr>
            <w:tcW w:w="3344" w:type="dxa"/>
            <w:tcBorders>
              <w:top w:val="nil"/>
              <w:left w:val="nil"/>
              <w:bottom w:val="nil"/>
              <w:right w:val="nil"/>
            </w:tcBorders>
            <w:shd w:val="clear" w:color="auto" w:fill="auto"/>
            <w:noWrap/>
            <w:vAlign w:val="bottom"/>
            <w:hideMark/>
          </w:tcPr>
          <w:p w14:paraId="4A53B45F" w14:textId="0EDCDD38" w:rsidR="002C0CD4" w:rsidRPr="005269E6" w:rsidRDefault="00CB5C96" w:rsidP="00ED5A54">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الحسابات المصرفية الجارية بالعملة الأجنبية</w:t>
            </w:r>
          </w:p>
        </w:tc>
        <w:tc>
          <w:tcPr>
            <w:tcW w:w="1992" w:type="dxa"/>
            <w:tcBorders>
              <w:top w:val="nil"/>
              <w:left w:val="nil"/>
              <w:bottom w:val="nil"/>
              <w:right w:val="nil"/>
            </w:tcBorders>
            <w:shd w:val="clear" w:color="auto" w:fill="auto"/>
            <w:noWrap/>
            <w:vAlign w:val="bottom"/>
            <w:hideMark/>
          </w:tcPr>
          <w:p w14:paraId="083B782E" w14:textId="5329CF3B" w:rsidR="002C0CD4" w:rsidRPr="005269E6" w:rsidRDefault="002C0CD4"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54 101 </w:t>
            </w:r>
          </w:p>
        </w:tc>
        <w:tc>
          <w:tcPr>
            <w:tcW w:w="2095" w:type="dxa"/>
            <w:tcBorders>
              <w:top w:val="nil"/>
              <w:left w:val="nil"/>
              <w:bottom w:val="nil"/>
              <w:right w:val="nil"/>
            </w:tcBorders>
            <w:shd w:val="clear" w:color="auto" w:fill="auto"/>
            <w:noWrap/>
            <w:vAlign w:val="bottom"/>
            <w:hideMark/>
          </w:tcPr>
          <w:p w14:paraId="6C7E441D" w14:textId="05FFF117" w:rsidR="002C0CD4" w:rsidRPr="005269E6" w:rsidRDefault="002C0CD4"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20 486 </w:t>
            </w:r>
          </w:p>
        </w:tc>
      </w:tr>
      <w:tr w:rsidR="002C0CD4" w:rsidRPr="005269E6" w14:paraId="247356A2" w14:textId="77777777" w:rsidTr="00883F15">
        <w:trPr>
          <w:trHeight w:val="255"/>
          <w:jc w:val="center"/>
        </w:trPr>
        <w:tc>
          <w:tcPr>
            <w:tcW w:w="3344" w:type="dxa"/>
            <w:tcBorders>
              <w:top w:val="nil"/>
              <w:left w:val="nil"/>
              <w:bottom w:val="nil"/>
              <w:right w:val="nil"/>
            </w:tcBorders>
            <w:shd w:val="clear" w:color="auto" w:fill="auto"/>
            <w:noWrap/>
            <w:vAlign w:val="bottom"/>
            <w:hideMark/>
          </w:tcPr>
          <w:p w14:paraId="2775D97B" w14:textId="164F5182" w:rsidR="002C0CD4" w:rsidRPr="005269E6" w:rsidRDefault="00CB5C96" w:rsidP="00ED5A54">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الحسابات المصرفية الجارية بالفرنك السويسري</w:t>
            </w:r>
          </w:p>
        </w:tc>
        <w:tc>
          <w:tcPr>
            <w:tcW w:w="1992" w:type="dxa"/>
            <w:tcBorders>
              <w:top w:val="nil"/>
              <w:left w:val="nil"/>
              <w:bottom w:val="nil"/>
              <w:right w:val="nil"/>
            </w:tcBorders>
            <w:shd w:val="clear" w:color="auto" w:fill="auto"/>
            <w:noWrap/>
            <w:vAlign w:val="bottom"/>
            <w:hideMark/>
          </w:tcPr>
          <w:p w14:paraId="6F250279" w14:textId="46D0ACFD" w:rsidR="002C0CD4" w:rsidRPr="005269E6" w:rsidRDefault="002C0CD4"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47 134 </w:t>
            </w:r>
          </w:p>
        </w:tc>
        <w:tc>
          <w:tcPr>
            <w:tcW w:w="2095" w:type="dxa"/>
            <w:tcBorders>
              <w:top w:val="nil"/>
              <w:left w:val="nil"/>
              <w:bottom w:val="nil"/>
              <w:right w:val="nil"/>
            </w:tcBorders>
            <w:shd w:val="clear" w:color="auto" w:fill="auto"/>
            <w:noWrap/>
            <w:vAlign w:val="bottom"/>
            <w:hideMark/>
          </w:tcPr>
          <w:p w14:paraId="79DCBE09" w14:textId="4E893123" w:rsidR="002C0CD4" w:rsidRPr="005269E6" w:rsidRDefault="002C0CD4"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79 182 </w:t>
            </w:r>
          </w:p>
        </w:tc>
      </w:tr>
      <w:tr w:rsidR="00CB5C96" w:rsidRPr="005269E6" w14:paraId="46B7FA25" w14:textId="77777777" w:rsidTr="00883F15">
        <w:trPr>
          <w:trHeight w:val="255"/>
          <w:jc w:val="center"/>
        </w:trPr>
        <w:tc>
          <w:tcPr>
            <w:tcW w:w="3344" w:type="dxa"/>
            <w:tcBorders>
              <w:top w:val="nil"/>
              <w:left w:val="nil"/>
              <w:bottom w:val="nil"/>
              <w:right w:val="nil"/>
            </w:tcBorders>
            <w:shd w:val="clear" w:color="auto" w:fill="auto"/>
            <w:noWrap/>
            <w:vAlign w:val="bottom"/>
            <w:hideMark/>
          </w:tcPr>
          <w:p w14:paraId="77CF45F6" w14:textId="2BD5A683" w:rsidR="00CB5C96" w:rsidRPr="005269E6" w:rsidRDefault="00CB5C96" w:rsidP="00ED5A54">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حسابات الإيداع باليورو</w:t>
            </w:r>
          </w:p>
        </w:tc>
        <w:tc>
          <w:tcPr>
            <w:tcW w:w="1992" w:type="dxa"/>
            <w:tcBorders>
              <w:top w:val="nil"/>
              <w:left w:val="nil"/>
              <w:bottom w:val="nil"/>
              <w:right w:val="nil"/>
            </w:tcBorders>
            <w:shd w:val="clear" w:color="auto" w:fill="auto"/>
            <w:noWrap/>
            <w:vAlign w:val="bottom"/>
            <w:hideMark/>
          </w:tcPr>
          <w:p w14:paraId="65BBE8A6" w14:textId="002EF3A5" w:rsidR="00CB5C96" w:rsidRPr="005269E6" w:rsidRDefault="00CB5C96"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11 337 </w:t>
            </w:r>
          </w:p>
        </w:tc>
        <w:tc>
          <w:tcPr>
            <w:tcW w:w="2095" w:type="dxa"/>
            <w:tcBorders>
              <w:top w:val="nil"/>
              <w:left w:val="nil"/>
              <w:bottom w:val="nil"/>
              <w:right w:val="nil"/>
            </w:tcBorders>
            <w:shd w:val="clear" w:color="auto" w:fill="auto"/>
            <w:noWrap/>
            <w:vAlign w:val="bottom"/>
            <w:hideMark/>
          </w:tcPr>
          <w:p w14:paraId="74D912ED" w14:textId="2445B1F2" w:rsidR="00CB5C96" w:rsidRPr="005269E6" w:rsidRDefault="00CB5C96"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11 982 </w:t>
            </w:r>
          </w:p>
        </w:tc>
      </w:tr>
      <w:tr w:rsidR="00CB5C96" w:rsidRPr="005269E6" w14:paraId="220F48B5" w14:textId="77777777" w:rsidTr="00883F15">
        <w:trPr>
          <w:trHeight w:val="315"/>
          <w:jc w:val="center"/>
        </w:trPr>
        <w:tc>
          <w:tcPr>
            <w:tcW w:w="3344" w:type="dxa"/>
            <w:tcBorders>
              <w:top w:val="nil"/>
              <w:left w:val="nil"/>
              <w:bottom w:val="nil"/>
              <w:right w:val="nil"/>
            </w:tcBorders>
            <w:shd w:val="clear" w:color="auto" w:fill="auto"/>
            <w:noWrap/>
            <w:vAlign w:val="bottom"/>
            <w:hideMark/>
          </w:tcPr>
          <w:p w14:paraId="1B043496" w14:textId="467C8986" w:rsidR="00CB5C96" w:rsidRPr="005269E6" w:rsidRDefault="00CB5C96" w:rsidP="00ED5A54">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استثمار</w:t>
            </w:r>
            <w:r w:rsidRPr="005269E6">
              <w:rPr>
                <w:rFonts w:eastAsia="Times New Roman" w:hint="cs"/>
                <w:color w:val="000000"/>
                <w:sz w:val="18"/>
                <w:szCs w:val="18"/>
                <w:rtl/>
                <w:lang w:val="en-GB" w:eastAsia="en-GB"/>
              </w:rPr>
              <w:t>ات</w:t>
            </w:r>
            <w:r w:rsidRPr="005269E6">
              <w:rPr>
                <w:rFonts w:eastAsia="Times New Roman"/>
                <w:color w:val="000000"/>
                <w:sz w:val="18"/>
                <w:szCs w:val="18"/>
                <w:rtl/>
                <w:lang w:val="en-GB" w:eastAsia="en-GB"/>
              </w:rPr>
              <w:t xml:space="preserve"> قصير</w:t>
            </w:r>
            <w:r w:rsidRPr="005269E6">
              <w:rPr>
                <w:rFonts w:eastAsia="Times New Roman" w:hint="cs"/>
                <w:color w:val="000000"/>
                <w:sz w:val="18"/>
                <w:szCs w:val="18"/>
                <w:rtl/>
                <w:lang w:val="en-GB" w:eastAsia="en-GB"/>
              </w:rPr>
              <w:t>ة</w:t>
            </w:r>
            <w:r w:rsidRPr="005269E6">
              <w:rPr>
                <w:rFonts w:eastAsia="Times New Roman"/>
                <w:color w:val="000000"/>
                <w:sz w:val="18"/>
                <w:szCs w:val="18"/>
                <w:rtl/>
                <w:lang w:val="en-GB" w:eastAsia="en-GB"/>
              </w:rPr>
              <w:t xml:space="preserve"> الأجل 0-3 أشهر</w:t>
            </w:r>
          </w:p>
        </w:tc>
        <w:tc>
          <w:tcPr>
            <w:tcW w:w="1992" w:type="dxa"/>
            <w:tcBorders>
              <w:top w:val="nil"/>
              <w:left w:val="nil"/>
              <w:bottom w:val="nil"/>
              <w:right w:val="nil"/>
            </w:tcBorders>
            <w:shd w:val="clear" w:color="auto" w:fill="auto"/>
            <w:noWrap/>
            <w:vAlign w:val="bottom"/>
            <w:hideMark/>
          </w:tcPr>
          <w:p w14:paraId="0B621B7D" w14:textId="20C862D0" w:rsidR="00CB5C96" w:rsidRPr="005269E6" w:rsidRDefault="00CB5C96"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54 034 </w:t>
            </w:r>
          </w:p>
        </w:tc>
        <w:tc>
          <w:tcPr>
            <w:tcW w:w="2095" w:type="dxa"/>
            <w:tcBorders>
              <w:top w:val="nil"/>
              <w:left w:val="nil"/>
              <w:bottom w:val="nil"/>
              <w:right w:val="nil"/>
            </w:tcBorders>
            <w:shd w:val="clear" w:color="auto" w:fill="auto"/>
            <w:noWrap/>
            <w:vAlign w:val="bottom"/>
            <w:hideMark/>
          </w:tcPr>
          <w:p w14:paraId="4DC53857" w14:textId="42839BE1" w:rsidR="00CB5C96" w:rsidRPr="005269E6" w:rsidRDefault="00CB5C96"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63 230 </w:t>
            </w:r>
          </w:p>
        </w:tc>
      </w:tr>
      <w:tr w:rsidR="002C0CD4" w:rsidRPr="005269E6" w14:paraId="7C239D14" w14:textId="77777777" w:rsidTr="003F067A">
        <w:trPr>
          <w:trHeight w:val="507"/>
          <w:jc w:val="center"/>
        </w:trPr>
        <w:tc>
          <w:tcPr>
            <w:tcW w:w="3344" w:type="dxa"/>
            <w:tcBorders>
              <w:top w:val="nil"/>
              <w:left w:val="nil"/>
              <w:bottom w:val="nil"/>
              <w:right w:val="nil"/>
            </w:tcBorders>
            <w:shd w:val="clear" w:color="auto" w:fill="auto"/>
            <w:noWrap/>
            <w:vAlign w:val="center"/>
            <w:hideMark/>
          </w:tcPr>
          <w:p w14:paraId="3F651F32" w14:textId="6518EB4A" w:rsidR="002C0CD4" w:rsidRPr="005269E6" w:rsidRDefault="00CB5C96" w:rsidP="003F067A">
            <w:pPr>
              <w:tabs>
                <w:tab w:val="clear" w:pos="794"/>
              </w:tabs>
              <w:spacing w:before="20" w:after="20" w:line="26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الأموال النقدية المقيدة</w:t>
            </w:r>
          </w:p>
        </w:tc>
        <w:tc>
          <w:tcPr>
            <w:tcW w:w="1992" w:type="dxa"/>
            <w:tcBorders>
              <w:top w:val="nil"/>
              <w:left w:val="nil"/>
              <w:bottom w:val="nil"/>
              <w:right w:val="nil"/>
            </w:tcBorders>
            <w:shd w:val="clear" w:color="auto" w:fill="auto"/>
            <w:noWrap/>
            <w:vAlign w:val="center"/>
            <w:hideMark/>
          </w:tcPr>
          <w:p w14:paraId="256A9A08" w14:textId="4DFFEA2B" w:rsidR="002C0CD4" w:rsidRPr="005269E6" w:rsidRDefault="002C0CD4" w:rsidP="003F067A">
            <w:pPr>
              <w:tabs>
                <w:tab w:val="clear" w:pos="794"/>
              </w:tabs>
              <w:spacing w:before="20" w:after="20" w:line="26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27 142 </w:t>
            </w:r>
          </w:p>
        </w:tc>
        <w:tc>
          <w:tcPr>
            <w:tcW w:w="2095" w:type="dxa"/>
            <w:tcBorders>
              <w:top w:val="nil"/>
              <w:left w:val="nil"/>
              <w:bottom w:val="nil"/>
              <w:right w:val="nil"/>
            </w:tcBorders>
            <w:shd w:val="clear" w:color="auto" w:fill="auto"/>
            <w:noWrap/>
            <w:vAlign w:val="center"/>
            <w:hideMark/>
          </w:tcPr>
          <w:p w14:paraId="05A3E8B8" w14:textId="6DC74EE2" w:rsidR="002C0CD4" w:rsidRPr="005269E6" w:rsidRDefault="002C0CD4" w:rsidP="003F067A">
            <w:pPr>
              <w:tabs>
                <w:tab w:val="clear" w:pos="794"/>
              </w:tabs>
              <w:spacing w:before="20" w:after="20" w:line="26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28 820 </w:t>
            </w:r>
          </w:p>
        </w:tc>
      </w:tr>
      <w:tr w:rsidR="002C0CD4" w:rsidRPr="005269E6" w14:paraId="72ED8318" w14:textId="77777777" w:rsidTr="00883F15">
        <w:trPr>
          <w:trHeight w:val="255"/>
          <w:jc w:val="center"/>
        </w:trPr>
        <w:tc>
          <w:tcPr>
            <w:tcW w:w="3344" w:type="dxa"/>
            <w:tcBorders>
              <w:top w:val="nil"/>
              <w:left w:val="nil"/>
              <w:bottom w:val="nil"/>
              <w:right w:val="nil"/>
            </w:tcBorders>
            <w:shd w:val="clear" w:color="auto" w:fill="auto"/>
            <w:noWrap/>
            <w:vAlign w:val="bottom"/>
            <w:hideMark/>
          </w:tcPr>
          <w:p w14:paraId="7D4DF7FB" w14:textId="62915C48" w:rsidR="002C0CD4" w:rsidRPr="005269E6" w:rsidRDefault="00CB5C96" w:rsidP="00ED5A54">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الحسابات المصرفية الجارية بالفرنك السويسري</w:t>
            </w:r>
          </w:p>
        </w:tc>
        <w:tc>
          <w:tcPr>
            <w:tcW w:w="1992" w:type="dxa"/>
            <w:tcBorders>
              <w:top w:val="nil"/>
              <w:left w:val="nil"/>
              <w:bottom w:val="nil"/>
              <w:right w:val="nil"/>
            </w:tcBorders>
            <w:shd w:val="clear" w:color="auto" w:fill="auto"/>
            <w:noWrap/>
            <w:vAlign w:val="bottom"/>
            <w:hideMark/>
          </w:tcPr>
          <w:p w14:paraId="332F51CB" w14:textId="122A1716" w:rsidR="002C0CD4" w:rsidRPr="005269E6" w:rsidRDefault="002C0CD4"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21 501 </w:t>
            </w:r>
          </w:p>
        </w:tc>
        <w:tc>
          <w:tcPr>
            <w:tcW w:w="2095" w:type="dxa"/>
            <w:tcBorders>
              <w:top w:val="nil"/>
              <w:left w:val="nil"/>
              <w:bottom w:val="nil"/>
              <w:right w:val="nil"/>
            </w:tcBorders>
            <w:shd w:val="clear" w:color="auto" w:fill="auto"/>
            <w:noWrap/>
            <w:vAlign w:val="bottom"/>
            <w:hideMark/>
          </w:tcPr>
          <w:p w14:paraId="3961AB18" w14:textId="73C45884" w:rsidR="002C0CD4" w:rsidRPr="005269E6" w:rsidRDefault="002C0CD4"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18 631 </w:t>
            </w:r>
          </w:p>
        </w:tc>
      </w:tr>
      <w:tr w:rsidR="002C0CD4" w:rsidRPr="005269E6" w14:paraId="5A3CB91E" w14:textId="77777777" w:rsidTr="00883F15">
        <w:trPr>
          <w:trHeight w:val="255"/>
          <w:jc w:val="center"/>
        </w:trPr>
        <w:tc>
          <w:tcPr>
            <w:tcW w:w="3344" w:type="dxa"/>
            <w:tcBorders>
              <w:top w:val="nil"/>
              <w:left w:val="nil"/>
              <w:bottom w:val="nil"/>
              <w:right w:val="nil"/>
            </w:tcBorders>
            <w:shd w:val="clear" w:color="auto" w:fill="auto"/>
            <w:noWrap/>
            <w:vAlign w:val="bottom"/>
            <w:hideMark/>
          </w:tcPr>
          <w:p w14:paraId="1CCB2595" w14:textId="79C27C6A" w:rsidR="002C0CD4" w:rsidRPr="005269E6" w:rsidRDefault="00CB5C96" w:rsidP="00ED5A54">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استثمارات قصيرة الأجل 0-3 أشهر</w:t>
            </w:r>
          </w:p>
        </w:tc>
        <w:tc>
          <w:tcPr>
            <w:tcW w:w="1992" w:type="dxa"/>
            <w:tcBorders>
              <w:top w:val="nil"/>
              <w:left w:val="nil"/>
              <w:bottom w:val="nil"/>
              <w:right w:val="nil"/>
            </w:tcBorders>
            <w:shd w:val="clear" w:color="auto" w:fill="auto"/>
            <w:noWrap/>
            <w:vAlign w:val="bottom"/>
            <w:hideMark/>
          </w:tcPr>
          <w:p w14:paraId="386D9454" w14:textId="4E84C2A1" w:rsidR="002C0CD4" w:rsidRPr="005269E6" w:rsidRDefault="002C0CD4"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5 642 </w:t>
            </w:r>
          </w:p>
        </w:tc>
        <w:tc>
          <w:tcPr>
            <w:tcW w:w="2095" w:type="dxa"/>
            <w:tcBorders>
              <w:top w:val="nil"/>
              <w:left w:val="nil"/>
              <w:bottom w:val="nil"/>
              <w:right w:val="nil"/>
            </w:tcBorders>
            <w:shd w:val="clear" w:color="auto" w:fill="auto"/>
            <w:noWrap/>
            <w:vAlign w:val="bottom"/>
            <w:hideMark/>
          </w:tcPr>
          <w:p w14:paraId="5EE03421" w14:textId="562B6BEF" w:rsidR="002C0CD4" w:rsidRPr="005269E6" w:rsidRDefault="002C0CD4" w:rsidP="001D7135">
            <w:pPr>
              <w:tabs>
                <w:tab w:val="clear" w:pos="794"/>
              </w:tabs>
              <w:spacing w:before="20" w:after="20" w:line="26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10 189 </w:t>
            </w:r>
          </w:p>
        </w:tc>
      </w:tr>
      <w:tr w:rsidR="002C0CD4" w:rsidRPr="005269E6" w14:paraId="31067888" w14:textId="77777777" w:rsidTr="004C39BB">
        <w:trPr>
          <w:trHeight w:val="361"/>
          <w:jc w:val="center"/>
        </w:trPr>
        <w:tc>
          <w:tcPr>
            <w:tcW w:w="3344" w:type="dxa"/>
            <w:tcBorders>
              <w:top w:val="nil"/>
              <w:left w:val="nil"/>
              <w:bottom w:val="nil"/>
              <w:right w:val="nil"/>
            </w:tcBorders>
            <w:shd w:val="clear" w:color="000000" w:fill="538DD5"/>
            <w:noWrap/>
            <w:vAlign w:val="center"/>
            <w:hideMark/>
          </w:tcPr>
          <w:p w14:paraId="669699A6" w14:textId="264E1F6F" w:rsidR="002C0CD4" w:rsidRPr="005269E6" w:rsidRDefault="00CB5C96" w:rsidP="00ED5A54">
            <w:pPr>
              <w:tabs>
                <w:tab w:val="clear" w:pos="794"/>
              </w:tabs>
              <w:spacing w:before="20" w:after="20" w:line="26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الأموال النقدية وما يعادلها</w:t>
            </w:r>
          </w:p>
        </w:tc>
        <w:tc>
          <w:tcPr>
            <w:tcW w:w="1992" w:type="dxa"/>
            <w:tcBorders>
              <w:top w:val="nil"/>
              <w:left w:val="nil"/>
              <w:bottom w:val="nil"/>
              <w:right w:val="nil"/>
            </w:tcBorders>
            <w:shd w:val="clear" w:color="000000" w:fill="538DD5"/>
            <w:noWrap/>
            <w:vAlign w:val="center"/>
            <w:hideMark/>
          </w:tcPr>
          <w:p w14:paraId="3A9168C5" w14:textId="5AD89AAC" w:rsidR="002C0CD4" w:rsidRPr="005269E6" w:rsidRDefault="002C0CD4" w:rsidP="001D7135">
            <w:pPr>
              <w:tabs>
                <w:tab w:val="clear" w:pos="794"/>
              </w:tabs>
              <w:spacing w:before="20" w:after="20" w:line="26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193 868 </w:t>
            </w:r>
          </w:p>
        </w:tc>
        <w:tc>
          <w:tcPr>
            <w:tcW w:w="2095" w:type="dxa"/>
            <w:tcBorders>
              <w:top w:val="nil"/>
              <w:left w:val="nil"/>
              <w:bottom w:val="nil"/>
              <w:right w:val="nil"/>
            </w:tcBorders>
            <w:shd w:val="clear" w:color="000000" w:fill="538DD5"/>
            <w:noWrap/>
            <w:vAlign w:val="center"/>
            <w:hideMark/>
          </w:tcPr>
          <w:p w14:paraId="776D23E1" w14:textId="42B29313" w:rsidR="002C0CD4" w:rsidRPr="005269E6" w:rsidRDefault="002C0CD4" w:rsidP="001D7135">
            <w:pPr>
              <w:tabs>
                <w:tab w:val="clear" w:pos="794"/>
              </w:tabs>
              <w:spacing w:before="20" w:after="20" w:line="26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203 811 </w:t>
            </w:r>
          </w:p>
        </w:tc>
      </w:tr>
    </w:tbl>
    <w:p w14:paraId="493943A1" w14:textId="53DD9119" w:rsidR="00C543C6" w:rsidRPr="005269E6" w:rsidRDefault="00C543C6" w:rsidP="00696AA6">
      <w:pPr>
        <w:pStyle w:val="Heading5"/>
        <w:rPr>
          <w:rtl/>
        </w:rPr>
      </w:pPr>
      <w:bookmarkStart w:id="374" w:name="_Toc329296025"/>
      <w:bookmarkStart w:id="375" w:name="_Toc358648345"/>
      <w:bookmarkStart w:id="376" w:name="_Toc358648544"/>
      <w:bookmarkStart w:id="377" w:name="_Toc387263376"/>
      <w:bookmarkStart w:id="378" w:name="_Toc387338351"/>
      <w:bookmarkStart w:id="379" w:name="_Toc419484075"/>
      <w:bookmarkStart w:id="380" w:name="_Toc452156627"/>
      <w:bookmarkStart w:id="381" w:name="_Toc482792211"/>
      <w:bookmarkStart w:id="382" w:name="_Toc482793716"/>
      <w:bookmarkStart w:id="383" w:name="_Toc511402231"/>
      <w:bookmarkStart w:id="384" w:name="_Toc511756668"/>
      <w:bookmarkStart w:id="385" w:name="_Toc9614787"/>
      <w:bookmarkStart w:id="386" w:name="_Toc42013542"/>
      <w:bookmarkStart w:id="387" w:name="_Toc42014543"/>
      <w:bookmarkStart w:id="388" w:name="_Toc74061575"/>
      <w:bookmarkStart w:id="389" w:name="_Toc162520626"/>
      <w:r w:rsidRPr="005269E6">
        <w:rPr>
          <w:rtl/>
        </w:rPr>
        <w:t xml:space="preserve">الملاحظة </w:t>
      </w:r>
      <w:r w:rsidR="00AD3B51" w:rsidRPr="005269E6">
        <w:t>8</w:t>
      </w:r>
      <w:r w:rsidRPr="005269E6">
        <w:rPr>
          <w:rFonts w:hint="cs"/>
          <w:rtl/>
        </w:rPr>
        <w:tab/>
      </w:r>
      <w:r w:rsidRPr="005269E6">
        <w:rPr>
          <w:rtl/>
        </w:rPr>
        <w:t>الاستثمارات</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4E4585F" w14:textId="58DA977B" w:rsidR="00C543C6" w:rsidRPr="005269E6" w:rsidRDefault="00C543C6" w:rsidP="00883F15">
      <w:pPr>
        <w:rPr>
          <w:rtl/>
          <w:lang w:bidi="ar-EG"/>
        </w:rPr>
      </w:pPr>
      <w:r w:rsidRPr="005269E6">
        <w:rPr>
          <w:rtl/>
          <w:lang w:bidi="ar-EG"/>
        </w:rPr>
        <w:t>تحقق الاستثمارات الآجلة فوائد بالمعدلات السائدة في السوق</w:t>
      </w:r>
      <w:r w:rsidRPr="005269E6">
        <w:rPr>
          <w:rFonts w:hint="cs"/>
          <w:rtl/>
          <w:lang w:bidi="ar-EG"/>
        </w:rPr>
        <w:t xml:space="preserve">، وتصنف </w:t>
      </w:r>
      <w:r w:rsidR="00CB5C96" w:rsidRPr="005269E6">
        <w:rPr>
          <w:rFonts w:hint="cs"/>
          <w:rtl/>
          <w:lang w:bidi="ar-EG"/>
        </w:rPr>
        <w:t>كصكوك</w:t>
      </w:r>
      <w:r w:rsidRPr="005269E6">
        <w:rPr>
          <w:rFonts w:hint="cs"/>
          <w:rtl/>
          <w:lang w:bidi="ar-EG"/>
        </w:rPr>
        <w:t xml:space="preserve"> مالية ب</w:t>
      </w:r>
      <w:r w:rsidR="00415128" w:rsidRPr="005269E6">
        <w:rPr>
          <w:rFonts w:hint="cs"/>
          <w:rtl/>
          <w:lang w:bidi="ar-EG"/>
        </w:rPr>
        <w:t>القيمة العادلة</w:t>
      </w:r>
      <w:r w:rsidRPr="005269E6">
        <w:rPr>
          <w:rFonts w:hint="cs"/>
          <w:rtl/>
          <w:lang w:bidi="ar-EG"/>
        </w:rPr>
        <w:t xml:space="preserve"> من خلال الفائض/العجز</w:t>
      </w:r>
      <w:r w:rsidRPr="005269E6">
        <w:rPr>
          <w:rtl/>
          <w:lang w:bidi="ar-EG"/>
        </w:rPr>
        <w:t>.</w:t>
      </w:r>
      <w:r w:rsidRPr="005269E6">
        <w:rPr>
          <w:rFonts w:hint="cs"/>
          <w:rtl/>
          <w:lang w:bidi="ar-EG"/>
        </w:rPr>
        <w:t xml:space="preserve"> وتكافئ </w:t>
      </w:r>
      <w:r w:rsidR="00415128" w:rsidRPr="005269E6">
        <w:rPr>
          <w:rFonts w:hint="cs"/>
          <w:rtl/>
          <w:lang w:bidi="ar-EG"/>
        </w:rPr>
        <w:t>القيمة العادلة</w:t>
      </w:r>
      <w:r w:rsidRPr="005269E6">
        <w:rPr>
          <w:rFonts w:hint="cs"/>
          <w:rtl/>
          <w:lang w:bidi="ar-EG"/>
        </w:rPr>
        <w:t xml:space="preserve"> للإيداعات النقدية </w:t>
      </w:r>
      <w:r w:rsidR="00CB5C96" w:rsidRPr="005269E6">
        <w:rPr>
          <w:rFonts w:hint="cs"/>
          <w:rtl/>
          <w:lang w:bidi="ar-EG"/>
        </w:rPr>
        <w:t>المبلغ الدفتري</w:t>
      </w:r>
      <w:r w:rsidRPr="005269E6">
        <w:rPr>
          <w:rFonts w:hint="cs"/>
          <w:rtl/>
          <w:lang w:bidi="ar-EG"/>
        </w:rPr>
        <w:t>.</w:t>
      </w:r>
    </w:p>
    <w:p w14:paraId="1B75601D" w14:textId="2320E52B" w:rsidR="00492504" w:rsidRPr="005269E6" w:rsidRDefault="00492504" w:rsidP="00883F15">
      <w:pPr>
        <w:rPr>
          <w:rtl/>
          <w:lang w:bidi="ar-EG"/>
        </w:rPr>
      </w:pPr>
      <w:r w:rsidRPr="005269E6">
        <w:rPr>
          <w:rtl/>
          <w:lang w:bidi="ar-EG"/>
        </w:rPr>
        <w:t>ويمثل الانخفاض في الاستثمارات أساسا</w:t>
      </w:r>
      <w:r w:rsidR="00883F15" w:rsidRPr="005269E6">
        <w:rPr>
          <w:rFonts w:hint="cs"/>
          <w:rtl/>
          <w:lang w:bidi="ar-EG"/>
        </w:rPr>
        <w:t>ً</w:t>
      </w:r>
      <w:r w:rsidRPr="005269E6">
        <w:rPr>
          <w:rtl/>
          <w:lang w:bidi="ar-EG"/>
        </w:rPr>
        <w:t xml:space="preserve"> ارتفاع معدل تنفيذ إيرادات المشاريع من خارج الميزانية المتلقاة في عام 2021، وهو ما </w:t>
      </w:r>
      <w:r w:rsidRPr="005269E6">
        <w:rPr>
          <w:rFonts w:hint="cs"/>
          <w:rtl/>
          <w:lang w:bidi="ar-EG"/>
        </w:rPr>
        <w:t>ت</w:t>
      </w:r>
      <w:r w:rsidRPr="005269E6">
        <w:rPr>
          <w:rtl/>
          <w:lang w:bidi="ar-EG"/>
        </w:rPr>
        <w:t>مكن ملاحظته أيضا</w:t>
      </w:r>
      <w:r w:rsidR="00883F15" w:rsidRPr="005269E6">
        <w:rPr>
          <w:rFonts w:hint="cs"/>
          <w:rtl/>
          <w:lang w:bidi="ar-EG"/>
        </w:rPr>
        <w:t>ً</w:t>
      </w:r>
      <w:r w:rsidRPr="005269E6">
        <w:rPr>
          <w:rtl/>
          <w:lang w:bidi="ar-EG"/>
        </w:rPr>
        <w:t xml:space="preserve"> في انخفاض أموال الأطراف الثالثة (انظر الملاحظة 21). </w:t>
      </w:r>
      <w:r w:rsidRPr="005269E6">
        <w:rPr>
          <w:rFonts w:hint="cs"/>
          <w:rtl/>
          <w:lang w:bidi="ar-EG"/>
        </w:rPr>
        <w:t>وكذلك</w:t>
      </w:r>
      <w:r w:rsidRPr="005269E6">
        <w:rPr>
          <w:rtl/>
          <w:lang w:bidi="ar-EG"/>
        </w:rPr>
        <w:t xml:space="preserve"> قل</w:t>
      </w:r>
      <w:r w:rsidRPr="005269E6">
        <w:rPr>
          <w:rFonts w:hint="cs"/>
          <w:rtl/>
          <w:lang w:bidi="ar-EG"/>
        </w:rPr>
        <w:t>َّ</w:t>
      </w:r>
      <w:r w:rsidRPr="005269E6">
        <w:rPr>
          <w:rtl/>
          <w:lang w:bidi="ar-EG"/>
        </w:rPr>
        <w:t xml:space="preserve">ت الإيرادات الفعلية في الميزانية البرنامجية </w:t>
      </w:r>
      <w:r w:rsidRPr="005269E6">
        <w:rPr>
          <w:rFonts w:hint="cs"/>
          <w:rtl/>
          <w:lang w:bidi="ar-EG"/>
        </w:rPr>
        <w:t>ع</w:t>
      </w:r>
      <w:r w:rsidRPr="005269E6">
        <w:rPr>
          <w:rtl/>
          <w:lang w:bidi="ar-EG"/>
        </w:rPr>
        <w:t>ن المبالغ المدرجة في الميزانية، مما أدى إلى زيادة انخفاض الأموال المتاحة للاستثمار.</w:t>
      </w:r>
    </w:p>
    <w:p w14:paraId="54F23787" w14:textId="3EEFBB03" w:rsidR="00CB5C96" w:rsidRPr="005269E6" w:rsidRDefault="00492504" w:rsidP="00883F15">
      <w:pPr>
        <w:spacing w:after="120"/>
        <w:rPr>
          <w:lang w:bidi="ar-EG"/>
        </w:rPr>
      </w:pPr>
      <w:r w:rsidRPr="005269E6">
        <w:rPr>
          <w:rtl/>
          <w:lang w:bidi="ar-EG"/>
        </w:rPr>
        <w:t xml:space="preserve">وفيما يلي توزيع </w:t>
      </w:r>
      <w:r w:rsidRPr="005269E6">
        <w:rPr>
          <w:rFonts w:hint="cs"/>
          <w:rtl/>
          <w:lang w:bidi="ar-EG"/>
        </w:rPr>
        <w:t>ا</w:t>
      </w:r>
      <w:r w:rsidRPr="005269E6">
        <w:rPr>
          <w:rtl/>
          <w:lang w:bidi="ar-EG"/>
        </w:rPr>
        <w:t>لاستثمارات محددة الأجل حسب تاريخ الاستحقاق (الفترة المتبقية) وحسب العملة:</w:t>
      </w:r>
    </w:p>
    <w:tbl>
      <w:tblPr>
        <w:bidiVisual/>
        <w:tblW w:w="3641" w:type="pct"/>
        <w:jc w:val="center"/>
        <w:tblLook w:val="04A0" w:firstRow="1" w:lastRow="0" w:firstColumn="1" w:lastColumn="0" w:noHBand="0" w:noVBand="1"/>
      </w:tblPr>
      <w:tblGrid>
        <w:gridCol w:w="2754"/>
        <w:gridCol w:w="732"/>
        <w:gridCol w:w="881"/>
        <w:gridCol w:w="360"/>
        <w:gridCol w:w="360"/>
        <w:gridCol w:w="1933"/>
      </w:tblGrid>
      <w:tr w:rsidR="00917A0B" w:rsidRPr="005269E6" w14:paraId="6E6EBBFA" w14:textId="77777777" w:rsidTr="001B776E">
        <w:trPr>
          <w:trHeight w:val="660"/>
          <w:jc w:val="center"/>
        </w:trPr>
        <w:tc>
          <w:tcPr>
            <w:tcW w:w="2754" w:type="dxa"/>
            <w:tcBorders>
              <w:top w:val="nil"/>
              <w:left w:val="nil"/>
              <w:bottom w:val="nil"/>
              <w:right w:val="nil"/>
            </w:tcBorders>
            <w:shd w:val="clear" w:color="000000" w:fill="538DD5"/>
            <w:vAlign w:val="center"/>
            <w:hideMark/>
          </w:tcPr>
          <w:p w14:paraId="44617389" w14:textId="34C849CD" w:rsidR="00917A0B" w:rsidRPr="005269E6" w:rsidRDefault="00460D35" w:rsidP="00917A0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973" w:type="dxa"/>
            <w:gridSpan w:val="3"/>
            <w:tcBorders>
              <w:top w:val="nil"/>
              <w:left w:val="nil"/>
              <w:bottom w:val="nil"/>
              <w:right w:val="nil"/>
            </w:tcBorders>
            <w:shd w:val="clear" w:color="000000" w:fill="538DD5"/>
            <w:vAlign w:val="center"/>
            <w:hideMark/>
          </w:tcPr>
          <w:p w14:paraId="699A1D38" w14:textId="3CB26BD1" w:rsidR="00917A0B" w:rsidRPr="005269E6" w:rsidRDefault="00460D35" w:rsidP="00917A0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2293" w:type="dxa"/>
            <w:gridSpan w:val="2"/>
            <w:tcBorders>
              <w:top w:val="nil"/>
              <w:left w:val="nil"/>
              <w:bottom w:val="nil"/>
              <w:right w:val="nil"/>
            </w:tcBorders>
            <w:shd w:val="clear" w:color="000000" w:fill="538DD5"/>
            <w:vAlign w:val="center"/>
            <w:hideMark/>
          </w:tcPr>
          <w:p w14:paraId="585FCE00" w14:textId="35B57C98" w:rsidR="00917A0B" w:rsidRPr="005269E6" w:rsidRDefault="00460D35" w:rsidP="00917A0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917A0B" w:rsidRPr="005269E6" w14:paraId="724C00FD" w14:textId="77777777" w:rsidTr="001B776E">
        <w:trPr>
          <w:trHeight w:val="255"/>
          <w:jc w:val="center"/>
        </w:trPr>
        <w:tc>
          <w:tcPr>
            <w:tcW w:w="2754" w:type="dxa"/>
            <w:tcBorders>
              <w:top w:val="nil"/>
              <w:left w:val="nil"/>
              <w:bottom w:val="nil"/>
              <w:right w:val="nil"/>
            </w:tcBorders>
            <w:shd w:val="clear" w:color="auto" w:fill="auto"/>
            <w:noWrap/>
            <w:vAlign w:val="bottom"/>
            <w:hideMark/>
          </w:tcPr>
          <w:p w14:paraId="292E47D4" w14:textId="77777777" w:rsidR="00917A0B" w:rsidRPr="005269E6" w:rsidRDefault="00917A0B" w:rsidP="00917A0B">
            <w:pPr>
              <w:tabs>
                <w:tab w:val="clear" w:pos="794"/>
              </w:tabs>
              <w:spacing w:before="0" w:line="200" w:lineRule="exact"/>
              <w:jc w:val="center"/>
              <w:rPr>
                <w:rFonts w:eastAsia="Times New Roman"/>
                <w:b/>
                <w:bCs/>
                <w:color w:val="000000"/>
                <w:sz w:val="18"/>
                <w:szCs w:val="18"/>
                <w:lang w:val="en-GB" w:eastAsia="en-GB"/>
              </w:rPr>
            </w:pPr>
          </w:p>
        </w:tc>
        <w:tc>
          <w:tcPr>
            <w:tcW w:w="732" w:type="dxa"/>
            <w:tcBorders>
              <w:top w:val="nil"/>
              <w:left w:val="nil"/>
              <w:bottom w:val="nil"/>
              <w:right w:val="nil"/>
            </w:tcBorders>
            <w:shd w:val="clear" w:color="auto" w:fill="auto"/>
            <w:noWrap/>
            <w:vAlign w:val="bottom"/>
            <w:hideMark/>
          </w:tcPr>
          <w:p w14:paraId="6F8659F8" w14:textId="77777777" w:rsidR="00917A0B" w:rsidRPr="005269E6" w:rsidRDefault="00917A0B" w:rsidP="00A979E3">
            <w:pPr>
              <w:tabs>
                <w:tab w:val="clear" w:pos="794"/>
              </w:tabs>
              <w:spacing w:before="0" w:line="200" w:lineRule="exact"/>
              <w:jc w:val="left"/>
              <w:rPr>
                <w:rFonts w:eastAsia="Times New Roman"/>
                <w:sz w:val="18"/>
                <w:szCs w:val="18"/>
                <w:lang w:val="en-GB" w:eastAsia="en-GB"/>
              </w:rPr>
            </w:pPr>
          </w:p>
        </w:tc>
        <w:tc>
          <w:tcPr>
            <w:tcW w:w="881" w:type="dxa"/>
            <w:tcBorders>
              <w:top w:val="nil"/>
              <w:left w:val="nil"/>
              <w:bottom w:val="nil"/>
              <w:right w:val="nil"/>
            </w:tcBorders>
            <w:shd w:val="clear" w:color="auto" w:fill="auto"/>
            <w:noWrap/>
            <w:vAlign w:val="bottom"/>
            <w:hideMark/>
          </w:tcPr>
          <w:p w14:paraId="103663A7" w14:textId="77777777" w:rsidR="00917A0B" w:rsidRPr="005269E6" w:rsidRDefault="00917A0B" w:rsidP="00A979E3">
            <w:pPr>
              <w:tabs>
                <w:tab w:val="clear" w:pos="794"/>
              </w:tabs>
              <w:spacing w:before="0" w:line="200" w:lineRule="exact"/>
              <w:jc w:val="left"/>
              <w:rPr>
                <w:rFonts w:eastAsia="Times New Roman"/>
                <w:sz w:val="18"/>
                <w:szCs w:val="18"/>
                <w:lang w:val="en-GB" w:eastAsia="en-GB"/>
              </w:rPr>
            </w:pPr>
          </w:p>
        </w:tc>
        <w:tc>
          <w:tcPr>
            <w:tcW w:w="360" w:type="dxa"/>
            <w:tcBorders>
              <w:top w:val="nil"/>
              <w:left w:val="nil"/>
              <w:bottom w:val="nil"/>
              <w:right w:val="nil"/>
            </w:tcBorders>
            <w:shd w:val="clear" w:color="auto" w:fill="auto"/>
            <w:noWrap/>
            <w:vAlign w:val="bottom"/>
            <w:hideMark/>
          </w:tcPr>
          <w:p w14:paraId="1199A828" w14:textId="77777777" w:rsidR="00917A0B" w:rsidRPr="005269E6" w:rsidRDefault="00917A0B" w:rsidP="00A979E3">
            <w:pPr>
              <w:tabs>
                <w:tab w:val="clear" w:pos="794"/>
              </w:tabs>
              <w:spacing w:before="0" w:line="200" w:lineRule="exact"/>
              <w:jc w:val="left"/>
              <w:rPr>
                <w:rFonts w:eastAsia="Times New Roman"/>
                <w:sz w:val="18"/>
                <w:szCs w:val="18"/>
                <w:lang w:val="en-GB" w:eastAsia="en-GB"/>
              </w:rPr>
            </w:pPr>
          </w:p>
        </w:tc>
        <w:tc>
          <w:tcPr>
            <w:tcW w:w="360" w:type="dxa"/>
            <w:tcBorders>
              <w:top w:val="nil"/>
              <w:left w:val="nil"/>
              <w:bottom w:val="nil"/>
              <w:right w:val="nil"/>
            </w:tcBorders>
            <w:shd w:val="clear" w:color="auto" w:fill="auto"/>
            <w:noWrap/>
            <w:vAlign w:val="bottom"/>
            <w:hideMark/>
          </w:tcPr>
          <w:p w14:paraId="4ED4B9A2" w14:textId="77777777" w:rsidR="00917A0B" w:rsidRPr="005269E6" w:rsidRDefault="00917A0B" w:rsidP="00A979E3">
            <w:pPr>
              <w:tabs>
                <w:tab w:val="clear" w:pos="794"/>
              </w:tabs>
              <w:spacing w:before="0" w:line="200" w:lineRule="exact"/>
              <w:jc w:val="left"/>
              <w:rPr>
                <w:rFonts w:eastAsia="Times New Roman"/>
                <w:sz w:val="18"/>
                <w:szCs w:val="18"/>
                <w:lang w:val="en-GB" w:eastAsia="en-GB"/>
              </w:rPr>
            </w:pPr>
          </w:p>
        </w:tc>
        <w:tc>
          <w:tcPr>
            <w:tcW w:w="1933" w:type="dxa"/>
            <w:tcBorders>
              <w:top w:val="nil"/>
              <w:left w:val="nil"/>
              <w:bottom w:val="nil"/>
              <w:right w:val="nil"/>
            </w:tcBorders>
            <w:shd w:val="clear" w:color="auto" w:fill="auto"/>
            <w:noWrap/>
            <w:vAlign w:val="bottom"/>
            <w:hideMark/>
          </w:tcPr>
          <w:p w14:paraId="51E2510B" w14:textId="77777777" w:rsidR="00917A0B" w:rsidRPr="005269E6" w:rsidRDefault="00917A0B" w:rsidP="00A979E3">
            <w:pPr>
              <w:tabs>
                <w:tab w:val="clear" w:pos="794"/>
              </w:tabs>
              <w:spacing w:before="0" w:line="200" w:lineRule="exact"/>
              <w:jc w:val="left"/>
              <w:rPr>
                <w:rFonts w:eastAsia="Times New Roman"/>
                <w:sz w:val="18"/>
                <w:szCs w:val="18"/>
                <w:lang w:val="en-GB" w:eastAsia="en-GB"/>
              </w:rPr>
            </w:pPr>
          </w:p>
        </w:tc>
      </w:tr>
      <w:tr w:rsidR="00917A0B" w:rsidRPr="005269E6" w14:paraId="011F9C30" w14:textId="77777777" w:rsidTr="001B776E">
        <w:trPr>
          <w:trHeight w:val="255"/>
          <w:jc w:val="center"/>
        </w:trPr>
        <w:tc>
          <w:tcPr>
            <w:tcW w:w="2754" w:type="dxa"/>
            <w:tcBorders>
              <w:top w:val="nil"/>
              <w:left w:val="nil"/>
              <w:bottom w:val="nil"/>
              <w:right w:val="nil"/>
            </w:tcBorders>
            <w:shd w:val="clear" w:color="auto" w:fill="auto"/>
            <w:noWrap/>
            <w:vAlign w:val="bottom"/>
            <w:hideMark/>
          </w:tcPr>
          <w:p w14:paraId="68CEDCA0" w14:textId="5FCB6F87" w:rsidR="00917A0B" w:rsidRPr="005269E6" w:rsidRDefault="00460D35" w:rsidP="00460D3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موعد</w:t>
            </w:r>
            <w:r w:rsidRPr="005269E6">
              <w:rPr>
                <w:sz w:val="18"/>
                <w:szCs w:val="18"/>
                <w:rtl/>
                <w:lang w:bidi="ar-EG"/>
              </w:rPr>
              <w:t xml:space="preserve"> </w:t>
            </w:r>
            <w:r w:rsidRPr="005269E6">
              <w:rPr>
                <w:rFonts w:eastAsia="Times New Roman"/>
                <w:color w:val="000000"/>
                <w:sz w:val="18"/>
                <w:szCs w:val="18"/>
                <w:rtl/>
                <w:lang w:val="en-GB" w:eastAsia="en-GB" w:bidi="ar-EG"/>
              </w:rPr>
              <w:t>الاستحقاق</w:t>
            </w:r>
          </w:p>
        </w:tc>
        <w:tc>
          <w:tcPr>
            <w:tcW w:w="732" w:type="dxa"/>
            <w:tcBorders>
              <w:top w:val="nil"/>
              <w:left w:val="nil"/>
              <w:bottom w:val="nil"/>
              <w:right w:val="nil"/>
            </w:tcBorders>
            <w:shd w:val="clear" w:color="auto" w:fill="auto"/>
            <w:noWrap/>
            <w:vAlign w:val="bottom"/>
            <w:hideMark/>
          </w:tcPr>
          <w:p w14:paraId="62F2C38F" w14:textId="77777777" w:rsidR="00917A0B" w:rsidRPr="005269E6" w:rsidRDefault="00917A0B" w:rsidP="00A979E3">
            <w:pPr>
              <w:tabs>
                <w:tab w:val="clear" w:pos="794"/>
              </w:tabs>
              <w:spacing w:before="40" w:after="40" w:line="240" w:lineRule="exact"/>
              <w:jc w:val="left"/>
              <w:rPr>
                <w:rFonts w:eastAsia="Times New Roman"/>
                <w:color w:val="000000"/>
                <w:sz w:val="18"/>
                <w:szCs w:val="18"/>
                <w:lang w:val="en-GB" w:eastAsia="en-GB"/>
              </w:rPr>
            </w:pPr>
          </w:p>
        </w:tc>
        <w:tc>
          <w:tcPr>
            <w:tcW w:w="881" w:type="dxa"/>
            <w:tcBorders>
              <w:top w:val="nil"/>
              <w:left w:val="nil"/>
              <w:bottom w:val="nil"/>
              <w:right w:val="nil"/>
            </w:tcBorders>
            <w:shd w:val="clear" w:color="auto" w:fill="auto"/>
            <w:noWrap/>
            <w:vAlign w:val="bottom"/>
            <w:hideMark/>
          </w:tcPr>
          <w:p w14:paraId="16453233" w14:textId="77777777" w:rsidR="00917A0B" w:rsidRPr="005269E6" w:rsidRDefault="00917A0B" w:rsidP="00A979E3">
            <w:pPr>
              <w:tabs>
                <w:tab w:val="clear" w:pos="794"/>
              </w:tabs>
              <w:spacing w:before="40" w:after="40" w:line="240" w:lineRule="exact"/>
              <w:jc w:val="left"/>
              <w:rPr>
                <w:rFonts w:eastAsia="Times New Roman"/>
                <w:sz w:val="18"/>
                <w:szCs w:val="18"/>
                <w:lang w:val="en-GB" w:eastAsia="en-GB"/>
              </w:rPr>
            </w:pPr>
          </w:p>
        </w:tc>
        <w:tc>
          <w:tcPr>
            <w:tcW w:w="360" w:type="dxa"/>
            <w:tcBorders>
              <w:top w:val="nil"/>
              <w:left w:val="nil"/>
              <w:bottom w:val="nil"/>
              <w:right w:val="nil"/>
            </w:tcBorders>
            <w:shd w:val="clear" w:color="auto" w:fill="auto"/>
            <w:noWrap/>
            <w:vAlign w:val="bottom"/>
            <w:hideMark/>
          </w:tcPr>
          <w:p w14:paraId="77A37B8E" w14:textId="77777777" w:rsidR="00917A0B" w:rsidRPr="005269E6" w:rsidRDefault="00917A0B" w:rsidP="00A979E3">
            <w:pPr>
              <w:tabs>
                <w:tab w:val="clear" w:pos="794"/>
              </w:tabs>
              <w:spacing w:before="40" w:after="40" w:line="240" w:lineRule="exact"/>
              <w:jc w:val="left"/>
              <w:rPr>
                <w:rFonts w:eastAsia="Times New Roman"/>
                <w:sz w:val="18"/>
                <w:szCs w:val="18"/>
                <w:lang w:val="en-GB" w:eastAsia="en-GB"/>
              </w:rPr>
            </w:pPr>
          </w:p>
        </w:tc>
        <w:tc>
          <w:tcPr>
            <w:tcW w:w="360" w:type="dxa"/>
            <w:tcBorders>
              <w:top w:val="nil"/>
              <w:left w:val="nil"/>
              <w:bottom w:val="nil"/>
              <w:right w:val="nil"/>
            </w:tcBorders>
            <w:shd w:val="clear" w:color="auto" w:fill="auto"/>
            <w:noWrap/>
            <w:vAlign w:val="bottom"/>
            <w:hideMark/>
          </w:tcPr>
          <w:p w14:paraId="55C7FD28" w14:textId="77777777" w:rsidR="00917A0B" w:rsidRPr="005269E6" w:rsidRDefault="00917A0B" w:rsidP="00A979E3">
            <w:pPr>
              <w:tabs>
                <w:tab w:val="clear" w:pos="794"/>
              </w:tabs>
              <w:spacing w:before="40" w:after="40" w:line="240" w:lineRule="exact"/>
              <w:jc w:val="left"/>
              <w:rPr>
                <w:rFonts w:eastAsia="Times New Roman"/>
                <w:sz w:val="18"/>
                <w:szCs w:val="18"/>
                <w:lang w:val="en-GB" w:eastAsia="en-GB"/>
              </w:rPr>
            </w:pPr>
          </w:p>
        </w:tc>
        <w:tc>
          <w:tcPr>
            <w:tcW w:w="1933" w:type="dxa"/>
            <w:tcBorders>
              <w:top w:val="nil"/>
              <w:left w:val="nil"/>
              <w:bottom w:val="nil"/>
              <w:right w:val="nil"/>
            </w:tcBorders>
            <w:shd w:val="clear" w:color="auto" w:fill="auto"/>
            <w:noWrap/>
            <w:vAlign w:val="bottom"/>
            <w:hideMark/>
          </w:tcPr>
          <w:p w14:paraId="7447CA0F" w14:textId="77777777" w:rsidR="00917A0B" w:rsidRPr="005269E6" w:rsidRDefault="00917A0B" w:rsidP="00A979E3">
            <w:pPr>
              <w:tabs>
                <w:tab w:val="clear" w:pos="794"/>
              </w:tabs>
              <w:spacing w:before="40" w:after="40" w:line="240" w:lineRule="exact"/>
              <w:jc w:val="left"/>
              <w:rPr>
                <w:rFonts w:eastAsia="Times New Roman"/>
                <w:sz w:val="18"/>
                <w:szCs w:val="18"/>
                <w:lang w:val="en-GB" w:eastAsia="en-GB"/>
              </w:rPr>
            </w:pPr>
          </w:p>
        </w:tc>
      </w:tr>
      <w:tr w:rsidR="00917A0B" w:rsidRPr="005269E6" w14:paraId="13FFC58D" w14:textId="77777777" w:rsidTr="001B776E">
        <w:trPr>
          <w:trHeight w:val="255"/>
          <w:jc w:val="center"/>
        </w:trPr>
        <w:tc>
          <w:tcPr>
            <w:tcW w:w="2754" w:type="dxa"/>
            <w:tcBorders>
              <w:top w:val="nil"/>
              <w:left w:val="nil"/>
              <w:bottom w:val="nil"/>
              <w:right w:val="nil"/>
            </w:tcBorders>
            <w:shd w:val="clear" w:color="auto" w:fill="auto"/>
            <w:noWrap/>
            <w:vAlign w:val="bottom"/>
            <w:hideMark/>
          </w:tcPr>
          <w:p w14:paraId="34B77EEE" w14:textId="4EA7780B" w:rsidR="00917A0B" w:rsidRPr="005269E6" w:rsidRDefault="00460D35" w:rsidP="00917A0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4-6 أشهر</w:t>
            </w:r>
          </w:p>
        </w:tc>
        <w:tc>
          <w:tcPr>
            <w:tcW w:w="732" w:type="dxa"/>
            <w:tcBorders>
              <w:top w:val="nil"/>
              <w:left w:val="nil"/>
              <w:bottom w:val="nil"/>
              <w:right w:val="nil"/>
            </w:tcBorders>
            <w:shd w:val="clear" w:color="auto" w:fill="auto"/>
            <w:noWrap/>
            <w:vAlign w:val="bottom"/>
            <w:hideMark/>
          </w:tcPr>
          <w:p w14:paraId="7E8D51B7" w14:textId="77777777" w:rsidR="00917A0B" w:rsidRPr="005269E6" w:rsidRDefault="00917A0B" w:rsidP="00A979E3">
            <w:pPr>
              <w:tabs>
                <w:tab w:val="clear" w:pos="794"/>
              </w:tabs>
              <w:spacing w:before="40" w:after="40" w:line="240" w:lineRule="exact"/>
              <w:jc w:val="left"/>
              <w:rPr>
                <w:rFonts w:eastAsia="Times New Roman"/>
                <w:color w:val="000000"/>
                <w:sz w:val="18"/>
                <w:szCs w:val="18"/>
                <w:lang w:val="en-GB" w:eastAsia="en-GB"/>
              </w:rPr>
            </w:pPr>
          </w:p>
        </w:tc>
        <w:tc>
          <w:tcPr>
            <w:tcW w:w="881" w:type="dxa"/>
            <w:tcBorders>
              <w:top w:val="nil"/>
              <w:left w:val="nil"/>
              <w:bottom w:val="nil"/>
              <w:right w:val="nil"/>
            </w:tcBorders>
            <w:shd w:val="clear" w:color="auto" w:fill="auto"/>
            <w:noWrap/>
            <w:vAlign w:val="bottom"/>
            <w:hideMark/>
          </w:tcPr>
          <w:p w14:paraId="0E84DC59" w14:textId="4B7DE8D1" w:rsidR="00917A0B" w:rsidRPr="005269E6" w:rsidRDefault="00710D07"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13 860</w:t>
            </w:r>
          </w:p>
        </w:tc>
        <w:tc>
          <w:tcPr>
            <w:tcW w:w="360" w:type="dxa"/>
            <w:tcBorders>
              <w:top w:val="nil"/>
              <w:left w:val="nil"/>
              <w:bottom w:val="nil"/>
              <w:right w:val="nil"/>
            </w:tcBorders>
            <w:shd w:val="clear" w:color="auto" w:fill="auto"/>
            <w:noWrap/>
            <w:vAlign w:val="bottom"/>
            <w:hideMark/>
          </w:tcPr>
          <w:p w14:paraId="1A05EBC5" w14:textId="77777777" w:rsidR="00917A0B" w:rsidRPr="005269E6" w:rsidRDefault="00917A0B" w:rsidP="00A979E3">
            <w:pPr>
              <w:tabs>
                <w:tab w:val="clear" w:pos="794"/>
              </w:tabs>
              <w:spacing w:before="40" w:after="40" w:line="240" w:lineRule="exact"/>
              <w:jc w:val="left"/>
              <w:rPr>
                <w:rFonts w:eastAsia="Times New Roman"/>
                <w:color w:val="000000"/>
                <w:sz w:val="18"/>
                <w:szCs w:val="18"/>
                <w:lang w:val="en-GB" w:eastAsia="en-GB"/>
              </w:rPr>
            </w:pPr>
          </w:p>
        </w:tc>
        <w:tc>
          <w:tcPr>
            <w:tcW w:w="360" w:type="dxa"/>
            <w:tcBorders>
              <w:top w:val="nil"/>
              <w:left w:val="nil"/>
              <w:bottom w:val="nil"/>
              <w:right w:val="nil"/>
            </w:tcBorders>
            <w:shd w:val="clear" w:color="auto" w:fill="auto"/>
            <w:noWrap/>
            <w:vAlign w:val="bottom"/>
            <w:hideMark/>
          </w:tcPr>
          <w:p w14:paraId="7032A933" w14:textId="77777777" w:rsidR="00917A0B" w:rsidRPr="005269E6" w:rsidRDefault="00917A0B" w:rsidP="00A979E3">
            <w:pPr>
              <w:tabs>
                <w:tab w:val="clear" w:pos="794"/>
              </w:tabs>
              <w:spacing w:before="40" w:after="40" w:line="240" w:lineRule="exact"/>
              <w:jc w:val="left"/>
              <w:rPr>
                <w:rFonts w:eastAsia="Times New Roman"/>
                <w:sz w:val="18"/>
                <w:szCs w:val="18"/>
                <w:lang w:val="en-GB" w:eastAsia="en-GB"/>
              </w:rPr>
            </w:pPr>
          </w:p>
        </w:tc>
        <w:tc>
          <w:tcPr>
            <w:tcW w:w="1933" w:type="dxa"/>
            <w:tcBorders>
              <w:top w:val="nil"/>
              <w:left w:val="nil"/>
              <w:bottom w:val="nil"/>
              <w:right w:val="nil"/>
            </w:tcBorders>
            <w:shd w:val="clear" w:color="auto" w:fill="auto"/>
            <w:noWrap/>
            <w:vAlign w:val="bottom"/>
            <w:hideMark/>
          </w:tcPr>
          <w:p w14:paraId="6291F20D" w14:textId="74871C41" w:rsidR="00917A0B" w:rsidRPr="005269E6" w:rsidRDefault="00710D07"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10 175</w:t>
            </w:r>
          </w:p>
        </w:tc>
      </w:tr>
      <w:tr w:rsidR="00917A0B" w:rsidRPr="005269E6" w14:paraId="637FAFD6" w14:textId="77777777" w:rsidTr="001B776E">
        <w:trPr>
          <w:trHeight w:val="255"/>
          <w:jc w:val="center"/>
        </w:trPr>
        <w:tc>
          <w:tcPr>
            <w:tcW w:w="2754" w:type="dxa"/>
            <w:tcBorders>
              <w:top w:val="nil"/>
              <w:left w:val="nil"/>
              <w:bottom w:val="nil"/>
              <w:right w:val="nil"/>
            </w:tcBorders>
            <w:shd w:val="clear" w:color="auto" w:fill="auto"/>
            <w:noWrap/>
            <w:vAlign w:val="bottom"/>
            <w:hideMark/>
          </w:tcPr>
          <w:p w14:paraId="564A6A1E" w14:textId="1361455B" w:rsidR="00917A0B" w:rsidRPr="005269E6" w:rsidRDefault="00460D35" w:rsidP="00917A0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lastRenderedPageBreak/>
              <w:t>7-9 أشهر</w:t>
            </w:r>
          </w:p>
        </w:tc>
        <w:tc>
          <w:tcPr>
            <w:tcW w:w="732" w:type="dxa"/>
            <w:tcBorders>
              <w:top w:val="nil"/>
              <w:left w:val="nil"/>
              <w:bottom w:val="nil"/>
              <w:right w:val="nil"/>
            </w:tcBorders>
            <w:shd w:val="clear" w:color="auto" w:fill="auto"/>
            <w:noWrap/>
            <w:vAlign w:val="bottom"/>
            <w:hideMark/>
          </w:tcPr>
          <w:p w14:paraId="7FD5EE11" w14:textId="77777777" w:rsidR="00917A0B" w:rsidRPr="005269E6" w:rsidRDefault="00917A0B" w:rsidP="00A979E3">
            <w:pPr>
              <w:tabs>
                <w:tab w:val="clear" w:pos="794"/>
              </w:tabs>
              <w:spacing w:before="40" w:after="40" w:line="240" w:lineRule="exact"/>
              <w:jc w:val="left"/>
              <w:rPr>
                <w:rFonts w:eastAsia="Times New Roman"/>
                <w:color w:val="000000"/>
                <w:sz w:val="18"/>
                <w:szCs w:val="18"/>
                <w:lang w:val="en-GB" w:eastAsia="en-GB"/>
              </w:rPr>
            </w:pPr>
          </w:p>
        </w:tc>
        <w:tc>
          <w:tcPr>
            <w:tcW w:w="881" w:type="dxa"/>
            <w:tcBorders>
              <w:top w:val="nil"/>
              <w:left w:val="nil"/>
              <w:bottom w:val="nil"/>
              <w:right w:val="nil"/>
            </w:tcBorders>
            <w:shd w:val="clear" w:color="auto" w:fill="auto"/>
            <w:noWrap/>
            <w:vAlign w:val="bottom"/>
            <w:hideMark/>
          </w:tcPr>
          <w:p w14:paraId="4D1AF4F7" w14:textId="77777777" w:rsidR="00917A0B" w:rsidRPr="005269E6" w:rsidRDefault="00917A0B" w:rsidP="00A979E3">
            <w:pPr>
              <w:tabs>
                <w:tab w:val="clear" w:pos="794"/>
              </w:tabs>
              <w:spacing w:before="40" w:after="40" w:line="240" w:lineRule="exact"/>
              <w:jc w:val="left"/>
              <w:rPr>
                <w:rFonts w:eastAsia="Times New Roman"/>
                <w:sz w:val="18"/>
                <w:szCs w:val="18"/>
                <w:lang w:val="en-GB" w:eastAsia="en-GB"/>
              </w:rPr>
            </w:pPr>
          </w:p>
        </w:tc>
        <w:tc>
          <w:tcPr>
            <w:tcW w:w="360" w:type="dxa"/>
            <w:tcBorders>
              <w:top w:val="nil"/>
              <w:left w:val="nil"/>
              <w:bottom w:val="nil"/>
              <w:right w:val="nil"/>
            </w:tcBorders>
            <w:shd w:val="clear" w:color="auto" w:fill="auto"/>
            <w:noWrap/>
            <w:vAlign w:val="bottom"/>
            <w:hideMark/>
          </w:tcPr>
          <w:p w14:paraId="1E348C10" w14:textId="77777777" w:rsidR="00917A0B" w:rsidRPr="005269E6" w:rsidRDefault="00917A0B" w:rsidP="00A979E3">
            <w:pPr>
              <w:tabs>
                <w:tab w:val="clear" w:pos="794"/>
              </w:tabs>
              <w:spacing w:before="40" w:after="40" w:line="240" w:lineRule="exact"/>
              <w:jc w:val="left"/>
              <w:rPr>
                <w:rFonts w:eastAsia="Times New Roman"/>
                <w:sz w:val="18"/>
                <w:szCs w:val="18"/>
                <w:lang w:val="en-GB" w:eastAsia="en-GB"/>
              </w:rPr>
            </w:pPr>
          </w:p>
        </w:tc>
        <w:tc>
          <w:tcPr>
            <w:tcW w:w="360" w:type="dxa"/>
            <w:tcBorders>
              <w:top w:val="nil"/>
              <w:left w:val="nil"/>
              <w:bottom w:val="nil"/>
              <w:right w:val="nil"/>
            </w:tcBorders>
            <w:shd w:val="clear" w:color="auto" w:fill="auto"/>
            <w:noWrap/>
            <w:vAlign w:val="bottom"/>
            <w:hideMark/>
          </w:tcPr>
          <w:p w14:paraId="60EDFD9B" w14:textId="77777777" w:rsidR="00917A0B" w:rsidRPr="005269E6" w:rsidRDefault="00917A0B" w:rsidP="00A979E3">
            <w:pPr>
              <w:tabs>
                <w:tab w:val="clear" w:pos="794"/>
              </w:tabs>
              <w:spacing w:before="40" w:after="40" w:line="240" w:lineRule="exact"/>
              <w:jc w:val="left"/>
              <w:rPr>
                <w:rFonts w:eastAsia="Times New Roman"/>
                <w:sz w:val="18"/>
                <w:szCs w:val="18"/>
                <w:lang w:val="en-GB" w:eastAsia="en-GB"/>
              </w:rPr>
            </w:pPr>
          </w:p>
        </w:tc>
        <w:tc>
          <w:tcPr>
            <w:tcW w:w="1933" w:type="dxa"/>
            <w:tcBorders>
              <w:top w:val="nil"/>
              <w:left w:val="nil"/>
              <w:bottom w:val="nil"/>
              <w:right w:val="nil"/>
            </w:tcBorders>
            <w:shd w:val="clear" w:color="auto" w:fill="auto"/>
            <w:noWrap/>
            <w:vAlign w:val="bottom"/>
            <w:hideMark/>
          </w:tcPr>
          <w:p w14:paraId="2526FB34" w14:textId="2632342E" w:rsidR="00917A0B" w:rsidRPr="005269E6" w:rsidRDefault="00710D07"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11 100</w:t>
            </w:r>
          </w:p>
        </w:tc>
      </w:tr>
      <w:tr w:rsidR="00917A0B" w:rsidRPr="005269E6" w14:paraId="53EEB294" w14:textId="77777777" w:rsidTr="001B776E">
        <w:trPr>
          <w:trHeight w:val="255"/>
          <w:jc w:val="center"/>
        </w:trPr>
        <w:tc>
          <w:tcPr>
            <w:tcW w:w="2754" w:type="dxa"/>
            <w:tcBorders>
              <w:top w:val="nil"/>
              <w:left w:val="nil"/>
              <w:bottom w:val="nil"/>
              <w:right w:val="nil"/>
            </w:tcBorders>
            <w:shd w:val="clear" w:color="auto" w:fill="auto"/>
            <w:noWrap/>
            <w:vAlign w:val="bottom"/>
            <w:hideMark/>
          </w:tcPr>
          <w:p w14:paraId="34899C8E" w14:textId="37A6D391" w:rsidR="00917A0B" w:rsidRPr="005269E6" w:rsidRDefault="00460D35" w:rsidP="00917A0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خلال فترة أطول (بالأشهر)</w:t>
            </w:r>
          </w:p>
        </w:tc>
        <w:tc>
          <w:tcPr>
            <w:tcW w:w="732" w:type="dxa"/>
            <w:tcBorders>
              <w:top w:val="nil"/>
              <w:left w:val="nil"/>
              <w:bottom w:val="nil"/>
              <w:right w:val="nil"/>
            </w:tcBorders>
            <w:shd w:val="clear" w:color="auto" w:fill="auto"/>
            <w:noWrap/>
            <w:vAlign w:val="bottom"/>
            <w:hideMark/>
          </w:tcPr>
          <w:p w14:paraId="1E47B813" w14:textId="77777777" w:rsidR="00917A0B" w:rsidRPr="005269E6" w:rsidRDefault="00917A0B" w:rsidP="00A979E3">
            <w:pPr>
              <w:tabs>
                <w:tab w:val="clear" w:pos="794"/>
              </w:tabs>
              <w:spacing w:before="40" w:after="40" w:line="240" w:lineRule="exact"/>
              <w:jc w:val="left"/>
              <w:rPr>
                <w:rFonts w:eastAsia="Times New Roman"/>
                <w:color w:val="000000"/>
                <w:sz w:val="18"/>
                <w:szCs w:val="18"/>
                <w:lang w:val="en-GB" w:eastAsia="en-GB"/>
              </w:rPr>
            </w:pPr>
          </w:p>
        </w:tc>
        <w:tc>
          <w:tcPr>
            <w:tcW w:w="881" w:type="dxa"/>
            <w:tcBorders>
              <w:top w:val="nil"/>
              <w:left w:val="nil"/>
              <w:bottom w:val="nil"/>
              <w:right w:val="nil"/>
            </w:tcBorders>
            <w:shd w:val="clear" w:color="auto" w:fill="auto"/>
            <w:noWrap/>
            <w:vAlign w:val="bottom"/>
            <w:hideMark/>
          </w:tcPr>
          <w:p w14:paraId="406D6521" w14:textId="77777777" w:rsidR="00917A0B" w:rsidRPr="005269E6" w:rsidRDefault="00917A0B" w:rsidP="00A979E3">
            <w:pPr>
              <w:tabs>
                <w:tab w:val="clear" w:pos="794"/>
              </w:tabs>
              <w:spacing w:before="40" w:after="40" w:line="240" w:lineRule="exact"/>
              <w:jc w:val="left"/>
              <w:rPr>
                <w:rFonts w:eastAsia="Times New Roman"/>
                <w:sz w:val="18"/>
                <w:szCs w:val="18"/>
                <w:lang w:val="en-GB" w:eastAsia="en-GB"/>
              </w:rPr>
            </w:pPr>
          </w:p>
        </w:tc>
        <w:tc>
          <w:tcPr>
            <w:tcW w:w="360" w:type="dxa"/>
            <w:tcBorders>
              <w:top w:val="nil"/>
              <w:left w:val="nil"/>
              <w:bottom w:val="nil"/>
              <w:right w:val="nil"/>
            </w:tcBorders>
            <w:shd w:val="clear" w:color="auto" w:fill="auto"/>
            <w:noWrap/>
            <w:vAlign w:val="bottom"/>
            <w:hideMark/>
          </w:tcPr>
          <w:p w14:paraId="3FCD6D9E" w14:textId="77777777" w:rsidR="00917A0B" w:rsidRPr="005269E6" w:rsidRDefault="00917A0B" w:rsidP="00A979E3">
            <w:pPr>
              <w:tabs>
                <w:tab w:val="clear" w:pos="794"/>
              </w:tabs>
              <w:spacing w:before="40" w:after="40" w:line="240" w:lineRule="exact"/>
              <w:jc w:val="left"/>
              <w:rPr>
                <w:rFonts w:eastAsia="Times New Roman"/>
                <w:sz w:val="18"/>
                <w:szCs w:val="18"/>
                <w:lang w:val="en-GB" w:eastAsia="en-GB"/>
              </w:rPr>
            </w:pPr>
          </w:p>
        </w:tc>
        <w:tc>
          <w:tcPr>
            <w:tcW w:w="360" w:type="dxa"/>
            <w:tcBorders>
              <w:top w:val="nil"/>
              <w:left w:val="nil"/>
              <w:bottom w:val="nil"/>
              <w:right w:val="nil"/>
            </w:tcBorders>
            <w:shd w:val="clear" w:color="auto" w:fill="auto"/>
            <w:noWrap/>
            <w:vAlign w:val="bottom"/>
            <w:hideMark/>
          </w:tcPr>
          <w:p w14:paraId="46F31CF1" w14:textId="77777777" w:rsidR="00917A0B" w:rsidRPr="005269E6" w:rsidRDefault="00917A0B" w:rsidP="00A979E3">
            <w:pPr>
              <w:tabs>
                <w:tab w:val="clear" w:pos="794"/>
              </w:tabs>
              <w:spacing w:before="40" w:after="40" w:line="240" w:lineRule="exact"/>
              <w:jc w:val="left"/>
              <w:rPr>
                <w:rFonts w:eastAsia="Times New Roman"/>
                <w:sz w:val="18"/>
                <w:szCs w:val="18"/>
                <w:lang w:val="en-GB" w:eastAsia="en-GB"/>
              </w:rPr>
            </w:pPr>
          </w:p>
        </w:tc>
        <w:tc>
          <w:tcPr>
            <w:tcW w:w="1933" w:type="dxa"/>
            <w:tcBorders>
              <w:top w:val="nil"/>
              <w:left w:val="nil"/>
              <w:bottom w:val="nil"/>
              <w:right w:val="nil"/>
            </w:tcBorders>
            <w:shd w:val="clear" w:color="auto" w:fill="auto"/>
            <w:noWrap/>
            <w:vAlign w:val="bottom"/>
            <w:hideMark/>
          </w:tcPr>
          <w:p w14:paraId="77AA1B85" w14:textId="77777777" w:rsidR="00917A0B" w:rsidRPr="005269E6" w:rsidRDefault="00917A0B" w:rsidP="00A979E3">
            <w:pPr>
              <w:tabs>
                <w:tab w:val="clear" w:pos="794"/>
              </w:tabs>
              <w:spacing w:before="40" w:after="40" w:line="240" w:lineRule="exact"/>
              <w:jc w:val="left"/>
              <w:rPr>
                <w:rFonts w:eastAsia="Times New Roman"/>
                <w:sz w:val="18"/>
                <w:szCs w:val="18"/>
                <w:lang w:val="en-GB" w:eastAsia="en-GB"/>
              </w:rPr>
            </w:pPr>
          </w:p>
        </w:tc>
      </w:tr>
      <w:tr w:rsidR="00917A0B" w:rsidRPr="005269E6" w14:paraId="0132B97C" w14:textId="77777777" w:rsidTr="001B776E">
        <w:trPr>
          <w:trHeight w:val="522"/>
          <w:jc w:val="center"/>
        </w:trPr>
        <w:tc>
          <w:tcPr>
            <w:tcW w:w="2754" w:type="dxa"/>
            <w:tcBorders>
              <w:top w:val="nil"/>
              <w:left w:val="nil"/>
              <w:bottom w:val="nil"/>
              <w:right w:val="nil"/>
            </w:tcBorders>
            <w:shd w:val="clear" w:color="000000" w:fill="538DD5"/>
            <w:vAlign w:val="center"/>
            <w:hideMark/>
          </w:tcPr>
          <w:p w14:paraId="0745BBF3" w14:textId="615CEAF1" w:rsidR="00917A0B" w:rsidRPr="005269E6" w:rsidRDefault="00460D35" w:rsidP="00917A0B">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rtl/>
                <w:lang w:val="en-GB" w:eastAsia="en-GB"/>
              </w:rPr>
              <w:t>إجمالي الاستثمارات</w:t>
            </w:r>
          </w:p>
        </w:tc>
        <w:tc>
          <w:tcPr>
            <w:tcW w:w="732" w:type="dxa"/>
            <w:tcBorders>
              <w:top w:val="nil"/>
              <w:left w:val="nil"/>
              <w:bottom w:val="nil"/>
              <w:right w:val="nil"/>
            </w:tcBorders>
            <w:shd w:val="clear" w:color="000000" w:fill="538DD5"/>
            <w:vAlign w:val="center"/>
            <w:hideMark/>
          </w:tcPr>
          <w:p w14:paraId="19480723" w14:textId="77777777" w:rsidR="00917A0B" w:rsidRPr="005269E6" w:rsidRDefault="00917A0B" w:rsidP="00A979E3">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w:t>
            </w:r>
          </w:p>
        </w:tc>
        <w:tc>
          <w:tcPr>
            <w:tcW w:w="881" w:type="dxa"/>
            <w:tcBorders>
              <w:top w:val="nil"/>
              <w:left w:val="nil"/>
              <w:bottom w:val="nil"/>
              <w:right w:val="nil"/>
            </w:tcBorders>
            <w:shd w:val="clear" w:color="000000" w:fill="538DD5"/>
            <w:vAlign w:val="center"/>
            <w:hideMark/>
          </w:tcPr>
          <w:p w14:paraId="7B46837B" w14:textId="23BDD9F3" w:rsidR="00917A0B" w:rsidRPr="005269E6" w:rsidRDefault="00917A0B" w:rsidP="00A979E3">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13 860 </w:t>
            </w:r>
          </w:p>
        </w:tc>
        <w:tc>
          <w:tcPr>
            <w:tcW w:w="360" w:type="dxa"/>
            <w:tcBorders>
              <w:top w:val="nil"/>
              <w:left w:val="nil"/>
              <w:bottom w:val="nil"/>
              <w:right w:val="nil"/>
            </w:tcBorders>
            <w:shd w:val="clear" w:color="000000" w:fill="538DD5"/>
            <w:vAlign w:val="center"/>
            <w:hideMark/>
          </w:tcPr>
          <w:p w14:paraId="5B2F079C" w14:textId="77777777" w:rsidR="00917A0B" w:rsidRPr="005269E6" w:rsidRDefault="00917A0B" w:rsidP="00A979E3">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w:t>
            </w:r>
          </w:p>
        </w:tc>
        <w:tc>
          <w:tcPr>
            <w:tcW w:w="360" w:type="dxa"/>
            <w:tcBorders>
              <w:top w:val="nil"/>
              <w:left w:val="nil"/>
              <w:bottom w:val="nil"/>
              <w:right w:val="nil"/>
            </w:tcBorders>
            <w:shd w:val="clear" w:color="000000" w:fill="538DD5"/>
            <w:vAlign w:val="center"/>
            <w:hideMark/>
          </w:tcPr>
          <w:p w14:paraId="3643C450" w14:textId="77777777" w:rsidR="00917A0B" w:rsidRPr="005269E6" w:rsidRDefault="00917A0B" w:rsidP="00A979E3">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w:t>
            </w:r>
          </w:p>
        </w:tc>
        <w:tc>
          <w:tcPr>
            <w:tcW w:w="1933" w:type="dxa"/>
            <w:tcBorders>
              <w:top w:val="nil"/>
              <w:left w:val="nil"/>
              <w:bottom w:val="nil"/>
              <w:right w:val="nil"/>
            </w:tcBorders>
            <w:shd w:val="clear" w:color="000000" w:fill="538DD5"/>
            <w:vAlign w:val="center"/>
            <w:hideMark/>
          </w:tcPr>
          <w:p w14:paraId="60CF0654" w14:textId="455F1140" w:rsidR="00917A0B" w:rsidRPr="005269E6" w:rsidRDefault="00917A0B" w:rsidP="00A979E3">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21 275 </w:t>
            </w:r>
          </w:p>
        </w:tc>
      </w:tr>
    </w:tbl>
    <w:p w14:paraId="705F5C8E" w14:textId="2D8C1BA0" w:rsidR="00C543C6" w:rsidRPr="005269E6" w:rsidRDefault="00C543C6" w:rsidP="00696AA6">
      <w:pPr>
        <w:pStyle w:val="Heading5"/>
        <w:rPr>
          <w:rtl/>
        </w:rPr>
      </w:pPr>
      <w:bookmarkStart w:id="390" w:name="_Toc329296026"/>
      <w:bookmarkStart w:id="391" w:name="_Toc358648346"/>
      <w:bookmarkStart w:id="392" w:name="_Toc358648545"/>
      <w:bookmarkStart w:id="393" w:name="_Toc387263377"/>
      <w:bookmarkStart w:id="394" w:name="_Toc387338352"/>
      <w:bookmarkStart w:id="395" w:name="_Toc419484076"/>
      <w:bookmarkStart w:id="396" w:name="_Toc452156628"/>
      <w:bookmarkStart w:id="397" w:name="_Toc482792212"/>
      <w:bookmarkStart w:id="398" w:name="_Toc482793717"/>
      <w:bookmarkStart w:id="399" w:name="_Toc511402232"/>
      <w:bookmarkStart w:id="400" w:name="_Toc511756669"/>
      <w:bookmarkStart w:id="401" w:name="_Toc9614788"/>
      <w:bookmarkStart w:id="402" w:name="_Toc42013543"/>
      <w:bookmarkStart w:id="403" w:name="_Toc42014544"/>
      <w:bookmarkStart w:id="404" w:name="_Toc74061576"/>
      <w:bookmarkStart w:id="405" w:name="_Toc162520627"/>
      <w:r w:rsidRPr="005269E6">
        <w:rPr>
          <w:rtl/>
        </w:rPr>
        <w:t xml:space="preserve">الملاحظة </w:t>
      </w:r>
      <w:r w:rsidR="003A5EB3" w:rsidRPr="005269E6">
        <w:t>9</w:t>
      </w:r>
      <w:r w:rsidRPr="005269E6">
        <w:rPr>
          <w:rtl/>
        </w:rPr>
        <w:tab/>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00460D35" w:rsidRPr="005269E6">
        <w:rPr>
          <w:rFonts w:hint="cs"/>
          <w:rtl/>
        </w:rPr>
        <w:t>الذمم المدينة</w:t>
      </w:r>
      <w:bookmarkEnd w:id="405"/>
    </w:p>
    <w:tbl>
      <w:tblPr>
        <w:bidiVisual/>
        <w:tblW w:w="4858" w:type="pct"/>
        <w:jc w:val="center"/>
        <w:tblLook w:val="04A0" w:firstRow="1" w:lastRow="0" w:firstColumn="1" w:lastColumn="0" w:noHBand="0" w:noVBand="1"/>
      </w:tblPr>
      <w:tblGrid>
        <w:gridCol w:w="5314"/>
        <w:gridCol w:w="1483"/>
        <w:gridCol w:w="1596"/>
        <w:gridCol w:w="972"/>
      </w:tblGrid>
      <w:tr w:rsidR="003A5EB3" w:rsidRPr="005269E6" w14:paraId="58D5ED1B" w14:textId="77777777" w:rsidTr="004C39BB">
        <w:trPr>
          <w:trHeight w:val="552"/>
          <w:jc w:val="center"/>
        </w:trPr>
        <w:tc>
          <w:tcPr>
            <w:tcW w:w="5314" w:type="dxa"/>
            <w:tcBorders>
              <w:top w:val="nil"/>
              <w:left w:val="nil"/>
              <w:bottom w:val="nil"/>
              <w:right w:val="nil"/>
            </w:tcBorders>
            <w:shd w:val="clear" w:color="000000" w:fill="538DD5"/>
            <w:noWrap/>
            <w:vAlign w:val="center"/>
            <w:hideMark/>
          </w:tcPr>
          <w:p w14:paraId="5595A6CB" w14:textId="6FD07A1D" w:rsidR="003A5EB3" w:rsidRPr="005269E6" w:rsidRDefault="00F2063A" w:rsidP="003A5EB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483" w:type="dxa"/>
            <w:tcBorders>
              <w:top w:val="nil"/>
              <w:left w:val="nil"/>
              <w:bottom w:val="nil"/>
              <w:right w:val="nil"/>
            </w:tcBorders>
            <w:shd w:val="clear" w:color="000000" w:fill="538DD5"/>
            <w:noWrap/>
            <w:vAlign w:val="center"/>
            <w:hideMark/>
          </w:tcPr>
          <w:p w14:paraId="692C8D84" w14:textId="47414CEC" w:rsidR="003A5EB3" w:rsidRPr="005269E6" w:rsidRDefault="00F2063A" w:rsidP="003A5EB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596" w:type="dxa"/>
            <w:tcBorders>
              <w:top w:val="nil"/>
              <w:left w:val="nil"/>
              <w:bottom w:val="nil"/>
              <w:right w:val="nil"/>
            </w:tcBorders>
            <w:shd w:val="clear" w:color="000000" w:fill="538DD5"/>
            <w:vAlign w:val="center"/>
            <w:hideMark/>
          </w:tcPr>
          <w:p w14:paraId="6D3DDDA3" w14:textId="3B72B810" w:rsidR="003A5EB3" w:rsidRPr="005269E6" w:rsidRDefault="00F2063A" w:rsidP="003A5EB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w:t>
            </w:r>
            <w:r w:rsidR="004C39BB" w:rsidRPr="005269E6">
              <w:rPr>
                <w:rFonts w:eastAsia="Times New Roman"/>
                <w:b/>
                <w:bCs/>
                <w:color w:val="000000"/>
                <w:sz w:val="18"/>
                <w:szCs w:val="18"/>
                <w:lang w:val="en-GB" w:eastAsia="en-GB"/>
              </w:rPr>
              <w:br/>
            </w:r>
            <w:r w:rsidRPr="005269E6">
              <w:rPr>
                <w:rFonts w:eastAsia="Times New Roman"/>
                <w:b/>
                <w:bCs/>
                <w:color w:val="000000"/>
                <w:sz w:val="18"/>
                <w:szCs w:val="18"/>
                <w:rtl/>
                <w:lang w:val="en-GB" w:eastAsia="en-GB"/>
              </w:rPr>
              <w:t>(أعيد بيانه)</w:t>
            </w:r>
          </w:p>
        </w:tc>
        <w:tc>
          <w:tcPr>
            <w:tcW w:w="972" w:type="dxa"/>
            <w:tcBorders>
              <w:top w:val="nil"/>
              <w:left w:val="nil"/>
              <w:bottom w:val="nil"/>
              <w:right w:val="nil"/>
            </w:tcBorders>
            <w:shd w:val="clear" w:color="000000" w:fill="538DD5"/>
            <w:noWrap/>
            <w:vAlign w:val="center"/>
            <w:hideMark/>
          </w:tcPr>
          <w:p w14:paraId="796CAA80" w14:textId="09CBF5D3" w:rsidR="003A5EB3" w:rsidRPr="005269E6" w:rsidRDefault="00F2063A" w:rsidP="003A5EB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التغير</w:t>
            </w:r>
          </w:p>
        </w:tc>
      </w:tr>
      <w:tr w:rsidR="003A5EB3" w:rsidRPr="005269E6" w14:paraId="79FF275F" w14:textId="77777777" w:rsidTr="004C39BB">
        <w:trPr>
          <w:trHeight w:val="150"/>
          <w:jc w:val="center"/>
        </w:trPr>
        <w:tc>
          <w:tcPr>
            <w:tcW w:w="5314" w:type="dxa"/>
            <w:tcBorders>
              <w:top w:val="nil"/>
              <w:left w:val="nil"/>
              <w:bottom w:val="nil"/>
              <w:right w:val="nil"/>
            </w:tcBorders>
            <w:shd w:val="clear" w:color="auto" w:fill="auto"/>
            <w:noWrap/>
            <w:vAlign w:val="bottom"/>
            <w:hideMark/>
          </w:tcPr>
          <w:p w14:paraId="21F60159" w14:textId="77777777" w:rsidR="003A5EB3" w:rsidRPr="005269E6" w:rsidRDefault="003A5EB3" w:rsidP="003A5EB3">
            <w:pPr>
              <w:tabs>
                <w:tab w:val="clear" w:pos="794"/>
              </w:tabs>
              <w:spacing w:before="0" w:line="200" w:lineRule="exact"/>
              <w:jc w:val="center"/>
              <w:rPr>
                <w:rFonts w:eastAsia="Times New Roman"/>
                <w:b/>
                <w:bCs/>
                <w:color w:val="000000"/>
                <w:sz w:val="18"/>
                <w:szCs w:val="18"/>
                <w:lang w:val="en-GB" w:eastAsia="en-GB"/>
              </w:rPr>
            </w:pPr>
          </w:p>
        </w:tc>
        <w:tc>
          <w:tcPr>
            <w:tcW w:w="1483" w:type="dxa"/>
            <w:tcBorders>
              <w:top w:val="nil"/>
              <w:left w:val="nil"/>
              <w:bottom w:val="nil"/>
              <w:right w:val="nil"/>
            </w:tcBorders>
            <w:shd w:val="clear" w:color="auto" w:fill="auto"/>
            <w:noWrap/>
            <w:vAlign w:val="bottom"/>
            <w:hideMark/>
          </w:tcPr>
          <w:p w14:paraId="759E7351" w14:textId="77777777" w:rsidR="003A5EB3" w:rsidRPr="005269E6" w:rsidRDefault="003A5EB3" w:rsidP="00A979E3">
            <w:pPr>
              <w:tabs>
                <w:tab w:val="clear" w:pos="794"/>
              </w:tabs>
              <w:spacing w:before="0" w:line="200" w:lineRule="exact"/>
              <w:jc w:val="left"/>
              <w:rPr>
                <w:rFonts w:eastAsia="Times New Roman"/>
                <w:sz w:val="18"/>
                <w:szCs w:val="18"/>
                <w:lang w:val="en-GB" w:eastAsia="en-GB"/>
              </w:rPr>
            </w:pPr>
          </w:p>
        </w:tc>
        <w:tc>
          <w:tcPr>
            <w:tcW w:w="1596" w:type="dxa"/>
            <w:tcBorders>
              <w:top w:val="nil"/>
              <w:left w:val="nil"/>
              <w:bottom w:val="nil"/>
              <w:right w:val="nil"/>
            </w:tcBorders>
            <w:shd w:val="clear" w:color="auto" w:fill="auto"/>
            <w:noWrap/>
            <w:vAlign w:val="bottom"/>
            <w:hideMark/>
          </w:tcPr>
          <w:p w14:paraId="5ABAEF46" w14:textId="77777777" w:rsidR="003A5EB3" w:rsidRPr="005269E6" w:rsidRDefault="003A5EB3" w:rsidP="00A979E3">
            <w:pPr>
              <w:tabs>
                <w:tab w:val="clear" w:pos="794"/>
              </w:tabs>
              <w:spacing w:before="0" w:line="200" w:lineRule="exact"/>
              <w:jc w:val="left"/>
              <w:rPr>
                <w:rFonts w:eastAsia="Times New Roman"/>
                <w:sz w:val="18"/>
                <w:szCs w:val="18"/>
                <w:lang w:val="en-GB" w:eastAsia="en-GB"/>
              </w:rPr>
            </w:pPr>
          </w:p>
        </w:tc>
        <w:tc>
          <w:tcPr>
            <w:tcW w:w="972" w:type="dxa"/>
            <w:tcBorders>
              <w:top w:val="nil"/>
              <w:left w:val="nil"/>
              <w:bottom w:val="nil"/>
              <w:right w:val="nil"/>
            </w:tcBorders>
            <w:shd w:val="clear" w:color="auto" w:fill="auto"/>
            <w:noWrap/>
            <w:vAlign w:val="bottom"/>
            <w:hideMark/>
          </w:tcPr>
          <w:p w14:paraId="507A2C37" w14:textId="77777777" w:rsidR="003A5EB3" w:rsidRPr="005269E6" w:rsidRDefault="003A5EB3" w:rsidP="00A979E3">
            <w:pPr>
              <w:tabs>
                <w:tab w:val="clear" w:pos="794"/>
              </w:tabs>
              <w:spacing w:before="0" w:line="200" w:lineRule="exact"/>
              <w:jc w:val="left"/>
              <w:rPr>
                <w:rFonts w:eastAsia="Times New Roman"/>
                <w:sz w:val="18"/>
                <w:szCs w:val="18"/>
                <w:lang w:val="en-GB" w:eastAsia="en-GB"/>
              </w:rPr>
            </w:pPr>
          </w:p>
        </w:tc>
      </w:tr>
      <w:tr w:rsidR="003A5EB3" w:rsidRPr="005269E6" w14:paraId="3F5A0D34" w14:textId="77777777" w:rsidTr="004C39BB">
        <w:trPr>
          <w:trHeight w:val="255"/>
          <w:jc w:val="center"/>
        </w:trPr>
        <w:tc>
          <w:tcPr>
            <w:tcW w:w="5314" w:type="dxa"/>
            <w:tcBorders>
              <w:top w:val="nil"/>
              <w:left w:val="nil"/>
              <w:bottom w:val="nil"/>
              <w:right w:val="nil"/>
            </w:tcBorders>
            <w:shd w:val="clear" w:color="auto" w:fill="auto"/>
            <w:noWrap/>
            <w:vAlign w:val="bottom"/>
            <w:hideMark/>
          </w:tcPr>
          <w:p w14:paraId="4C966F35" w14:textId="7705987C" w:rsidR="003A5EB3" w:rsidRPr="005269E6" w:rsidRDefault="00A26886" w:rsidP="003A5EB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 الجارية – المعاملات التبادلية</w:t>
            </w:r>
          </w:p>
        </w:tc>
        <w:tc>
          <w:tcPr>
            <w:tcW w:w="1483" w:type="dxa"/>
            <w:tcBorders>
              <w:top w:val="nil"/>
              <w:left w:val="nil"/>
              <w:bottom w:val="nil"/>
              <w:right w:val="nil"/>
            </w:tcBorders>
            <w:shd w:val="clear" w:color="auto" w:fill="auto"/>
            <w:noWrap/>
            <w:vAlign w:val="bottom"/>
            <w:hideMark/>
          </w:tcPr>
          <w:p w14:paraId="42351C4B" w14:textId="192DB9C8"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6 437 </w:t>
            </w:r>
          </w:p>
        </w:tc>
        <w:tc>
          <w:tcPr>
            <w:tcW w:w="1596" w:type="dxa"/>
            <w:tcBorders>
              <w:top w:val="nil"/>
              <w:left w:val="nil"/>
              <w:bottom w:val="nil"/>
              <w:right w:val="nil"/>
            </w:tcBorders>
            <w:shd w:val="clear" w:color="auto" w:fill="auto"/>
            <w:noWrap/>
            <w:vAlign w:val="bottom"/>
            <w:hideMark/>
          </w:tcPr>
          <w:p w14:paraId="0A8B537F" w14:textId="01C261C7"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12 212 </w:t>
            </w:r>
          </w:p>
        </w:tc>
        <w:tc>
          <w:tcPr>
            <w:tcW w:w="972" w:type="dxa"/>
            <w:tcBorders>
              <w:top w:val="nil"/>
              <w:left w:val="nil"/>
              <w:bottom w:val="nil"/>
              <w:right w:val="nil"/>
            </w:tcBorders>
            <w:shd w:val="clear" w:color="auto" w:fill="auto"/>
            <w:noWrap/>
            <w:vAlign w:val="bottom"/>
            <w:hideMark/>
          </w:tcPr>
          <w:p w14:paraId="1E0EF858" w14:textId="4A0A21E0"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(5 775)</w:t>
            </w:r>
          </w:p>
        </w:tc>
      </w:tr>
      <w:tr w:rsidR="003A5EB3" w:rsidRPr="005269E6" w14:paraId="55091A05" w14:textId="77777777" w:rsidTr="004C39BB">
        <w:trPr>
          <w:trHeight w:val="255"/>
          <w:jc w:val="center"/>
        </w:trPr>
        <w:tc>
          <w:tcPr>
            <w:tcW w:w="5314" w:type="dxa"/>
            <w:tcBorders>
              <w:top w:val="nil"/>
              <w:left w:val="nil"/>
              <w:bottom w:val="nil"/>
              <w:right w:val="nil"/>
            </w:tcBorders>
            <w:shd w:val="clear" w:color="auto" w:fill="auto"/>
            <w:noWrap/>
            <w:vAlign w:val="bottom"/>
            <w:hideMark/>
          </w:tcPr>
          <w:p w14:paraId="7CB9576F" w14:textId="5B25582A" w:rsidR="003A5EB3" w:rsidRPr="005269E6" w:rsidRDefault="009A3A5C" w:rsidP="003A5EB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الحساب الاحتياطي</w:t>
            </w:r>
            <w:r w:rsidR="00A26886" w:rsidRPr="005269E6">
              <w:rPr>
                <w:rFonts w:eastAsia="Times New Roman"/>
                <w:color w:val="000000"/>
                <w:sz w:val="18"/>
                <w:szCs w:val="18"/>
                <w:rtl/>
                <w:lang w:val="en-GB" w:eastAsia="en-GB"/>
              </w:rPr>
              <w:t xml:space="preserve"> للخسائر في الذمم المدينة الجارية - المعاملات التبادلية</w:t>
            </w:r>
          </w:p>
        </w:tc>
        <w:tc>
          <w:tcPr>
            <w:tcW w:w="1483" w:type="dxa"/>
            <w:tcBorders>
              <w:top w:val="nil"/>
              <w:left w:val="nil"/>
              <w:bottom w:val="nil"/>
              <w:right w:val="nil"/>
            </w:tcBorders>
            <w:shd w:val="clear" w:color="auto" w:fill="auto"/>
            <w:noWrap/>
            <w:vAlign w:val="bottom"/>
            <w:hideMark/>
          </w:tcPr>
          <w:p w14:paraId="6D5C2B77" w14:textId="0A3CE0C3"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(1 104)</w:t>
            </w:r>
          </w:p>
        </w:tc>
        <w:tc>
          <w:tcPr>
            <w:tcW w:w="1596" w:type="dxa"/>
            <w:tcBorders>
              <w:top w:val="nil"/>
              <w:left w:val="nil"/>
              <w:bottom w:val="nil"/>
              <w:right w:val="nil"/>
            </w:tcBorders>
            <w:shd w:val="clear" w:color="auto" w:fill="auto"/>
            <w:noWrap/>
            <w:vAlign w:val="bottom"/>
            <w:hideMark/>
          </w:tcPr>
          <w:p w14:paraId="03FC7509" w14:textId="5C875EAC"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(1 223)</w:t>
            </w:r>
          </w:p>
        </w:tc>
        <w:tc>
          <w:tcPr>
            <w:tcW w:w="972" w:type="dxa"/>
            <w:tcBorders>
              <w:top w:val="nil"/>
              <w:left w:val="nil"/>
              <w:bottom w:val="nil"/>
              <w:right w:val="nil"/>
            </w:tcBorders>
            <w:shd w:val="clear" w:color="auto" w:fill="auto"/>
            <w:noWrap/>
            <w:vAlign w:val="bottom"/>
            <w:hideMark/>
          </w:tcPr>
          <w:p w14:paraId="0722970A" w14:textId="5047D16A"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119 </w:t>
            </w:r>
          </w:p>
        </w:tc>
      </w:tr>
      <w:tr w:rsidR="003A5EB3" w:rsidRPr="005269E6" w14:paraId="67A6230C" w14:textId="77777777" w:rsidTr="004C39BB">
        <w:trPr>
          <w:trHeight w:val="150"/>
          <w:jc w:val="center"/>
        </w:trPr>
        <w:tc>
          <w:tcPr>
            <w:tcW w:w="5314" w:type="dxa"/>
            <w:tcBorders>
              <w:top w:val="nil"/>
              <w:left w:val="nil"/>
              <w:bottom w:val="nil"/>
              <w:right w:val="nil"/>
            </w:tcBorders>
            <w:shd w:val="clear" w:color="auto" w:fill="auto"/>
            <w:noWrap/>
            <w:vAlign w:val="center"/>
            <w:hideMark/>
          </w:tcPr>
          <w:p w14:paraId="59382548" w14:textId="77777777" w:rsidR="003A5EB3" w:rsidRPr="005269E6" w:rsidRDefault="003A5EB3" w:rsidP="003A5EB3">
            <w:pPr>
              <w:tabs>
                <w:tab w:val="clear" w:pos="794"/>
              </w:tabs>
              <w:spacing w:before="40" w:after="40" w:line="240" w:lineRule="exact"/>
              <w:jc w:val="center"/>
              <w:rPr>
                <w:rFonts w:eastAsia="Times New Roman"/>
                <w:color w:val="000000"/>
                <w:sz w:val="18"/>
                <w:szCs w:val="18"/>
                <w:lang w:val="en-GB" w:eastAsia="en-GB"/>
              </w:rPr>
            </w:pPr>
          </w:p>
        </w:tc>
        <w:tc>
          <w:tcPr>
            <w:tcW w:w="1483" w:type="dxa"/>
            <w:tcBorders>
              <w:top w:val="nil"/>
              <w:left w:val="nil"/>
              <w:bottom w:val="nil"/>
              <w:right w:val="nil"/>
            </w:tcBorders>
            <w:shd w:val="clear" w:color="auto" w:fill="auto"/>
            <w:noWrap/>
            <w:vAlign w:val="center"/>
            <w:hideMark/>
          </w:tcPr>
          <w:p w14:paraId="59FB1179" w14:textId="77777777" w:rsidR="003A5EB3" w:rsidRPr="005269E6" w:rsidRDefault="003A5EB3" w:rsidP="00A979E3">
            <w:pPr>
              <w:tabs>
                <w:tab w:val="clear" w:pos="794"/>
              </w:tabs>
              <w:spacing w:before="40" w:after="40" w:line="240" w:lineRule="exact"/>
              <w:jc w:val="left"/>
              <w:rPr>
                <w:rFonts w:eastAsia="Times New Roman"/>
                <w:sz w:val="18"/>
                <w:szCs w:val="18"/>
                <w:lang w:val="en-GB" w:eastAsia="en-GB"/>
              </w:rPr>
            </w:pPr>
          </w:p>
        </w:tc>
        <w:tc>
          <w:tcPr>
            <w:tcW w:w="1596" w:type="dxa"/>
            <w:tcBorders>
              <w:top w:val="nil"/>
              <w:left w:val="nil"/>
              <w:bottom w:val="nil"/>
              <w:right w:val="nil"/>
            </w:tcBorders>
            <w:shd w:val="clear" w:color="auto" w:fill="auto"/>
            <w:noWrap/>
            <w:vAlign w:val="bottom"/>
            <w:hideMark/>
          </w:tcPr>
          <w:p w14:paraId="0FDA3264" w14:textId="77777777" w:rsidR="003A5EB3" w:rsidRPr="005269E6" w:rsidRDefault="003A5EB3" w:rsidP="00A979E3">
            <w:pPr>
              <w:tabs>
                <w:tab w:val="clear" w:pos="794"/>
              </w:tabs>
              <w:spacing w:before="40" w:after="40" w:line="240" w:lineRule="exact"/>
              <w:jc w:val="left"/>
              <w:rPr>
                <w:rFonts w:eastAsia="Times New Roman"/>
                <w:sz w:val="18"/>
                <w:szCs w:val="18"/>
                <w:lang w:val="en-GB" w:eastAsia="en-GB"/>
              </w:rPr>
            </w:pPr>
          </w:p>
        </w:tc>
        <w:tc>
          <w:tcPr>
            <w:tcW w:w="972" w:type="dxa"/>
            <w:tcBorders>
              <w:top w:val="nil"/>
              <w:left w:val="nil"/>
              <w:bottom w:val="nil"/>
              <w:right w:val="nil"/>
            </w:tcBorders>
            <w:shd w:val="clear" w:color="auto" w:fill="auto"/>
            <w:noWrap/>
            <w:vAlign w:val="bottom"/>
            <w:hideMark/>
          </w:tcPr>
          <w:p w14:paraId="40CBDB3A" w14:textId="77777777" w:rsidR="003A5EB3" w:rsidRPr="005269E6" w:rsidRDefault="003A5EB3" w:rsidP="00A979E3">
            <w:pPr>
              <w:tabs>
                <w:tab w:val="clear" w:pos="794"/>
              </w:tabs>
              <w:spacing w:before="40" w:after="40" w:line="240" w:lineRule="exact"/>
              <w:jc w:val="left"/>
              <w:rPr>
                <w:rFonts w:eastAsia="Times New Roman"/>
                <w:sz w:val="18"/>
                <w:szCs w:val="18"/>
                <w:lang w:val="en-GB" w:eastAsia="en-GB"/>
              </w:rPr>
            </w:pPr>
          </w:p>
        </w:tc>
      </w:tr>
      <w:tr w:rsidR="003A5EB3" w:rsidRPr="005269E6" w14:paraId="01895A58" w14:textId="77777777" w:rsidTr="004C39BB">
        <w:trPr>
          <w:trHeight w:val="499"/>
          <w:jc w:val="center"/>
        </w:trPr>
        <w:tc>
          <w:tcPr>
            <w:tcW w:w="5314" w:type="dxa"/>
            <w:tcBorders>
              <w:top w:val="nil"/>
              <w:left w:val="nil"/>
              <w:bottom w:val="nil"/>
              <w:right w:val="nil"/>
            </w:tcBorders>
            <w:shd w:val="clear" w:color="auto" w:fill="auto"/>
            <w:noWrap/>
            <w:vAlign w:val="center"/>
            <w:hideMark/>
          </w:tcPr>
          <w:p w14:paraId="6B9B8189" w14:textId="1CB65707" w:rsidR="003A5EB3" w:rsidRPr="005269E6" w:rsidRDefault="00A26886" w:rsidP="00A26886">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الذمم المدينة الجارية - المعاملات التبادلية: صافي القيمة</w:t>
            </w:r>
          </w:p>
        </w:tc>
        <w:tc>
          <w:tcPr>
            <w:tcW w:w="1483" w:type="dxa"/>
            <w:tcBorders>
              <w:top w:val="nil"/>
              <w:left w:val="nil"/>
              <w:bottom w:val="nil"/>
              <w:right w:val="nil"/>
            </w:tcBorders>
            <w:shd w:val="clear" w:color="auto" w:fill="auto"/>
            <w:noWrap/>
            <w:vAlign w:val="center"/>
            <w:hideMark/>
          </w:tcPr>
          <w:p w14:paraId="47C5607A" w14:textId="3D0C514E"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5 333 </w:t>
            </w:r>
          </w:p>
        </w:tc>
        <w:tc>
          <w:tcPr>
            <w:tcW w:w="1596" w:type="dxa"/>
            <w:tcBorders>
              <w:top w:val="nil"/>
              <w:left w:val="nil"/>
              <w:bottom w:val="nil"/>
              <w:right w:val="nil"/>
            </w:tcBorders>
            <w:shd w:val="clear" w:color="auto" w:fill="auto"/>
            <w:noWrap/>
            <w:vAlign w:val="center"/>
            <w:hideMark/>
          </w:tcPr>
          <w:p w14:paraId="7A12FDF6" w14:textId="333CC2DC"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10 989 </w:t>
            </w:r>
          </w:p>
        </w:tc>
        <w:tc>
          <w:tcPr>
            <w:tcW w:w="972" w:type="dxa"/>
            <w:tcBorders>
              <w:top w:val="nil"/>
              <w:left w:val="nil"/>
              <w:bottom w:val="nil"/>
              <w:right w:val="nil"/>
            </w:tcBorders>
            <w:shd w:val="clear" w:color="auto" w:fill="auto"/>
            <w:noWrap/>
            <w:vAlign w:val="center"/>
            <w:hideMark/>
          </w:tcPr>
          <w:p w14:paraId="45A5B7CF" w14:textId="6E399CAE"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(5 656)</w:t>
            </w:r>
          </w:p>
        </w:tc>
      </w:tr>
      <w:tr w:rsidR="003A5EB3" w:rsidRPr="005269E6" w14:paraId="25413225" w14:textId="77777777" w:rsidTr="004C39BB">
        <w:trPr>
          <w:trHeight w:val="150"/>
          <w:jc w:val="center"/>
        </w:trPr>
        <w:tc>
          <w:tcPr>
            <w:tcW w:w="5314" w:type="dxa"/>
            <w:tcBorders>
              <w:top w:val="nil"/>
              <w:left w:val="nil"/>
              <w:bottom w:val="nil"/>
              <w:right w:val="nil"/>
            </w:tcBorders>
            <w:shd w:val="clear" w:color="auto" w:fill="auto"/>
            <w:noWrap/>
            <w:vAlign w:val="bottom"/>
            <w:hideMark/>
          </w:tcPr>
          <w:p w14:paraId="0D5B82CA" w14:textId="77777777" w:rsidR="003A5EB3" w:rsidRPr="005269E6" w:rsidRDefault="003A5EB3" w:rsidP="003A5EB3">
            <w:pPr>
              <w:tabs>
                <w:tab w:val="clear" w:pos="794"/>
              </w:tabs>
              <w:spacing w:before="0" w:line="200" w:lineRule="exact"/>
              <w:jc w:val="center"/>
              <w:rPr>
                <w:rFonts w:eastAsia="Times New Roman"/>
                <w:b/>
                <w:bCs/>
                <w:color w:val="000000"/>
                <w:sz w:val="18"/>
                <w:szCs w:val="18"/>
                <w:lang w:val="en-GB" w:eastAsia="en-GB"/>
              </w:rPr>
            </w:pPr>
          </w:p>
        </w:tc>
        <w:tc>
          <w:tcPr>
            <w:tcW w:w="1483" w:type="dxa"/>
            <w:tcBorders>
              <w:top w:val="nil"/>
              <w:left w:val="nil"/>
              <w:bottom w:val="nil"/>
              <w:right w:val="nil"/>
            </w:tcBorders>
            <w:shd w:val="clear" w:color="auto" w:fill="auto"/>
            <w:noWrap/>
            <w:vAlign w:val="bottom"/>
            <w:hideMark/>
          </w:tcPr>
          <w:p w14:paraId="0AB5484B"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c>
          <w:tcPr>
            <w:tcW w:w="1596" w:type="dxa"/>
            <w:tcBorders>
              <w:top w:val="nil"/>
              <w:left w:val="nil"/>
              <w:bottom w:val="nil"/>
              <w:right w:val="nil"/>
            </w:tcBorders>
            <w:shd w:val="clear" w:color="auto" w:fill="auto"/>
            <w:noWrap/>
            <w:vAlign w:val="bottom"/>
            <w:hideMark/>
          </w:tcPr>
          <w:p w14:paraId="67A31A1B"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c>
          <w:tcPr>
            <w:tcW w:w="972" w:type="dxa"/>
            <w:tcBorders>
              <w:top w:val="nil"/>
              <w:left w:val="nil"/>
              <w:bottom w:val="nil"/>
              <w:right w:val="nil"/>
            </w:tcBorders>
            <w:shd w:val="clear" w:color="auto" w:fill="auto"/>
            <w:noWrap/>
            <w:vAlign w:val="bottom"/>
            <w:hideMark/>
          </w:tcPr>
          <w:p w14:paraId="772D707C"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r>
      <w:tr w:rsidR="003A5EB3" w:rsidRPr="005269E6" w14:paraId="7D476C1C" w14:textId="77777777" w:rsidTr="004C39BB">
        <w:trPr>
          <w:trHeight w:val="255"/>
          <w:jc w:val="center"/>
        </w:trPr>
        <w:tc>
          <w:tcPr>
            <w:tcW w:w="5314" w:type="dxa"/>
            <w:tcBorders>
              <w:top w:val="nil"/>
              <w:left w:val="nil"/>
              <w:bottom w:val="nil"/>
              <w:right w:val="nil"/>
            </w:tcBorders>
            <w:shd w:val="clear" w:color="auto" w:fill="auto"/>
            <w:noWrap/>
            <w:vAlign w:val="bottom"/>
            <w:hideMark/>
          </w:tcPr>
          <w:p w14:paraId="512D7AE6" w14:textId="5F139C33" w:rsidR="003A5EB3" w:rsidRPr="005269E6" w:rsidRDefault="00A26886" w:rsidP="003A5EB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 الجارية – المعاملات غير التبادلية</w:t>
            </w:r>
          </w:p>
        </w:tc>
        <w:tc>
          <w:tcPr>
            <w:tcW w:w="1483" w:type="dxa"/>
            <w:tcBorders>
              <w:top w:val="nil"/>
              <w:left w:val="nil"/>
              <w:bottom w:val="nil"/>
              <w:right w:val="nil"/>
            </w:tcBorders>
            <w:shd w:val="clear" w:color="auto" w:fill="auto"/>
            <w:noWrap/>
            <w:vAlign w:val="bottom"/>
            <w:hideMark/>
          </w:tcPr>
          <w:p w14:paraId="58D0B201" w14:textId="31585F40"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32 810 </w:t>
            </w:r>
          </w:p>
        </w:tc>
        <w:tc>
          <w:tcPr>
            <w:tcW w:w="1596" w:type="dxa"/>
            <w:tcBorders>
              <w:top w:val="nil"/>
              <w:left w:val="nil"/>
              <w:bottom w:val="nil"/>
              <w:right w:val="nil"/>
            </w:tcBorders>
            <w:shd w:val="clear" w:color="auto" w:fill="auto"/>
            <w:noWrap/>
            <w:vAlign w:val="bottom"/>
            <w:hideMark/>
          </w:tcPr>
          <w:p w14:paraId="5949B225" w14:textId="264AF5E4"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43 105 </w:t>
            </w:r>
          </w:p>
        </w:tc>
        <w:tc>
          <w:tcPr>
            <w:tcW w:w="972" w:type="dxa"/>
            <w:tcBorders>
              <w:top w:val="nil"/>
              <w:left w:val="nil"/>
              <w:bottom w:val="nil"/>
              <w:right w:val="nil"/>
            </w:tcBorders>
            <w:shd w:val="clear" w:color="auto" w:fill="auto"/>
            <w:noWrap/>
            <w:vAlign w:val="bottom"/>
            <w:hideMark/>
          </w:tcPr>
          <w:p w14:paraId="7B4410DA" w14:textId="24C7E4ED"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(10 295)</w:t>
            </w:r>
          </w:p>
        </w:tc>
      </w:tr>
      <w:tr w:rsidR="003A5EB3" w:rsidRPr="005269E6" w14:paraId="74EBF12A" w14:textId="77777777" w:rsidTr="004C39BB">
        <w:trPr>
          <w:trHeight w:val="255"/>
          <w:jc w:val="center"/>
        </w:trPr>
        <w:tc>
          <w:tcPr>
            <w:tcW w:w="5314" w:type="dxa"/>
            <w:tcBorders>
              <w:top w:val="nil"/>
              <w:left w:val="nil"/>
              <w:bottom w:val="nil"/>
              <w:right w:val="nil"/>
            </w:tcBorders>
            <w:shd w:val="clear" w:color="auto" w:fill="auto"/>
            <w:noWrap/>
            <w:vAlign w:val="bottom"/>
            <w:hideMark/>
          </w:tcPr>
          <w:p w14:paraId="380B642F" w14:textId="1511BFA2" w:rsidR="003A5EB3" w:rsidRPr="005269E6" w:rsidRDefault="009A3A5C" w:rsidP="003A5EB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الحساب الاحتياطي</w:t>
            </w:r>
            <w:r w:rsidR="00A26886" w:rsidRPr="005269E6">
              <w:rPr>
                <w:rFonts w:eastAsia="Times New Roman"/>
                <w:color w:val="000000"/>
                <w:sz w:val="18"/>
                <w:szCs w:val="18"/>
                <w:rtl/>
                <w:lang w:val="en-GB" w:eastAsia="en-GB"/>
              </w:rPr>
              <w:t xml:space="preserve"> للخسائر في الذمم المدينة الجارية – المعاملات غير التبادلية</w:t>
            </w:r>
          </w:p>
        </w:tc>
        <w:tc>
          <w:tcPr>
            <w:tcW w:w="1483" w:type="dxa"/>
            <w:tcBorders>
              <w:top w:val="nil"/>
              <w:left w:val="nil"/>
              <w:bottom w:val="nil"/>
              <w:right w:val="nil"/>
            </w:tcBorders>
            <w:shd w:val="clear" w:color="auto" w:fill="auto"/>
            <w:noWrap/>
            <w:vAlign w:val="bottom"/>
            <w:hideMark/>
          </w:tcPr>
          <w:p w14:paraId="280F3C36" w14:textId="23A61B4F"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(20 349)</w:t>
            </w:r>
          </w:p>
        </w:tc>
        <w:tc>
          <w:tcPr>
            <w:tcW w:w="1596" w:type="dxa"/>
            <w:tcBorders>
              <w:top w:val="nil"/>
              <w:left w:val="nil"/>
              <w:bottom w:val="nil"/>
              <w:right w:val="nil"/>
            </w:tcBorders>
            <w:shd w:val="clear" w:color="auto" w:fill="auto"/>
            <w:noWrap/>
            <w:vAlign w:val="bottom"/>
            <w:hideMark/>
          </w:tcPr>
          <w:p w14:paraId="6B85B4FD" w14:textId="36727CEB"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(34 603)</w:t>
            </w:r>
          </w:p>
        </w:tc>
        <w:tc>
          <w:tcPr>
            <w:tcW w:w="972" w:type="dxa"/>
            <w:tcBorders>
              <w:top w:val="nil"/>
              <w:left w:val="nil"/>
              <w:bottom w:val="nil"/>
              <w:right w:val="nil"/>
            </w:tcBorders>
            <w:shd w:val="clear" w:color="auto" w:fill="auto"/>
            <w:noWrap/>
            <w:vAlign w:val="bottom"/>
            <w:hideMark/>
          </w:tcPr>
          <w:p w14:paraId="037D31CB" w14:textId="612F0754"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14 254 </w:t>
            </w:r>
          </w:p>
        </w:tc>
      </w:tr>
      <w:tr w:rsidR="003A5EB3" w:rsidRPr="005269E6" w14:paraId="0F5AC19A" w14:textId="77777777" w:rsidTr="004C39BB">
        <w:trPr>
          <w:trHeight w:val="150"/>
          <w:jc w:val="center"/>
        </w:trPr>
        <w:tc>
          <w:tcPr>
            <w:tcW w:w="5314" w:type="dxa"/>
            <w:tcBorders>
              <w:top w:val="nil"/>
              <w:left w:val="nil"/>
              <w:bottom w:val="nil"/>
              <w:right w:val="nil"/>
            </w:tcBorders>
            <w:shd w:val="clear" w:color="auto" w:fill="auto"/>
            <w:noWrap/>
            <w:vAlign w:val="bottom"/>
            <w:hideMark/>
          </w:tcPr>
          <w:p w14:paraId="1A8FCFD9" w14:textId="77777777" w:rsidR="003A5EB3" w:rsidRPr="005269E6" w:rsidRDefault="003A5EB3" w:rsidP="003A5EB3">
            <w:pPr>
              <w:tabs>
                <w:tab w:val="clear" w:pos="794"/>
              </w:tabs>
              <w:spacing w:before="0" w:line="200" w:lineRule="exact"/>
              <w:jc w:val="center"/>
              <w:rPr>
                <w:rFonts w:eastAsia="Times New Roman"/>
                <w:b/>
                <w:bCs/>
                <w:color w:val="000000"/>
                <w:sz w:val="18"/>
                <w:szCs w:val="18"/>
                <w:lang w:val="en-GB" w:eastAsia="en-GB"/>
              </w:rPr>
            </w:pPr>
          </w:p>
        </w:tc>
        <w:tc>
          <w:tcPr>
            <w:tcW w:w="1483" w:type="dxa"/>
            <w:tcBorders>
              <w:top w:val="nil"/>
              <w:left w:val="nil"/>
              <w:bottom w:val="nil"/>
              <w:right w:val="nil"/>
            </w:tcBorders>
            <w:shd w:val="clear" w:color="auto" w:fill="auto"/>
            <w:noWrap/>
            <w:vAlign w:val="bottom"/>
            <w:hideMark/>
          </w:tcPr>
          <w:p w14:paraId="1A25676A"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c>
          <w:tcPr>
            <w:tcW w:w="1596" w:type="dxa"/>
            <w:tcBorders>
              <w:top w:val="nil"/>
              <w:left w:val="nil"/>
              <w:bottom w:val="nil"/>
              <w:right w:val="nil"/>
            </w:tcBorders>
            <w:shd w:val="clear" w:color="auto" w:fill="auto"/>
            <w:noWrap/>
            <w:vAlign w:val="bottom"/>
            <w:hideMark/>
          </w:tcPr>
          <w:p w14:paraId="27FD0E19"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c>
          <w:tcPr>
            <w:tcW w:w="972" w:type="dxa"/>
            <w:tcBorders>
              <w:top w:val="nil"/>
              <w:left w:val="nil"/>
              <w:bottom w:val="nil"/>
              <w:right w:val="nil"/>
            </w:tcBorders>
            <w:shd w:val="clear" w:color="auto" w:fill="auto"/>
            <w:noWrap/>
            <w:vAlign w:val="bottom"/>
            <w:hideMark/>
          </w:tcPr>
          <w:p w14:paraId="32129E96"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r>
      <w:tr w:rsidR="003A5EB3" w:rsidRPr="005269E6" w14:paraId="5EB63B9F" w14:textId="77777777" w:rsidTr="004C39BB">
        <w:trPr>
          <w:trHeight w:val="499"/>
          <w:jc w:val="center"/>
        </w:trPr>
        <w:tc>
          <w:tcPr>
            <w:tcW w:w="5314" w:type="dxa"/>
            <w:tcBorders>
              <w:top w:val="nil"/>
              <w:left w:val="nil"/>
              <w:bottom w:val="nil"/>
              <w:right w:val="nil"/>
            </w:tcBorders>
            <w:shd w:val="clear" w:color="auto" w:fill="auto"/>
            <w:noWrap/>
            <w:vAlign w:val="center"/>
            <w:hideMark/>
          </w:tcPr>
          <w:p w14:paraId="27C1F402" w14:textId="6E21C185" w:rsidR="003A5EB3" w:rsidRPr="005269E6" w:rsidRDefault="00A26886" w:rsidP="003A5EB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الذمم المدينة الجارية - المعاملات غير التبادلية: صافي القيمة</w:t>
            </w:r>
          </w:p>
        </w:tc>
        <w:tc>
          <w:tcPr>
            <w:tcW w:w="1483" w:type="dxa"/>
            <w:tcBorders>
              <w:top w:val="nil"/>
              <w:left w:val="nil"/>
              <w:bottom w:val="nil"/>
              <w:right w:val="nil"/>
            </w:tcBorders>
            <w:shd w:val="clear" w:color="auto" w:fill="auto"/>
            <w:noWrap/>
            <w:vAlign w:val="center"/>
            <w:hideMark/>
          </w:tcPr>
          <w:p w14:paraId="56BABA01" w14:textId="6439180D"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12 461 </w:t>
            </w:r>
          </w:p>
        </w:tc>
        <w:tc>
          <w:tcPr>
            <w:tcW w:w="1596" w:type="dxa"/>
            <w:tcBorders>
              <w:top w:val="nil"/>
              <w:left w:val="nil"/>
              <w:bottom w:val="nil"/>
              <w:right w:val="nil"/>
            </w:tcBorders>
            <w:shd w:val="clear" w:color="auto" w:fill="auto"/>
            <w:noWrap/>
            <w:vAlign w:val="center"/>
            <w:hideMark/>
          </w:tcPr>
          <w:p w14:paraId="547EAAED" w14:textId="7D5C9232"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8 502 </w:t>
            </w:r>
          </w:p>
        </w:tc>
        <w:tc>
          <w:tcPr>
            <w:tcW w:w="972" w:type="dxa"/>
            <w:tcBorders>
              <w:top w:val="nil"/>
              <w:left w:val="nil"/>
              <w:bottom w:val="nil"/>
              <w:right w:val="nil"/>
            </w:tcBorders>
            <w:shd w:val="clear" w:color="auto" w:fill="auto"/>
            <w:noWrap/>
            <w:vAlign w:val="center"/>
            <w:hideMark/>
          </w:tcPr>
          <w:p w14:paraId="1A703BE3" w14:textId="63618272"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3 958 </w:t>
            </w:r>
          </w:p>
        </w:tc>
      </w:tr>
      <w:tr w:rsidR="003A5EB3" w:rsidRPr="005269E6" w14:paraId="07A52060" w14:textId="77777777" w:rsidTr="004C39BB">
        <w:trPr>
          <w:trHeight w:val="150"/>
          <w:jc w:val="center"/>
        </w:trPr>
        <w:tc>
          <w:tcPr>
            <w:tcW w:w="5314" w:type="dxa"/>
            <w:tcBorders>
              <w:top w:val="nil"/>
              <w:left w:val="nil"/>
              <w:bottom w:val="nil"/>
              <w:right w:val="nil"/>
            </w:tcBorders>
            <w:shd w:val="clear" w:color="auto" w:fill="auto"/>
            <w:noWrap/>
            <w:vAlign w:val="bottom"/>
            <w:hideMark/>
          </w:tcPr>
          <w:p w14:paraId="101A1988" w14:textId="77777777" w:rsidR="003A5EB3" w:rsidRPr="005269E6" w:rsidRDefault="003A5EB3" w:rsidP="003A5EB3">
            <w:pPr>
              <w:tabs>
                <w:tab w:val="clear" w:pos="794"/>
              </w:tabs>
              <w:spacing w:before="0" w:line="200" w:lineRule="exact"/>
              <w:jc w:val="center"/>
              <w:rPr>
                <w:rFonts w:eastAsia="Times New Roman"/>
                <w:b/>
                <w:bCs/>
                <w:color w:val="000000"/>
                <w:sz w:val="18"/>
                <w:szCs w:val="18"/>
                <w:lang w:val="en-GB" w:eastAsia="en-GB"/>
              </w:rPr>
            </w:pPr>
          </w:p>
        </w:tc>
        <w:tc>
          <w:tcPr>
            <w:tcW w:w="1483" w:type="dxa"/>
            <w:tcBorders>
              <w:top w:val="nil"/>
              <w:left w:val="nil"/>
              <w:bottom w:val="nil"/>
              <w:right w:val="nil"/>
            </w:tcBorders>
            <w:shd w:val="clear" w:color="auto" w:fill="auto"/>
            <w:noWrap/>
            <w:vAlign w:val="bottom"/>
            <w:hideMark/>
          </w:tcPr>
          <w:p w14:paraId="545236EB"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c>
          <w:tcPr>
            <w:tcW w:w="1596" w:type="dxa"/>
            <w:tcBorders>
              <w:top w:val="nil"/>
              <w:left w:val="nil"/>
              <w:bottom w:val="nil"/>
              <w:right w:val="nil"/>
            </w:tcBorders>
            <w:shd w:val="clear" w:color="auto" w:fill="auto"/>
            <w:noWrap/>
            <w:vAlign w:val="center"/>
            <w:hideMark/>
          </w:tcPr>
          <w:p w14:paraId="7111BE45"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c>
          <w:tcPr>
            <w:tcW w:w="972" w:type="dxa"/>
            <w:tcBorders>
              <w:top w:val="nil"/>
              <w:left w:val="nil"/>
              <w:bottom w:val="nil"/>
              <w:right w:val="nil"/>
            </w:tcBorders>
            <w:shd w:val="clear" w:color="auto" w:fill="auto"/>
            <w:noWrap/>
            <w:vAlign w:val="center"/>
            <w:hideMark/>
          </w:tcPr>
          <w:p w14:paraId="50BD424B"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r>
      <w:tr w:rsidR="003A5EB3" w:rsidRPr="005269E6" w14:paraId="0E2A3F4A" w14:textId="77777777" w:rsidTr="004C39BB">
        <w:trPr>
          <w:trHeight w:val="255"/>
          <w:jc w:val="center"/>
        </w:trPr>
        <w:tc>
          <w:tcPr>
            <w:tcW w:w="5314" w:type="dxa"/>
            <w:tcBorders>
              <w:top w:val="nil"/>
              <w:left w:val="nil"/>
              <w:bottom w:val="nil"/>
              <w:right w:val="nil"/>
            </w:tcBorders>
            <w:shd w:val="clear" w:color="auto" w:fill="auto"/>
            <w:noWrap/>
            <w:vAlign w:val="bottom"/>
            <w:hideMark/>
          </w:tcPr>
          <w:p w14:paraId="64D7B048" w14:textId="01F9B82D" w:rsidR="003A5EB3" w:rsidRPr="005269E6" w:rsidRDefault="00A26886" w:rsidP="003A5EB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 غير الجارية – المعاملات التبادلية</w:t>
            </w:r>
          </w:p>
        </w:tc>
        <w:tc>
          <w:tcPr>
            <w:tcW w:w="1483" w:type="dxa"/>
            <w:tcBorders>
              <w:top w:val="nil"/>
              <w:left w:val="nil"/>
              <w:bottom w:val="nil"/>
              <w:right w:val="nil"/>
            </w:tcBorders>
            <w:shd w:val="clear" w:color="auto" w:fill="auto"/>
            <w:noWrap/>
            <w:vAlign w:val="bottom"/>
            <w:hideMark/>
          </w:tcPr>
          <w:p w14:paraId="419296D8" w14:textId="2705AB02"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596" w:type="dxa"/>
            <w:tcBorders>
              <w:top w:val="nil"/>
              <w:left w:val="nil"/>
              <w:bottom w:val="nil"/>
              <w:right w:val="nil"/>
            </w:tcBorders>
            <w:shd w:val="clear" w:color="auto" w:fill="auto"/>
            <w:noWrap/>
            <w:vAlign w:val="bottom"/>
            <w:hideMark/>
          </w:tcPr>
          <w:p w14:paraId="2FB1AA65" w14:textId="2ED63A0A"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972" w:type="dxa"/>
            <w:tcBorders>
              <w:top w:val="nil"/>
              <w:left w:val="nil"/>
              <w:bottom w:val="nil"/>
              <w:right w:val="nil"/>
            </w:tcBorders>
            <w:shd w:val="clear" w:color="auto" w:fill="auto"/>
            <w:noWrap/>
            <w:vAlign w:val="center"/>
            <w:hideMark/>
          </w:tcPr>
          <w:p w14:paraId="4DE2BAEF" w14:textId="6B7D5750"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r>
      <w:tr w:rsidR="003A5EB3" w:rsidRPr="005269E6" w14:paraId="4A8A1C1D" w14:textId="77777777" w:rsidTr="004C39BB">
        <w:trPr>
          <w:trHeight w:val="255"/>
          <w:jc w:val="center"/>
        </w:trPr>
        <w:tc>
          <w:tcPr>
            <w:tcW w:w="5314" w:type="dxa"/>
            <w:tcBorders>
              <w:top w:val="nil"/>
              <w:left w:val="nil"/>
              <w:bottom w:val="nil"/>
              <w:right w:val="nil"/>
            </w:tcBorders>
            <w:shd w:val="clear" w:color="auto" w:fill="auto"/>
            <w:noWrap/>
            <w:vAlign w:val="bottom"/>
            <w:hideMark/>
          </w:tcPr>
          <w:p w14:paraId="05CAB2E8" w14:textId="1C3F9E0D" w:rsidR="003A5EB3" w:rsidRPr="005269E6" w:rsidRDefault="009A3A5C" w:rsidP="003A5EB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الحساب الاحتياطي</w:t>
            </w:r>
            <w:r w:rsidR="00A26886" w:rsidRPr="005269E6">
              <w:rPr>
                <w:rFonts w:eastAsia="Times New Roman"/>
                <w:color w:val="000000"/>
                <w:sz w:val="18"/>
                <w:szCs w:val="18"/>
                <w:rtl/>
                <w:lang w:val="en-GB" w:eastAsia="en-GB"/>
              </w:rPr>
              <w:t xml:space="preserve"> للخسائر في الذمم المدينة</w:t>
            </w:r>
            <w:r w:rsidR="00A26886" w:rsidRPr="005269E6">
              <w:rPr>
                <w:sz w:val="18"/>
                <w:szCs w:val="18"/>
                <w:rtl/>
              </w:rPr>
              <w:t xml:space="preserve"> </w:t>
            </w:r>
            <w:r w:rsidR="00A26886" w:rsidRPr="005269E6">
              <w:rPr>
                <w:rFonts w:eastAsia="Times New Roman"/>
                <w:color w:val="000000"/>
                <w:sz w:val="18"/>
                <w:szCs w:val="18"/>
                <w:rtl/>
                <w:lang w:val="en-GB" w:eastAsia="en-GB"/>
              </w:rPr>
              <w:t>غير الجارية - المعاملات التبادلية</w:t>
            </w:r>
          </w:p>
        </w:tc>
        <w:tc>
          <w:tcPr>
            <w:tcW w:w="1483" w:type="dxa"/>
            <w:tcBorders>
              <w:top w:val="nil"/>
              <w:left w:val="nil"/>
              <w:bottom w:val="nil"/>
              <w:right w:val="nil"/>
            </w:tcBorders>
            <w:shd w:val="clear" w:color="auto" w:fill="auto"/>
            <w:noWrap/>
            <w:vAlign w:val="bottom"/>
            <w:hideMark/>
          </w:tcPr>
          <w:p w14:paraId="4C3E2A86" w14:textId="1F7E317D"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596" w:type="dxa"/>
            <w:tcBorders>
              <w:top w:val="nil"/>
              <w:left w:val="nil"/>
              <w:bottom w:val="nil"/>
              <w:right w:val="nil"/>
            </w:tcBorders>
            <w:shd w:val="clear" w:color="auto" w:fill="auto"/>
            <w:noWrap/>
            <w:vAlign w:val="bottom"/>
            <w:hideMark/>
          </w:tcPr>
          <w:p w14:paraId="07F23205" w14:textId="473D4002"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972" w:type="dxa"/>
            <w:tcBorders>
              <w:top w:val="nil"/>
              <w:left w:val="nil"/>
              <w:bottom w:val="nil"/>
              <w:right w:val="nil"/>
            </w:tcBorders>
            <w:shd w:val="clear" w:color="auto" w:fill="auto"/>
            <w:noWrap/>
            <w:vAlign w:val="center"/>
            <w:hideMark/>
          </w:tcPr>
          <w:p w14:paraId="7175AD66" w14:textId="428B956B"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r>
      <w:tr w:rsidR="003A5EB3" w:rsidRPr="005269E6" w14:paraId="31218D26" w14:textId="77777777" w:rsidTr="004C39BB">
        <w:trPr>
          <w:trHeight w:val="150"/>
          <w:jc w:val="center"/>
        </w:trPr>
        <w:tc>
          <w:tcPr>
            <w:tcW w:w="5314" w:type="dxa"/>
            <w:tcBorders>
              <w:top w:val="nil"/>
              <w:left w:val="nil"/>
              <w:bottom w:val="nil"/>
              <w:right w:val="nil"/>
            </w:tcBorders>
            <w:shd w:val="clear" w:color="auto" w:fill="auto"/>
            <w:noWrap/>
            <w:vAlign w:val="bottom"/>
            <w:hideMark/>
          </w:tcPr>
          <w:p w14:paraId="2F655A54" w14:textId="77777777" w:rsidR="003A5EB3" w:rsidRPr="005269E6" w:rsidRDefault="003A5EB3" w:rsidP="003A5EB3">
            <w:pPr>
              <w:tabs>
                <w:tab w:val="clear" w:pos="794"/>
              </w:tabs>
              <w:spacing w:before="0" w:line="200" w:lineRule="exact"/>
              <w:jc w:val="center"/>
              <w:rPr>
                <w:rFonts w:eastAsia="Times New Roman"/>
                <w:b/>
                <w:bCs/>
                <w:color w:val="000000"/>
                <w:sz w:val="18"/>
                <w:szCs w:val="18"/>
                <w:lang w:val="en-GB" w:eastAsia="en-GB"/>
              </w:rPr>
            </w:pPr>
          </w:p>
        </w:tc>
        <w:tc>
          <w:tcPr>
            <w:tcW w:w="1483" w:type="dxa"/>
            <w:tcBorders>
              <w:top w:val="nil"/>
              <w:left w:val="nil"/>
              <w:bottom w:val="nil"/>
              <w:right w:val="nil"/>
            </w:tcBorders>
            <w:shd w:val="clear" w:color="auto" w:fill="auto"/>
            <w:noWrap/>
            <w:vAlign w:val="bottom"/>
            <w:hideMark/>
          </w:tcPr>
          <w:p w14:paraId="5E472187"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c>
          <w:tcPr>
            <w:tcW w:w="1596" w:type="dxa"/>
            <w:tcBorders>
              <w:top w:val="nil"/>
              <w:left w:val="nil"/>
              <w:bottom w:val="nil"/>
              <w:right w:val="nil"/>
            </w:tcBorders>
            <w:shd w:val="clear" w:color="auto" w:fill="auto"/>
            <w:noWrap/>
            <w:vAlign w:val="bottom"/>
            <w:hideMark/>
          </w:tcPr>
          <w:p w14:paraId="69DE3027"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c>
          <w:tcPr>
            <w:tcW w:w="972" w:type="dxa"/>
            <w:tcBorders>
              <w:top w:val="nil"/>
              <w:left w:val="nil"/>
              <w:bottom w:val="nil"/>
              <w:right w:val="nil"/>
            </w:tcBorders>
            <w:shd w:val="clear" w:color="auto" w:fill="auto"/>
            <w:noWrap/>
            <w:vAlign w:val="bottom"/>
            <w:hideMark/>
          </w:tcPr>
          <w:p w14:paraId="0BEA2887"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r>
      <w:tr w:rsidR="003A5EB3" w:rsidRPr="005269E6" w14:paraId="16AFB1C6" w14:textId="77777777" w:rsidTr="004C39BB">
        <w:trPr>
          <w:trHeight w:val="499"/>
          <w:jc w:val="center"/>
        </w:trPr>
        <w:tc>
          <w:tcPr>
            <w:tcW w:w="5314" w:type="dxa"/>
            <w:tcBorders>
              <w:top w:val="nil"/>
              <w:left w:val="nil"/>
              <w:bottom w:val="nil"/>
              <w:right w:val="nil"/>
            </w:tcBorders>
            <w:shd w:val="clear" w:color="auto" w:fill="auto"/>
            <w:noWrap/>
            <w:vAlign w:val="center"/>
            <w:hideMark/>
          </w:tcPr>
          <w:p w14:paraId="6F30B6EE" w14:textId="1B796F8E" w:rsidR="003A5EB3" w:rsidRPr="005269E6" w:rsidRDefault="00A26886" w:rsidP="003A5EB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الذمم المدينة</w:t>
            </w:r>
            <w:r w:rsidRPr="005269E6">
              <w:rPr>
                <w:sz w:val="18"/>
                <w:szCs w:val="18"/>
                <w:rtl/>
              </w:rPr>
              <w:t xml:space="preserve"> </w:t>
            </w:r>
            <w:r w:rsidRPr="005269E6">
              <w:rPr>
                <w:rFonts w:eastAsia="Times New Roman"/>
                <w:b/>
                <w:bCs/>
                <w:color w:val="000000"/>
                <w:sz w:val="18"/>
                <w:szCs w:val="18"/>
                <w:rtl/>
                <w:lang w:val="en-GB" w:eastAsia="en-GB"/>
              </w:rPr>
              <w:t>غير الجارية - المعاملات التبادلية: صافي القيمة</w:t>
            </w:r>
          </w:p>
        </w:tc>
        <w:tc>
          <w:tcPr>
            <w:tcW w:w="1483" w:type="dxa"/>
            <w:tcBorders>
              <w:top w:val="nil"/>
              <w:left w:val="nil"/>
              <w:bottom w:val="nil"/>
              <w:right w:val="nil"/>
            </w:tcBorders>
            <w:shd w:val="clear" w:color="auto" w:fill="auto"/>
            <w:noWrap/>
            <w:vAlign w:val="center"/>
            <w:hideMark/>
          </w:tcPr>
          <w:p w14:paraId="3AE6B748" w14:textId="7FEFFF5C"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c>
          <w:tcPr>
            <w:tcW w:w="1596" w:type="dxa"/>
            <w:tcBorders>
              <w:top w:val="nil"/>
              <w:left w:val="nil"/>
              <w:bottom w:val="nil"/>
              <w:right w:val="nil"/>
            </w:tcBorders>
            <w:shd w:val="clear" w:color="auto" w:fill="auto"/>
            <w:noWrap/>
            <w:vAlign w:val="center"/>
            <w:hideMark/>
          </w:tcPr>
          <w:p w14:paraId="40121182" w14:textId="3524764A"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c>
          <w:tcPr>
            <w:tcW w:w="972" w:type="dxa"/>
            <w:tcBorders>
              <w:top w:val="nil"/>
              <w:left w:val="nil"/>
              <w:bottom w:val="nil"/>
              <w:right w:val="nil"/>
            </w:tcBorders>
            <w:shd w:val="clear" w:color="auto" w:fill="auto"/>
            <w:noWrap/>
            <w:vAlign w:val="center"/>
            <w:hideMark/>
          </w:tcPr>
          <w:p w14:paraId="10368597" w14:textId="52DAD71D"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r>
      <w:tr w:rsidR="003A5EB3" w:rsidRPr="005269E6" w14:paraId="30BE3D0F" w14:textId="77777777" w:rsidTr="004C39BB">
        <w:trPr>
          <w:trHeight w:val="150"/>
          <w:jc w:val="center"/>
        </w:trPr>
        <w:tc>
          <w:tcPr>
            <w:tcW w:w="5314" w:type="dxa"/>
            <w:tcBorders>
              <w:top w:val="nil"/>
              <w:left w:val="nil"/>
              <w:bottom w:val="nil"/>
              <w:right w:val="nil"/>
            </w:tcBorders>
            <w:shd w:val="clear" w:color="auto" w:fill="auto"/>
            <w:noWrap/>
            <w:vAlign w:val="bottom"/>
            <w:hideMark/>
          </w:tcPr>
          <w:p w14:paraId="6D43AA15" w14:textId="77777777" w:rsidR="003A5EB3" w:rsidRPr="005269E6" w:rsidRDefault="003A5EB3" w:rsidP="003A5EB3">
            <w:pPr>
              <w:tabs>
                <w:tab w:val="clear" w:pos="794"/>
              </w:tabs>
              <w:spacing w:before="0" w:line="200" w:lineRule="exact"/>
              <w:jc w:val="center"/>
              <w:rPr>
                <w:rFonts w:eastAsia="Times New Roman"/>
                <w:b/>
                <w:bCs/>
                <w:color w:val="000000"/>
                <w:sz w:val="18"/>
                <w:szCs w:val="18"/>
                <w:lang w:val="en-GB" w:eastAsia="en-GB"/>
              </w:rPr>
            </w:pPr>
          </w:p>
        </w:tc>
        <w:tc>
          <w:tcPr>
            <w:tcW w:w="1483" w:type="dxa"/>
            <w:tcBorders>
              <w:top w:val="nil"/>
              <w:left w:val="nil"/>
              <w:bottom w:val="nil"/>
              <w:right w:val="nil"/>
            </w:tcBorders>
            <w:shd w:val="clear" w:color="auto" w:fill="auto"/>
            <w:noWrap/>
            <w:vAlign w:val="bottom"/>
            <w:hideMark/>
          </w:tcPr>
          <w:p w14:paraId="57E0C776"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c>
          <w:tcPr>
            <w:tcW w:w="1596" w:type="dxa"/>
            <w:tcBorders>
              <w:top w:val="nil"/>
              <w:left w:val="nil"/>
              <w:bottom w:val="nil"/>
              <w:right w:val="nil"/>
            </w:tcBorders>
            <w:shd w:val="clear" w:color="auto" w:fill="auto"/>
            <w:noWrap/>
            <w:vAlign w:val="bottom"/>
            <w:hideMark/>
          </w:tcPr>
          <w:p w14:paraId="6550DFFE"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c>
          <w:tcPr>
            <w:tcW w:w="972" w:type="dxa"/>
            <w:tcBorders>
              <w:top w:val="nil"/>
              <w:left w:val="nil"/>
              <w:bottom w:val="nil"/>
              <w:right w:val="nil"/>
            </w:tcBorders>
            <w:shd w:val="clear" w:color="auto" w:fill="auto"/>
            <w:noWrap/>
            <w:vAlign w:val="bottom"/>
            <w:hideMark/>
          </w:tcPr>
          <w:p w14:paraId="6AAE0337"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r>
      <w:tr w:rsidR="003A5EB3" w:rsidRPr="005269E6" w14:paraId="08712DA5" w14:textId="77777777" w:rsidTr="004C39BB">
        <w:trPr>
          <w:trHeight w:val="255"/>
          <w:jc w:val="center"/>
        </w:trPr>
        <w:tc>
          <w:tcPr>
            <w:tcW w:w="5314" w:type="dxa"/>
            <w:tcBorders>
              <w:top w:val="nil"/>
              <w:left w:val="nil"/>
              <w:bottom w:val="nil"/>
              <w:right w:val="nil"/>
            </w:tcBorders>
            <w:shd w:val="clear" w:color="auto" w:fill="auto"/>
            <w:noWrap/>
            <w:vAlign w:val="bottom"/>
            <w:hideMark/>
          </w:tcPr>
          <w:p w14:paraId="0D392764" w14:textId="7BBA4A55" w:rsidR="003A5EB3" w:rsidRPr="005269E6" w:rsidRDefault="002623CB" w:rsidP="003A5EB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w:t>
            </w:r>
            <w:r w:rsidRPr="005269E6">
              <w:rPr>
                <w:sz w:val="18"/>
                <w:szCs w:val="18"/>
                <w:rtl/>
              </w:rPr>
              <w:t xml:space="preserve"> </w:t>
            </w:r>
            <w:r w:rsidRPr="005269E6">
              <w:rPr>
                <w:rFonts w:eastAsia="Times New Roman"/>
                <w:color w:val="000000"/>
                <w:sz w:val="18"/>
                <w:szCs w:val="18"/>
                <w:rtl/>
                <w:lang w:val="en-GB" w:eastAsia="en-GB"/>
              </w:rPr>
              <w:t>غير الجارية – المعاملات غير التبادلية</w:t>
            </w:r>
          </w:p>
        </w:tc>
        <w:tc>
          <w:tcPr>
            <w:tcW w:w="1483" w:type="dxa"/>
            <w:tcBorders>
              <w:top w:val="nil"/>
              <w:left w:val="nil"/>
              <w:bottom w:val="nil"/>
              <w:right w:val="nil"/>
            </w:tcBorders>
            <w:shd w:val="clear" w:color="auto" w:fill="auto"/>
            <w:noWrap/>
            <w:vAlign w:val="bottom"/>
            <w:hideMark/>
          </w:tcPr>
          <w:p w14:paraId="64A8F0FB" w14:textId="307B5265"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14 677 </w:t>
            </w:r>
          </w:p>
        </w:tc>
        <w:tc>
          <w:tcPr>
            <w:tcW w:w="1596" w:type="dxa"/>
            <w:tcBorders>
              <w:top w:val="nil"/>
              <w:left w:val="nil"/>
              <w:bottom w:val="nil"/>
              <w:right w:val="nil"/>
            </w:tcBorders>
            <w:shd w:val="clear" w:color="auto" w:fill="auto"/>
            <w:noWrap/>
            <w:vAlign w:val="bottom"/>
            <w:hideMark/>
          </w:tcPr>
          <w:p w14:paraId="4031BC3A" w14:textId="0614C4E3"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5 967 </w:t>
            </w:r>
          </w:p>
        </w:tc>
        <w:tc>
          <w:tcPr>
            <w:tcW w:w="972" w:type="dxa"/>
            <w:tcBorders>
              <w:top w:val="nil"/>
              <w:left w:val="nil"/>
              <w:bottom w:val="nil"/>
              <w:right w:val="nil"/>
            </w:tcBorders>
            <w:shd w:val="clear" w:color="auto" w:fill="auto"/>
            <w:noWrap/>
            <w:vAlign w:val="bottom"/>
            <w:hideMark/>
          </w:tcPr>
          <w:p w14:paraId="4F0EDE40" w14:textId="65D1E3EC"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8 710 </w:t>
            </w:r>
          </w:p>
        </w:tc>
      </w:tr>
      <w:tr w:rsidR="003A5EB3" w:rsidRPr="005269E6" w14:paraId="406EB7EB" w14:textId="77777777" w:rsidTr="004C39BB">
        <w:trPr>
          <w:trHeight w:val="255"/>
          <w:jc w:val="center"/>
        </w:trPr>
        <w:tc>
          <w:tcPr>
            <w:tcW w:w="5314" w:type="dxa"/>
            <w:tcBorders>
              <w:top w:val="nil"/>
              <w:left w:val="nil"/>
              <w:bottom w:val="nil"/>
              <w:right w:val="nil"/>
            </w:tcBorders>
            <w:shd w:val="clear" w:color="auto" w:fill="auto"/>
            <w:noWrap/>
            <w:vAlign w:val="bottom"/>
            <w:hideMark/>
          </w:tcPr>
          <w:p w14:paraId="78F0D819" w14:textId="24280C41" w:rsidR="003A5EB3" w:rsidRPr="005269E6" w:rsidRDefault="009A3A5C" w:rsidP="003A5EB3">
            <w:pPr>
              <w:tabs>
                <w:tab w:val="clear" w:pos="794"/>
              </w:tabs>
              <w:spacing w:before="40" w:after="40" w:line="240" w:lineRule="exact"/>
              <w:jc w:val="left"/>
              <w:rPr>
                <w:rFonts w:eastAsia="Times New Roman"/>
                <w:color w:val="000000"/>
                <w:spacing w:val="-4"/>
                <w:sz w:val="18"/>
                <w:szCs w:val="18"/>
                <w:lang w:val="en-GB" w:eastAsia="en-GB"/>
              </w:rPr>
            </w:pPr>
            <w:r w:rsidRPr="005269E6">
              <w:rPr>
                <w:rFonts w:eastAsia="Times New Roman"/>
                <w:color w:val="000000"/>
                <w:spacing w:val="-4"/>
                <w:sz w:val="18"/>
                <w:szCs w:val="18"/>
                <w:rtl/>
                <w:lang w:val="en-GB" w:eastAsia="en-GB"/>
              </w:rPr>
              <w:t>الحساب الاحتياطي</w:t>
            </w:r>
            <w:r w:rsidR="002623CB" w:rsidRPr="005269E6">
              <w:rPr>
                <w:rFonts w:eastAsia="Times New Roman"/>
                <w:color w:val="000000"/>
                <w:spacing w:val="-4"/>
                <w:sz w:val="18"/>
                <w:szCs w:val="18"/>
                <w:rtl/>
                <w:lang w:val="en-GB" w:eastAsia="en-GB"/>
              </w:rPr>
              <w:t xml:space="preserve"> للخسائر في الذمم المدينة</w:t>
            </w:r>
            <w:r w:rsidR="002623CB" w:rsidRPr="005269E6">
              <w:rPr>
                <w:spacing w:val="-4"/>
                <w:sz w:val="18"/>
                <w:szCs w:val="18"/>
                <w:rtl/>
              </w:rPr>
              <w:t xml:space="preserve"> </w:t>
            </w:r>
            <w:r w:rsidR="002623CB" w:rsidRPr="005269E6">
              <w:rPr>
                <w:rFonts w:eastAsia="Times New Roman"/>
                <w:color w:val="000000"/>
                <w:spacing w:val="-4"/>
                <w:sz w:val="18"/>
                <w:szCs w:val="18"/>
                <w:rtl/>
                <w:lang w:val="en-GB" w:eastAsia="en-GB"/>
              </w:rPr>
              <w:t>غير الجارية – المعاملات غير التبادلية</w:t>
            </w:r>
          </w:p>
        </w:tc>
        <w:tc>
          <w:tcPr>
            <w:tcW w:w="1483" w:type="dxa"/>
            <w:tcBorders>
              <w:top w:val="nil"/>
              <w:left w:val="nil"/>
              <w:bottom w:val="nil"/>
              <w:right w:val="nil"/>
            </w:tcBorders>
            <w:shd w:val="clear" w:color="auto" w:fill="auto"/>
            <w:noWrap/>
            <w:vAlign w:val="bottom"/>
            <w:hideMark/>
          </w:tcPr>
          <w:p w14:paraId="4A9F2A06" w14:textId="4021BC10"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(14 677)</w:t>
            </w:r>
          </w:p>
        </w:tc>
        <w:tc>
          <w:tcPr>
            <w:tcW w:w="1596" w:type="dxa"/>
            <w:tcBorders>
              <w:top w:val="nil"/>
              <w:left w:val="nil"/>
              <w:bottom w:val="nil"/>
              <w:right w:val="nil"/>
            </w:tcBorders>
            <w:shd w:val="clear" w:color="auto" w:fill="auto"/>
            <w:noWrap/>
            <w:vAlign w:val="bottom"/>
            <w:hideMark/>
          </w:tcPr>
          <w:p w14:paraId="571BF43B" w14:textId="693877CB"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(5 967)</w:t>
            </w:r>
          </w:p>
        </w:tc>
        <w:tc>
          <w:tcPr>
            <w:tcW w:w="972" w:type="dxa"/>
            <w:tcBorders>
              <w:top w:val="nil"/>
              <w:left w:val="nil"/>
              <w:bottom w:val="nil"/>
              <w:right w:val="nil"/>
            </w:tcBorders>
            <w:shd w:val="clear" w:color="auto" w:fill="auto"/>
            <w:noWrap/>
            <w:vAlign w:val="bottom"/>
            <w:hideMark/>
          </w:tcPr>
          <w:p w14:paraId="66756348" w14:textId="3658999D" w:rsidR="003A5EB3" w:rsidRPr="005269E6" w:rsidRDefault="003A5EB3" w:rsidP="00A979E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(8 710)</w:t>
            </w:r>
          </w:p>
        </w:tc>
      </w:tr>
      <w:tr w:rsidR="003A5EB3" w:rsidRPr="005269E6" w14:paraId="6E60E2B9" w14:textId="77777777" w:rsidTr="004C39BB">
        <w:trPr>
          <w:trHeight w:val="150"/>
          <w:jc w:val="center"/>
        </w:trPr>
        <w:tc>
          <w:tcPr>
            <w:tcW w:w="5314" w:type="dxa"/>
            <w:tcBorders>
              <w:top w:val="nil"/>
              <w:left w:val="nil"/>
              <w:bottom w:val="nil"/>
              <w:right w:val="nil"/>
            </w:tcBorders>
            <w:shd w:val="clear" w:color="auto" w:fill="auto"/>
            <w:noWrap/>
            <w:vAlign w:val="bottom"/>
            <w:hideMark/>
          </w:tcPr>
          <w:p w14:paraId="72928863" w14:textId="77777777" w:rsidR="003A5EB3" w:rsidRPr="005269E6" w:rsidRDefault="003A5EB3" w:rsidP="003A5EB3">
            <w:pPr>
              <w:tabs>
                <w:tab w:val="clear" w:pos="794"/>
              </w:tabs>
              <w:spacing w:before="0" w:line="200" w:lineRule="exact"/>
              <w:jc w:val="center"/>
              <w:rPr>
                <w:rFonts w:eastAsia="Times New Roman"/>
                <w:b/>
                <w:bCs/>
                <w:color w:val="000000"/>
                <w:sz w:val="18"/>
                <w:szCs w:val="18"/>
                <w:lang w:val="en-GB" w:eastAsia="en-GB"/>
              </w:rPr>
            </w:pPr>
          </w:p>
        </w:tc>
        <w:tc>
          <w:tcPr>
            <w:tcW w:w="1483" w:type="dxa"/>
            <w:tcBorders>
              <w:top w:val="nil"/>
              <w:left w:val="nil"/>
              <w:bottom w:val="nil"/>
              <w:right w:val="nil"/>
            </w:tcBorders>
            <w:shd w:val="clear" w:color="auto" w:fill="auto"/>
            <w:noWrap/>
            <w:vAlign w:val="bottom"/>
            <w:hideMark/>
          </w:tcPr>
          <w:p w14:paraId="7A872BE2"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c>
          <w:tcPr>
            <w:tcW w:w="1596" w:type="dxa"/>
            <w:tcBorders>
              <w:top w:val="nil"/>
              <w:left w:val="nil"/>
              <w:bottom w:val="nil"/>
              <w:right w:val="nil"/>
            </w:tcBorders>
            <w:shd w:val="clear" w:color="auto" w:fill="auto"/>
            <w:noWrap/>
            <w:vAlign w:val="bottom"/>
            <w:hideMark/>
          </w:tcPr>
          <w:p w14:paraId="2EAB68ED"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c>
          <w:tcPr>
            <w:tcW w:w="972" w:type="dxa"/>
            <w:tcBorders>
              <w:top w:val="nil"/>
              <w:left w:val="nil"/>
              <w:bottom w:val="nil"/>
              <w:right w:val="nil"/>
            </w:tcBorders>
            <w:shd w:val="clear" w:color="auto" w:fill="auto"/>
            <w:noWrap/>
            <w:vAlign w:val="bottom"/>
            <w:hideMark/>
          </w:tcPr>
          <w:p w14:paraId="00E50E43" w14:textId="77777777" w:rsidR="003A5EB3" w:rsidRPr="005269E6" w:rsidRDefault="003A5EB3" w:rsidP="00A979E3">
            <w:pPr>
              <w:tabs>
                <w:tab w:val="clear" w:pos="794"/>
              </w:tabs>
              <w:spacing w:before="0" w:line="200" w:lineRule="exact"/>
              <w:jc w:val="left"/>
              <w:rPr>
                <w:rFonts w:eastAsia="Times New Roman"/>
                <w:b/>
                <w:bCs/>
                <w:color w:val="000000"/>
                <w:sz w:val="18"/>
                <w:szCs w:val="18"/>
                <w:lang w:val="en-GB" w:eastAsia="en-GB"/>
              </w:rPr>
            </w:pPr>
          </w:p>
        </w:tc>
      </w:tr>
      <w:tr w:rsidR="003A5EB3" w:rsidRPr="005269E6" w14:paraId="784E1B4D" w14:textId="77777777" w:rsidTr="004C39BB">
        <w:trPr>
          <w:trHeight w:val="499"/>
          <w:jc w:val="center"/>
        </w:trPr>
        <w:tc>
          <w:tcPr>
            <w:tcW w:w="5314" w:type="dxa"/>
            <w:tcBorders>
              <w:top w:val="nil"/>
              <w:left w:val="nil"/>
              <w:bottom w:val="nil"/>
              <w:right w:val="nil"/>
            </w:tcBorders>
            <w:shd w:val="clear" w:color="auto" w:fill="auto"/>
            <w:noWrap/>
            <w:vAlign w:val="center"/>
            <w:hideMark/>
          </w:tcPr>
          <w:p w14:paraId="15E6D0DE" w14:textId="2B04EE41" w:rsidR="003A5EB3" w:rsidRPr="005269E6" w:rsidRDefault="002623CB" w:rsidP="003A5EB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الذمم المدينة غير الجارية - المعاملات التبادلية: صافي القيمة</w:t>
            </w:r>
          </w:p>
        </w:tc>
        <w:tc>
          <w:tcPr>
            <w:tcW w:w="1483" w:type="dxa"/>
            <w:tcBorders>
              <w:top w:val="nil"/>
              <w:left w:val="nil"/>
              <w:bottom w:val="nil"/>
              <w:right w:val="nil"/>
            </w:tcBorders>
            <w:shd w:val="clear" w:color="auto" w:fill="auto"/>
            <w:noWrap/>
            <w:vAlign w:val="center"/>
            <w:hideMark/>
          </w:tcPr>
          <w:p w14:paraId="52E784D4" w14:textId="0009E0F9"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c>
          <w:tcPr>
            <w:tcW w:w="1596" w:type="dxa"/>
            <w:tcBorders>
              <w:top w:val="nil"/>
              <w:left w:val="nil"/>
              <w:bottom w:val="nil"/>
              <w:right w:val="nil"/>
            </w:tcBorders>
            <w:shd w:val="clear" w:color="auto" w:fill="auto"/>
            <w:noWrap/>
            <w:vAlign w:val="center"/>
            <w:hideMark/>
          </w:tcPr>
          <w:p w14:paraId="16DF8AFD" w14:textId="16086822"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c>
          <w:tcPr>
            <w:tcW w:w="972" w:type="dxa"/>
            <w:tcBorders>
              <w:top w:val="nil"/>
              <w:left w:val="nil"/>
              <w:bottom w:val="nil"/>
              <w:right w:val="nil"/>
            </w:tcBorders>
            <w:shd w:val="clear" w:color="auto" w:fill="auto"/>
            <w:noWrap/>
            <w:vAlign w:val="center"/>
            <w:hideMark/>
          </w:tcPr>
          <w:p w14:paraId="18E3DAD0" w14:textId="5B8F9241" w:rsidR="003A5EB3" w:rsidRPr="005269E6" w:rsidRDefault="003A5EB3" w:rsidP="00A979E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r>
    </w:tbl>
    <w:p w14:paraId="53307B57" w14:textId="33FA1642" w:rsidR="00C543C6" w:rsidRPr="005269E6" w:rsidRDefault="00C543C6" w:rsidP="002623CB">
      <w:pPr>
        <w:spacing w:before="240"/>
        <w:rPr>
          <w:rtl/>
          <w:lang w:bidi="ar-EG"/>
        </w:rPr>
      </w:pPr>
      <w:r w:rsidRPr="005269E6">
        <w:rPr>
          <w:rtl/>
          <w:lang w:bidi="ar-EG"/>
        </w:rPr>
        <w:t xml:space="preserve">وتمثل </w:t>
      </w:r>
      <w:r w:rsidR="002623CB" w:rsidRPr="005269E6">
        <w:rPr>
          <w:rtl/>
        </w:rPr>
        <w:t>الذمم المدينة</w:t>
      </w:r>
      <w:r w:rsidR="002623CB" w:rsidRPr="005269E6">
        <w:rPr>
          <w:b/>
          <w:bCs/>
          <w:rtl/>
        </w:rPr>
        <w:t xml:space="preserve"> </w:t>
      </w:r>
      <w:r w:rsidRPr="005269E6">
        <w:rPr>
          <w:rtl/>
          <w:lang w:bidi="ar-EG"/>
        </w:rPr>
        <w:t xml:space="preserve">غير الجارية وغير المتبادلة </w:t>
      </w:r>
      <w:r w:rsidR="002623CB" w:rsidRPr="005269E6">
        <w:rPr>
          <w:rtl/>
        </w:rPr>
        <w:t>الذمم المدينة</w:t>
      </w:r>
      <w:r w:rsidR="002623CB" w:rsidRPr="005269E6">
        <w:rPr>
          <w:b/>
          <w:bCs/>
          <w:rtl/>
        </w:rPr>
        <w:t xml:space="preserve"> </w:t>
      </w:r>
      <w:r w:rsidRPr="005269E6">
        <w:rPr>
          <w:rtl/>
          <w:lang w:bidi="ar-EG"/>
        </w:rPr>
        <w:t>المرتبطة بخطط سداد الدين لبعض الأعضاء الذين التزموا بسداد هذا الدين في إطار اتفاق يشمل عدة فترات</w:t>
      </w:r>
      <w:r w:rsidRPr="005269E6">
        <w:rPr>
          <w:rFonts w:hint="cs"/>
          <w:rtl/>
          <w:lang w:bidi="ar-EG"/>
        </w:rPr>
        <w:t> </w:t>
      </w:r>
      <w:r w:rsidRPr="005269E6">
        <w:rPr>
          <w:rtl/>
          <w:lang w:bidi="ar-EG"/>
        </w:rPr>
        <w:t>مالية.</w:t>
      </w:r>
    </w:p>
    <w:p w14:paraId="05F8882F" w14:textId="6EF5DF1A" w:rsidR="00C543C6" w:rsidRPr="005269E6" w:rsidRDefault="00C543C6" w:rsidP="002623CB">
      <w:pPr>
        <w:rPr>
          <w:rtl/>
          <w:lang w:bidi="ar-EG"/>
        </w:rPr>
      </w:pPr>
      <w:r w:rsidRPr="005269E6">
        <w:rPr>
          <w:rtl/>
          <w:lang w:bidi="ar-EG"/>
        </w:rPr>
        <w:t xml:space="preserve">وتمثل </w:t>
      </w:r>
      <w:r w:rsidR="002623CB" w:rsidRPr="005269E6">
        <w:rPr>
          <w:rtl/>
        </w:rPr>
        <w:t>الذمم المدينة</w:t>
      </w:r>
      <w:r w:rsidR="002623CB" w:rsidRPr="005269E6">
        <w:rPr>
          <w:b/>
          <w:bCs/>
          <w:rtl/>
        </w:rPr>
        <w:t xml:space="preserve"> </w:t>
      </w:r>
      <w:r w:rsidRPr="005269E6">
        <w:rPr>
          <w:rtl/>
          <w:lang w:bidi="ar-EG"/>
        </w:rPr>
        <w:t>الأخرى الإيرادات غير المحصلة مقابل الخدمات المرتبطة ب</w:t>
      </w:r>
      <w:r w:rsidR="00F90636" w:rsidRPr="005269E6">
        <w:rPr>
          <w:rtl/>
          <w:lang w:bidi="ar-EG"/>
        </w:rPr>
        <w:t>تيليكوم</w:t>
      </w:r>
      <w:r w:rsidRPr="005269E6">
        <w:rPr>
          <w:rtl/>
          <w:lang w:bidi="ar-EG"/>
        </w:rPr>
        <w:t xml:space="preserve"> والمساهمات</w:t>
      </w:r>
      <w:r w:rsidRPr="005269E6">
        <w:rPr>
          <w:rFonts w:hint="cs"/>
          <w:rtl/>
          <w:lang w:bidi="ar-EG"/>
        </w:rPr>
        <w:t> </w:t>
      </w:r>
      <w:r w:rsidRPr="005269E6">
        <w:rPr>
          <w:rtl/>
          <w:lang w:bidi="ar-EG"/>
        </w:rPr>
        <w:t>الطوعية.</w:t>
      </w:r>
    </w:p>
    <w:p w14:paraId="037D075D" w14:textId="4822AF06" w:rsidR="00C543C6" w:rsidRPr="005269E6" w:rsidRDefault="00C543C6" w:rsidP="002623CB">
      <w:pPr>
        <w:rPr>
          <w:lang w:bidi="ar-SY"/>
        </w:rPr>
      </w:pPr>
      <w:r w:rsidRPr="005269E6">
        <w:rPr>
          <w:rFonts w:hint="cs"/>
          <w:rtl/>
          <w:lang w:bidi="ar-EG"/>
        </w:rPr>
        <w:t>و</w:t>
      </w:r>
      <w:r w:rsidRPr="005269E6">
        <w:rPr>
          <w:rtl/>
          <w:lang w:bidi="ar-EG"/>
        </w:rPr>
        <w:t xml:space="preserve">بعد سداد </w:t>
      </w:r>
      <w:r w:rsidR="002623CB" w:rsidRPr="005269E6">
        <w:rPr>
          <w:rtl/>
        </w:rPr>
        <w:t>الذمم المدينة</w:t>
      </w:r>
      <w:r w:rsidR="002623CB" w:rsidRPr="005269E6">
        <w:rPr>
          <w:b/>
          <w:bCs/>
          <w:rtl/>
        </w:rPr>
        <w:t xml:space="preserve"> </w:t>
      </w:r>
      <w:r w:rsidRPr="005269E6">
        <w:rPr>
          <w:rtl/>
          <w:lang w:bidi="ar-EG"/>
        </w:rPr>
        <w:t xml:space="preserve">التي بلغت </w:t>
      </w:r>
      <w:r w:rsidR="00A54C88" w:rsidRPr="005269E6">
        <w:rPr>
          <w:lang w:bidi="ar-SY"/>
        </w:rPr>
        <w:t>4,8</w:t>
      </w:r>
      <w:r w:rsidR="00A54C88" w:rsidRPr="005269E6">
        <w:rPr>
          <w:rFonts w:hint="cs"/>
          <w:rtl/>
          <w:lang w:bidi="ar-SY"/>
        </w:rPr>
        <w:t xml:space="preserve"> </w:t>
      </w:r>
      <w:r w:rsidRPr="005269E6">
        <w:rPr>
          <w:rtl/>
          <w:lang w:bidi="ar-EG"/>
        </w:rPr>
        <w:t xml:space="preserve">مليون فرنك سويسري والتي تم تكوين اعتماد لها في السنوات الماضية، </w:t>
      </w:r>
      <w:r w:rsidRPr="005269E6">
        <w:rPr>
          <w:rFonts w:hint="cs"/>
          <w:rtl/>
          <w:lang w:bidi="ar-EG"/>
        </w:rPr>
        <w:t>ان</w:t>
      </w:r>
      <w:r w:rsidRPr="005269E6">
        <w:rPr>
          <w:rtl/>
          <w:lang w:bidi="ar-EG"/>
        </w:rPr>
        <w:t xml:space="preserve">خفض احتياطي الديون الهالكة وفقاً لذلك. </w:t>
      </w:r>
      <w:r w:rsidRPr="005269E6">
        <w:rPr>
          <w:rtl/>
          <w:lang w:bidi="ar-SY"/>
        </w:rPr>
        <w:t xml:space="preserve">وفي نهاية العام، سجل تعديل بمقدار </w:t>
      </w:r>
      <w:r w:rsidR="00A54C88" w:rsidRPr="005269E6">
        <w:rPr>
          <w:lang w:val="en-CA" w:bidi="ar-SY"/>
        </w:rPr>
        <w:t>1</w:t>
      </w:r>
      <w:r w:rsidRPr="005269E6">
        <w:rPr>
          <w:lang w:val="en-CA" w:bidi="ar-SY"/>
        </w:rPr>
        <w:t>,8</w:t>
      </w:r>
      <w:r w:rsidRPr="005269E6">
        <w:rPr>
          <w:rtl/>
          <w:lang w:bidi="ar-EG"/>
        </w:rPr>
        <w:t xml:space="preserve"> مليون فرنك سويسري للميزانية العادية.</w:t>
      </w:r>
    </w:p>
    <w:p w14:paraId="2E5C7A38" w14:textId="25300675" w:rsidR="00C543C6" w:rsidRPr="005269E6" w:rsidRDefault="002623CB" w:rsidP="001B776E">
      <w:pPr>
        <w:rPr>
          <w:rtl/>
          <w:lang w:bidi="ar-EG"/>
        </w:rPr>
      </w:pPr>
      <w:r w:rsidRPr="005269E6">
        <w:rPr>
          <w:rtl/>
          <w:lang w:bidi="ar-SY"/>
        </w:rPr>
        <w:t xml:space="preserve">في عام 2022، بلغت الفائدة المحسوبة على المبالغ المتأخر </w:t>
      </w:r>
      <w:r w:rsidR="00E26CA2" w:rsidRPr="005269E6">
        <w:rPr>
          <w:rFonts w:hint="cs"/>
          <w:rtl/>
          <w:lang w:bidi="ar-SY"/>
        </w:rPr>
        <w:t>سدادها</w:t>
      </w:r>
      <w:r w:rsidRPr="005269E6">
        <w:rPr>
          <w:rtl/>
          <w:lang w:bidi="ar-SY"/>
        </w:rPr>
        <w:t xml:space="preserve"> وفقا</w:t>
      </w:r>
      <w:r w:rsidR="001B776E" w:rsidRPr="005269E6">
        <w:rPr>
          <w:rFonts w:hint="cs"/>
          <w:rtl/>
          <w:lang w:bidi="ar-SY"/>
        </w:rPr>
        <w:t>ً</w:t>
      </w:r>
      <w:r w:rsidRPr="005269E6">
        <w:rPr>
          <w:rtl/>
          <w:lang w:bidi="ar-SY"/>
        </w:rPr>
        <w:t xml:space="preserve"> للمادة 33</w:t>
      </w:r>
      <w:r w:rsidRPr="005269E6">
        <w:rPr>
          <w:rFonts w:hint="cs"/>
          <w:rtl/>
          <w:lang w:bidi="ar-SY"/>
        </w:rPr>
        <w:t>،</w:t>
      </w:r>
      <w:r w:rsidRPr="005269E6">
        <w:rPr>
          <w:rtl/>
          <w:lang w:bidi="ar-SY"/>
        </w:rPr>
        <w:t xml:space="preserve"> رقم 474 من الاتفاقية، </w:t>
      </w:r>
      <w:r w:rsidR="001B776E" w:rsidRPr="005269E6">
        <w:rPr>
          <w:lang w:bidi="ar-SY"/>
        </w:rPr>
        <w:t>1,5</w:t>
      </w:r>
      <w:r w:rsidRPr="005269E6">
        <w:rPr>
          <w:rtl/>
          <w:lang w:bidi="ar-SY"/>
        </w:rPr>
        <w:t xml:space="preserve"> مليون فرنك سويسري (2021: </w:t>
      </w:r>
      <w:r w:rsidR="001B776E" w:rsidRPr="005269E6">
        <w:rPr>
          <w:lang w:bidi="ar-SY"/>
        </w:rPr>
        <w:t>1,8</w:t>
      </w:r>
      <w:r w:rsidRPr="005269E6">
        <w:rPr>
          <w:rtl/>
          <w:lang w:bidi="ar-SY"/>
        </w:rPr>
        <w:t xml:space="preserve"> مليون فرنك سويسري).</w:t>
      </w:r>
    </w:p>
    <w:p w14:paraId="2CC97283" w14:textId="512884A3" w:rsidR="00C543C6" w:rsidRPr="005269E6" w:rsidRDefault="00C543C6" w:rsidP="001B776E">
      <w:pPr>
        <w:rPr>
          <w:lang w:bidi="ar-SY"/>
        </w:rPr>
      </w:pPr>
      <w:r w:rsidRPr="005269E6">
        <w:rPr>
          <w:rFonts w:hint="cs"/>
          <w:spacing w:val="-4"/>
          <w:rtl/>
          <w:lang w:bidi="ar-SY"/>
        </w:rPr>
        <w:t>ويرد في </w:t>
      </w:r>
      <w:r w:rsidR="00A54C88" w:rsidRPr="005269E6">
        <w:rPr>
          <w:rFonts w:hint="cs"/>
          <w:spacing w:val="-4"/>
          <w:rtl/>
          <w:lang w:bidi="ar-SY"/>
        </w:rPr>
        <w:t xml:space="preserve">الوثيقة </w:t>
      </w:r>
      <w:hyperlink r:id="rId26" w:history="1">
        <w:r w:rsidR="00A54C88" w:rsidRPr="00F95576">
          <w:rPr>
            <w:rStyle w:val="Hyperlink"/>
            <w:spacing w:val="-4"/>
            <w:lang w:bidi="ar-SY"/>
          </w:rPr>
          <w:t>C23/INF/4</w:t>
        </w:r>
      </w:hyperlink>
      <w:r w:rsidRPr="005269E6">
        <w:rPr>
          <w:rFonts w:hint="cs"/>
          <w:rtl/>
          <w:lang w:bidi="ar-SY"/>
        </w:rPr>
        <w:t xml:space="preserve"> حالة المتأخرات في الميزانية العادية للاتحاد في </w:t>
      </w:r>
      <w:r w:rsidRPr="005269E6">
        <w:rPr>
          <w:lang w:bidi="ar-EG"/>
        </w:rPr>
        <w:t>31</w:t>
      </w:r>
      <w:r w:rsidRPr="005269E6">
        <w:rPr>
          <w:rFonts w:hint="cs"/>
          <w:rtl/>
          <w:lang w:bidi="ar-SY"/>
        </w:rPr>
        <w:t xml:space="preserve"> ديسمبر</w:t>
      </w:r>
      <w:r w:rsidRPr="005269E6">
        <w:rPr>
          <w:rFonts w:hint="eastAsia"/>
          <w:rtl/>
          <w:lang w:bidi="ar-SY"/>
        </w:rPr>
        <w:t> </w:t>
      </w:r>
      <w:r w:rsidR="00A54C88" w:rsidRPr="005269E6">
        <w:rPr>
          <w:lang w:bidi="ar-EG"/>
        </w:rPr>
        <w:t>2022</w:t>
      </w:r>
      <w:r w:rsidRPr="005269E6">
        <w:rPr>
          <w:rFonts w:hint="cs"/>
          <w:rtl/>
          <w:lang w:bidi="ar-SY"/>
        </w:rPr>
        <w:t>.</w:t>
      </w:r>
    </w:p>
    <w:p w14:paraId="010867A9" w14:textId="4835E3E0" w:rsidR="00C543C6" w:rsidRPr="005269E6" w:rsidRDefault="00C543C6" w:rsidP="00696AA6">
      <w:pPr>
        <w:pStyle w:val="Heading5"/>
        <w:rPr>
          <w:rtl/>
          <w:lang w:bidi="ar-EG"/>
        </w:rPr>
      </w:pPr>
      <w:bookmarkStart w:id="406" w:name="_Toc387263378"/>
      <w:bookmarkStart w:id="407" w:name="_Toc387338353"/>
      <w:bookmarkStart w:id="408" w:name="_Toc419484077"/>
      <w:bookmarkStart w:id="409" w:name="_Toc452156629"/>
      <w:bookmarkStart w:id="410" w:name="_Toc482792213"/>
      <w:bookmarkStart w:id="411" w:name="_Toc482793718"/>
      <w:bookmarkStart w:id="412" w:name="_Toc511402233"/>
      <w:bookmarkStart w:id="413" w:name="_Toc511756670"/>
      <w:bookmarkStart w:id="414" w:name="_Toc9614789"/>
      <w:bookmarkStart w:id="415" w:name="_Toc42013544"/>
      <w:bookmarkStart w:id="416" w:name="_Toc42014545"/>
      <w:bookmarkStart w:id="417" w:name="_Toc74061577"/>
      <w:bookmarkStart w:id="418" w:name="_Toc162520628"/>
      <w:r w:rsidRPr="005269E6">
        <w:rPr>
          <w:rtl/>
        </w:rPr>
        <w:t xml:space="preserve">الملاحظة </w:t>
      </w:r>
      <w:r w:rsidR="00270564" w:rsidRPr="005269E6">
        <w:rPr>
          <w:rFonts w:hint="cs"/>
          <w:rtl/>
        </w:rPr>
        <w:t>10</w:t>
      </w:r>
      <w:r w:rsidRPr="005269E6">
        <w:rPr>
          <w:rtl/>
        </w:rPr>
        <w:tab/>
        <w:t>المخزونات</w:t>
      </w:r>
      <w:bookmarkEnd w:id="406"/>
      <w:bookmarkEnd w:id="407"/>
      <w:bookmarkEnd w:id="408"/>
      <w:bookmarkEnd w:id="409"/>
      <w:bookmarkEnd w:id="410"/>
      <w:bookmarkEnd w:id="411"/>
      <w:bookmarkEnd w:id="412"/>
      <w:bookmarkEnd w:id="413"/>
      <w:bookmarkEnd w:id="414"/>
      <w:bookmarkEnd w:id="415"/>
      <w:bookmarkEnd w:id="416"/>
      <w:bookmarkEnd w:id="417"/>
      <w:bookmarkEnd w:id="418"/>
    </w:p>
    <w:tbl>
      <w:tblPr>
        <w:bidiVisual/>
        <w:tblW w:w="3409" w:type="pct"/>
        <w:jc w:val="center"/>
        <w:tblLook w:val="04A0" w:firstRow="1" w:lastRow="0" w:firstColumn="1" w:lastColumn="0" w:noHBand="0" w:noVBand="1"/>
      </w:tblPr>
      <w:tblGrid>
        <w:gridCol w:w="2766"/>
        <w:gridCol w:w="1502"/>
        <w:gridCol w:w="2304"/>
      </w:tblGrid>
      <w:tr w:rsidR="00E26CA2" w:rsidRPr="005269E6" w14:paraId="5C15B037" w14:textId="77777777" w:rsidTr="00022249">
        <w:trPr>
          <w:trHeight w:val="510"/>
          <w:jc w:val="center"/>
        </w:trPr>
        <w:tc>
          <w:tcPr>
            <w:tcW w:w="2765" w:type="dxa"/>
            <w:tcBorders>
              <w:top w:val="nil"/>
              <w:left w:val="nil"/>
              <w:bottom w:val="nil"/>
              <w:right w:val="nil"/>
            </w:tcBorders>
            <w:shd w:val="clear" w:color="000000" w:fill="538DD5"/>
            <w:vAlign w:val="center"/>
            <w:hideMark/>
          </w:tcPr>
          <w:p w14:paraId="1EC1F7DF" w14:textId="77777777" w:rsidR="00E26CA2" w:rsidRPr="005269E6" w:rsidRDefault="00E26CA2" w:rsidP="000F38E9">
            <w:pPr>
              <w:tabs>
                <w:tab w:val="clear" w:pos="794"/>
              </w:tabs>
              <w:spacing w:before="40" w:after="40" w:line="240" w:lineRule="exact"/>
              <w:rPr>
                <w:rFonts w:eastAsia="Times New Roman"/>
                <w:b/>
                <w:bCs/>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502" w:type="dxa"/>
            <w:tcBorders>
              <w:top w:val="nil"/>
              <w:left w:val="nil"/>
              <w:bottom w:val="nil"/>
              <w:right w:val="nil"/>
            </w:tcBorders>
            <w:shd w:val="clear" w:color="000000" w:fill="538DD5"/>
            <w:vAlign w:val="center"/>
            <w:hideMark/>
          </w:tcPr>
          <w:p w14:paraId="124EEFF8" w14:textId="3BF42559" w:rsidR="00E26CA2" w:rsidRPr="005269E6" w:rsidRDefault="00E26CA2" w:rsidP="00E26CA2">
            <w:pPr>
              <w:tabs>
                <w:tab w:val="clear" w:pos="794"/>
              </w:tabs>
              <w:spacing w:before="40" w:after="40" w:line="240" w:lineRule="exact"/>
              <w:jc w:val="center"/>
              <w:rPr>
                <w:rFonts w:eastAsia="Times New Roman"/>
                <w:b/>
                <w:bCs/>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2304" w:type="dxa"/>
            <w:tcBorders>
              <w:top w:val="nil"/>
              <w:left w:val="nil"/>
              <w:bottom w:val="nil"/>
              <w:right w:val="nil"/>
            </w:tcBorders>
            <w:shd w:val="clear" w:color="000000" w:fill="538DD5"/>
            <w:vAlign w:val="center"/>
            <w:hideMark/>
          </w:tcPr>
          <w:p w14:paraId="7958BB48" w14:textId="44821D9A" w:rsidR="00E26CA2" w:rsidRPr="005269E6" w:rsidRDefault="00E26CA2" w:rsidP="00E26CA2">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BC2C83" w:rsidRPr="005269E6" w14:paraId="5FCA53FE" w14:textId="77777777" w:rsidTr="00022249">
        <w:trPr>
          <w:trHeight w:val="109"/>
          <w:jc w:val="center"/>
        </w:trPr>
        <w:tc>
          <w:tcPr>
            <w:tcW w:w="2765" w:type="dxa"/>
            <w:tcBorders>
              <w:top w:val="nil"/>
              <w:left w:val="nil"/>
              <w:bottom w:val="nil"/>
              <w:right w:val="nil"/>
            </w:tcBorders>
            <w:shd w:val="clear" w:color="auto" w:fill="auto"/>
            <w:noWrap/>
            <w:vAlign w:val="bottom"/>
            <w:hideMark/>
          </w:tcPr>
          <w:p w14:paraId="47161FF2" w14:textId="77777777" w:rsidR="00BC2C83" w:rsidRPr="005269E6" w:rsidRDefault="00BC2C83" w:rsidP="00BC2C83">
            <w:pPr>
              <w:tabs>
                <w:tab w:val="clear" w:pos="794"/>
              </w:tabs>
              <w:spacing w:before="0" w:line="200" w:lineRule="exact"/>
              <w:jc w:val="center"/>
              <w:rPr>
                <w:rFonts w:eastAsia="Times New Roman"/>
                <w:b/>
                <w:bCs/>
                <w:color w:val="000000"/>
                <w:sz w:val="18"/>
                <w:szCs w:val="18"/>
                <w:lang w:val="en-GB" w:eastAsia="en-GB"/>
              </w:rPr>
            </w:pPr>
          </w:p>
        </w:tc>
        <w:tc>
          <w:tcPr>
            <w:tcW w:w="1502" w:type="dxa"/>
            <w:tcBorders>
              <w:top w:val="nil"/>
              <w:left w:val="nil"/>
              <w:bottom w:val="nil"/>
              <w:right w:val="nil"/>
            </w:tcBorders>
            <w:shd w:val="clear" w:color="auto" w:fill="auto"/>
            <w:noWrap/>
            <w:vAlign w:val="bottom"/>
            <w:hideMark/>
          </w:tcPr>
          <w:p w14:paraId="36D46B52" w14:textId="77777777" w:rsidR="00BC2C83" w:rsidRPr="005269E6" w:rsidRDefault="00BC2C83" w:rsidP="004C39BB">
            <w:pPr>
              <w:tabs>
                <w:tab w:val="clear" w:pos="794"/>
              </w:tabs>
              <w:spacing w:before="0" w:line="200" w:lineRule="exact"/>
              <w:jc w:val="right"/>
              <w:rPr>
                <w:rFonts w:eastAsia="Times New Roman"/>
                <w:sz w:val="18"/>
                <w:szCs w:val="18"/>
                <w:lang w:val="en-GB" w:eastAsia="en-GB"/>
              </w:rPr>
            </w:pPr>
          </w:p>
        </w:tc>
        <w:tc>
          <w:tcPr>
            <w:tcW w:w="2304" w:type="dxa"/>
            <w:tcBorders>
              <w:top w:val="nil"/>
              <w:left w:val="nil"/>
              <w:bottom w:val="nil"/>
              <w:right w:val="nil"/>
            </w:tcBorders>
            <w:shd w:val="clear" w:color="auto" w:fill="auto"/>
            <w:noWrap/>
            <w:vAlign w:val="bottom"/>
            <w:hideMark/>
          </w:tcPr>
          <w:p w14:paraId="0E25EB8E" w14:textId="77777777" w:rsidR="00BC2C83" w:rsidRPr="005269E6" w:rsidRDefault="00BC2C83" w:rsidP="004C39BB">
            <w:pPr>
              <w:tabs>
                <w:tab w:val="clear" w:pos="794"/>
              </w:tabs>
              <w:spacing w:before="0" w:line="200" w:lineRule="exact"/>
              <w:jc w:val="right"/>
              <w:rPr>
                <w:rFonts w:eastAsia="Times New Roman"/>
                <w:sz w:val="18"/>
                <w:szCs w:val="18"/>
                <w:lang w:val="en-GB" w:eastAsia="en-GB"/>
              </w:rPr>
            </w:pPr>
          </w:p>
        </w:tc>
      </w:tr>
      <w:tr w:rsidR="00BC2C83" w:rsidRPr="005269E6" w14:paraId="6FE020DE" w14:textId="77777777" w:rsidTr="00022249">
        <w:trPr>
          <w:trHeight w:val="255"/>
          <w:jc w:val="center"/>
        </w:trPr>
        <w:tc>
          <w:tcPr>
            <w:tcW w:w="2765" w:type="dxa"/>
            <w:tcBorders>
              <w:top w:val="nil"/>
              <w:left w:val="nil"/>
              <w:bottom w:val="nil"/>
              <w:right w:val="nil"/>
            </w:tcBorders>
            <w:shd w:val="clear" w:color="auto" w:fill="auto"/>
            <w:noWrap/>
            <w:vAlign w:val="bottom"/>
            <w:hideMark/>
          </w:tcPr>
          <w:p w14:paraId="700513F5" w14:textId="4DD6EFE5" w:rsidR="00BC2C83" w:rsidRPr="005269E6" w:rsidRDefault="00E26CA2" w:rsidP="00E26CA2">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المنشورات – صافي القيمة</w:t>
            </w:r>
          </w:p>
        </w:tc>
        <w:tc>
          <w:tcPr>
            <w:tcW w:w="1502" w:type="dxa"/>
            <w:tcBorders>
              <w:top w:val="nil"/>
              <w:left w:val="nil"/>
              <w:bottom w:val="nil"/>
              <w:right w:val="nil"/>
            </w:tcBorders>
            <w:shd w:val="clear" w:color="auto" w:fill="auto"/>
            <w:noWrap/>
            <w:vAlign w:val="bottom"/>
            <w:hideMark/>
          </w:tcPr>
          <w:p w14:paraId="0DDB924C" w14:textId="77777777" w:rsidR="00BC2C83" w:rsidRPr="005269E6" w:rsidRDefault="00BC2C83"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75</w:t>
            </w:r>
          </w:p>
        </w:tc>
        <w:tc>
          <w:tcPr>
            <w:tcW w:w="2304" w:type="dxa"/>
            <w:tcBorders>
              <w:top w:val="nil"/>
              <w:left w:val="nil"/>
              <w:bottom w:val="nil"/>
              <w:right w:val="nil"/>
            </w:tcBorders>
            <w:shd w:val="clear" w:color="auto" w:fill="auto"/>
            <w:noWrap/>
            <w:vAlign w:val="bottom"/>
            <w:hideMark/>
          </w:tcPr>
          <w:p w14:paraId="3B881D7D" w14:textId="77777777" w:rsidR="00BC2C83" w:rsidRPr="005269E6" w:rsidRDefault="00BC2C83"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141</w:t>
            </w:r>
          </w:p>
        </w:tc>
      </w:tr>
      <w:tr w:rsidR="00BC2C83" w:rsidRPr="005269E6" w14:paraId="60BC9CC0" w14:textId="77777777" w:rsidTr="00022249">
        <w:trPr>
          <w:trHeight w:val="255"/>
          <w:jc w:val="center"/>
        </w:trPr>
        <w:tc>
          <w:tcPr>
            <w:tcW w:w="2765" w:type="dxa"/>
            <w:tcBorders>
              <w:top w:val="nil"/>
              <w:left w:val="nil"/>
              <w:bottom w:val="nil"/>
              <w:right w:val="nil"/>
            </w:tcBorders>
            <w:shd w:val="clear" w:color="auto" w:fill="auto"/>
            <w:noWrap/>
            <w:vAlign w:val="bottom"/>
            <w:hideMark/>
          </w:tcPr>
          <w:p w14:paraId="0459EA66" w14:textId="3D80C770" w:rsidR="00BC2C83" w:rsidRPr="005269E6" w:rsidRDefault="00E26CA2" w:rsidP="00E26CA2">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الهدايا التذكارية - صافي القيمة</w:t>
            </w:r>
          </w:p>
        </w:tc>
        <w:tc>
          <w:tcPr>
            <w:tcW w:w="1502" w:type="dxa"/>
            <w:tcBorders>
              <w:top w:val="nil"/>
              <w:left w:val="nil"/>
              <w:bottom w:val="nil"/>
              <w:right w:val="nil"/>
            </w:tcBorders>
            <w:shd w:val="clear" w:color="auto" w:fill="auto"/>
            <w:noWrap/>
            <w:vAlign w:val="bottom"/>
            <w:hideMark/>
          </w:tcPr>
          <w:p w14:paraId="08820760" w14:textId="77777777" w:rsidR="00BC2C83" w:rsidRPr="005269E6" w:rsidRDefault="00BC2C83"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29</w:t>
            </w:r>
          </w:p>
        </w:tc>
        <w:tc>
          <w:tcPr>
            <w:tcW w:w="2304" w:type="dxa"/>
            <w:tcBorders>
              <w:top w:val="nil"/>
              <w:left w:val="nil"/>
              <w:bottom w:val="nil"/>
              <w:right w:val="nil"/>
            </w:tcBorders>
            <w:shd w:val="clear" w:color="auto" w:fill="auto"/>
            <w:noWrap/>
            <w:vAlign w:val="bottom"/>
            <w:hideMark/>
          </w:tcPr>
          <w:p w14:paraId="7F61A9D0" w14:textId="77777777" w:rsidR="00BC2C83" w:rsidRPr="005269E6" w:rsidRDefault="00BC2C83"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22</w:t>
            </w:r>
          </w:p>
        </w:tc>
      </w:tr>
      <w:tr w:rsidR="00BC2C83" w:rsidRPr="005269E6" w14:paraId="7AD845F4" w14:textId="77777777" w:rsidTr="00022249">
        <w:trPr>
          <w:trHeight w:val="255"/>
          <w:jc w:val="center"/>
        </w:trPr>
        <w:tc>
          <w:tcPr>
            <w:tcW w:w="2765" w:type="dxa"/>
            <w:tcBorders>
              <w:top w:val="nil"/>
              <w:left w:val="nil"/>
              <w:bottom w:val="nil"/>
              <w:right w:val="nil"/>
            </w:tcBorders>
            <w:shd w:val="clear" w:color="auto" w:fill="auto"/>
            <w:noWrap/>
            <w:vAlign w:val="bottom"/>
            <w:hideMark/>
          </w:tcPr>
          <w:p w14:paraId="3ED66C42" w14:textId="3C314B60" w:rsidR="00BC2C83" w:rsidRPr="005269E6" w:rsidRDefault="00E26CA2" w:rsidP="00E26CA2">
            <w:pPr>
              <w:jc w:val="left"/>
              <w:rPr>
                <w:rFonts w:eastAsia="Times New Roman"/>
                <w:color w:val="000000"/>
                <w:sz w:val="18"/>
                <w:szCs w:val="18"/>
                <w:lang w:val="en-GB" w:eastAsia="en-GB"/>
              </w:rPr>
            </w:pPr>
            <w:r w:rsidRPr="005269E6">
              <w:rPr>
                <w:rFonts w:eastAsia="Times New Roman"/>
                <w:color w:val="000000"/>
                <w:sz w:val="18"/>
                <w:szCs w:val="18"/>
                <w:rtl/>
                <w:lang w:val="en-GB" w:eastAsia="en-GB"/>
              </w:rPr>
              <w:lastRenderedPageBreak/>
              <w:t>التوريدات - صافي القيمة</w:t>
            </w:r>
          </w:p>
        </w:tc>
        <w:tc>
          <w:tcPr>
            <w:tcW w:w="1502" w:type="dxa"/>
            <w:tcBorders>
              <w:top w:val="nil"/>
              <w:left w:val="nil"/>
              <w:bottom w:val="nil"/>
              <w:right w:val="nil"/>
            </w:tcBorders>
            <w:shd w:val="clear" w:color="auto" w:fill="auto"/>
            <w:noWrap/>
            <w:vAlign w:val="bottom"/>
            <w:hideMark/>
          </w:tcPr>
          <w:p w14:paraId="4303F924" w14:textId="77777777" w:rsidR="00BC2C83" w:rsidRPr="005269E6" w:rsidRDefault="00BC2C83"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203</w:t>
            </w:r>
          </w:p>
        </w:tc>
        <w:tc>
          <w:tcPr>
            <w:tcW w:w="2304" w:type="dxa"/>
            <w:tcBorders>
              <w:top w:val="nil"/>
              <w:left w:val="nil"/>
              <w:bottom w:val="nil"/>
              <w:right w:val="nil"/>
            </w:tcBorders>
            <w:shd w:val="clear" w:color="auto" w:fill="auto"/>
            <w:noWrap/>
            <w:vAlign w:val="bottom"/>
            <w:hideMark/>
          </w:tcPr>
          <w:p w14:paraId="0A79B9C4" w14:textId="77777777" w:rsidR="00BC2C83" w:rsidRPr="005269E6" w:rsidRDefault="00BC2C83"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304</w:t>
            </w:r>
          </w:p>
        </w:tc>
      </w:tr>
      <w:tr w:rsidR="00BC2C83" w:rsidRPr="005269E6" w14:paraId="6250E64E" w14:textId="77777777" w:rsidTr="00022249">
        <w:trPr>
          <w:trHeight w:val="109"/>
          <w:jc w:val="center"/>
        </w:trPr>
        <w:tc>
          <w:tcPr>
            <w:tcW w:w="2765" w:type="dxa"/>
            <w:tcBorders>
              <w:top w:val="nil"/>
              <w:left w:val="nil"/>
              <w:bottom w:val="nil"/>
              <w:right w:val="nil"/>
            </w:tcBorders>
            <w:shd w:val="clear" w:color="auto" w:fill="auto"/>
            <w:noWrap/>
            <w:vAlign w:val="bottom"/>
            <w:hideMark/>
          </w:tcPr>
          <w:p w14:paraId="560092DB" w14:textId="77777777" w:rsidR="00BC2C83" w:rsidRPr="005269E6" w:rsidRDefault="00BC2C83" w:rsidP="00BC2C83">
            <w:pPr>
              <w:tabs>
                <w:tab w:val="clear" w:pos="794"/>
              </w:tabs>
              <w:spacing w:before="0" w:line="200" w:lineRule="exact"/>
              <w:jc w:val="center"/>
              <w:rPr>
                <w:rFonts w:eastAsia="Times New Roman"/>
                <w:b/>
                <w:bCs/>
                <w:color w:val="000000"/>
                <w:sz w:val="18"/>
                <w:szCs w:val="18"/>
                <w:lang w:val="en-GB" w:eastAsia="en-GB"/>
              </w:rPr>
            </w:pPr>
          </w:p>
        </w:tc>
        <w:tc>
          <w:tcPr>
            <w:tcW w:w="1502" w:type="dxa"/>
            <w:tcBorders>
              <w:top w:val="nil"/>
              <w:left w:val="nil"/>
              <w:bottom w:val="nil"/>
              <w:right w:val="nil"/>
            </w:tcBorders>
            <w:shd w:val="clear" w:color="auto" w:fill="auto"/>
            <w:noWrap/>
            <w:vAlign w:val="bottom"/>
            <w:hideMark/>
          </w:tcPr>
          <w:p w14:paraId="6F0EC714" w14:textId="77777777" w:rsidR="00BC2C83" w:rsidRPr="005269E6" w:rsidRDefault="00BC2C83" w:rsidP="00660E03">
            <w:pPr>
              <w:tabs>
                <w:tab w:val="clear" w:pos="794"/>
              </w:tabs>
              <w:spacing w:before="0" w:line="200" w:lineRule="exact"/>
              <w:jc w:val="left"/>
              <w:rPr>
                <w:rFonts w:eastAsia="Times New Roman"/>
                <w:b/>
                <w:bCs/>
                <w:color w:val="000000"/>
                <w:sz w:val="18"/>
                <w:szCs w:val="18"/>
                <w:lang w:val="en-GB" w:eastAsia="en-GB"/>
              </w:rPr>
            </w:pPr>
          </w:p>
        </w:tc>
        <w:tc>
          <w:tcPr>
            <w:tcW w:w="2304" w:type="dxa"/>
            <w:tcBorders>
              <w:top w:val="nil"/>
              <w:left w:val="nil"/>
              <w:bottom w:val="nil"/>
              <w:right w:val="nil"/>
            </w:tcBorders>
            <w:shd w:val="clear" w:color="auto" w:fill="auto"/>
            <w:noWrap/>
            <w:vAlign w:val="bottom"/>
            <w:hideMark/>
          </w:tcPr>
          <w:p w14:paraId="24F83D35" w14:textId="77777777" w:rsidR="00BC2C83" w:rsidRPr="005269E6" w:rsidRDefault="00BC2C83" w:rsidP="00660E03">
            <w:pPr>
              <w:tabs>
                <w:tab w:val="clear" w:pos="794"/>
              </w:tabs>
              <w:spacing w:before="0" w:line="200" w:lineRule="exact"/>
              <w:jc w:val="left"/>
              <w:rPr>
                <w:rFonts w:eastAsia="Times New Roman"/>
                <w:b/>
                <w:bCs/>
                <w:color w:val="000000"/>
                <w:sz w:val="18"/>
                <w:szCs w:val="18"/>
                <w:lang w:val="en-GB" w:eastAsia="en-GB"/>
              </w:rPr>
            </w:pPr>
          </w:p>
        </w:tc>
      </w:tr>
      <w:tr w:rsidR="00BC2C83" w:rsidRPr="005269E6" w14:paraId="02067267" w14:textId="77777777" w:rsidTr="00022249">
        <w:trPr>
          <w:trHeight w:val="510"/>
          <w:jc w:val="center"/>
        </w:trPr>
        <w:tc>
          <w:tcPr>
            <w:tcW w:w="2765" w:type="dxa"/>
            <w:tcBorders>
              <w:top w:val="nil"/>
              <w:left w:val="nil"/>
              <w:bottom w:val="nil"/>
              <w:right w:val="nil"/>
            </w:tcBorders>
            <w:shd w:val="clear" w:color="000000" w:fill="538DD5"/>
            <w:vAlign w:val="bottom"/>
            <w:hideMark/>
          </w:tcPr>
          <w:p w14:paraId="54A02630" w14:textId="1884CF5F" w:rsidR="00BC2C83" w:rsidRPr="005269E6" w:rsidRDefault="00E26CA2" w:rsidP="00E26CA2">
            <w:pPr>
              <w:jc w:val="left"/>
              <w:rPr>
                <w:rFonts w:eastAsia="Times New Roman"/>
                <w:b/>
                <w:bCs/>
                <w:sz w:val="18"/>
                <w:szCs w:val="18"/>
                <w:lang w:val="en-GB" w:eastAsia="en-GB"/>
              </w:rPr>
            </w:pPr>
            <w:r w:rsidRPr="005269E6">
              <w:rPr>
                <w:rFonts w:eastAsia="Times New Roman"/>
                <w:b/>
                <w:bCs/>
                <w:sz w:val="18"/>
                <w:szCs w:val="18"/>
                <w:rtl/>
                <w:lang w:val="en-GB" w:eastAsia="en-GB"/>
              </w:rPr>
              <w:t>إجمالي المخزونات - صافي القيمة</w:t>
            </w:r>
          </w:p>
        </w:tc>
        <w:tc>
          <w:tcPr>
            <w:tcW w:w="1502" w:type="dxa"/>
            <w:tcBorders>
              <w:top w:val="nil"/>
              <w:left w:val="nil"/>
              <w:bottom w:val="nil"/>
              <w:right w:val="nil"/>
            </w:tcBorders>
            <w:shd w:val="clear" w:color="000000" w:fill="538DD5"/>
            <w:vAlign w:val="bottom"/>
            <w:hideMark/>
          </w:tcPr>
          <w:p w14:paraId="1EE5CFD7" w14:textId="77777777" w:rsidR="00BC2C83" w:rsidRPr="005269E6" w:rsidRDefault="00BC2C83" w:rsidP="00660E03">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307</w:t>
            </w:r>
          </w:p>
        </w:tc>
        <w:tc>
          <w:tcPr>
            <w:tcW w:w="2304" w:type="dxa"/>
            <w:tcBorders>
              <w:top w:val="nil"/>
              <w:left w:val="nil"/>
              <w:bottom w:val="nil"/>
              <w:right w:val="nil"/>
            </w:tcBorders>
            <w:shd w:val="clear" w:color="000000" w:fill="538DD5"/>
            <w:vAlign w:val="bottom"/>
            <w:hideMark/>
          </w:tcPr>
          <w:p w14:paraId="71631AC2" w14:textId="77777777" w:rsidR="00BC2C83" w:rsidRPr="005269E6" w:rsidRDefault="00BC2C83" w:rsidP="00660E0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467</w:t>
            </w:r>
          </w:p>
        </w:tc>
      </w:tr>
    </w:tbl>
    <w:p w14:paraId="57048E68" w14:textId="5C33B7D6" w:rsidR="00C543C6" w:rsidRPr="005269E6" w:rsidRDefault="00C543C6" w:rsidP="00696AA6">
      <w:pPr>
        <w:pStyle w:val="Heading5"/>
        <w:rPr>
          <w:rtl/>
        </w:rPr>
      </w:pPr>
      <w:bookmarkStart w:id="419" w:name="_Toc358648348"/>
      <w:bookmarkStart w:id="420" w:name="_Toc358648547"/>
      <w:bookmarkStart w:id="421" w:name="_Toc387263379"/>
      <w:bookmarkStart w:id="422" w:name="_Toc387338354"/>
      <w:bookmarkStart w:id="423" w:name="_Toc419484078"/>
      <w:bookmarkStart w:id="424" w:name="_Toc452156630"/>
      <w:bookmarkStart w:id="425" w:name="_Toc482792214"/>
      <w:bookmarkStart w:id="426" w:name="_Toc482793719"/>
      <w:bookmarkStart w:id="427" w:name="_Toc511402234"/>
      <w:bookmarkStart w:id="428" w:name="_Toc511756671"/>
      <w:bookmarkStart w:id="429" w:name="_Toc9614790"/>
      <w:bookmarkStart w:id="430" w:name="_Toc42013545"/>
      <w:bookmarkStart w:id="431" w:name="_Toc42014546"/>
      <w:bookmarkStart w:id="432" w:name="_Toc74061578"/>
      <w:bookmarkStart w:id="433" w:name="_Toc162520629"/>
      <w:r w:rsidRPr="005269E6">
        <w:rPr>
          <w:rtl/>
        </w:rPr>
        <w:t xml:space="preserve">الملاحظة </w:t>
      </w:r>
      <w:r w:rsidR="00DA5808" w:rsidRPr="005269E6">
        <w:t>11</w:t>
      </w:r>
      <w:r w:rsidRPr="005269E6">
        <w:rPr>
          <w:rtl/>
        </w:rPr>
        <w:tab/>
      </w:r>
      <w:r w:rsidR="002623CB" w:rsidRPr="005269E6">
        <w:rPr>
          <w:rtl/>
        </w:rPr>
        <w:t xml:space="preserve">الذمم المدينة </w:t>
      </w:r>
      <w:r w:rsidRPr="005269E6">
        <w:rPr>
          <w:rtl/>
        </w:rPr>
        <w:t>الأخرى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bl>
      <w:tblPr>
        <w:bidiVisual/>
        <w:tblW w:w="4412" w:type="pct"/>
        <w:jc w:val="center"/>
        <w:tblLook w:val="04A0" w:firstRow="1" w:lastRow="0" w:firstColumn="1" w:lastColumn="0" w:noHBand="0" w:noVBand="1"/>
      </w:tblPr>
      <w:tblGrid>
        <w:gridCol w:w="4210"/>
        <w:gridCol w:w="2002"/>
        <w:gridCol w:w="2293"/>
      </w:tblGrid>
      <w:tr w:rsidR="00E26CA2" w:rsidRPr="005269E6" w14:paraId="29F8FA0D" w14:textId="77777777" w:rsidTr="00022249">
        <w:trPr>
          <w:trHeight w:val="499"/>
          <w:jc w:val="center"/>
        </w:trPr>
        <w:tc>
          <w:tcPr>
            <w:tcW w:w="4210" w:type="dxa"/>
            <w:tcBorders>
              <w:top w:val="nil"/>
              <w:left w:val="nil"/>
              <w:bottom w:val="nil"/>
              <w:right w:val="nil"/>
            </w:tcBorders>
            <w:shd w:val="clear" w:color="000000" w:fill="538DD5"/>
            <w:noWrap/>
            <w:vAlign w:val="center"/>
            <w:hideMark/>
          </w:tcPr>
          <w:p w14:paraId="23A6B3F5" w14:textId="67120521" w:rsidR="00E26CA2" w:rsidRPr="005269E6" w:rsidRDefault="00E26CA2" w:rsidP="000F38E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2002" w:type="dxa"/>
            <w:tcBorders>
              <w:top w:val="nil"/>
              <w:left w:val="nil"/>
              <w:bottom w:val="nil"/>
              <w:right w:val="nil"/>
            </w:tcBorders>
            <w:shd w:val="clear" w:color="000000" w:fill="538DD5"/>
            <w:vAlign w:val="center"/>
            <w:hideMark/>
          </w:tcPr>
          <w:p w14:paraId="4D528184" w14:textId="0B069DE8" w:rsidR="00E26CA2" w:rsidRPr="005269E6" w:rsidRDefault="00E26CA2"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2293" w:type="dxa"/>
            <w:tcBorders>
              <w:top w:val="nil"/>
              <w:left w:val="nil"/>
              <w:bottom w:val="nil"/>
              <w:right w:val="nil"/>
            </w:tcBorders>
            <w:shd w:val="clear" w:color="000000" w:fill="538DD5"/>
            <w:vAlign w:val="center"/>
            <w:hideMark/>
          </w:tcPr>
          <w:p w14:paraId="713F71AD" w14:textId="3440833F" w:rsidR="00E26CA2" w:rsidRPr="005269E6" w:rsidRDefault="00E26CA2"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DA5808" w:rsidRPr="005269E6" w14:paraId="149FFE97" w14:textId="77777777" w:rsidTr="00022249">
        <w:trPr>
          <w:trHeight w:val="132"/>
          <w:jc w:val="center"/>
        </w:trPr>
        <w:tc>
          <w:tcPr>
            <w:tcW w:w="4210" w:type="dxa"/>
            <w:tcBorders>
              <w:top w:val="nil"/>
              <w:left w:val="nil"/>
              <w:bottom w:val="nil"/>
              <w:right w:val="nil"/>
            </w:tcBorders>
            <w:shd w:val="clear" w:color="auto" w:fill="auto"/>
            <w:noWrap/>
            <w:vAlign w:val="bottom"/>
            <w:hideMark/>
          </w:tcPr>
          <w:p w14:paraId="4F9D9678" w14:textId="77777777" w:rsidR="00DA5808" w:rsidRPr="005269E6" w:rsidRDefault="00DA5808" w:rsidP="00DA5808">
            <w:pPr>
              <w:tabs>
                <w:tab w:val="clear" w:pos="794"/>
              </w:tabs>
              <w:spacing w:before="0" w:line="200" w:lineRule="exact"/>
              <w:jc w:val="center"/>
              <w:rPr>
                <w:rFonts w:eastAsia="Times New Roman"/>
                <w:b/>
                <w:bCs/>
                <w:color w:val="000000"/>
                <w:sz w:val="18"/>
                <w:szCs w:val="18"/>
                <w:lang w:val="en-GB" w:eastAsia="en-GB"/>
              </w:rPr>
            </w:pPr>
          </w:p>
        </w:tc>
        <w:tc>
          <w:tcPr>
            <w:tcW w:w="2002" w:type="dxa"/>
            <w:tcBorders>
              <w:top w:val="nil"/>
              <w:left w:val="nil"/>
              <w:bottom w:val="nil"/>
              <w:right w:val="nil"/>
            </w:tcBorders>
            <w:shd w:val="clear" w:color="auto" w:fill="auto"/>
            <w:noWrap/>
            <w:vAlign w:val="bottom"/>
            <w:hideMark/>
          </w:tcPr>
          <w:p w14:paraId="6BA259F3" w14:textId="77777777" w:rsidR="00DA5808" w:rsidRPr="005269E6" w:rsidRDefault="00DA5808" w:rsidP="00DA5808">
            <w:pPr>
              <w:tabs>
                <w:tab w:val="clear" w:pos="794"/>
              </w:tabs>
              <w:spacing w:before="0" w:line="200" w:lineRule="exact"/>
              <w:jc w:val="left"/>
              <w:rPr>
                <w:rFonts w:eastAsia="Times New Roman"/>
                <w:sz w:val="18"/>
                <w:szCs w:val="18"/>
                <w:lang w:val="en-GB" w:eastAsia="en-GB"/>
              </w:rPr>
            </w:pPr>
          </w:p>
        </w:tc>
        <w:tc>
          <w:tcPr>
            <w:tcW w:w="2293" w:type="dxa"/>
            <w:tcBorders>
              <w:top w:val="nil"/>
              <w:left w:val="nil"/>
              <w:bottom w:val="nil"/>
              <w:right w:val="nil"/>
            </w:tcBorders>
            <w:shd w:val="clear" w:color="auto" w:fill="auto"/>
            <w:noWrap/>
            <w:vAlign w:val="bottom"/>
            <w:hideMark/>
          </w:tcPr>
          <w:p w14:paraId="4E61AFBF" w14:textId="77777777" w:rsidR="00DA5808" w:rsidRPr="005269E6" w:rsidRDefault="00DA5808" w:rsidP="00DA5808">
            <w:pPr>
              <w:tabs>
                <w:tab w:val="clear" w:pos="794"/>
              </w:tabs>
              <w:spacing w:before="0" w:line="200" w:lineRule="exact"/>
              <w:jc w:val="left"/>
              <w:rPr>
                <w:rFonts w:eastAsia="Times New Roman"/>
                <w:sz w:val="18"/>
                <w:szCs w:val="18"/>
                <w:lang w:val="en-GB" w:eastAsia="en-GB"/>
              </w:rPr>
            </w:pPr>
          </w:p>
        </w:tc>
      </w:tr>
      <w:tr w:rsidR="00DA5808" w:rsidRPr="005269E6" w14:paraId="39D082E5" w14:textId="77777777" w:rsidTr="00022249">
        <w:trPr>
          <w:trHeight w:val="289"/>
          <w:jc w:val="center"/>
        </w:trPr>
        <w:tc>
          <w:tcPr>
            <w:tcW w:w="4210" w:type="dxa"/>
            <w:tcBorders>
              <w:top w:val="nil"/>
              <w:left w:val="nil"/>
              <w:bottom w:val="nil"/>
              <w:right w:val="nil"/>
            </w:tcBorders>
            <w:shd w:val="clear" w:color="auto" w:fill="auto"/>
            <w:noWrap/>
            <w:vAlign w:val="bottom"/>
            <w:hideMark/>
          </w:tcPr>
          <w:p w14:paraId="58F6B647" w14:textId="4CDD59CE" w:rsidR="00DA5808" w:rsidRPr="005269E6" w:rsidRDefault="001C53D7" w:rsidP="001C53D7">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س</w:t>
            </w: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ل</w:t>
            </w: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ف الموظفين</w:t>
            </w:r>
          </w:p>
        </w:tc>
        <w:tc>
          <w:tcPr>
            <w:tcW w:w="2002" w:type="dxa"/>
            <w:tcBorders>
              <w:top w:val="nil"/>
              <w:left w:val="nil"/>
              <w:bottom w:val="nil"/>
              <w:right w:val="nil"/>
            </w:tcBorders>
            <w:shd w:val="clear" w:color="auto" w:fill="auto"/>
            <w:noWrap/>
            <w:vAlign w:val="bottom"/>
            <w:hideMark/>
          </w:tcPr>
          <w:p w14:paraId="0BBBB051" w14:textId="6B259326" w:rsidR="00DA5808" w:rsidRPr="005269E6" w:rsidRDefault="00DA5808"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2 184 </w:t>
            </w:r>
          </w:p>
        </w:tc>
        <w:tc>
          <w:tcPr>
            <w:tcW w:w="2293" w:type="dxa"/>
            <w:tcBorders>
              <w:top w:val="nil"/>
              <w:left w:val="nil"/>
              <w:bottom w:val="nil"/>
              <w:right w:val="nil"/>
            </w:tcBorders>
            <w:shd w:val="clear" w:color="auto" w:fill="auto"/>
            <w:noWrap/>
            <w:vAlign w:val="bottom"/>
            <w:hideMark/>
          </w:tcPr>
          <w:p w14:paraId="3A67C3D5" w14:textId="1B8AFCE9" w:rsidR="00DA5808" w:rsidRPr="005269E6" w:rsidRDefault="00DA5808"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1 807 </w:t>
            </w:r>
          </w:p>
        </w:tc>
      </w:tr>
      <w:tr w:rsidR="00DA5808" w:rsidRPr="005269E6" w14:paraId="652205B2" w14:textId="77777777" w:rsidTr="00022249">
        <w:trPr>
          <w:trHeight w:val="289"/>
          <w:jc w:val="center"/>
        </w:trPr>
        <w:tc>
          <w:tcPr>
            <w:tcW w:w="4210" w:type="dxa"/>
            <w:tcBorders>
              <w:top w:val="nil"/>
              <w:left w:val="nil"/>
              <w:bottom w:val="nil"/>
              <w:right w:val="nil"/>
            </w:tcBorders>
            <w:shd w:val="clear" w:color="auto" w:fill="auto"/>
            <w:noWrap/>
            <w:vAlign w:val="bottom"/>
            <w:hideMark/>
          </w:tcPr>
          <w:p w14:paraId="0F3A4DBB" w14:textId="2793249C" w:rsidR="00DA5808" w:rsidRPr="005269E6" w:rsidRDefault="001C53D7" w:rsidP="001C53D7">
            <w:pPr>
              <w:jc w:val="left"/>
              <w:rPr>
                <w:rFonts w:eastAsia="Times New Roman"/>
                <w:color w:val="000000"/>
                <w:sz w:val="18"/>
                <w:szCs w:val="18"/>
                <w:lang w:val="en-GB" w:eastAsia="en-GB"/>
              </w:rPr>
            </w:pPr>
            <w:r w:rsidRPr="005269E6">
              <w:rPr>
                <w:rFonts w:eastAsia="Times New Roman"/>
                <w:color w:val="000000"/>
                <w:sz w:val="18"/>
                <w:szCs w:val="18"/>
                <w:rtl/>
                <w:lang w:val="en-GB" w:eastAsia="en-GB"/>
              </w:rPr>
              <w:t xml:space="preserve">ضريبة </w:t>
            </w:r>
            <w:r w:rsidR="00056A9A" w:rsidRPr="005269E6">
              <w:rPr>
                <w:rFonts w:eastAsia="Times New Roman" w:hint="cs"/>
                <w:color w:val="000000"/>
                <w:sz w:val="18"/>
                <w:szCs w:val="18"/>
                <w:rtl/>
                <w:lang w:val="en-GB" w:eastAsia="en-GB"/>
              </w:rPr>
              <w:t>م</w:t>
            </w:r>
            <w:r w:rsidRPr="005269E6">
              <w:rPr>
                <w:rFonts w:eastAsia="Times New Roman"/>
                <w:color w:val="000000"/>
                <w:sz w:val="18"/>
                <w:szCs w:val="18"/>
                <w:rtl/>
                <w:lang w:val="en-GB" w:eastAsia="en-GB"/>
              </w:rPr>
              <w:t>ستقط</w:t>
            </w:r>
            <w:r w:rsidR="00056A9A"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ع</w:t>
            </w:r>
            <w:r w:rsidR="00056A9A" w:rsidRPr="005269E6">
              <w:rPr>
                <w:rFonts w:eastAsia="Times New Roman" w:hint="cs"/>
                <w:color w:val="000000"/>
                <w:sz w:val="18"/>
                <w:szCs w:val="18"/>
                <w:rtl/>
                <w:lang w:val="en-GB" w:eastAsia="en-GB"/>
              </w:rPr>
              <w:t>ة</w:t>
            </w:r>
          </w:p>
        </w:tc>
        <w:tc>
          <w:tcPr>
            <w:tcW w:w="2002" w:type="dxa"/>
            <w:tcBorders>
              <w:top w:val="nil"/>
              <w:left w:val="nil"/>
              <w:bottom w:val="nil"/>
              <w:right w:val="nil"/>
            </w:tcBorders>
            <w:shd w:val="clear" w:color="auto" w:fill="auto"/>
            <w:noWrap/>
            <w:vAlign w:val="bottom"/>
            <w:hideMark/>
          </w:tcPr>
          <w:p w14:paraId="4AC4BDCC" w14:textId="3E1543E5" w:rsidR="00DA5808" w:rsidRPr="005269E6" w:rsidRDefault="00DA5808"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1 390 </w:t>
            </w:r>
          </w:p>
        </w:tc>
        <w:tc>
          <w:tcPr>
            <w:tcW w:w="2293" w:type="dxa"/>
            <w:tcBorders>
              <w:top w:val="nil"/>
              <w:left w:val="nil"/>
              <w:bottom w:val="nil"/>
              <w:right w:val="nil"/>
            </w:tcBorders>
            <w:shd w:val="clear" w:color="auto" w:fill="auto"/>
            <w:noWrap/>
            <w:vAlign w:val="bottom"/>
            <w:hideMark/>
          </w:tcPr>
          <w:p w14:paraId="78B22428" w14:textId="50DA8C72" w:rsidR="00DA5808" w:rsidRPr="005269E6" w:rsidRDefault="00DA5808"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1 481 </w:t>
            </w:r>
          </w:p>
        </w:tc>
      </w:tr>
      <w:tr w:rsidR="00DA5808" w:rsidRPr="005269E6" w14:paraId="3E292C2E" w14:textId="77777777" w:rsidTr="00022249">
        <w:trPr>
          <w:trHeight w:val="289"/>
          <w:jc w:val="center"/>
        </w:trPr>
        <w:tc>
          <w:tcPr>
            <w:tcW w:w="4210" w:type="dxa"/>
            <w:tcBorders>
              <w:top w:val="nil"/>
              <w:left w:val="nil"/>
              <w:bottom w:val="nil"/>
              <w:right w:val="nil"/>
            </w:tcBorders>
            <w:shd w:val="clear" w:color="auto" w:fill="auto"/>
            <w:noWrap/>
            <w:vAlign w:val="bottom"/>
            <w:hideMark/>
          </w:tcPr>
          <w:p w14:paraId="65415E8B" w14:textId="36007EAE" w:rsidR="00DA5808" w:rsidRPr="005269E6" w:rsidRDefault="001C53D7" w:rsidP="001C53D7">
            <w:pPr>
              <w:jc w:val="left"/>
              <w:rPr>
                <w:rFonts w:eastAsia="Times New Roman"/>
                <w:color w:val="000000"/>
                <w:sz w:val="18"/>
                <w:szCs w:val="18"/>
                <w:lang w:val="en-GB" w:eastAsia="en-GB"/>
              </w:rPr>
            </w:pPr>
            <w:r w:rsidRPr="005269E6">
              <w:rPr>
                <w:rFonts w:eastAsia="Times New Roman"/>
                <w:color w:val="000000"/>
                <w:sz w:val="18"/>
                <w:szCs w:val="18"/>
                <w:rtl/>
                <w:lang w:val="en-GB" w:eastAsia="en-GB"/>
              </w:rPr>
              <w:t>معاشات التقاعد</w:t>
            </w:r>
          </w:p>
        </w:tc>
        <w:tc>
          <w:tcPr>
            <w:tcW w:w="2002" w:type="dxa"/>
            <w:tcBorders>
              <w:top w:val="nil"/>
              <w:left w:val="nil"/>
              <w:bottom w:val="nil"/>
              <w:right w:val="nil"/>
            </w:tcBorders>
            <w:shd w:val="clear" w:color="auto" w:fill="auto"/>
            <w:noWrap/>
            <w:vAlign w:val="bottom"/>
            <w:hideMark/>
          </w:tcPr>
          <w:p w14:paraId="17D4F562" w14:textId="6B4ACC99" w:rsidR="00DA5808" w:rsidRPr="005269E6" w:rsidRDefault="00DA5808"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126 </w:t>
            </w:r>
          </w:p>
        </w:tc>
        <w:tc>
          <w:tcPr>
            <w:tcW w:w="2293" w:type="dxa"/>
            <w:tcBorders>
              <w:top w:val="nil"/>
              <w:left w:val="nil"/>
              <w:bottom w:val="nil"/>
              <w:right w:val="nil"/>
            </w:tcBorders>
            <w:shd w:val="clear" w:color="auto" w:fill="auto"/>
            <w:noWrap/>
            <w:vAlign w:val="bottom"/>
            <w:hideMark/>
          </w:tcPr>
          <w:p w14:paraId="5FD65FE1" w14:textId="2F980BF5" w:rsidR="00DA5808" w:rsidRPr="005269E6" w:rsidRDefault="00DA5808"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168 </w:t>
            </w:r>
          </w:p>
        </w:tc>
      </w:tr>
      <w:tr w:rsidR="00DA5808" w:rsidRPr="005269E6" w14:paraId="4B8EA8C2" w14:textId="77777777" w:rsidTr="00022249">
        <w:trPr>
          <w:trHeight w:val="289"/>
          <w:jc w:val="center"/>
        </w:trPr>
        <w:tc>
          <w:tcPr>
            <w:tcW w:w="4210" w:type="dxa"/>
            <w:tcBorders>
              <w:top w:val="nil"/>
              <w:left w:val="nil"/>
              <w:bottom w:val="nil"/>
              <w:right w:val="nil"/>
            </w:tcBorders>
            <w:shd w:val="clear" w:color="auto" w:fill="auto"/>
            <w:noWrap/>
            <w:vAlign w:val="bottom"/>
            <w:hideMark/>
          </w:tcPr>
          <w:p w14:paraId="4C90BAB3" w14:textId="5D4D2052" w:rsidR="00DA5808" w:rsidRPr="005269E6" w:rsidRDefault="001C53D7" w:rsidP="001C53D7">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الفوائد المستح</w:t>
            </w: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قة</w:t>
            </w:r>
          </w:p>
        </w:tc>
        <w:tc>
          <w:tcPr>
            <w:tcW w:w="2002" w:type="dxa"/>
            <w:tcBorders>
              <w:top w:val="nil"/>
              <w:left w:val="nil"/>
              <w:bottom w:val="nil"/>
              <w:right w:val="nil"/>
            </w:tcBorders>
            <w:shd w:val="clear" w:color="auto" w:fill="auto"/>
            <w:noWrap/>
            <w:vAlign w:val="bottom"/>
            <w:hideMark/>
          </w:tcPr>
          <w:p w14:paraId="675744A2" w14:textId="770F91F0" w:rsidR="00DA5808" w:rsidRPr="005269E6" w:rsidRDefault="00DA5808"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242 </w:t>
            </w:r>
          </w:p>
        </w:tc>
        <w:tc>
          <w:tcPr>
            <w:tcW w:w="2293" w:type="dxa"/>
            <w:tcBorders>
              <w:top w:val="nil"/>
              <w:left w:val="nil"/>
              <w:bottom w:val="nil"/>
              <w:right w:val="nil"/>
            </w:tcBorders>
            <w:shd w:val="clear" w:color="auto" w:fill="auto"/>
            <w:noWrap/>
            <w:vAlign w:val="bottom"/>
            <w:hideMark/>
          </w:tcPr>
          <w:p w14:paraId="19F0F25D" w14:textId="2B5E9F85" w:rsidR="00DA5808" w:rsidRPr="005269E6" w:rsidRDefault="00DA5808"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75 </w:t>
            </w:r>
          </w:p>
        </w:tc>
      </w:tr>
      <w:tr w:rsidR="00DA5808" w:rsidRPr="005269E6" w14:paraId="3D0057D2" w14:textId="77777777" w:rsidTr="00022249">
        <w:trPr>
          <w:trHeight w:val="289"/>
          <w:jc w:val="center"/>
        </w:trPr>
        <w:tc>
          <w:tcPr>
            <w:tcW w:w="4210" w:type="dxa"/>
            <w:tcBorders>
              <w:top w:val="nil"/>
              <w:left w:val="nil"/>
              <w:bottom w:val="nil"/>
              <w:right w:val="nil"/>
            </w:tcBorders>
            <w:shd w:val="clear" w:color="auto" w:fill="auto"/>
            <w:noWrap/>
            <w:vAlign w:val="bottom"/>
            <w:hideMark/>
          </w:tcPr>
          <w:p w14:paraId="3AED058D" w14:textId="03F69735" w:rsidR="00DA5808" w:rsidRPr="005269E6" w:rsidRDefault="001C53D7" w:rsidP="001C53D7">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المصاريف المدفوعة مقدما</w:t>
            </w:r>
            <w:r w:rsidR="00022249" w:rsidRPr="005269E6">
              <w:rPr>
                <w:rFonts w:eastAsia="Times New Roman" w:hint="cs"/>
                <w:color w:val="000000"/>
                <w:sz w:val="18"/>
                <w:szCs w:val="18"/>
                <w:rtl/>
                <w:lang w:val="en-GB" w:eastAsia="en-GB"/>
              </w:rPr>
              <w:t>ً</w:t>
            </w:r>
          </w:p>
        </w:tc>
        <w:tc>
          <w:tcPr>
            <w:tcW w:w="2002" w:type="dxa"/>
            <w:tcBorders>
              <w:top w:val="nil"/>
              <w:left w:val="nil"/>
              <w:bottom w:val="nil"/>
              <w:right w:val="nil"/>
            </w:tcBorders>
            <w:shd w:val="clear" w:color="auto" w:fill="auto"/>
            <w:noWrap/>
            <w:vAlign w:val="bottom"/>
            <w:hideMark/>
          </w:tcPr>
          <w:p w14:paraId="31FABB5B" w14:textId="681A8A8E" w:rsidR="00DA5808" w:rsidRPr="005269E6" w:rsidRDefault="00DA5808"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1 499 </w:t>
            </w:r>
          </w:p>
        </w:tc>
        <w:tc>
          <w:tcPr>
            <w:tcW w:w="2293" w:type="dxa"/>
            <w:tcBorders>
              <w:top w:val="nil"/>
              <w:left w:val="nil"/>
              <w:bottom w:val="nil"/>
              <w:right w:val="nil"/>
            </w:tcBorders>
            <w:shd w:val="clear" w:color="auto" w:fill="auto"/>
            <w:noWrap/>
            <w:vAlign w:val="bottom"/>
            <w:hideMark/>
          </w:tcPr>
          <w:p w14:paraId="7AF25052" w14:textId="5D42503C" w:rsidR="00DA5808" w:rsidRPr="005269E6" w:rsidRDefault="00DA5808" w:rsidP="00660E0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2 796 </w:t>
            </w:r>
          </w:p>
        </w:tc>
      </w:tr>
      <w:tr w:rsidR="00DA5808" w:rsidRPr="005269E6" w14:paraId="66F333C5" w14:textId="77777777" w:rsidTr="00022249">
        <w:trPr>
          <w:trHeight w:val="139"/>
          <w:jc w:val="center"/>
        </w:trPr>
        <w:tc>
          <w:tcPr>
            <w:tcW w:w="4210" w:type="dxa"/>
            <w:tcBorders>
              <w:top w:val="nil"/>
              <w:left w:val="nil"/>
              <w:bottom w:val="nil"/>
              <w:right w:val="nil"/>
            </w:tcBorders>
            <w:shd w:val="clear" w:color="auto" w:fill="auto"/>
            <w:noWrap/>
            <w:vAlign w:val="bottom"/>
            <w:hideMark/>
          </w:tcPr>
          <w:p w14:paraId="5135DAD8" w14:textId="77777777" w:rsidR="00DA5808" w:rsidRPr="005269E6" w:rsidRDefault="00DA5808" w:rsidP="00DA5808">
            <w:pPr>
              <w:tabs>
                <w:tab w:val="clear" w:pos="794"/>
              </w:tabs>
              <w:spacing w:before="0" w:line="200" w:lineRule="exact"/>
              <w:jc w:val="center"/>
              <w:rPr>
                <w:rFonts w:eastAsia="Times New Roman"/>
                <w:b/>
                <w:bCs/>
                <w:color w:val="000000"/>
                <w:sz w:val="18"/>
                <w:szCs w:val="18"/>
                <w:lang w:val="en-GB" w:eastAsia="en-GB"/>
              </w:rPr>
            </w:pPr>
          </w:p>
        </w:tc>
        <w:tc>
          <w:tcPr>
            <w:tcW w:w="2002" w:type="dxa"/>
            <w:tcBorders>
              <w:top w:val="nil"/>
              <w:left w:val="nil"/>
              <w:bottom w:val="nil"/>
              <w:right w:val="nil"/>
            </w:tcBorders>
            <w:shd w:val="clear" w:color="auto" w:fill="auto"/>
            <w:noWrap/>
            <w:vAlign w:val="bottom"/>
            <w:hideMark/>
          </w:tcPr>
          <w:p w14:paraId="1A197C38" w14:textId="77777777" w:rsidR="00DA5808" w:rsidRPr="005269E6" w:rsidRDefault="00DA5808" w:rsidP="00660E03">
            <w:pPr>
              <w:tabs>
                <w:tab w:val="clear" w:pos="794"/>
              </w:tabs>
              <w:spacing w:before="0" w:line="200" w:lineRule="exact"/>
              <w:jc w:val="left"/>
              <w:rPr>
                <w:rFonts w:eastAsia="Times New Roman"/>
                <w:b/>
                <w:bCs/>
                <w:color w:val="000000"/>
                <w:sz w:val="18"/>
                <w:szCs w:val="18"/>
                <w:lang w:val="en-GB" w:eastAsia="en-GB"/>
              </w:rPr>
            </w:pPr>
          </w:p>
        </w:tc>
        <w:tc>
          <w:tcPr>
            <w:tcW w:w="2293" w:type="dxa"/>
            <w:tcBorders>
              <w:top w:val="nil"/>
              <w:left w:val="nil"/>
              <w:bottom w:val="nil"/>
              <w:right w:val="nil"/>
            </w:tcBorders>
            <w:shd w:val="clear" w:color="auto" w:fill="auto"/>
            <w:noWrap/>
            <w:vAlign w:val="bottom"/>
            <w:hideMark/>
          </w:tcPr>
          <w:p w14:paraId="5EBF2B76" w14:textId="77777777" w:rsidR="00DA5808" w:rsidRPr="005269E6" w:rsidRDefault="00DA5808" w:rsidP="00660E03">
            <w:pPr>
              <w:tabs>
                <w:tab w:val="clear" w:pos="794"/>
              </w:tabs>
              <w:spacing w:before="0" w:line="200" w:lineRule="exact"/>
              <w:jc w:val="left"/>
              <w:rPr>
                <w:rFonts w:eastAsia="Times New Roman"/>
                <w:b/>
                <w:bCs/>
                <w:color w:val="000000"/>
                <w:sz w:val="18"/>
                <w:szCs w:val="18"/>
                <w:lang w:val="en-GB" w:eastAsia="en-GB"/>
              </w:rPr>
            </w:pPr>
          </w:p>
        </w:tc>
      </w:tr>
      <w:tr w:rsidR="00DA5808" w:rsidRPr="005269E6" w14:paraId="7618FEDF" w14:textId="77777777" w:rsidTr="00022249">
        <w:trPr>
          <w:trHeight w:val="522"/>
          <w:jc w:val="center"/>
        </w:trPr>
        <w:tc>
          <w:tcPr>
            <w:tcW w:w="4210" w:type="dxa"/>
            <w:tcBorders>
              <w:top w:val="nil"/>
              <w:left w:val="nil"/>
              <w:bottom w:val="nil"/>
              <w:right w:val="nil"/>
            </w:tcBorders>
            <w:shd w:val="clear" w:color="000000" w:fill="538DD5"/>
            <w:noWrap/>
            <w:vAlign w:val="center"/>
            <w:hideMark/>
          </w:tcPr>
          <w:p w14:paraId="1B15E79B" w14:textId="0F6439C6" w:rsidR="00DA5808" w:rsidRPr="005269E6" w:rsidRDefault="001C53D7" w:rsidP="00DA5808">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مجموع -</w:t>
            </w:r>
            <w:r w:rsidRPr="005269E6">
              <w:rPr>
                <w:sz w:val="18"/>
                <w:szCs w:val="18"/>
                <w:rtl/>
              </w:rPr>
              <w:t xml:space="preserve"> </w:t>
            </w:r>
            <w:r w:rsidRPr="005269E6">
              <w:rPr>
                <w:rFonts w:eastAsia="Times New Roman"/>
                <w:b/>
                <w:bCs/>
                <w:color w:val="000000"/>
                <w:sz w:val="18"/>
                <w:szCs w:val="18"/>
                <w:rtl/>
                <w:lang w:val="en-GB" w:eastAsia="en-GB"/>
              </w:rPr>
              <w:t>الذمم المدينة الأخرى</w:t>
            </w:r>
          </w:p>
        </w:tc>
        <w:tc>
          <w:tcPr>
            <w:tcW w:w="2002" w:type="dxa"/>
            <w:tcBorders>
              <w:top w:val="nil"/>
              <w:left w:val="nil"/>
              <w:bottom w:val="nil"/>
              <w:right w:val="nil"/>
            </w:tcBorders>
            <w:shd w:val="clear" w:color="000000" w:fill="538DD5"/>
            <w:noWrap/>
            <w:vAlign w:val="center"/>
            <w:hideMark/>
          </w:tcPr>
          <w:p w14:paraId="3262F363" w14:textId="540D0827" w:rsidR="00DA5808" w:rsidRPr="005269E6" w:rsidRDefault="00DA5808" w:rsidP="00660E0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5 441 </w:t>
            </w:r>
          </w:p>
        </w:tc>
        <w:tc>
          <w:tcPr>
            <w:tcW w:w="2293" w:type="dxa"/>
            <w:tcBorders>
              <w:top w:val="nil"/>
              <w:left w:val="nil"/>
              <w:bottom w:val="nil"/>
              <w:right w:val="nil"/>
            </w:tcBorders>
            <w:shd w:val="clear" w:color="000000" w:fill="538DD5"/>
            <w:noWrap/>
            <w:vAlign w:val="center"/>
            <w:hideMark/>
          </w:tcPr>
          <w:p w14:paraId="191FDAC9" w14:textId="12FEB1C3" w:rsidR="00DA5808" w:rsidRPr="005269E6" w:rsidRDefault="00DA5808" w:rsidP="00660E0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6 325 </w:t>
            </w:r>
          </w:p>
        </w:tc>
      </w:tr>
    </w:tbl>
    <w:p w14:paraId="37F37D51" w14:textId="1BEF464E" w:rsidR="00C543C6" w:rsidRPr="005269E6" w:rsidRDefault="00C543C6" w:rsidP="00696AA6">
      <w:pPr>
        <w:pStyle w:val="Heading5"/>
        <w:rPr>
          <w:rtl/>
        </w:rPr>
      </w:pPr>
      <w:bookmarkStart w:id="434" w:name="_Toc329296029"/>
      <w:bookmarkStart w:id="435" w:name="_Toc358648349"/>
      <w:bookmarkStart w:id="436" w:name="_Toc358648548"/>
      <w:bookmarkStart w:id="437" w:name="_Toc387263380"/>
      <w:bookmarkStart w:id="438" w:name="_Toc387338355"/>
      <w:bookmarkStart w:id="439" w:name="_Toc419484079"/>
      <w:bookmarkStart w:id="440" w:name="_Toc452156631"/>
      <w:bookmarkStart w:id="441" w:name="_Toc482792215"/>
      <w:bookmarkStart w:id="442" w:name="_Toc482793720"/>
      <w:bookmarkStart w:id="443" w:name="_Toc511402235"/>
      <w:bookmarkStart w:id="444" w:name="_Toc511756672"/>
      <w:bookmarkStart w:id="445" w:name="_Toc9614791"/>
      <w:bookmarkStart w:id="446" w:name="_Toc42013546"/>
      <w:bookmarkStart w:id="447" w:name="_Toc42014547"/>
      <w:bookmarkStart w:id="448" w:name="_Toc74061579"/>
      <w:bookmarkStart w:id="449" w:name="_Toc162520630"/>
      <w:r w:rsidRPr="005269E6">
        <w:rPr>
          <w:rtl/>
        </w:rPr>
        <w:t xml:space="preserve">الملاحظة </w:t>
      </w:r>
      <w:r w:rsidR="00DA5808" w:rsidRPr="005269E6">
        <w:t>12</w:t>
      </w:r>
      <w:r w:rsidRPr="005269E6">
        <w:rPr>
          <w:rtl/>
        </w:rPr>
        <w:tab/>
      </w:r>
      <w:bookmarkStart w:id="450" w:name="_Hlk160939640"/>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001C53D7" w:rsidRPr="005269E6">
        <w:rPr>
          <w:rFonts w:hint="cs"/>
          <w:rtl/>
        </w:rPr>
        <w:t>الممتلكات والمعدات</w:t>
      </w:r>
      <w:bookmarkEnd w:id="450"/>
      <w:bookmarkEnd w:id="449"/>
    </w:p>
    <w:p w14:paraId="131B6B23" w14:textId="77777777" w:rsidR="00C543C6" w:rsidRPr="005269E6" w:rsidRDefault="00C543C6" w:rsidP="00C543C6">
      <w:pPr>
        <w:keepNext/>
        <w:keepLines/>
        <w:spacing w:line="185" w:lineRule="auto"/>
        <w:rPr>
          <w:rtl/>
          <w:lang w:bidi="ar-EG"/>
        </w:rPr>
      </w:pPr>
      <w:bookmarkStart w:id="451" w:name="_Toc306236958"/>
      <w:r w:rsidRPr="005269E6">
        <w:rPr>
          <w:rtl/>
          <w:lang w:bidi="ar-EG"/>
        </w:rPr>
        <w:t>تتألف مباني الاتحاد مما يلي:</w:t>
      </w:r>
      <w:bookmarkEnd w:id="451"/>
    </w:p>
    <w:p w14:paraId="1DE9E7F9" w14:textId="77777777" w:rsidR="00C543C6" w:rsidRPr="005269E6" w:rsidRDefault="00C543C6" w:rsidP="00C543C6">
      <w:pPr>
        <w:pStyle w:val="enumlev1"/>
        <w:keepNext/>
        <w:keepLines/>
        <w:rPr>
          <w:rtl/>
        </w:rPr>
      </w:pPr>
      <w:bookmarkStart w:id="452" w:name="_Toc520365542"/>
      <w:r w:rsidRPr="005269E6">
        <w:rPr>
          <w:rtl/>
        </w:rPr>
        <w:t>-</w:t>
      </w:r>
      <w:r w:rsidRPr="005269E6">
        <w:rPr>
          <w:rtl/>
        </w:rPr>
        <w:tab/>
        <w:t>مبنى البرج، شارع فار</w:t>
      </w:r>
      <w:r w:rsidRPr="005269E6">
        <w:rPr>
          <w:rFonts w:hint="cs"/>
          <w:rtl/>
        </w:rPr>
        <w:t>ا</w:t>
      </w:r>
      <w:r w:rsidRPr="005269E6">
        <w:rPr>
          <w:rtl/>
        </w:rPr>
        <w:t>مبيه، جنيف؛</w:t>
      </w:r>
      <w:bookmarkEnd w:id="452"/>
    </w:p>
    <w:p w14:paraId="09E32751" w14:textId="2E497A03" w:rsidR="00CF2ED1" w:rsidRPr="005269E6" w:rsidRDefault="00C543C6" w:rsidP="00CF2ED1">
      <w:pPr>
        <w:pStyle w:val="enumlev1"/>
        <w:keepNext/>
        <w:keepLines/>
        <w:rPr>
          <w:lang w:val="en"/>
        </w:rPr>
      </w:pPr>
      <w:bookmarkStart w:id="453" w:name="_Toc520365543"/>
      <w:r w:rsidRPr="005269E6">
        <w:rPr>
          <w:rtl/>
        </w:rPr>
        <w:t>-</w:t>
      </w:r>
      <w:r w:rsidRPr="005269E6">
        <w:rPr>
          <w:rtl/>
        </w:rPr>
        <w:tab/>
        <w:t>مبنى فار</w:t>
      </w:r>
      <w:r w:rsidRPr="005269E6">
        <w:rPr>
          <w:rFonts w:hint="cs"/>
          <w:rtl/>
        </w:rPr>
        <w:t>ا</w:t>
      </w:r>
      <w:r w:rsidRPr="005269E6">
        <w:rPr>
          <w:rtl/>
        </w:rPr>
        <w:t>مبيه، شارع فار</w:t>
      </w:r>
      <w:r w:rsidRPr="005269E6">
        <w:rPr>
          <w:rFonts w:hint="cs"/>
          <w:rtl/>
        </w:rPr>
        <w:t>ا</w:t>
      </w:r>
      <w:r w:rsidRPr="005269E6">
        <w:rPr>
          <w:rtl/>
        </w:rPr>
        <w:t>مبيه، جنيف</w:t>
      </w:r>
      <w:r w:rsidR="00934E5F" w:rsidRPr="005269E6">
        <w:rPr>
          <w:rFonts w:hint="cs"/>
          <w:rtl/>
        </w:rPr>
        <w:t xml:space="preserve">. </w:t>
      </w:r>
      <w:bookmarkEnd w:id="453"/>
      <w:r w:rsidR="00CF2ED1" w:rsidRPr="005269E6">
        <w:rPr>
          <w:rFonts w:hint="cs"/>
          <w:rtl/>
        </w:rPr>
        <w:t>واستُهلك</w:t>
      </w:r>
      <w:r w:rsidR="00CF2ED1" w:rsidRPr="005269E6">
        <w:rPr>
          <w:lang w:val="en"/>
        </w:rPr>
        <w:t xml:space="preserve"> </w:t>
      </w:r>
      <w:r w:rsidR="00CF2ED1" w:rsidRPr="005269E6">
        <w:rPr>
          <w:rtl/>
          <w:lang w:bidi="ar"/>
        </w:rPr>
        <w:t>هذا</w:t>
      </w:r>
      <w:r w:rsidR="00CF2ED1" w:rsidRPr="005269E6">
        <w:rPr>
          <w:lang w:val="en"/>
        </w:rPr>
        <w:t xml:space="preserve"> </w:t>
      </w:r>
      <w:r w:rsidR="00CF2ED1" w:rsidRPr="005269E6">
        <w:rPr>
          <w:rtl/>
          <w:lang w:bidi="ar"/>
        </w:rPr>
        <w:t>المبنى</w:t>
      </w:r>
      <w:r w:rsidR="00CF2ED1" w:rsidRPr="005269E6">
        <w:rPr>
          <w:lang w:val="en"/>
        </w:rPr>
        <w:t xml:space="preserve"> </w:t>
      </w:r>
      <w:r w:rsidR="00CF2ED1" w:rsidRPr="005269E6">
        <w:rPr>
          <w:rtl/>
          <w:lang w:bidi="ar"/>
        </w:rPr>
        <w:t>بالكامل</w:t>
      </w:r>
      <w:r w:rsidR="00CF2ED1" w:rsidRPr="005269E6">
        <w:rPr>
          <w:lang w:val="en"/>
        </w:rPr>
        <w:t xml:space="preserve"> </w:t>
      </w:r>
      <w:r w:rsidR="00CF2ED1" w:rsidRPr="005269E6">
        <w:rPr>
          <w:rtl/>
          <w:lang w:bidi="ar"/>
        </w:rPr>
        <w:t>اعتبارا</w:t>
      </w:r>
      <w:r w:rsidR="00022249" w:rsidRPr="005269E6">
        <w:rPr>
          <w:rFonts w:hint="cs"/>
          <w:rtl/>
          <w:lang w:bidi="ar"/>
        </w:rPr>
        <w:t>ً</w:t>
      </w:r>
      <w:r w:rsidR="00CF2ED1" w:rsidRPr="005269E6">
        <w:rPr>
          <w:lang w:val="en"/>
        </w:rPr>
        <w:t xml:space="preserve"> </w:t>
      </w:r>
      <w:r w:rsidR="00CF2ED1" w:rsidRPr="005269E6">
        <w:rPr>
          <w:rtl/>
          <w:lang w:bidi="ar"/>
        </w:rPr>
        <w:t>من</w:t>
      </w:r>
      <w:r w:rsidR="00CF2ED1" w:rsidRPr="005269E6">
        <w:rPr>
          <w:lang w:val="en"/>
        </w:rPr>
        <w:t xml:space="preserve"> 31 </w:t>
      </w:r>
      <w:r w:rsidR="00CF2ED1" w:rsidRPr="005269E6">
        <w:rPr>
          <w:rtl/>
          <w:lang w:bidi="ar"/>
        </w:rPr>
        <w:t>ديسمبر</w:t>
      </w:r>
      <w:r w:rsidR="00CF2ED1" w:rsidRPr="005269E6">
        <w:rPr>
          <w:lang w:val="en"/>
        </w:rPr>
        <w:t xml:space="preserve"> 2022 </w:t>
      </w:r>
      <w:r w:rsidR="00CF2ED1" w:rsidRPr="005269E6">
        <w:rPr>
          <w:rFonts w:hint="cs"/>
          <w:rtl/>
          <w:lang w:val="en"/>
        </w:rPr>
        <w:t>(*</w:t>
      </w:r>
      <w:r w:rsidR="00CF2ED1" w:rsidRPr="005269E6">
        <w:rPr>
          <w:rtl/>
          <w:lang w:bidi="ar"/>
        </w:rPr>
        <w:t>انظر</w:t>
      </w:r>
      <w:r w:rsidR="00CF2ED1" w:rsidRPr="005269E6">
        <w:rPr>
          <w:lang w:val="en"/>
        </w:rPr>
        <w:t xml:space="preserve"> </w:t>
      </w:r>
      <w:r w:rsidR="00CF2ED1" w:rsidRPr="005269E6">
        <w:rPr>
          <w:rtl/>
          <w:lang w:bidi="ar"/>
        </w:rPr>
        <w:t>الجدول</w:t>
      </w:r>
      <w:r w:rsidR="00CF2ED1" w:rsidRPr="005269E6">
        <w:rPr>
          <w:lang w:val="en"/>
        </w:rPr>
        <w:t xml:space="preserve"> </w:t>
      </w:r>
      <w:r w:rsidR="00CF2ED1" w:rsidRPr="005269E6">
        <w:rPr>
          <w:rtl/>
          <w:lang w:bidi="ar"/>
        </w:rPr>
        <w:t>أدناه</w:t>
      </w:r>
      <w:r w:rsidR="00CF2ED1" w:rsidRPr="005269E6">
        <w:rPr>
          <w:rFonts w:hint="cs"/>
          <w:rtl/>
          <w:lang w:val="en" w:bidi="ar"/>
        </w:rPr>
        <w:t xml:space="preserve">) </w:t>
      </w:r>
      <w:r w:rsidR="00CF2ED1" w:rsidRPr="005269E6">
        <w:rPr>
          <w:rFonts w:hint="cs"/>
          <w:rtl/>
          <w:lang w:bidi="ar"/>
        </w:rPr>
        <w:t>ترقباً</w:t>
      </w:r>
      <w:r w:rsidR="00CF2ED1" w:rsidRPr="005269E6">
        <w:rPr>
          <w:lang w:val="en"/>
        </w:rPr>
        <w:t xml:space="preserve"> </w:t>
      </w:r>
      <w:r w:rsidR="00CF2ED1" w:rsidRPr="005269E6">
        <w:rPr>
          <w:rtl/>
          <w:lang w:bidi="ar"/>
        </w:rPr>
        <w:t>لبدء</w:t>
      </w:r>
      <w:r w:rsidR="00CF2ED1" w:rsidRPr="005269E6">
        <w:rPr>
          <w:lang w:val="en"/>
        </w:rPr>
        <w:t xml:space="preserve"> </w:t>
      </w:r>
      <w:r w:rsidR="00CF2ED1" w:rsidRPr="005269E6">
        <w:rPr>
          <w:rtl/>
          <w:lang w:bidi="ar"/>
        </w:rPr>
        <w:t>مشروع</w:t>
      </w:r>
      <w:r w:rsidR="00CF2ED1" w:rsidRPr="005269E6">
        <w:rPr>
          <w:lang w:val="en"/>
        </w:rPr>
        <w:t xml:space="preserve"> </w:t>
      </w:r>
      <w:r w:rsidR="00CF2ED1" w:rsidRPr="005269E6">
        <w:rPr>
          <w:rtl/>
          <w:lang w:bidi="ar"/>
        </w:rPr>
        <w:t>المبنى</w:t>
      </w:r>
      <w:r w:rsidR="00CF2ED1" w:rsidRPr="005269E6">
        <w:rPr>
          <w:lang w:val="en"/>
        </w:rPr>
        <w:t xml:space="preserve"> </w:t>
      </w:r>
      <w:r w:rsidR="00CF2ED1" w:rsidRPr="005269E6">
        <w:rPr>
          <w:rtl/>
          <w:lang w:bidi="ar"/>
        </w:rPr>
        <w:t>الجديد</w:t>
      </w:r>
      <w:r w:rsidR="00A27F69" w:rsidRPr="005269E6">
        <w:rPr>
          <w:rFonts w:hint="cs"/>
          <w:rtl/>
          <w:lang w:bidi="ar"/>
        </w:rPr>
        <w:t>.</w:t>
      </w:r>
      <w:r w:rsidR="00CF2ED1" w:rsidRPr="005269E6">
        <w:rPr>
          <w:rFonts w:hint="cs"/>
          <w:rtl/>
          <w:lang w:val="en"/>
        </w:rPr>
        <w:t xml:space="preserve"> و</w:t>
      </w:r>
      <w:r w:rsidR="00CF2ED1" w:rsidRPr="005269E6">
        <w:rPr>
          <w:rtl/>
          <w:lang w:bidi="ar"/>
        </w:rPr>
        <w:t>حاليا</w:t>
      </w:r>
      <w:r w:rsidR="00022249" w:rsidRPr="005269E6">
        <w:rPr>
          <w:rFonts w:hint="cs"/>
          <w:rtl/>
          <w:lang w:bidi="ar"/>
        </w:rPr>
        <w:t>ً</w:t>
      </w:r>
      <w:r w:rsidR="00CF2ED1" w:rsidRPr="005269E6">
        <w:rPr>
          <w:lang w:val="en"/>
        </w:rPr>
        <w:t xml:space="preserve"> </w:t>
      </w:r>
      <w:r w:rsidR="00CF2ED1" w:rsidRPr="005269E6">
        <w:rPr>
          <w:rtl/>
          <w:lang w:bidi="ar"/>
        </w:rPr>
        <w:t>لا</w:t>
      </w:r>
      <w:r w:rsidR="00CF2ED1" w:rsidRPr="005269E6">
        <w:rPr>
          <w:lang w:val="en"/>
        </w:rPr>
        <w:t xml:space="preserve"> </w:t>
      </w:r>
      <w:r w:rsidR="00CF2ED1" w:rsidRPr="005269E6">
        <w:rPr>
          <w:rtl/>
          <w:lang w:bidi="ar"/>
        </w:rPr>
        <w:t>يزال</w:t>
      </w:r>
      <w:r w:rsidR="00CF2ED1" w:rsidRPr="005269E6">
        <w:rPr>
          <w:rtl/>
        </w:rPr>
        <w:t xml:space="preserve"> </w:t>
      </w:r>
      <w:r w:rsidR="00CF2ED1" w:rsidRPr="005269E6">
        <w:rPr>
          <w:rtl/>
          <w:lang w:bidi="ar"/>
        </w:rPr>
        <w:t>هذا المبنى</w:t>
      </w:r>
      <w:r w:rsidR="00CF2ED1" w:rsidRPr="005269E6">
        <w:rPr>
          <w:lang w:val="en"/>
        </w:rPr>
        <w:t xml:space="preserve"> </w:t>
      </w:r>
      <w:r w:rsidR="00CF2ED1" w:rsidRPr="005269E6">
        <w:rPr>
          <w:rtl/>
          <w:lang w:bidi="ar"/>
        </w:rPr>
        <w:t>قيد</w:t>
      </w:r>
      <w:r w:rsidR="00CF2ED1" w:rsidRPr="005269E6">
        <w:rPr>
          <w:lang w:val="en"/>
        </w:rPr>
        <w:t xml:space="preserve"> </w:t>
      </w:r>
      <w:r w:rsidR="00CF2ED1" w:rsidRPr="005269E6">
        <w:rPr>
          <w:rtl/>
          <w:lang w:bidi="ar"/>
        </w:rPr>
        <w:t>الاستخدام</w:t>
      </w:r>
      <w:r w:rsidR="00CF2ED1" w:rsidRPr="005269E6">
        <w:rPr>
          <w:lang w:val="en"/>
        </w:rPr>
        <w:t>.</w:t>
      </w:r>
    </w:p>
    <w:p w14:paraId="6E07B81B" w14:textId="77777777" w:rsidR="00C543C6" w:rsidRPr="005269E6" w:rsidRDefault="00C543C6" w:rsidP="00C543C6">
      <w:pPr>
        <w:pStyle w:val="enumlev1"/>
        <w:keepNext/>
        <w:keepLines/>
        <w:rPr>
          <w:rtl/>
        </w:rPr>
      </w:pPr>
      <w:bookmarkStart w:id="454" w:name="_Toc520365544"/>
      <w:r w:rsidRPr="005269E6">
        <w:rPr>
          <w:rtl/>
        </w:rPr>
        <w:t>-</w:t>
      </w:r>
      <w:r w:rsidRPr="005269E6">
        <w:rPr>
          <w:rtl/>
        </w:rPr>
        <w:tab/>
        <w:t xml:space="preserve">التوسيع </w:t>
      </w:r>
      <w:r w:rsidRPr="00F95576">
        <w:rPr>
          <w:lang w:val="en"/>
        </w:rPr>
        <w:t>C</w:t>
      </w:r>
      <w:r w:rsidRPr="005269E6">
        <w:rPr>
          <w:rtl/>
        </w:rPr>
        <w:t xml:space="preserve"> والكافتيريا، شارع </w:t>
      </w:r>
      <w:proofErr w:type="spellStart"/>
      <w:r w:rsidRPr="005269E6">
        <w:rPr>
          <w:rtl/>
        </w:rPr>
        <w:t>فار</w:t>
      </w:r>
      <w:r w:rsidRPr="005269E6">
        <w:rPr>
          <w:rFonts w:hint="cs"/>
          <w:rtl/>
        </w:rPr>
        <w:t>ا</w:t>
      </w:r>
      <w:r w:rsidRPr="005269E6">
        <w:rPr>
          <w:rtl/>
        </w:rPr>
        <w:t>مبيه</w:t>
      </w:r>
      <w:proofErr w:type="spellEnd"/>
      <w:r w:rsidRPr="005269E6">
        <w:rPr>
          <w:rtl/>
        </w:rPr>
        <w:t>، جنيف؛</w:t>
      </w:r>
      <w:bookmarkEnd w:id="454"/>
    </w:p>
    <w:p w14:paraId="392ED733" w14:textId="77777777" w:rsidR="00C543C6" w:rsidRPr="005269E6" w:rsidRDefault="00C543C6" w:rsidP="00C543C6">
      <w:pPr>
        <w:pStyle w:val="enumlev1"/>
        <w:keepNext/>
        <w:keepLines/>
        <w:rPr>
          <w:rtl/>
        </w:rPr>
      </w:pPr>
      <w:bookmarkStart w:id="455" w:name="_Toc520365545"/>
      <w:r w:rsidRPr="005269E6">
        <w:rPr>
          <w:rtl/>
        </w:rPr>
        <w:t>-</w:t>
      </w:r>
      <w:r w:rsidRPr="005269E6">
        <w:rPr>
          <w:rtl/>
        </w:rPr>
        <w:tab/>
        <w:t>مبنى مونبريان،</w:t>
      </w:r>
      <w:r w:rsidRPr="005269E6">
        <w:rPr>
          <w:lang w:val="fr-CH"/>
        </w:rPr>
        <w:t xml:space="preserve"> </w:t>
      </w:r>
      <w:r w:rsidRPr="005269E6">
        <w:rPr>
          <w:rtl/>
        </w:rPr>
        <w:t>شارع فار</w:t>
      </w:r>
      <w:r w:rsidRPr="005269E6">
        <w:rPr>
          <w:rFonts w:hint="cs"/>
          <w:rtl/>
        </w:rPr>
        <w:t>ا</w:t>
      </w:r>
      <w:r w:rsidRPr="005269E6">
        <w:rPr>
          <w:rtl/>
        </w:rPr>
        <w:t>مبيه، جنيف.</w:t>
      </w:r>
      <w:bookmarkEnd w:id="455"/>
    </w:p>
    <w:p w14:paraId="2A3801FC" w14:textId="4A1E8CE1" w:rsidR="00CF2ED1" w:rsidRPr="005269E6" w:rsidRDefault="00C543C6" w:rsidP="004C39BB">
      <w:pPr>
        <w:spacing w:after="120"/>
        <w:rPr>
          <w:rtl/>
          <w:lang w:bidi="ar-EG"/>
        </w:rPr>
      </w:pPr>
      <w:r w:rsidRPr="005269E6">
        <w:rPr>
          <w:rFonts w:hint="cs"/>
          <w:rtl/>
          <w:lang w:bidi="ar-EG"/>
        </w:rPr>
        <w:t>وحتى</w:t>
      </w:r>
      <w:r w:rsidR="00EF7DF3" w:rsidRPr="005269E6">
        <w:rPr>
          <w:rFonts w:hint="cs"/>
          <w:rtl/>
          <w:lang w:bidi="ar-EG"/>
        </w:rPr>
        <w:t xml:space="preserve"> </w:t>
      </w:r>
      <w:r w:rsidRPr="005269E6">
        <w:rPr>
          <w:rFonts w:hint="cs"/>
          <w:rtl/>
          <w:lang w:bidi="ar-EG"/>
        </w:rPr>
        <w:t xml:space="preserve">ديسمبر </w:t>
      </w:r>
      <w:r w:rsidR="00CF2ED1" w:rsidRPr="005269E6">
        <w:rPr>
          <w:rFonts w:hint="cs"/>
          <w:rtl/>
          <w:lang w:bidi="ar-EG"/>
        </w:rPr>
        <w:t>2022</w:t>
      </w:r>
      <w:r w:rsidRPr="005269E6">
        <w:rPr>
          <w:rFonts w:hint="cs"/>
          <w:rtl/>
          <w:lang w:bidi="ar-EG"/>
        </w:rPr>
        <w:t>، لم ت</w:t>
      </w:r>
      <w:r w:rsidR="00CF2ED1" w:rsidRPr="005269E6">
        <w:rPr>
          <w:rFonts w:hint="cs"/>
          <w:rtl/>
          <w:lang w:bidi="ar-EG"/>
        </w:rPr>
        <w:t>ُ</w:t>
      </w:r>
      <w:r w:rsidRPr="005269E6">
        <w:rPr>
          <w:rFonts w:hint="cs"/>
          <w:rtl/>
          <w:lang w:bidi="ar-EG"/>
        </w:rPr>
        <w:t xml:space="preserve">رهن أي </w:t>
      </w:r>
      <w:r w:rsidR="00CF2ED1" w:rsidRPr="005269E6">
        <w:rPr>
          <w:rtl/>
          <w:lang w:bidi="ar-EG"/>
        </w:rPr>
        <w:t xml:space="preserve">ممتلكات </w:t>
      </w:r>
      <w:r w:rsidR="00CF2ED1" w:rsidRPr="005269E6">
        <w:rPr>
          <w:rFonts w:hint="cs"/>
          <w:rtl/>
          <w:lang w:bidi="ar-EG"/>
        </w:rPr>
        <w:t>أ</w:t>
      </w:r>
      <w:r w:rsidR="00CF2ED1" w:rsidRPr="005269E6">
        <w:rPr>
          <w:rtl/>
          <w:lang w:bidi="ar-EG"/>
        </w:rPr>
        <w:t>و</w:t>
      </w:r>
      <w:r w:rsidR="00CF2ED1" w:rsidRPr="005269E6">
        <w:rPr>
          <w:rFonts w:hint="cs"/>
          <w:rtl/>
          <w:lang w:bidi="ar-EG"/>
        </w:rPr>
        <w:t xml:space="preserve"> </w:t>
      </w:r>
      <w:r w:rsidR="00CF2ED1" w:rsidRPr="005269E6">
        <w:rPr>
          <w:rtl/>
          <w:lang w:bidi="ar-EG"/>
        </w:rPr>
        <w:t>معدات</w:t>
      </w:r>
      <w:r w:rsidR="00CF2ED1" w:rsidRPr="005269E6">
        <w:rPr>
          <w:rFonts w:hint="cs"/>
          <w:rtl/>
          <w:lang w:bidi="ar-EG"/>
        </w:rPr>
        <w:t xml:space="preserve"> </w:t>
      </w:r>
      <w:r w:rsidRPr="005269E6">
        <w:rPr>
          <w:rFonts w:hint="cs"/>
          <w:rtl/>
          <w:lang w:bidi="ar-EG"/>
        </w:rPr>
        <w:t>كضمانة لدين</w:t>
      </w:r>
      <w:r w:rsidR="00CF2ED1" w:rsidRPr="005269E6">
        <w:rPr>
          <w:rFonts w:hint="cs"/>
          <w:rtl/>
          <w:lang w:bidi="ar-EG"/>
        </w:rPr>
        <w:t>.</w:t>
      </w:r>
      <w:r w:rsidR="00EB7D91" w:rsidRPr="005269E6">
        <w:rPr>
          <w:rFonts w:hint="cs"/>
          <w:rtl/>
          <w:lang w:bidi="ar-EG"/>
        </w:rPr>
        <w:t xml:space="preserve"> </w:t>
      </w:r>
      <w:r w:rsidR="00CF2ED1" w:rsidRPr="005269E6">
        <w:rPr>
          <w:rFonts w:hint="cs"/>
          <w:rtl/>
          <w:lang w:bidi="ar-EG"/>
        </w:rPr>
        <w:t>و</w:t>
      </w:r>
      <w:r w:rsidR="00CF2ED1" w:rsidRPr="005269E6">
        <w:rPr>
          <w:rtl/>
          <w:lang w:bidi="ar-EG"/>
        </w:rPr>
        <w:t xml:space="preserve">يحتفظ الاتحاد بجدول زمني شامل للممتلكات والمنشآت والمعدات. </w:t>
      </w:r>
      <w:r w:rsidR="00386D96" w:rsidRPr="005269E6">
        <w:rPr>
          <w:rFonts w:hint="cs"/>
          <w:rtl/>
          <w:lang w:bidi="ar-EG"/>
        </w:rPr>
        <w:t>و</w:t>
      </w:r>
      <w:r w:rsidR="00CF2ED1" w:rsidRPr="005269E6">
        <w:rPr>
          <w:rtl/>
          <w:lang w:bidi="ar-EG"/>
        </w:rPr>
        <w:t xml:space="preserve">يتضمن هذا الجدول الأصول التي وصلت إلى الإهلاك الكامل ولكنها لا تزال قيد الاستخدام النشط </w:t>
      </w:r>
      <w:r w:rsidR="00CF2ED1" w:rsidRPr="005269E6">
        <w:rPr>
          <w:rFonts w:hint="cs"/>
          <w:rtl/>
          <w:lang w:bidi="ar-EG"/>
        </w:rPr>
        <w:t>ضمن</w:t>
      </w:r>
      <w:r w:rsidR="00CF2ED1" w:rsidRPr="005269E6">
        <w:rPr>
          <w:rtl/>
          <w:lang w:bidi="ar-EG"/>
        </w:rPr>
        <w:t xml:space="preserve"> </w:t>
      </w:r>
      <w:r w:rsidR="00CF2ED1" w:rsidRPr="005269E6">
        <w:rPr>
          <w:rFonts w:hint="cs"/>
          <w:rtl/>
          <w:lang w:bidi="ar-EG"/>
        </w:rPr>
        <w:t>المنظمة</w:t>
      </w:r>
      <w:r w:rsidR="00CF2ED1" w:rsidRPr="005269E6">
        <w:rPr>
          <w:rtl/>
          <w:lang w:bidi="ar-EG"/>
        </w:rPr>
        <w:t xml:space="preserve">. </w:t>
      </w:r>
      <w:r w:rsidR="00EF7DF3" w:rsidRPr="005269E6">
        <w:rPr>
          <w:rFonts w:hint="cs"/>
          <w:rtl/>
          <w:lang w:bidi="ar-EG"/>
        </w:rPr>
        <w:t>و</w:t>
      </w:r>
      <w:r w:rsidR="00CF2ED1" w:rsidRPr="005269E6">
        <w:rPr>
          <w:rtl/>
          <w:lang w:bidi="ar-EG"/>
        </w:rPr>
        <w:t xml:space="preserve">فيما يلي </w:t>
      </w:r>
      <w:r w:rsidR="00386D96" w:rsidRPr="005269E6">
        <w:rPr>
          <w:rFonts w:hint="cs"/>
          <w:rtl/>
          <w:lang w:bidi="ar-EG"/>
        </w:rPr>
        <w:t>المبلغ</w:t>
      </w:r>
      <w:r w:rsidR="00CF2ED1" w:rsidRPr="005269E6">
        <w:rPr>
          <w:rtl/>
          <w:lang w:bidi="ar-EG"/>
        </w:rPr>
        <w:t xml:space="preserve"> الدفتري الإجمالي للممتلكات والمنشآت والمعدات المستهلكة بالكامل والتي</w:t>
      </w:r>
      <w:r w:rsidR="00CF2ED1" w:rsidRPr="005269E6">
        <w:rPr>
          <w:rFonts w:hint="cs"/>
          <w:rtl/>
          <w:lang w:bidi="ar-EG"/>
        </w:rPr>
        <w:t xml:space="preserve"> كانت</w:t>
      </w:r>
      <w:r w:rsidR="00CF2ED1" w:rsidRPr="005269E6">
        <w:rPr>
          <w:rtl/>
          <w:lang w:bidi="ar-EG"/>
        </w:rPr>
        <w:t xml:space="preserve"> لا تزال قيد الاستخدام </w:t>
      </w:r>
      <w:r w:rsidR="003804C0" w:rsidRPr="005269E6">
        <w:rPr>
          <w:rFonts w:hint="cs"/>
          <w:rtl/>
          <w:lang w:bidi="ar-EG"/>
        </w:rPr>
        <w:t>حتى</w:t>
      </w:r>
      <w:r w:rsidR="00CF2ED1" w:rsidRPr="005269E6">
        <w:rPr>
          <w:rtl/>
          <w:lang w:bidi="ar-EG"/>
        </w:rPr>
        <w:t xml:space="preserve"> 31 ديسمبر 2022</w:t>
      </w:r>
      <w:r w:rsidR="00CA29BC" w:rsidRPr="005269E6">
        <w:rPr>
          <w:rFonts w:hint="cs"/>
          <w:rtl/>
          <w:lang w:bidi="ar-EG"/>
        </w:rPr>
        <w:t>:</w:t>
      </w:r>
    </w:p>
    <w:tbl>
      <w:tblPr>
        <w:bidiVisual/>
        <w:tblW w:w="3000" w:type="pct"/>
        <w:jc w:val="center"/>
        <w:tblLook w:val="04A0" w:firstRow="1" w:lastRow="0" w:firstColumn="1" w:lastColumn="0" w:noHBand="0" w:noVBand="1"/>
      </w:tblPr>
      <w:tblGrid>
        <w:gridCol w:w="3896"/>
        <w:gridCol w:w="1887"/>
      </w:tblGrid>
      <w:tr w:rsidR="009E04F0" w:rsidRPr="005269E6" w14:paraId="739CAB0B" w14:textId="77777777" w:rsidTr="00022249">
        <w:trPr>
          <w:trHeight w:val="540"/>
          <w:jc w:val="center"/>
        </w:trPr>
        <w:tc>
          <w:tcPr>
            <w:tcW w:w="3896" w:type="dxa"/>
            <w:tcBorders>
              <w:top w:val="nil"/>
              <w:left w:val="nil"/>
              <w:bottom w:val="nil"/>
              <w:right w:val="nil"/>
            </w:tcBorders>
            <w:shd w:val="clear" w:color="000000" w:fill="538DD5"/>
            <w:noWrap/>
            <w:vAlign w:val="center"/>
            <w:hideMark/>
          </w:tcPr>
          <w:p w14:paraId="42DE579E" w14:textId="684E5054" w:rsidR="009E04F0" w:rsidRPr="005269E6" w:rsidRDefault="0015086C" w:rsidP="004C39BB">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 xml:space="preserve">فئة الأصول - </w:t>
            </w:r>
            <w:r w:rsidR="00386D96" w:rsidRPr="005269E6">
              <w:rPr>
                <w:rFonts w:eastAsia="Times New Roman"/>
                <w:b/>
                <w:bCs/>
                <w:color w:val="000000"/>
                <w:sz w:val="18"/>
                <w:szCs w:val="18"/>
                <w:rtl/>
                <w:lang w:val="en-GB" w:eastAsia="en-GB"/>
              </w:rPr>
              <w:t>المبلغ الدفتري الإجمالي</w:t>
            </w:r>
          </w:p>
        </w:tc>
        <w:tc>
          <w:tcPr>
            <w:tcW w:w="1887" w:type="dxa"/>
            <w:tcBorders>
              <w:top w:val="nil"/>
              <w:left w:val="nil"/>
              <w:bottom w:val="nil"/>
              <w:right w:val="nil"/>
            </w:tcBorders>
            <w:shd w:val="clear" w:color="000000" w:fill="538DD5"/>
            <w:noWrap/>
            <w:vAlign w:val="center"/>
            <w:hideMark/>
          </w:tcPr>
          <w:p w14:paraId="66D42502" w14:textId="0B7269E1" w:rsidR="009E04F0" w:rsidRPr="005269E6" w:rsidRDefault="0015086C" w:rsidP="004C39BB">
            <w:pPr>
              <w:tabs>
                <w:tab w:val="clear" w:pos="794"/>
              </w:tabs>
              <w:spacing w:before="0" w:line="240" w:lineRule="auto"/>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r>
      <w:tr w:rsidR="009E04F0" w:rsidRPr="005269E6" w14:paraId="00AFADE6" w14:textId="77777777" w:rsidTr="00022249">
        <w:trPr>
          <w:trHeight w:val="255"/>
          <w:jc w:val="center"/>
        </w:trPr>
        <w:tc>
          <w:tcPr>
            <w:tcW w:w="3896" w:type="dxa"/>
            <w:tcBorders>
              <w:top w:val="nil"/>
              <w:left w:val="nil"/>
              <w:bottom w:val="nil"/>
              <w:right w:val="nil"/>
            </w:tcBorders>
            <w:shd w:val="clear" w:color="000000" w:fill="auto"/>
            <w:hideMark/>
          </w:tcPr>
          <w:p w14:paraId="5C5AC5B9" w14:textId="0EE3CF0C" w:rsidR="009E04F0" w:rsidRPr="005269E6" w:rsidRDefault="001C337E" w:rsidP="004C39BB">
            <w:pPr>
              <w:tabs>
                <w:tab w:val="clear" w:pos="794"/>
              </w:tabs>
              <w:spacing w:before="0" w:line="240" w:lineRule="auto"/>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المباني</w:t>
            </w:r>
            <w:r w:rsidR="009E04F0" w:rsidRPr="005269E6">
              <w:rPr>
                <w:rFonts w:eastAsia="Times New Roman"/>
                <w:color w:val="000000"/>
                <w:sz w:val="18"/>
                <w:szCs w:val="18"/>
                <w:lang w:val="en-GB" w:eastAsia="en-GB"/>
              </w:rPr>
              <w:t xml:space="preserve"> *</w:t>
            </w:r>
          </w:p>
        </w:tc>
        <w:tc>
          <w:tcPr>
            <w:tcW w:w="1887" w:type="dxa"/>
            <w:tcBorders>
              <w:top w:val="nil"/>
              <w:left w:val="nil"/>
              <w:bottom w:val="nil"/>
              <w:right w:val="nil"/>
            </w:tcBorders>
            <w:shd w:val="clear" w:color="000000" w:fill="auto"/>
            <w:noWrap/>
            <w:hideMark/>
          </w:tcPr>
          <w:p w14:paraId="21602672" w14:textId="38E940CD" w:rsidR="009E04F0" w:rsidRPr="005269E6" w:rsidRDefault="009E04F0" w:rsidP="002E61A9">
            <w:pPr>
              <w:tabs>
                <w:tab w:val="clear" w:pos="794"/>
              </w:tabs>
              <w:spacing w:before="0" w:line="240" w:lineRule="auto"/>
              <w:jc w:val="left"/>
              <w:rPr>
                <w:rFonts w:eastAsia="Times New Roman"/>
                <w:sz w:val="18"/>
                <w:szCs w:val="18"/>
                <w:lang w:val="en-GB" w:eastAsia="en-GB"/>
              </w:rPr>
            </w:pPr>
            <w:r w:rsidRPr="005269E6">
              <w:rPr>
                <w:rFonts w:eastAsia="Times New Roman"/>
                <w:sz w:val="18"/>
                <w:szCs w:val="18"/>
                <w:lang w:val="en-GB" w:eastAsia="en-GB"/>
              </w:rPr>
              <w:t xml:space="preserve">37 613 </w:t>
            </w:r>
          </w:p>
        </w:tc>
      </w:tr>
      <w:tr w:rsidR="009E04F0" w:rsidRPr="005269E6" w14:paraId="09ED87D8" w14:textId="77777777" w:rsidTr="00022249">
        <w:trPr>
          <w:trHeight w:val="255"/>
          <w:jc w:val="center"/>
        </w:trPr>
        <w:tc>
          <w:tcPr>
            <w:tcW w:w="3896" w:type="dxa"/>
            <w:tcBorders>
              <w:top w:val="nil"/>
              <w:left w:val="nil"/>
              <w:bottom w:val="nil"/>
              <w:right w:val="nil"/>
            </w:tcBorders>
            <w:shd w:val="clear" w:color="000000" w:fill="auto"/>
            <w:hideMark/>
          </w:tcPr>
          <w:p w14:paraId="6EAEF2CB" w14:textId="4A65F547" w:rsidR="009E04F0" w:rsidRPr="005269E6" w:rsidRDefault="001C337E" w:rsidP="004C39BB">
            <w:pPr>
              <w:tabs>
                <w:tab w:val="clear" w:pos="794"/>
              </w:tabs>
              <w:spacing w:before="0" w:line="240" w:lineRule="auto"/>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الآلات والمعدات</w:t>
            </w:r>
          </w:p>
        </w:tc>
        <w:tc>
          <w:tcPr>
            <w:tcW w:w="1887" w:type="dxa"/>
            <w:tcBorders>
              <w:top w:val="nil"/>
              <w:left w:val="nil"/>
              <w:bottom w:val="nil"/>
              <w:right w:val="nil"/>
            </w:tcBorders>
            <w:shd w:val="clear" w:color="000000" w:fill="auto"/>
            <w:noWrap/>
            <w:hideMark/>
          </w:tcPr>
          <w:p w14:paraId="48A55653" w14:textId="6767DAA0" w:rsidR="009E04F0" w:rsidRPr="005269E6" w:rsidRDefault="009E04F0" w:rsidP="002E61A9">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1 943 </w:t>
            </w:r>
          </w:p>
        </w:tc>
      </w:tr>
      <w:tr w:rsidR="009E04F0" w:rsidRPr="005269E6" w14:paraId="11D0B33C" w14:textId="77777777" w:rsidTr="00022249">
        <w:trPr>
          <w:trHeight w:val="255"/>
          <w:jc w:val="center"/>
        </w:trPr>
        <w:tc>
          <w:tcPr>
            <w:tcW w:w="3896" w:type="dxa"/>
            <w:tcBorders>
              <w:top w:val="nil"/>
              <w:left w:val="nil"/>
              <w:bottom w:val="nil"/>
              <w:right w:val="nil"/>
            </w:tcBorders>
            <w:shd w:val="clear" w:color="000000" w:fill="auto"/>
            <w:hideMark/>
          </w:tcPr>
          <w:p w14:paraId="78812D33" w14:textId="3F89ED39" w:rsidR="009E04F0" w:rsidRPr="005269E6" w:rsidRDefault="001C337E" w:rsidP="004C39BB">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rtl/>
                <w:lang w:val="en-GB" w:eastAsia="en-GB"/>
              </w:rPr>
              <w:t>معدات</w:t>
            </w:r>
            <w:r w:rsidRPr="005269E6">
              <w:rPr>
                <w:rFonts w:eastAsia="Times New Roman" w:hint="cs"/>
                <w:color w:val="000000"/>
                <w:sz w:val="18"/>
                <w:szCs w:val="18"/>
                <w:rtl/>
                <w:lang w:val="en-GB" w:eastAsia="en-GB"/>
              </w:rPr>
              <w:t xml:space="preserve"> الحاسوب</w:t>
            </w:r>
          </w:p>
        </w:tc>
        <w:tc>
          <w:tcPr>
            <w:tcW w:w="1887" w:type="dxa"/>
            <w:tcBorders>
              <w:top w:val="nil"/>
              <w:left w:val="nil"/>
              <w:bottom w:val="nil"/>
              <w:right w:val="nil"/>
            </w:tcBorders>
            <w:shd w:val="clear" w:color="000000" w:fill="auto"/>
            <w:noWrap/>
            <w:hideMark/>
          </w:tcPr>
          <w:p w14:paraId="0EB00587" w14:textId="163B2A62" w:rsidR="009E04F0" w:rsidRPr="005269E6" w:rsidRDefault="009E04F0" w:rsidP="002E61A9">
            <w:pPr>
              <w:tabs>
                <w:tab w:val="clear" w:pos="794"/>
              </w:tabs>
              <w:spacing w:before="0" w:line="240" w:lineRule="auto"/>
              <w:jc w:val="left"/>
              <w:rPr>
                <w:rFonts w:eastAsia="Times New Roman"/>
                <w:sz w:val="18"/>
                <w:szCs w:val="18"/>
                <w:lang w:val="en-GB" w:eastAsia="en-GB"/>
              </w:rPr>
            </w:pPr>
            <w:r w:rsidRPr="005269E6">
              <w:rPr>
                <w:rFonts w:eastAsia="Times New Roman"/>
                <w:sz w:val="18"/>
                <w:szCs w:val="18"/>
                <w:lang w:val="en-GB" w:eastAsia="en-GB"/>
              </w:rPr>
              <w:t xml:space="preserve">7 419 </w:t>
            </w:r>
          </w:p>
        </w:tc>
      </w:tr>
      <w:tr w:rsidR="009E04F0" w:rsidRPr="005269E6" w14:paraId="3E9C7FF2" w14:textId="77777777" w:rsidTr="00022249">
        <w:trPr>
          <w:trHeight w:val="255"/>
          <w:jc w:val="center"/>
        </w:trPr>
        <w:tc>
          <w:tcPr>
            <w:tcW w:w="3896" w:type="dxa"/>
            <w:tcBorders>
              <w:top w:val="nil"/>
              <w:left w:val="nil"/>
              <w:bottom w:val="nil"/>
              <w:right w:val="nil"/>
            </w:tcBorders>
            <w:shd w:val="clear" w:color="000000" w:fill="auto"/>
            <w:hideMark/>
          </w:tcPr>
          <w:p w14:paraId="0E78B833" w14:textId="61E7AAE1" w:rsidR="009E04F0" w:rsidRPr="005269E6" w:rsidRDefault="001C337E" w:rsidP="004C39BB">
            <w:pPr>
              <w:tabs>
                <w:tab w:val="clear" w:pos="794"/>
              </w:tabs>
              <w:spacing w:before="0" w:line="240" w:lineRule="auto"/>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w:t>
            </w:r>
            <w:r w:rsidRPr="005269E6">
              <w:rPr>
                <w:rFonts w:eastAsia="Times New Roman"/>
                <w:color w:val="000000"/>
                <w:sz w:val="18"/>
                <w:szCs w:val="18"/>
                <w:rtl/>
                <w:lang w:val="en-GB" w:eastAsia="en-GB"/>
              </w:rPr>
              <w:t>مركبات</w:t>
            </w:r>
          </w:p>
        </w:tc>
        <w:tc>
          <w:tcPr>
            <w:tcW w:w="1887" w:type="dxa"/>
            <w:tcBorders>
              <w:top w:val="nil"/>
              <w:left w:val="nil"/>
              <w:bottom w:val="nil"/>
              <w:right w:val="nil"/>
            </w:tcBorders>
            <w:shd w:val="clear" w:color="000000" w:fill="auto"/>
            <w:noWrap/>
            <w:hideMark/>
          </w:tcPr>
          <w:p w14:paraId="483F473B" w14:textId="76D5A78C" w:rsidR="009E04F0" w:rsidRPr="005269E6" w:rsidRDefault="009E04F0" w:rsidP="002E61A9">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199 </w:t>
            </w:r>
          </w:p>
        </w:tc>
      </w:tr>
      <w:tr w:rsidR="009E04F0" w:rsidRPr="005269E6" w14:paraId="279FB2E8" w14:textId="77777777" w:rsidTr="00022249">
        <w:trPr>
          <w:trHeight w:val="563"/>
          <w:jc w:val="center"/>
        </w:trPr>
        <w:tc>
          <w:tcPr>
            <w:tcW w:w="3896" w:type="dxa"/>
            <w:tcBorders>
              <w:top w:val="nil"/>
              <w:left w:val="nil"/>
              <w:bottom w:val="nil"/>
              <w:right w:val="nil"/>
            </w:tcBorders>
            <w:shd w:val="clear" w:color="000000" w:fill="538DD5"/>
            <w:vAlign w:val="center"/>
            <w:hideMark/>
          </w:tcPr>
          <w:p w14:paraId="14E534C4" w14:textId="3353C2C7" w:rsidR="009E04F0" w:rsidRPr="005269E6" w:rsidRDefault="001C337E" w:rsidP="004C39BB">
            <w:pPr>
              <w:tabs>
                <w:tab w:val="clear" w:pos="794"/>
              </w:tabs>
              <w:spacing w:before="0" w:line="240" w:lineRule="auto"/>
              <w:jc w:val="left"/>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المجموع الكلي</w:t>
            </w:r>
          </w:p>
        </w:tc>
        <w:tc>
          <w:tcPr>
            <w:tcW w:w="1887" w:type="dxa"/>
            <w:tcBorders>
              <w:top w:val="nil"/>
              <w:left w:val="nil"/>
              <w:bottom w:val="nil"/>
              <w:right w:val="nil"/>
            </w:tcBorders>
            <w:shd w:val="clear" w:color="000000" w:fill="538DD5"/>
            <w:noWrap/>
            <w:vAlign w:val="center"/>
            <w:hideMark/>
          </w:tcPr>
          <w:p w14:paraId="3826127A" w14:textId="4FF64767" w:rsidR="009E04F0" w:rsidRPr="005269E6" w:rsidRDefault="009E04F0" w:rsidP="002E61A9">
            <w:pPr>
              <w:tabs>
                <w:tab w:val="clear" w:pos="794"/>
              </w:tabs>
              <w:spacing w:before="0" w:line="240" w:lineRule="auto"/>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47 174 </w:t>
            </w:r>
          </w:p>
        </w:tc>
      </w:tr>
    </w:tbl>
    <w:p w14:paraId="65D5D07A" w14:textId="723B42E9" w:rsidR="00BC2146" w:rsidRPr="005269E6" w:rsidRDefault="00BC2146" w:rsidP="004C39BB">
      <w:pPr>
        <w:keepNext/>
        <w:spacing w:before="240" w:after="120"/>
        <w:jc w:val="center"/>
        <w:rPr>
          <w:b/>
          <w:bCs/>
          <w:rtl/>
          <w:lang w:bidi="ar-SY"/>
        </w:rPr>
      </w:pPr>
      <w:r w:rsidRPr="005269E6">
        <w:rPr>
          <w:b/>
          <w:bCs/>
          <w:lang w:bidi="ar-SY"/>
        </w:rPr>
        <w:t>2022</w:t>
      </w:r>
    </w:p>
    <w:tbl>
      <w:tblPr>
        <w:bidiVisual/>
        <w:tblW w:w="4977" w:type="pct"/>
        <w:jc w:val="center"/>
        <w:tblLook w:val="04A0" w:firstRow="1" w:lastRow="0" w:firstColumn="1" w:lastColumn="0" w:noHBand="0" w:noVBand="1"/>
      </w:tblPr>
      <w:tblGrid>
        <w:gridCol w:w="3061"/>
        <w:gridCol w:w="986"/>
        <w:gridCol w:w="985"/>
        <w:gridCol w:w="1221"/>
        <w:gridCol w:w="1048"/>
        <w:gridCol w:w="985"/>
        <w:gridCol w:w="1309"/>
      </w:tblGrid>
      <w:tr w:rsidR="00C05C08" w:rsidRPr="005269E6" w14:paraId="108E5F35" w14:textId="77777777" w:rsidTr="004C39BB">
        <w:trPr>
          <w:trHeight w:val="765"/>
          <w:jc w:val="center"/>
        </w:trPr>
        <w:tc>
          <w:tcPr>
            <w:tcW w:w="3060" w:type="dxa"/>
            <w:tcBorders>
              <w:top w:val="nil"/>
              <w:left w:val="nil"/>
              <w:bottom w:val="nil"/>
              <w:right w:val="nil"/>
            </w:tcBorders>
            <w:shd w:val="clear" w:color="000000" w:fill="538DD5"/>
            <w:noWrap/>
            <w:vAlign w:val="center"/>
            <w:hideMark/>
          </w:tcPr>
          <w:p w14:paraId="66AC8BDB" w14:textId="179ECE45" w:rsidR="00C05C08" w:rsidRPr="005269E6" w:rsidRDefault="001C337E"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فئة الأصول (بآلاف الفرنكات السويسرية)</w:t>
            </w:r>
          </w:p>
        </w:tc>
        <w:tc>
          <w:tcPr>
            <w:tcW w:w="986" w:type="dxa"/>
            <w:tcBorders>
              <w:top w:val="nil"/>
              <w:left w:val="nil"/>
              <w:bottom w:val="nil"/>
              <w:right w:val="nil"/>
            </w:tcBorders>
            <w:shd w:val="clear" w:color="000000" w:fill="538DD5"/>
            <w:vAlign w:val="center"/>
            <w:hideMark/>
          </w:tcPr>
          <w:p w14:paraId="047E339E" w14:textId="65354AC1" w:rsidR="00C05C08" w:rsidRPr="005269E6" w:rsidRDefault="001C337E"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المباني</w:t>
            </w:r>
          </w:p>
        </w:tc>
        <w:tc>
          <w:tcPr>
            <w:tcW w:w="985" w:type="dxa"/>
            <w:tcBorders>
              <w:top w:val="nil"/>
              <w:left w:val="nil"/>
              <w:bottom w:val="nil"/>
              <w:right w:val="nil"/>
            </w:tcBorders>
            <w:shd w:val="clear" w:color="000000" w:fill="538DD5"/>
            <w:vAlign w:val="center"/>
            <w:hideMark/>
          </w:tcPr>
          <w:p w14:paraId="788EECD1" w14:textId="2E0E9F6A" w:rsidR="00C05C08" w:rsidRPr="005269E6" w:rsidRDefault="001C337E"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الآلات والمعدات</w:t>
            </w:r>
          </w:p>
        </w:tc>
        <w:tc>
          <w:tcPr>
            <w:tcW w:w="1221" w:type="dxa"/>
            <w:tcBorders>
              <w:top w:val="nil"/>
              <w:left w:val="nil"/>
              <w:bottom w:val="nil"/>
              <w:right w:val="nil"/>
            </w:tcBorders>
            <w:shd w:val="clear" w:color="000000" w:fill="538DD5"/>
            <w:vAlign w:val="center"/>
            <w:hideMark/>
          </w:tcPr>
          <w:p w14:paraId="1E200584" w14:textId="63ED5DBE" w:rsidR="00C05C08" w:rsidRPr="005269E6" w:rsidRDefault="001C337E" w:rsidP="00022249">
            <w:pPr>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الأثاث والتجهيزات</w:t>
            </w:r>
          </w:p>
        </w:tc>
        <w:tc>
          <w:tcPr>
            <w:tcW w:w="1048" w:type="dxa"/>
            <w:tcBorders>
              <w:top w:val="nil"/>
              <w:left w:val="nil"/>
              <w:bottom w:val="nil"/>
              <w:right w:val="nil"/>
            </w:tcBorders>
            <w:shd w:val="clear" w:color="000000" w:fill="538DD5"/>
            <w:vAlign w:val="center"/>
            <w:hideMark/>
          </w:tcPr>
          <w:p w14:paraId="4D804888" w14:textId="28E6BE81" w:rsidR="00C05C08" w:rsidRPr="005269E6" w:rsidRDefault="001C337E"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معدات الحاسوب</w:t>
            </w:r>
          </w:p>
        </w:tc>
        <w:tc>
          <w:tcPr>
            <w:tcW w:w="985" w:type="dxa"/>
            <w:tcBorders>
              <w:top w:val="nil"/>
              <w:left w:val="nil"/>
              <w:bottom w:val="nil"/>
              <w:right w:val="nil"/>
            </w:tcBorders>
            <w:shd w:val="clear" w:color="000000" w:fill="538DD5"/>
            <w:vAlign w:val="center"/>
            <w:hideMark/>
          </w:tcPr>
          <w:p w14:paraId="4D6B705B" w14:textId="28176A24" w:rsidR="00C05C08" w:rsidRPr="005269E6" w:rsidRDefault="001C337E"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المركبات</w:t>
            </w:r>
          </w:p>
        </w:tc>
        <w:tc>
          <w:tcPr>
            <w:tcW w:w="1309" w:type="dxa"/>
            <w:tcBorders>
              <w:top w:val="nil"/>
              <w:left w:val="nil"/>
              <w:bottom w:val="nil"/>
              <w:right w:val="nil"/>
            </w:tcBorders>
            <w:shd w:val="clear" w:color="000000" w:fill="538DD5"/>
            <w:vAlign w:val="center"/>
            <w:hideMark/>
          </w:tcPr>
          <w:p w14:paraId="2DC242EE" w14:textId="2D1F6E02" w:rsidR="00C05C08" w:rsidRPr="005269E6" w:rsidRDefault="001C337E"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 xml:space="preserve">المجموع الكلي </w:t>
            </w:r>
            <w:r w:rsidR="00C05C08" w:rsidRPr="005269E6">
              <w:rPr>
                <w:rFonts w:eastAsia="Times New Roman"/>
                <w:b/>
                <w:bCs/>
                <w:color w:val="000000"/>
                <w:sz w:val="18"/>
                <w:szCs w:val="18"/>
                <w:lang w:val="en-GB" w:eastAsia="en-GB"/>
              </w:rPr>
              <w:t>2022</w:t>
            </w:r>
          </w:p>
        </w:tc>
      </w:tr>
      <w:tr w:rsidR="00C05C08" w:rsidRPr="005269E6" w14:paraId="480193C6" w14:textId="77777777" w:rsidTr="004C39BB">
        <w:trPr>
          <w:trHeight w:val="255"/>
          <w:jc w:val="center"/>
        </w:trPr>
        <w:tc>
          <w:tcPr>
            <w:tcW w:w="3060" w:type="dxa"/>
            <w:tcBorders>
              <w:top w:val="nil"/>
              <w:left w:val="nil"/>
              <w:bottom w:val="nil"/>
              <w:right w:val="nil"/>
            </w:tcBorders>
            <w:shd w:val="clear" w:color="000000" w:fill="auto"/>
            <w:vAlign w:val="center"/>
            <w:hideMark/>
          </w:tcPr>
          <w:p w14:paraId="40E73751" w14:textId="77777777" w:rsidR="00C05C08" w:rsidRPr="005269E6" w:rsidRDefault="00C05C08" w:rsidP="00C05C08">
            <w:pPr>
              <w:tabs>
                <w:tab w:val="clear" w:pos="794"/>
              </w:tabs>
              <w:spacing w:before="0" w:line="200" w:lineRule="exact"/>
              <w:jc w:val="center"/>
              <w:rPr>
                <w:rFonts w:eastAsia="Times New Roman"/>
                <w:b/>
                <w:bCs/>
                <w:color w:val="000000"/>
                <w:sz w:val="18"/>
                <w:szCs w:val="18"/>
                <w:lang w:val="en-GB" w:eastAsia="en-GB"/>
              </w:rPr>
            </w:pPr>
          </w:p>
        </w:tc>
        <w:tc>
          <w:tcPr>
            <w:tcW w:w="986" w:type="dxa"/>
            <w:tcBorders>
              <w:top w:val="nil"/>
              <w:left w:val="nil"/>
              <w:bottom w:val="nil"/>
              <w:right w:val="nil"/>
            </w:tcBorders>
            <w:shd w:val="clear" w:color="000000" w:fill="auto"/>
            <w:vAlign w:val="center"/>
            <w:hideMark/>
          </w:tcPr>
          <w:p w14:paraId="0141E7B6" w14:textId="77777777" w:rsidR="00C05C08" w:rsidRPr="005269E6" w:rsidRDefault="00C05C08" w:rsidP="00022249">
            <w:pPr>
              <w:tabs>
                <w:tab w:val="clear" w:pos="794"/>
              </w:tabs>
              <w:spacing w:before="0" w:line="200" w:lineRule="exact"/>
              <w:jc w:val="left"/>
              <w:rPr>
                <w:rFonts w:eastAsia="Times New Roman"/>
                <w:sz w:val="18"/>
                <w:szCs w:val="18"/>
                <w:lang w:val="en-GB" w:eastAsia="en-GB"/>
              </w:rPr>
            </w:pPr>
          </w:p>
        </w:tc>
        <w:tc>
          <w:tcPr>
            <w:tcW w:w="985" w:type="dxa"/>
            <w:tcBorders>
              <w:top w:val="nil"/>
              <w:left w:val="nil"/>
              <w:bottom w:val="nil"/>
              <w:right w:val="nil"/>
            </w:tcBorders>
            <w:shd w:val="clear" w:color="000000" w:fill="auto"/>
            <w:vAlign w:val="center"/>
            <w:hideMark/>
          </w:tcPr>
          <w:p w14:paraId="5862D6F4" w14:textId="77777777" w:rsidR="00C05C08" w:rsidRPr="005269E6" w:rsidRDefault="00C05C08" w:rsidP="00022249">
            <w:pPr>
              <w:tabs>
                <w:tab w:val="clear" w:pos="794"/>
              </w:tabs>
              <w:spacing w:before="0" w:line="200" w:lineRule="exact"/>
              <w:jc w:val="left"/>
              <w:rPr>
                <w:rFonts w:eastAsia="Times New Roman"/>
                <w:sz w:val="18"/>
                <w:szCs w:val="18"/>
                <w:lang w:val="en-GB" w:eastAsia="en-GB"/>
              </w:rPr>
            </w:pPr>
          </w:p>
        </w:tc>
        <w:tc>
          <w:tcPr>
            <w:tcW w:w="1221" w:type="dxa"/>
            <w:tcBorders>
              <w:top w:val="nil"/>
              <w:left w:val="nil"/>
              <w:bottom w:val="nil"/>
              <w:right w:val="nil"/>
            </w:tcBorders>
            <w:shd w:val="clear" w:color="000000" w:fill="auto"/>
            <w:vAlign w:val="center"/>
            <w:hideMark/>
          </w:tcPr>
          <w:p w14:paraId="62DD446D" w14:textId="77777777" w:rsidR="00C05C08" w:rsidRPr="005269E6" w:rsidRDefault="00C05C08" w:rsidP="00022249">
            <w:pPr>
              <w:tabs>
                <w:tab w:val="clear" w:pos="794"/>
              </w:tabs>
              <w:spacing w:before="0" w:line="200" w:lineRule="exact"/>
              <w:jc w:val="left"/>
              <w:rPr>
                <w:rFonts w:eastAsia="Times New Roman"/>
                <w:sz w:val="18"/>
                <w:szCs w:val="18"/>
                <w:lang w:val="en-GB" w:eastAsia="en-GB"/>
              </w:rPr>
            </w:pPr>
          </w:p>
        </w:tc>
        <w:tc>
          <w:tcPr>
            <w:tcW w:w="1048" w:type="dxa"/>
            <w:tcBorders>
              <w:top w:val="nil"/>
              <w:left w:val="nil"/>
              <w:bottom w:val="nil"/>
              <w:right w:val="nil"/>
            </w:tcBorders>
            <w:shd w:val="clear" w:color="000000" w:fill="auto"/>
            <w:vAlign w:val="center"/>
            <w:hideMark/>
          </w:tcPr>
          <w:p w14:paraId="5D970394" w14:textId="77777777" w:rsidR="00C05C08" w:rsidRPr="005269E6" w:rsidRDefault="00C05C08" w:rsidP="00022249">
            <w:pPr>
              <w:tabs>
                <w:tab w:val="clear" w:pos="794"/>
              </w:tabs>
              <w:spacing w:before="0" w:line="200" w:lineRule="exact"/>
              <w:jc w:val="left"/>
              <w:rPr>
                <w:rFonts w:eastAsia="Times New Roman"/>
                <w:sz w:val="18"/>
                <w:szCs w:val="18"/>
                <w:lang w:val="en-GB" w:eastAsia="en-GB"/>
              </w:rPr>
            </w:pPr>
          </w:p>
        </w:tc>
        <w:tc>
          <w:tcPr>
            <w:tcW w:w="985" w:type="dxa"/>
            <w:tcBorders>
              <w:top w:val="nil"/>
              <w:left w:val="nil"/>
              <w:bottom w:val="nil"/>
              <w:right w:val="nil"/>
            </w:tcBorders>
            <w:shd w:val="clear" w:color="000000" w:fill="auto"/>
            <w:vAlign w:val="center"/>
            <w:hideMark/>
          </w:tcPr>
          <w:p w14:paraId="057139E2" w14:textId="77777777" w:rsidR="00C05C08" w:rsidRPr="005269E6" w:rsidRDefault="00C05C08" w:rsidP="00022249">
            <w:pPr>
              <w:tabs>
                <w:tab w:val="clear" w:pos="794"/>
              </w:tabs>
              <w:spacing w:before="0" w:line="200" w:lineRule="exact"/>
              <w:jc w:val="left"/>
              <w:rPr>
                <w:rFonts w:eastAsia="Times New Roman"/>
                <w:sz w:val="18"/>
                <w:szCs w:val="18"/>
                <w:lang w:val="en-GB" w:eastAsia="en-GB"/>
              </w:rPr>
            </w:pPr>
          </w:p>
        </w:tc>
        <w:tc>
          <w:tcPr>
            <w:tcW w:w="1309" w:type="dxa"/>
            <w:tcBorders>
              <w:top w:val="nil"/>
              <w:left w:val="nil"/>
              <w:bottom w:val="nil"/>
              <w:right w:val="nil"/>
            </w:tcBorders>
            <w:shd w:val="clear" w:color="000000" w:fill="auto"/>
            <w:vAlign w:val="center"/>
            <w:hideMark/>
          </w:tcPr>
          <w:p w14:paraId="63C642E7" w14:textId="77777777" w:rsidR="00C05C08" w:rsidRPr="005269E6" w:rsidRDefault="00C05C08" w:rsidP="00022249">
            <w:pPr>
              <w:tabs>
                <w:tab w:val="clear" w:pos="794"/>
              </w:tabs>
              <w:spacing w:before="0" w:line="200" w:lineRule="exact"/>
              <w:jc w:val="left"/>
              <w:rPr>
                <w:rFonts w:eastAsia="Times New Roman"/>
                <w:sz w:val="18"/>
                <w:szCs w:val="18"/>
                <w:lang w:val="en-GB" w:eastAsia="en-GB"/>
              </w:rPr>
            </w:pPr>
          </w:p>
        </w:tc>
      </w:tr>
      <w:tr w:rsidR="00C05C08" w:rsidRPr="005269E6" w14:paraId="7686CA8D" w14:textId="77777777" w:rsidTr="004C39BB">
        <w:trPr>
          <w:trHeight w:val="255"/>
          <w:jc w:val="center"/>
        </w:trPr>
        <w:tc>
          <w:tcPr>
            <w:tcW w:w="3060" w:type="dxa"/>
            <w:tcBorders>
              <w:top w:val="nil"/>
              <w:left w:val="nil"/>
              <w:bottom w:val="nil"/>
              <w:right w:val="nil"/>
            </w:tcBorders>
            <w:shd w:val="clear" w:color="000000" w:fill="auto"/>
            <w:vAlign w:val="center"/>
            <w:hideMark/>
          </w:tcPr>
          <w:p w14:paraId="7F8EF66E" w14:textId="33140110" w:rsidR="00C05C08" w:rsidRPr="005269E6" w:rsidRDefault="004F44A4" w:rsidP="004F44A4">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التكلفة في 1 يناير 2022</w:t>
            </w:r>
          </w:p>
        </w:tc>
        <w:tc>
          <w:tcPr>
            <w:tcW w:w="986" w:type="dxa"/>
            <w:tcBorders>
              <w:top w:val="nil"/>
              <w:left w:val="nil"/>
              <w:bottom w:val="nil"/>
              <w:right w:val="nil"/>
            </w:tcBorders>
            <w:shd w:val="clear" w:color="000000" w:fill="auto"/>
            <w:noWrap/>
            <w:vAlign w:val="center"/>
            <w:hideMark/>
          </w:tcPr>
          <w:p w14:paraId="2A90E28F" w14:textId="4C45D2B4" w:rsidR="00C05C08" w:rsidRPr="005269E6" w:rsidRDefault="00C05C08" w:rsidP="002E61A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126 339 </w:t>
            </w:r>
          </w:p>
        </w:tc>
        <w:tc>
          <w:tcPr>
            <w:tcW w:w="985" w:type="dxa"/>
            <w:tcBorders>
              <w:top w:val="nil"/>
              <w:left w:val="nil"/>
              <w:bottom w:val="nil"/>
              <w:right w:val="nil"/>
            </w:tcBorders>
            <w:shd w:val="clear" w:color="000000" w:fill="FFFFFF"/>
            <w:noWrap/>
            <w:vAlign w:val="center"/>
            <w:hideMark/>
          </w:tcPr>
          <w:p w14:paraId="13504086" w14:textId="2DB13343" w:rsidR="00C05C08" w:rsidRPr="005269E6" w:rsidRDefault="00C05C08" w:rsidP="002E61A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2 113 </w:t>
            </w:r>
          </w:p>
        </w:tc>
        <w:tc>
          <w:tcPr>
            <w:tcW w:w="1221" w:type="dxa"/>
            <w:tcBorders>
              <w:top w:val="nil"/>
              <w:left w:val="nil"/>
              <w:bottom w:val="nil"/>
              <w:right w:val="nil"/>
            </w:tcBorders>
            <w:shd w:val="clear" w:color="000000" w:fill="auto"/>
            <w:noWrap/>
            <w:vAlign w:val="center"/>
            <w:hideMark/>
          </w:tcPr>
          <w:p w14:paraId="08C80D7B" w14:textId="02084C16" w:rsidR="00C05C08" w:rsidRPr="005269E6" w:rsidRDefault="00C05C08" w:rsidP="002E61A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1 394 </w:t>
            </w:r>
          </w:p>
        </w:tc>
        <w:tc>
          <w:tcPr>
            <w:tcW w:w="1048" w:type="dxa"/>
            <w:tcBorders>
              <w:top w:val="nil"/>
              <w:left w:val="nil"/>
              <w:bottom w:val="nil"/>
              <w:right w:val="nil"/>
            </w:tcBorders>
            <w:shd w:val="clear" w:color="000000" w:fill="FFFFFF"/>
            <w:noWrap/>
            <w:vAlign w:val="center"/>
            <w:hideMark/>
          </w:tcPr>
          <w:p w14:paraId="7DB9CF04" w14:textId="135BAB0E" w:rsidR="00C05C08" w:rsidRPr="005269E6" w:rsidRDefault="00C05C08" w:rsidP="002E61A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8 802 </w:t>
            </w:r>
          </w:p>
        </w:tc>
        <w:tc>
          <w:tcPr>
            <w:tcW w:w="985" w:type="dxa"/>
            <w:tcBorders>
              <w:top w:val="nil"/>
              <w:left w:val="nil"/>
              <w:bottom w:val="nil"/>
              <w:right w:val="nil"/>
            </w:tcBorders>
            <w:shd w:val="clear" w:color="000000" w:fill="auto"/>
            <w:noWrap/>
            <w:vAlign w:val="center"/>
            <w:hideMark/>
          </w:tcPr>
          <w:p w14:paraId="5C47DA84" w14:textId="3EBE015E" w:rsidR="00C05C08" w:rsidRPr="005269E6" w:rsidRDefault="00C05C08" w:rsidP="002E61A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296 </w:t>
            </w:r>
          </w:p>
        </w:tc>
        <w:tc>
          <w:tcPr>
            <w:tcW w:w="1309" w:type="dxa"/>
            <w:tcBorders>
              <w:top w:val="nil"/>
              <w:left w:val="nil"/>
              <w:bottom w:val="nil"/>
              <w:right w:val="nil"/>
            </w:tcBorders>
            <w:shd w:val="clear" w:color="000000" w:fill="auto"/>
            <w:noWrap/>
            <w:vAlign w:val="center"/>
            <w:hideMark/>
          </w:tcPr>
          <w:p w14:paraId="4B96E2C7" w14:textId="1A47565B"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138 944 </w:t>
            </w:r>
          </w:p>
        </w:tc>
      </w:tr>
      <w:tr w:rsidR="00C05C08" w:rsidRPr="005269E6" w14:paraId="4849C609" w14:textId="77777777" w:rsidTr="004C39BB">
        <w:trPr>
          <w:trHeight w:val="255"/>
          <w:jc w:val="center"/>
        </w:trPr>
        <w:tc>
          <w:tcPr>
            <w:tcW w:w="3060" w:type="dxa"/>
            <w:tcBorders>
              <w:top w:val="nil"/>
              <w:left w:val="nil"/>
              <w:bottom w:val="nil"/>
              <w:right w:val="nil"/>
            </w:tcBorders>
            <w:shd w:val="clear" w:color="000000" w:fill="auto"/>
            <w:hideMark/>
          </w:tcPr>
          <w:p w14:paraId="2C157065" w14:textId="6FB02CF6" w:rsidR="00C05C08" w:rsidRPr="005269E6" w:rsidRDefault="004F44A4" w:rsidP="00C05C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w:t>
            </w:r>
            <w:r w:rsidR="00022249" w:rsidRPr="005269E6">
              <w:rPr>
                <w:rFonts w:eastAsia="Times New Roman" w:hint="cs"/>
                <w:color w:val="000000"/>
                <w:sz w:val="18"/>
                <w:szCs w:val="18"/>
                <w:rtl/>
                <w:lang w:val="en-GB" w:eastAsia="en-GB"/>
              </w:rPr>
              <w:t>لإ</w:t>
            </w:r>
            <w:r w:rsidRPr="005269E6">
              <w:rPr>
                <w:rFonts w:eastAsia="Times New Roman"/>
                <w:color w:val="000000"/>
                <w:sz w:val="18"/>
                <w:szCs w:val="18"/>
                <w:rtl/>
                <w:lang w:val="en-GB" w:eastAsia="en-GB"/>
              </w:rPr>
              <w:t>ضافات</w:t>
            </w:r>
          </w:p>
        </w:tc>
        <w:tc>
          <w:tcPr>
            <w:tcW w:w="986" w:type="dxa"/>
            <w:tcBorders>
              <w:top w:val="nil"/>
              <w:left w:val="nil"/>
              <w:bottom w:val="nil"/>
              <w:right w:val="nil"/>
            </w:tcBorders>
            <w:shd w:val="clear" w:color="000000" w:fill="auto"/>
            <w:noWrap/>
            <w:vAlign w:val="center"/>
            <w:hideMark/>
          </w:tcPr>
          <w:p w14:paraId="4D859F31" w14:textId="3DC8A76B"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6 </w:t>
            </w:r>
          </w:p>
        </w:tc>
        <w:tc>
          <w:tcPr>
            <w:tcW w:w="985" w:type="dxa"/>
            <w:tcBorders>
              <w:top w:val="nil"/>
              <w:left w:val="nil"/>
              <w:bottom w:val="nil"/>
              <w:right w:val="nil"/>
            </w:tcBorders>
            <w:shd w:val="clear" w:color="000000" w:fill="auto"/>
            <w:noWrap/>
            <w:vAlign w:val="center"/>
            <w:hideMark/>
          </w:tcPr>
          <w:p w14:paraId="1A39061A" w14:textId="55CB7CDA"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43 </w:t>
            </w:r>
          </w:p>
        </w:tc>
        <w:tc>
          <w:tcPr>
            <w:tcW w:w="1221" w:type="dxa"/>
            <w:tcBorders>
              <w:top w:val="nil"/>
              <w:left w:val="nil"/>
              <w:bottom w:val="nil"/>
              <w:right w:val="nil"/>
            </w:tcBorders>
            <w:shd w:val="clear" w:color="000000" w:fill="auto"/>
            <w:noWrap/>
            <w:vAlign w:val="center"/>
            <w:hideMark/>
          </w:tcPr>
          <w:p w14:paraId="18ABCB1F" w14:textId="7A818DE2"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10 </w:t>
            </w:r>
          </w:p>
        </w:tc>
        <w:tc>
          <w:tcPr>
            <w:tcW w:w="1048" w:type="dxa"/>
            <w:tcBorders>
              <w:top w:val="nil"/>
              <w:left w:val="nil"/>
              <w:bottom w:val="nil"/>
              <w:right w:val="nil"/>
            </w:tcBorders>
            <w:shd w:val="clear" w:color="000000" w:fill="auto"/>
            <w:noWrap/>
            <w:vAlign w:val="center"/>
            <w:hideMark/>
          </w:tcPr>
          <w:p w14:paraId="119C162B" w14:textId="572D1D5F"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224 </w:t>
            </w:r>
          </w:p>
        </w:tc>
        <w:tc>
          <w:tcPr>
            <w:tcW w:w="985" w:type="dxa"/>
            <w:tcBorders>
              <w:top w:val="nil"/>
              <w:left w:val="nil"/>
              <w:bottom w:val="nil"/>
              <w:right w:val="nil"/>
            </w:tcBorders>
            <w:shd w:val="clear" w:color="000000" w:fill="auto"/>
            <w:noWrap/>
            <w:vAlign w:val="center"/>
            <w:hideMark/>
          </w:tcPr>
          <w:p w14:paraId="2C0B220D" w14:textId="77777777" w:rsidR="00C05C08" w:rsidRPr="005269E6" w:rsidRDefault="00C05C08" w:rsidP="002E61A9">
            <w:pPr>
              <w:tabs>
                <w:tab w:val="clear" w:pos="794"/>
              </w:tabs>
              <w:spacing w:before="40" w:after="40" w:line="240" w:lineRule="exact"/>
              <w:jc w:val="left"/>
              <w:rPr>
                <w:rFonts w:eastAsia="Times New Roman"/>
                <w:sz w:val="18"/>
                <w:szCs w:val="18"/>
                <w:lang w:val="en-GB" w:eastAsia="en-GB"/>
              </w:rPr>
            </w:pPr>
          </w:p>
        </w:tc>
        <w:tc>
          <w:tcPr>
            <w:tcW w:w="1309" w:type="dxa"/>
            <w:tcBorders>
              <w:top w:val="nil"/>
              <w:left w:val="nil"/>
              <w:bottom w:val="nil"/>
              <w:right w:val="nil"/>
            </w:tcBorders>
            <w:shd w:val="clear" w:color="000000" w:fill="auto"/>
            <w:noWrap/>
            <w:vAlign w:val="center"/>
            <w:hideMark/>
          </w:tcPr>
          <w:p w14:paraId="42260991" w14:textId="78CCB287"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283 </w:t>
            </w:r>
          </w:p>
        </w:tc>
      </w:tr>
      <w:tr w:rsidR="00C05C08" w:rsidRPr="005269E6" w14:paraId="6D1B60EF" w14:textId="77777777" w:rsidTr="004C39BB">
        <w:trPr>
          <w:trHeight w:val="255"/>
          <w:jc w:val="center"/>
        </w:trPr>
        <w:tc>
          <w:tcPr>
            <w:tcW w:w="3060" w:type="dxa"/>
            <w:tcBorders>
              <w:top w:val="nil"/>
              <w:left w:val="nil"/>
              <w:bottom w:val="nil"/>
              <w:right w:val="nil"/>
            </w:tcBorders>
            <w:shd w:val="clear" w:color="000000" w:fill="auto"/>
            <w:hideMark/>
          </w:tcPr>
          <w:p w14:paraId="513F1040" w14:textId="50F492B5" w:rsidR="00C05C08" w:rsidRPr="005269E6" w:rsidRDefault="004F44A4" w:rsidP="00C05C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lastRenderedPageBreak/>
              <w:t>التخلص</w:t>
            </w:r>
          </w:p>
        </w:tc>
        <w:tc>
          <w:tcPr>
            <w:tcW w:w="986" w:type="dxa"/>
            <w:tcBorders>
              <w:top w:val="nil"/>
              <w:left w:val="nil"/>
              <w:bottom w:val="nil"/>
              <w:right w:val="nil"/>
            </w:tcBorders>
            <w:shd w:val="clear" w:color="000000" w:fill="auto"/>
            <w:noWrap/>
            <w:vAlign w:val="center"/>
            <w:hideMark/>
          </w:tcPr>
          <w:p w14:paraId="7B5F3DF0" w14:textId="77777777" w:rsidR="00C05C08" w:rsidRPr="005269E6" w:rsidRDefault="00C05C08" w:rsidP="002E61A9">
            <w:pPr>
              <w:tabs>
                <w:tab w:val="clear" w:pos="794"/>
              </w:tabs>
              <w:spacing w:before="40" w:after="40" w:line="240" w:lineRule="exact"/>
              <w:jc w:val="left"/>
              <w:rPr>
                <w:rFonts w:eastAsia="Times New Roman"/>
                <w:color w:val="000000"/>
                <w:sz w:val="18"/>
                <w:szCs w:val="18"/>
                <w:lang w:val="en-GB" w:eastAsia="en-GB"/>
              </w:rPr>
            </w:pPr>
          </w:p>
        </w:tc>
        <w:tc>
          <w:tcPr>
            <w:tcW w:w="985" w:type="dxa"/>
            <w:tcBorders>
              <w:top w:val="nil"/>
              <w:left w:val="nil"/>
              <w:bottom w:val="nil"/>
              <w:right w:val="nil"/>
            </w:tcBorders>
            <w:shd w:val="clear" w:color="000000" w:fill="auto"/>
            <w:noWrap/>
            <w:vAlign w:val="center"/>
            <w:hideMark/>
          </w:tcPr>
          <w:p w14:paraId="0FD82676" w14:textId="5FE9F042"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(760)</w:t>
            </w:r>
          </w:p>
        </w:tc>
        <w:tc>
          <w:tcPr>
            <w:tcW w:w="1221" w:type="dxa"/>
            <w:tcBorders>
              <w:top w:val="nil"/>
              <w:left w:val="nil"/>
              <w:bottom w:val="nil"/>
              <w:right w:val="nil"/>
            </w:tcBorders>
            <w:shd w:val="clear" w:color="000000" w:fill="auto"/>
            <w:noWrap/>
            <w:vAlign w:val="center"/>
            <w:hideMark/>
          </w:tcPr>
          <w:p w14:paraId="72484386" w14:textId="2CB300B3"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(41)</w:t>
            </w:r>
          </w:p>
        </w:tc>
        <w:tc>
          <w:tcPr>
            <w:tcW w:w="1048" w:type="dxa"/>
            <w:tcBorders>
              <w:top w:val="nil"/>
              <w:left w:val="nil"/>
              <w:bottom w:val="nil"/>
              <w:right w:val="nil"/>
            </w:tcBorders>
            <w:shd w:val="clear" w:color="000000" w:fill="auto"/>
            <w:noWrap/>
            <w:vAlign w:val="center"/>
            <w:hideMark/>
          </w:tcPr>
          <w:p w14:paraId="59535088" w14:textId="6A2E9C01"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(1 822)</w:t>
            </w:r>
          </w:p>
        </w:tc>
        <w:tc>
          <w:tcPr>
            <w:tcW w:w="985" w:type="dxa"/>
            <w:tcBorders>
              <w:top w:val="nil"/>
              <w:left w:val="nil"/>
              <w:bottom w:val="nil"/>
              <w:right w:val="nil"/>
            </w:tcBorders>
            <w:shd w:val="clear" w:color="000000" w:fill="auto"/>
            <w:noWrap/>
            <w:vAlign w:val="center"/>
            <w:hideMark/>
          </w:tcPr>
          <w:p w14:paraId="6C455E20" w14:textId="77777777" w:rsidR="00C05C08" w:rsidRPr="005269E6" w:rsidRDefault="00C05C08" w:rsidP="002E61A9">
            <w:pPr>
              <w:tabs>
                <w:tab w:val="clear" w:pos="794"/>
              </w:tabs>
              <w:spacing w:before="40" w:after="40" w:line="240" w:lineRule="exact"/>
              <w:jc w:val="left"/>
              <w:rPr>
                <w:rFonts w:eastAsia="Times New Roman"/>
                <w:sz w:val="18"/>
                <w:szCs w:val="18"/>
                <w:lang w:val="en-GB" w:eastAsia="en-GB"/>
              </w:rPr>
            </w:pPr>
          </w:p>
        </w:tc>
        <w:tc>
          <w:tcPr>
            <w:tcW w:w="1309" w:type="dxa"/>
            <w:tcBorders>
              <w:top w:val="nil"/>
              <w:left w:val="nil"/>
              <w:bottom w:val="nil"/>
              <w:right w:val="nil"/>
            </w:tcBorders>
            <w:shd w:val="clear" w:color="000000" w:fill="auto"/>
            <w:noWrap/>
            <w:vAlign w:val="center"/>
            <w:hideMark/>
          </w:tcPr>
          <w:p w14:paraId="3C38E0F8" w14:textId="1923CF6C"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(2 623)</w:t>
            </w:r>
          </w:p>
        </w:tc>
      </w:tr>
      <w:tr w:rsidR="00C05C08" w:rsidRPr="005269E6" w14:paraId="029F2E56" w14:textId="77777777" w:rsidTr="004C39BB">
        <w:trPr>
          <w:trHeight w:val="255"/>
          <w:jc w:val="center"/>
        </w:trPr>
        <w:tc>
          <w:tcPr>
            <w:tcW w:w="3060" w:type="dxa"/>
            <w:tcBorders>
              <w:top w:val="nil"/>
              <w:left w:val="nil"/>
              <w:bottom w:val="nil"/>
              <w:right w:val="nil"/>
            </w:tcBorders>
            <w:shd w:val="clear" w:color="000000" w:fill="auto"/>
            <w:vAlign w:val="center"/>
            <w:hideMark/>
          </w:tcPr>
          <w:p w14:paraId="4E629EAB" w14:textId="5D33D2B8" w:rsidR="00C05C08" w:rsidRPr="005269E6" w:rsidRDefault="004F44A4" w:rsidP="004F44A4">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التكلفة في 31 ديسمبر 2022</w:t>
            </w:r>
          </w:p>
        </w:tc>
        <w:tc>
          <w:tcPr>
            <w:tcW w:w="986" w:type="dxa"/>
            <w:tcBorders>
              <w:top w:val="nil"/>
              <w:left w:val="nil"/>
              <w:bottom w:val="nil"/>
              <w:right w:val="nil"/>
            </w:tcBorders>
            <w:shd w:val="clear" w:color="000000" w:fill="auto"/>
            <w:noWrap/>
            <w:vAlign w:val="center"/>
            <w:hideMark/>
          </w:tcPr>
          <w:p w14:paraId="386DEB0D" w14:textId="0DD91BC8"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126 345 </w:t>
            </w:r>
          </w:p>
        </w:tc>
        <w:tc>
          <w:tcPr>
            <w:tcW w:w="985" w:type="dxa"/>
            <w:tcBorders>
              <w:top w:val="nil"/>
              <w:left w:val="nil"/>
              <w:bottom w:val="nil"/>
              <w:right w:val="nil"/>
            </w:tcBorders>
            <w:shd w:val="clear" w:color="000000" w:fill="auto"/>
            <w:noWrap/>
            <w:vAlign w:val="center"/>
            <w:hideMark/>
          </w:tcPr>
          <w:p w14:paraId="6BDF1EE5" w14:textId="5D0B8E50"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1 396 </w:t>
            </w:r>
          </w:p>
        </w:tc>
        <w:tc>
          <w:tcPr>
            <w:tcW w:w="1221" w:type="dxa"/>
            <w:tcBorders>
              <w:top w:val="nil"/>
              <w:left w:val="nil"/>
              <w:bottom w:val="nil"/>
              <w:right w:val="nil"/>
            </w:tcBorders>
            <w:shd w:val="clear" w:color="000000" w:fill="auto"/>
            <w:noWrap/>
            <w:vAlign w:val="center"/>
            <w:hideMark/>
          </w:tcPr>
          <w:p w14:paraId="69B13AD7" w14:textId="1F5F77EB"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1 363 </w:t>
            </w:r>
          </w:p>
        </w:tc>
        <w:tc>
          <w:tcPr>
            <w:tcW w:w="1048" w:type="dxa"/>
            <w:tcBorders>
              <w:top w:val="nil"/>
              <w:left w:val="nil"/>
              <w:bottom w:val="nil"/>
              <w:right w:val="nil"/>
            </w:tcBorders>
            <w:shd w:val="clear" w:color="000000" w:fill="auto"/>
            <w:noWrap/>
            <w:vAlign w:val="center"/>
            <w:hideMark/>
          </w:tcPr>
          <w:p w14:paraId="4F2B297D" w14:textId="2C883895"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7 204 </w:t>
            </w:r>
          </w:p>
        </w:tc>
        <w:tc>
          <w:tcPr>
            <w:tcW w:w="985" w:type="dxa"/>
            <w:tcBorders>
              <w:top w:val="nil"/>
              <w:left w:val="nil"/>
              <w:bottom w:val="nil"/>
              <w:right w:val="nil"/>
            </w:tcBorders>
            <w:shd w:val="clear" w:color="000000" w:fill="auto"/>
            <w:noWrap/>
            <w:vAlign w:val="center"/>
            <w:hideMark/>
          </w:tcPr>
          <w:p w14:paraId="45E38304" w14:textId="00EF672D"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296 </w:t>
            </w:r>
          </w:p>
        </w:tc>
        <w:tc>
          <w:tcPr>
            <w:tcW w:w="1309" w:type="dxa"/>
            <w:tcBorders>
              <w:top w:val="nil"/>
              <w:left w:val="nil"/>
              <w:bottom w:val="nil"/>
              <w:right w:val="nil"/>
            </w:tcBorders>
            <w:shd w:val="clear" w:color="000000" w:fill="auto"/>
            <w:noWrap/>
            <w:vAlign w:val="center"/>
            <w:hideMark/>
          </w:tcPr>
          <w:p w14:paraId="44260BCA" w14:textId="7B55E1EA"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136 604 </w:t>
            </w:r>
          </w:p>
        </w:tc>
      </w:tr>
      <w:tr w:rsidR="00C05C08" w:rsidRPr="005269E6" w14:paraId="07151916" w14:textId="77777777" w:rsidTr="004C39BB">
        <w:trPr>
          <w:trHeight w:val="255"/>
          <w:jc w:val="center"/>
        </w:trPr>
        <w:tc>
          <w:tcPr>
            <w:tcW w:w="3060" w:type="dxa"/>
            <w:tcBorders>
              <w:top w:val="nil"/>
              <w:left w:val="nil"/>
              <w:bottom w:val="nil"/>
              <w:right w:val="nil"/>
            </w:tcBorders>
            <w:shd w:val="clear" w:color="000000" w:fill="auto"/>
            <w:vAlign w:val="center"/>
            <w:hideMark/>
          </w:tcPr>
          <w:p w14:paraId="2FC14693" w14:textId="77777777" w:rsidR="00C05C08" w:rsidRPr="005269E6" w:rsidRDefault="00C05C08" w:rsidP="00C05C08">
            <w:pPr>
              <w:tabs>
                <w:tab w:val="clear" w:pos="794"/>
              </w:tabs>
              <w:spacing w:before="0" w:line="200" w:lineRule="exact"/>
              <w:jc w:val="center"/>
              <w:rPr>
                <w:rFonts w:eastAsia="Times New Roman"/>
                <w:b/>
                <w:bCs/>
                <w:color w:val="000000"/>
                <w:sz w:val="18"/>
                <w:szCs w:val="18"/>
                <w:lang w:val="en-GB" w:eastAsia="en-GB"/>
              </w:rPr>
            </w:pPr>
          </w:p>
        </w:tc>
        <w:tc>
          <w:tcPr>
            <w:tcW w:w="986" w:type="dxa"/>
            <w:tcBorders>
              <w:top w:val="nil"/>
              <w:left w:val="nil"/>
              <w:bottom w:val="nil"/>
              <w:right w:val="nil"/>
            </w:tcBorders>
            <w:shd w:val="clear" w:color="000000" w:fill="auto"/>
            <w:noWrap/>
            <w:vAlign w:val="center"/>
            <w:hideMark/>
          </w:tcPr>
          <w:p w14:paraId="24BD4B20"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985" w:type="dxa"/>
            <w:tcBorders>
              <w:top w:val="nil"/>
              <w:left w:val="nil"/>
              <w:bottom w:val="nil"/>
              <w:right w:val="nil"/>
            </w:tcBorders>
            <w:shd w:val="clear" w:color="000000" w:fill="auto"/>
            <w:noWrap/>
            <w:vAlign w:val="center"/>
            <w:hideMark/>
          </w:tcPr>
          <w:p w14:paraId="0CF7CD51"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1221" w:type="dxa"/>
            <w:tcBorders>
              <w:top w:val="nil"/>
              <w:left w:val="nil"/>
              <w:bottom w:val="nil"/>
              <w:right w:val="nil"/>
            </w:tcBorders>
            <w:shd w:val="clear" w:color="000000" w:fill="auto"/>
            <w:noWrap/>
            <w:vAlign w:val="center"/>
            <w:hideMark/>
          </w:tcPr>
          <w:p w14:paraId="198C42DE"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1048" w:type="dxa"/>
            <w:tcBorders>
              <w:top w:val="nil"/>
              <w:left w:val="nil"/>
              <w:bottom w:val="nil"/>
              <w:right w:val="nil"/>
            </w:tcBorders>
            <w:shd w:val="clear" w:color="000000" w:fill="auto"/>
            <w:noWrap/>
            <w:vAlign w:val="center"/>
            <w:hideMark/>
          </w:tcPr>
          <w:p w14:paraId="34EDF918"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985" w:type="dxa"/>
            <w:tcBorders>
              <w:top w:val="nil"/>
              <w:left w:val="nil"/>
              <w:bottom w:val="nil"/>
              <w:right w:val="nil"/>
            </w:tcBorders>
            <w:shd w:val="clear" w:color="000000" w:fill="auto"/>
            <w:noWrap/>
            <w:vAlign w:val="center"/>
            <w:hideMark/>
          </w:tcPr>
          <w:p w14:paraId="2879DB45"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1309" w:type="dxa"/>
            <w:tcBorders>
              <w:top w:val="nil"/>
              <w:left w:val="nil"/>
              <w:bottom w:val="nil"/>
              <w:right w:val="nil"/>
            </w:tcBorders>
            <w:shd w:val="clear" w:color="000000" w:fill="auto"/>
            <w:noWrap/>
            <w:vAlign w:val="center"/>
            <w:hideMark/>
          </w:tcPr>
          <w:p w14:paraId="65DDBFD4"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r>
      <w:tr w:rsidR="00C05C08" w:rsidRPr="005269E6" w14:paraId="4672FCA2" w14:textId="77777777" w:rsidTr="004C39BB">
        <w:trPr>
          <w:trHeight w:val="510"/>
          <w:jc w:val="center"/>
        </w:trPr>
        <w:tc>
          <w:tcPr>
            <w:tcW w:w="3060" w:type="dxa"/>
            <w:tcBorders>
              <w:top w:val="nil"/>
              <w:left w:val="nil"/>
              <w:bottom w:val="nil"/>
              <w:right w:val="nil"/>
            </w:tcBorders>
            <w:shd w:val="clear" w:color="000000" w:fill="auto"/>
            <w:vAlign w:val="center"/>
            <w:hideMark/>
          </w:tcPr>
          <w:p w14:paraId="4F701824" w14:textId="19319F76" w:rsidR="00C05C08" w:rsidRPr="005269E6" w:rsidRDefault="004F44A4" w:rsidP="004F44A4">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الاستهلاك المتراكم في 1 يناير 2022</w:t>
            </w:r>
          </w:p>
        </w:tc>
        <w:tc>
          <w:tcPr>
            <w:tcW w:w="986" w:type="dxa"/>
            <w:tcBorders>
              <w:top w:val="nil"/>
              <w:left w:val="nil"/>
              <w:bottom w:val="nil"/>
              <w:right w:val="nil"/>
            </w:tcBorders>
            <w:shd w:val="clear" w:color="000000" w:fill="auto"/>
            <w:noWrap/>
            <w:vAlign w:val="center"/>
            <w:hideMark/>
          </w:tcPr>
          <w:p w14:paraId="1A5AEAEE" w14:textId="28C8D388"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56 113 </w:t>
            </w:r>
          </w:p>
        </w:tc>
        <w:tc>
          <w:tcPr>
            <w:tcW w:w="985" w:type="dxa"/>
            <w:tcBorders>
              <w:top w:val="nil"/>
              <w:left w:val="nil"/>
              <w:bottom w:val="nil"/>
              <w:right w:val="nil"/>
            </w:tcBorders>
            <w:shd w:val="clear" w:color="000000" w:fill="auto"/>
            <w:noWrap/>
            <w:vAlign w:val="center"/>
            <w:hideMark/>
          </w:tcPr>
          <w:p w14:paraId="2CF37BBD" w14:textId="3B67E1A5"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1 989 </w:t>
            </w:r>
          </w:p>
        </w:tc>
        <w:tc>
          <w:tcPr>
            <w:tcW w:w="1221" w:type="dxa"/>
            <w:tcBorders>
              <w:top w:val="nil"/>
              <w:left w:val="nil"/>
              <w:bottom w:val="nil"/>
              <w:right w:val="nil"/>
            </w:tcBorders>
            <w:shd w:val="clear" w:color="000000" w:fill="auto"/>
            <w:noWrap/>
            <w:vAlign w:val="center"/>
            <w:hideMark/>
          </w:tcPr>
          <w:p w14:paraId="13DEBBE2" w14:textId="1B485D99"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1 361 </w:t>
            </w:r>
          </w:p>
        </w:tc>
        <w:tc>
          <w:tcPr>
            <w:tcW w:w="1048" w:type="dxa"/>
            <w:tcBorders>
              <w:top w:val="nil"/>
              <w:left w:val="nil"/>
              <w:bottom w:val="nil"/>
              <w:right w:val="nil"/>
            </w:tcBorders>
            <w:shd w:val="clear" w:color="000000" w:fill="auto"/>
            <w:noWrap/>
            <w:vAlign w:val="center"/>
            <w:hideMark/>
          </w:tcPr>
          <w:p w14:paraId="62DA85BF" w14:textId="423B6437"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7 574 </w:t>
            </w:r>
          </w:p>
        </w:tc>
        <w:tc>
          <w:tcPr>
            <w:tcW w:w="985" w:type="dxa"/>
            <w:tcBorders>
              <w:top w:val="nil"/>
              <w:left w:val="nil"/>
              <w:bottom w:val="nil"/>
              <w:right w:val="nil"/>
            </w:tcBorders>
            <w:shd w:val="clear" w:color="000000" w:fill="auto"/>
            <w:noWrap/>
            <w:vAlign w:val="center"/>
            <w:hideMark/>
          </w:tcPr>
          <w:p w14:paraId="7449D683" w14:textId="7B805D35"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236 </w:t>
            </w:r>
          </w:p>
        </w:tc>
        <w:tc>
          <w:tcPr>
            <w:tcW w:w="1309" w:type="dxa"/>
            <w:tcBorders>
              <w:top w:val="nil"/>
              <w:left w:val="nil"/>
              <w:bottom w:val="nil"/>
              <w:right w:val="nil"/>
            </w:tcBorders>
            <w:shd w:val="clear" w:color="000000" w:fill="auto"/>
            <w:noWrap/>
            <w:vAlign w:val="center"/>
            <w:hideMark/>
          </w:tcPr>
          <w:p w14:paraId="4FB74F88" w14:textId="0684A22F"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67 273 </w:t>
            </w:r>
          </w:p>
        </w:tc>
      </w:tr>
      <w:tr w:rsidR="00C05C08" w:rsidRPr="005269E6" w14:paraId="6FEB1B3A" w14:textId="77777777" w:rsidTr="004C39BB">
        <w:trPr>
          <w:trHeight w:val="255"/>
          <w:jc w:val="center"/>
        </w:trPr>
        <w:tc>
          <w:tcPr>
            <w:tcW w:w="3060" w:type="dxa"/>
            <w:tcBorders>
              <w:top w:val="nil"/>
              <w:left w:val="nil"/>
              <w:bottom w:val="nil"/>
              <w:right w:val="nil"/>
            </w:tcBorders>
            <w:shd w:val="clear" w:color="000000" w:fill="auto"/>
            <w:vAlign w:val="center"/>
            <w:hideMark/>
          </w:tcPr>
          <w:p w14:paraId="44529FBA" w14:textId="77777777" w:rsidR="00C05C08" w:rsidRPr="005269E6" w:rsidRDefault="00C05C08" w:rsidP="00C05C08">
            <w:pPr>
              <w:tabs>
                <w:tab w:val="clear" w:pos="794"/>
              </w:tabs>
              <w:spacing w:before="0" w:line="200" w:lineRule="exact"/>
              <w:jc w:val="center"/>
              <w:rPr>
                <w:rFonts w:eastAsia="Times New Roman"/>
                <w:b/>
                <w:bCs/>
                <w:color w:val="000000"/>
                <w:sz w:val="18"/>
                <w:szCs w:val="18"/>
                <w:lang w:val="en-GB" w:eastAsia="en-GB"/>
              </w:rPr>
            </w:pPr>
          </w:p>
        </w:tc>
        <w:tc>
          <w:tcPr>
            <w:tcW w:w="986" w:type="dxa"/>
            <w:tcBorders>
              <w:top w:val="nil"/>
              <w:left w:val="nil"/>
              <w:bottom w:val="nil"/>
              <w:right w:val="nil"/>
            </w:tcBorders>
            <w:shd w:val="clear" w:color="000000" w:fill="auto"/>
            <w:noWrap/>
            <w:vAlign w:val="center"/>
            <w:hideMark/>
          </w:tcPr>
          <w:p w14:paraId="30C68A59"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985" w:type="dxa"/>
            <w:tcBorders>
              <w:top w:val="nil"/>
              <w:left w:val="nil"/>
              <w:bottom w:val="nil"/>
              <w:right w:val="nil"/>
            </w:tcBorders>
            <w:shd w:val="clear" w:color="000000" w:fill="auto"/>
            <w:noWrap/>
            <w:vAlign w:val="center"/>
            <w:hideMark/>
          </w:tcPr>
          <w:p w14:paraId="4BB641C3"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1221" w:type="dxa"/>
            <w:tcBorders>
              <w:top w:val="nil"/>
              <w:left w:val="nil"/>
              <w:bottom w:val="nil"/>
              <w:right w:val="nil"/>
            </w:tcBorders>
            <w:shd w:val="clear" w:color="000000" w:fill="auto"/>
            <w:noWrap/>
            <w:vAlign w:val="center"/>
            <w:hideMark/>
          </w:tcPr>
          <w:p w14:paraId="2A05AFFB"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1048" w:type="dxa"/>
            <w:tcBorders>
              <w:top w:val="nil"/>
              <w:left w:val="nil"/>
              <w:bottom w:val="nil"/>
              <w:right w:val="nil"/>
            </w:tcBorders>
            <w:shd w:val="clear" w:color="000000" w:fill="auto"/>
            <w:noWrap/>
            <w:vAlign w:val="center"/>
            <w:hideMark/>
          </w:tcPr>
          <w:p w14:paraId="373CF75E"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985" w:type="dxa"/>
            <w:tcBorders>
              <w:top w:val="nil"/>
              <w:left w:val="nil"/>
              <w:bottom w:val="nil"/>
              <w:right w:val="nil"/>
            </w:tcBorders>
            <w:shd w:val="clear" w:color="000000" w:fill="auto"/>
            <w:noWrap/>
            <w:vAlign w:val="center"/>
            <w:hideMark/>
          </w:tcPr>
          <w:p w14:paraId="38EA9A0E"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1309" w:type="dxa"/>
            <w:tcBorders>
              <w:top w:val="nil"/>
              <w:left w:val="nil"/>
              <w:bottom w:val="nil"/>
              <w:right w:val="nil"/>
            </w:tcBorders>
            <w:shd w:val="clear" w:color="000000" w:fill="auto"/>
            <w:noWrap/>
            <w:vAlign w:val="center"/>
            <w:hideMark/>
          </w:tcPr>
          <w:p w14:paraId="1B24DAD0"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r>
      <w:tr w:rsidR="00C05C08" w:rsidRPr="005269E6" w14:paraId="348AD0BB" w14:textId="77777777" w:rsidTr="004C39BB">
        <w:trPr>
          <w:trHeight w:val="255"/>
          <w:jc w:val="center"/>
        </w:trPr>
        <w:tc>
          <w:tcPr>
            <w:tcW w:w="3060" w:type="dxa"/>
            <w:tcBorders>
              <w:top w:val="nil"/>
              <w:left w:val="nil"/>
              <w:bottom w:val="nil"/>
              <w:right w:val="nil"/>
            </w:tcBorders>
            <w:shd w:val="clear" w:color="000000" w:fill="auto"/>
            <w:hideMark/>
          </w:tcPr>
          <w:p w14:paraId="29806CB8" w14:textId="1E3DF4C4" w:rsidR="00C05C08" w:rsidRPr="005269E6" w:rsidRDefault="004F44A4" w:rsidP="00C05C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المثبَّت خلال العام</w:t>
            </w:r>
          </w:p>
        </w:tc>
        <w:tc>
          <w:tcPr>
            <w:tcW w:w="986" w:type="dxa"/>
            <w:tcBorders>
              <w:top w:val="nil"/>
              <w:left w:val="nil"/>
              <w:bottom w:val="nil"/>
              <w:right w:val="nil"/>
            </w:tcBorders>
            <w:shd w:val="clear" w:color="000000" w:fill="auto"/>
            <w:noWrap/>
            <w:vAlign w:val="center"/>
            <w:hideMark/>
          </w:tcPr>
          <w:p w14:paraId="3ED79101" w14:textId="294E9627"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7 809 </w:t>
            </w:r>
          </w:p>
        </w:tc>
        <w:tc>
          <w:tcPr>
            <w:tcW w:w="985" w:type="dxa"/>
            <w:tcBorders>
              <w:top w:val="nil"/>
              <w:left w:val="nil"/>
              <w:bottom w:val="nil"/>
              <w:right w:val="nil"/>
            </w:tcBorders>
            <w:shd w:val="clear" w:color="000000" w:fill="auto"/>
            <w:noWrap/>
            <w:vAlign w:val="center"/>
            <w:hideMark/>
          </w:tcPr>
          <w:p w14:paraId="6EE2BC1C" w14:textId="46E32F08"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41 </w:t>
            </w:r>
          </w:p>
        </w:tc>
        <w:tc>
          <w:tcPr>
            <w:tcW w:w="1221" w:type="dxa"/>
            <w:tcBorders>
              <w:top w:val="nil"/>
              <w:left w:val="nil"/>
              <w:bottom w:val="nil"/>
              <w:right w:val="nil"/>
            </w:tcBorders>
            <w:shd w:val="clear" w:color="000000" w:fill="auto"/>
            <w:noWrap/>
            <w:vAlign w:val="center"/>
            <w:hideMark/>
          </w:tcPr>
          <w:p w14:paraId="0B577BD5" w14:textId="14903015"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21 </w:t>
            </w:r>
          </w:p>
        </w:tc>
        <w:tc>
          <w:tcPr>
            <w:tcW w:w="1048" w:type="dxa"/>
            <w:tcBorders>
              <w:top w:val="nil"/>
              <w:left w:val="nil"/>
              <w:bottom w:val="nil"/>
              <w:right w:val="nil"/>
            </w:tcBorders>
            <w:shd w:val="clear" w:color="000000" w:fill="auto"/>
            <w:noWrap/>
            <w:vAlign w:val="center"/>
            <w:hideMark/>
          </w:tcPr>
          <w:p w14:paraId="36363F05" w14:textId="7A9157DD"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652 </w:t>
            </w:r>
          </w:p>
        </w:tc>
        <w:tc>
          <w:tcPr>
            <w:tcW w:w="985" w:type="dxa"/>
            <w:tcBorders>
              <w:top w:val="nil"/>
              <w:left w:val="nil"/>
              <w:bottom w:val="nil"/>
              <w:right w:val="nil"/>
            </w:tcBorders>
            <w:shd w:val="clear" w:color="000000" w:fill="auto"/>
            <w:noWrap/>
            <w:vAlign w:val="center"/>
            <w:hideMark/>
          </w:tcPr>
          <w:p w14:paraId="5A1C75D6" w14:textId="34E4A901" w:rsidR="00C05C08" w:rsidRPr="005269E6" w:rsidRDefault="00C05C08" w:rsidP="002E61A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19 </w:t>
            </w:r>
          </w:p>
        </w:tc>
        <w:tc>
          <w:tcPr>
            <w:tcW w:w="1309" w:type="dxa"/>
            <w:tcBorders>
              <w:top w:val="nil"/>
              <w:left w:val="nil"/>
              <w:bottom w:val="nil"/>
              <w:right w:val="nil"/>
            </w:tcBorders>
            <w:shd w:val="clear" w:color="000000" w:fill="auto"/>
            <w:noWrap/>
            <w:vAlign w:val="center"/>
            <w:hideMark/>
          </w:tcPr>
          <w:p w14:paraId="10E1767A" w14:textId="43345E9C"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8 542 </w:t>
            </w:r>
          </w:p>
        </w:tc>
      </w:tr>
      <w:tr w:rsidR="00C05C08" w:rsidRPr="005269E6" w14:paraId="117F53B4" w14:textId="77777777" w:rsidTr="004C39BB">
        <w:trPr>
          <w:trHeight w:val="255"/>
          <w:jc w:val="center"/>
        </w:trPr>
        <w:tc>
          <w:tcPr>
            <w:tcW w:w="3060" w:type="dxa"/>
            <w:tcBorders>
              <w:top w:val="nil"/>
              <w:left w:val="nil"/>
              <w:bottom w:val="nil"/>
              <w:right w:val="nil"/>
            </w:tcBorders>
            <w:shd w:val="clear" w:color="000000" w:fill="auto"/>
            <w:hideMark/>
          </w:tcPr>
          <w:p w14:paraId="4C76686E" w14:textId="3194A7F2" w:rsidR="00C05C08" w:rsidRPr="005269E6" w:rsidRDefault="004F44A4" w:rsidP="00C05C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التخلص</w:t>
            </w:r>
          </w:p>
        </w:tc>
        <w:tc>
          <w:tcPr>
            <w:tcW w:w="986" w:type="dxa"/>
            <w:tcBorders>
              <w:top w:val="nil"/>
              <w:left w:val="nil"/>
              <w:bottom w:val="nil"/>
              <w:right w:val="nil"/>
            </w:tcBorders>
            <w:shd w:val="clear" w:color="000000" w:fill="auto"/>
            <w:noWrap/>
            <w:vAlign w:val="center"/>
            <w:hideMark/>
          </w:tcPr>
          <w:p w14:paraId="75911D46" w14:textId="77777777" w:rsidR="00C05C08" w:rsidRPr="005269E6" w:rsidRDefault="00C05C08" w:rsidP="002E61A9">
            <w:pPr>
              <w:tabs>
                <w:tab w:val="clear" w:pos="794"/>
              </w:tabs>
              <w:spacing w:before="40" w:after="40" w:line="240" w:lineRule="exact"/>
              <w:jc w:val="left"/>
              <w:rPr>
                <w:rFonts w:eastAsia="Times New Roman"/>
                <w:color w:val="000000"/>
                <w:sz w:val="18"/>
                <w:szCs w:val="18"/>
                <w:lang w:val="en-GB" w:eastAsia="en-GB"/>
              </w:rPr>
            </w:pPr>
          </w:p>
        </w:tc>
        <w:tc>
          <w:tcPr>
            <w:tcW w:w="985" w:type="dxa"/>
            <w:tcBorders>
              <w:top w:val="nil"/>
              <w:left w:val="nil"/>
              <w:bottom w:val="nil"/>
              <w:right w:val="nil"/>
            </w:tcBorders>
            <w:shd w:val="clear" w:color="000000" w:fill="auto"/>
            <w:noWrap/>
            <w:vAlign w:val="center"/>
            <w:hideMark/>
          </w:tcPr>
          <w:p w14:paraId="5B1CF40C" w14:textId="4B1E58F1"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(760)</w:t>
            </w:r>
          </w:p>
        </w:tc>
        <w:tc>
          <w:tcPr>
            <w:tcW w:w="1221" w:type="dxa"/>
            <w:tcBorders>
              <w:top w:val="nil"/>
              <w:left w:val="nil"/>
              <w:bottom w:val="nil"/>
              <w:right w:val="nil"/>
            </w:tcBorders>
            <w:shd w:val="clear" w:color="000000" w:fill="auto"/>
            <w:noWrap/>
            <w:vAlign w:val="center"/>
            <w:hideMark/>
          </w:tcPr>
          <w:p w14:paraId="00CB66AD" w14:textId="66470052"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(41)</w:t>
            </w:r>
          </w:p>
        </w:tc>
        <w:tc>
          <w:tcPr>
            <w:tcW w:w="1048" w:type="dxa"/>
            <w:tcBorders>
              <w:top w:val="nil"/>
              <w:left w:val="nil"/>
              <w:bottom w:val="nil"/>
              <w:right w:val="nil"/>
            </w:tcBorders>
            <w:shd w:val="clear" w:color="000000" w:fill="auto"/>
            <w:noWrap/>
            <w:vAlign w:val="center"/>
            <w:hideMark/>
          </w:tcPr>
          <w:p w14:paraId="162EA70F" w14:textId="4CE443C6" w:rsidR="00C05C08" w:rsidRPr="005269E6" w:rsidRDefault="00C05C08" w:rsidP="002E61A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(1 822)</w:t>
            </w:r>
          </w:p>
        </w:tc>
        <w:tc>
          <w:tcPr>
            <w:tcW w:w="985" w:type="dxa"/>
            <w:tcBorders>
              <w:top w:val="nil"/>
              <w:left w:val="nil"/>
              <w:bottom w:val="nil"/>
              <w:right w:val="nil"/>
            </w:tcBorders>
            <w:shd w:val="clear" w:color="000000" w:fill="auto"/>
            <w:noWrap/>
            <w:vAlign w:val="center"/>
            <w:hideMark/>
          </w:tcPr>
          <w:p w14:paraId="16CBA45F" w14:textId="77777777" w:rsidR="00C05C08" w:rsidRPr="005269E6" w:rsidRDefault="00C05C08" w:rsidP="002E61A9">
            <w:pPr>
              <w:tabs>
                <w:tab w:val="clear" w:pos="794"/>
              </w:tabs>
              <w:spacing w:before="40" w:after="40" w:line="240" w:lineRule="exact"/>
              <w:jc w:val="left"/>
              <w:rPr>
                <w:rFonts w:eastAsia="Times New Roman"/>
                <w:sz w:val="18"/>
                <w:szCs w:val="18"/>
                <w:lang w:val="en-GB" w:eastAsia="en-GB"/>
              </w:rPr>
            </w:pPr>
          </w:p>
        </w:tc>
        <w:tc>
          <w:tcPr>
            <w:tcW w:w="1309" w:type="dxa"/>
            <w:tcBorders>
              <w:top w:val="nil"/>
              <w:left w:val="nil"/>
              <w:bottom w:val="nil"/>
              <w:right w:val="nil"/>
            </w:tcBorders>
            <w:shd w:val="clear" w:color="000000" w:fill="auto"/>
            <w:noWrap/>
            <w:vAlign w:val="center"/>
            <w:hideMark/>
          </w:tcPr>
          <w:p w14:paraId="1D6D9F27" w14:textId="6C08D1AD"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(2 623)</w:t>
            </w:r>
          </w:p>
        </w:tc>
      </w:tr>
      <w:tr w:rsidR="00C05C08" w:rsidRPr="005269E6" w14:paraId="3E3E671D" w14:textId="77777777" w:rsidTr="004C39BB">
        <w:trPr>
          <w:trHeight w:val="510"/>
          <w:jc w:val="center"/>
        </w:trPr>
        <w:tc>
          <w:tcPr>
            <w:tcW w:w="3060" w:type="dxa"/>
            <w:tcBorders>
              <w:top w:val="nil"/>
              <w:left w:val="nil"/>
              <w:bottom w:val="nil"/>
              <w:right w:val="nil"/>
            </w:tcBorders>
            <w:shd w:val="clear" w:color="000000" w:fill="auto"/>
            <w:vAlign w:val="center"/>
            <w:hideMark/>
          </w:tcPr>
          <w:p w14:paraId="5CBAE8E2" w14:textId="4F97F4A8" w:rsidR="00C05C08" w:rsidRPr="005269E6" w:rsidRDefault="004F44A4" w:rsidP="004F44A4">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الاستهلاك المتراكم في 31 ديسمبر 2022</w:t>
            </w:r>
          </w:p>
        </w:tc>
        <w:tc>
          <w:tcPr>
            <w:tcW w:w="986" w:type="dxa"/>
            <w:tcBorders>
              <w:top w:val="nil"/>
              <w:left w:val="nil"/>
              <w:bottom w:val="nil"/>
              <w:right w:val="nil"/>
            </w:tcBorders>
            <w:shd w:val="clear" w:color="000000" w:fill="auto"/>
            <w:noWrap/>
            <w:vAlign w:val="center"/>
            <w:hideMark/>
          </w:tcPr>
          <w:p w14:paraId="0985090C" w14:textId="2960D661"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63 922 </w:t>
            </w:r>
          </w:p>
        </w:tc>
        <w:tc>
          <w:tcPr>
            <w:tcW w:w="985" w:type="dxa"/>
            <w:tcBorders>
              <w:top w:val="nil"/>
              <w:left w:val="nil"/>
              <w:bottom w:val="nil"/>
              <w:right w:val="nil"/>
            </w:tcBorders>
            <w:shd w:val="clear" w:color="000000" w:fill="auto"/>
            <w:noWrap/>
            <w:vAlign w:val="center"/>
            <w:hideMark/>
          </w:tcPr>
          <w:p w14:paraId="4FB8D28C" w14:textId="030D1CE3"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1 270 </w:t>
            </w:r>
          </w:p>
        </w:tc>
        <w:tc>
          <w:tcPr>
            <w:tcW w:w="1221" w:type="dxa"/>
            <w:tcBorders>
              <w:top w:val="nil"/>
              <w:left w:val="nil"/>
              <w:bottom w:val="nil"/>
              <w:right w:val="nil"/>
            </w:tcBorders>
            <w:shd w:val="clear" w:color="000000" w:fill="auto"/>
            <w:noWrap/>
            <w:vAlign w:val="center"/>
            <w:hideMark/>
          </w:tcPr>
          <w:p w14:paraId="00721FC0" w14:textId="2919D52E"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1 341 </w:t>
            </w:r>
          </w:p>
        </w:tc>
        <w:tc>
          <w:tcPr>
            <w:tcW w:w="1048" w:type="dxa"/>
            <w:tcBorders>
              <w:top w:val="nil"/>
              <w:left w:val="nil"/>
              <w:bottom w:val="nil"/>
              <w:right w:val="nil"/>
            </w:tcBorders>
            <w:shd w:val="clear" w:color="000000" w:fill="auto"/>
            <w:noWrap/>
            <w:vAlign w:val="center"/>
            <w:hideMark/>
          </w:tcPr>
          <w:p w14:paraId="3538C8E4" w14:textId="5F141FB3"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6 404 </w:t>
            </w:r>
          </w:p>
        </w:tc>
        <w:tc>
          <w:tcPr>
            <w:tcW w:w="985" w:type="dxa"/>
            <w:tcBorders>
              <w:top w:val="nil"/>
              <w:left w:val="nil"/>
              <w:bottom w:val="nil"/>
              <w:right w:val="nil"/>
            </w:tcBorders>
            <w:shd w:val="clear" w:color="000000" w:fill="auto"/>
            <w:noWrap/>
            <w:vAlign w:val="center"/>
            <w:hideMark/>
          </w:tcPr>
          <w:p w14:paraId="5E7F98E3" w14:textId="22110CA4"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255 </w:t>
            </w:r>
          </w:p>
        </w:tc>
        <w:tc>
          <w:tcPr>
            <w:tcW w:w="1309" w:type="dxa"/>
            <w:tcBorders>
              <w:top w:val="nil"/>
              <w:left w:val="nil"/>
              <w:bottom w:val="nil"/>
              <w:right w:val="nil"/>
            </w:tcBorders>
            <w:shd w:val="clear" w:color="000000" w:fill="auto"/>
            <w:noWrap/>
            <w:vAlign w:val="center"/>
            <w:hideMark/>
          </w:tcPr>
          <w:p w14:paraId="60191B6F" w14:textId="031EB7AA"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73 192 </w:t>
            </w:r>
          </w:p>
        </w:tc>
      </w:tr>
      <w:tr w:rsidR="00C05C08" w:rsidRPr="005269E6" w14:paraId="70FD72A5" w14:textId="77777777" w:rsidTr="004C39BB">
        <w:trPr>
          <w:trHeight w:val="255"/>
          <w:jc w:val="center"/>
        </w:trPr>
        <w:tc>
          <w:tcPr>
            <w:tcW w:w="3060" w:type="dxa"/>
            <w:tcBorders>
              <w:top w:val="nil"/>
              <w:left w:val="nil"/>
              <w:bottom w:val="nil"/>
              <w:right w:val="nil"/>
            </w:tcBorders>
            <w:shd w:val="clear" w:color="000000" w:fill="auto"/>
            <w:vAlign w:val="center"/>
            <w:hideMark/>
          </w:tcPr>
          <w:p w14:paraId="7B068BB0" w14:textId="77777777" w:rsidR="00C05C08" w:rsidRPr="005269E6" w:rsidRDefault="00C05C08" w:rsidP="00C05C08">
            <w:pPr>
              <w:tabs>
                <w:tab w:val="clear" w:pos="794"/>
              </w:tabs>
              <w:spacing w:before="0" w:line="200" w:lineRule="exact"/>
              <w:jc w:val="center"/>
              <w:rPr>
                <w:rFonts w:eastAsia="Times New Roman"/>
                <w:b/>
                <w:bCs/>
                <w:color w:val="000000"/>
                <w:sz w:val="18"/>
                <w:szCs w:val="18"/>
                <w:lang w:val="en-GB" w:eastAsia="en-GB"/>
              </w:rPr>
            </w:pPr>
          </w:p>
        </w:tc>
        <w:tc>
          <w:tcPr>
            <w:tcW w:w="986" w:type="dxa"/>
            <w:tcBorders>
              <w:top w:val="nil"/>
              <w:left w:val="nil"/>
              <w:bottom w:val="nil"/>
              <w:right w:val="nil"/>
            </w:tcBorders>
            <w:shd w:val="clear" w:color="000000" w:fill="auto"/>
            <w:noWrap/>
            <w:vAlign w:val="center"/>
            <w:hideMark/>
          </w:tcPr>
          <w:p w14:paraId="4529DC11"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985" w:type="dxa"/>
            <w:tcBorders>
              <w:top w:val="nil"/>
              <w:left w:val="nil"/>
              <w:bottom w:val="nil"/>
              <w:right w:val="nil"/>
            </w:tcBorders>
            <w:shd w:val="clear" w:color="000000" w:fill="auto"/>
            <w:noWrap/>
            <w:vAlign w:val="center"/>
            <w:hideMark/>
          </w:tcPr>
          <w:p w14:paraId="71EC5F33"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1221" w:type="dxa"/>
            <w:tcBorders>
              <w:top w:val="nil"/>
              <w:left w:val="nil"/>
              <w:bottom w:val="nil"/>
              <w:right w:val="nil"/>
            </w:tcBorders>
            <w:shd w:val="clear" w:color="000000" w:fill="auto"/>
            <w:noWrap/>
            <w:vAlign w:val="center"/>
            <w:hideMark/>
          </w:tcPr>
          <w:p w14:paraId="140D1E5E"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1048" w:type="dxa"/>
            <w:tcBorders>
              <w:top w:val="nil"/>
              <w:left w:val="nil"/>
              <w:bottom w:val="nil"/>
              <w:right w:val="nil"/>
            </w:tcBorders>
            <w:shd w:val="clear" w:color="000000" w:fill="auto"/>
            <w:noWrap/>
            <w:vAlign w:val="center"/>
            <w:hideMark/>
          </w:tcPr>
          <w:p w14:paraId="5652B2EC"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985" w:type="dxa"/>
            <w:tcBorders>
              <w:top w:val="nil"/>
              <w:left w:val="nil"/>
              <w:bottom w:val="nil"/>
              <w:right w:val="nil"/>
            </w:tcBorders>
            <w:shd w:val="clear" w:color="000000" w:fill="auto"/>
            <w:noWrap/>
            <w:vAlign w:val="center"/>
            <w:hideMark/>
          </w:tcPr>
          <w:p w14:paraId="3DA6D91B"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1309" w:type="dxa"/>
            <w:tcBorders>
              <w:top w:val="nil"/>
              <w:left w:val="nil"/>
              <w:bottom w:val="nil"/>
              <w:right w:val="nil"/>
            </w:tcBorders>
            <w:shd w:val="clear" w:color="000000" w:fill="auto"/>
            <w:noWrap/>
            <w:vAlign w:val="center"/>
            <w:hideMark/>
          </w:tcPr>
          <w:p w14:paraId="44E3C4B0"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r>
      <w:tr w:rsidR="00C05C08" w:rsidRPr="005269E6" w14:paraId="4D287E54" w14:textId="77777777" w:rsidTr="004C39BB">
        <w:trPr>
          <w:trHeight w:val="255"/>
          <w:jc w:val="center"/>
        </w:trPr>
        <w:tc>
          <w:tcPr>
            <w:tcW w:w="3060" w:type="dxa"/>
            <w:tcBorders>
              <w:top w:val="nil"/>
              <w:left w:val="nil"/>
              <w:bottom w:val="nil"/>
              <w:right w:val="nil"/>
            </w:tcBorders>
            <w:shd w:val="clear" w:color="000000" w:fill="auto"/>
            <w:vAlign w:val="center"/>
            <w:hideMark/>
          </w:tcPr>
          <w:p w14:paraId="4624148F" w14:textId="28C21C52" w:rsidR="00C05C08" w:rsidRPr="005269E6" w:rsidRDefault="004F44A4" w:rsidP="004F44A4">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صافي المبلغ الدفتري في 1 يناير 2022</w:t>
            </w:r>
          </w:p>
        </w:tc>
        <w:tc>
          <w:tcPr>
            <w:tcW w:w="986" w:type="dxa"/>
            <w:tcBorders>
              <w:top w:val="nil"/>
              <w:left w:val="nil"/>
              <w:bottom w:val="nil"/>
              <w:right w:val="nil"/>
            </w:tcBorders>
            <w:shd w:val="clear" w:color="000000" w:fill="auto"/>
            <w:noWrap/>
            <w:vAlign w:val="center"/>
            <w:hideMark/>
          </w:tcPr>
          <w:p w14:paraId="71358C16" w14:textId="4C789E31"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70 227 </w:t>
            </w:r>
          </w:p>
        </w:tc>
        <w:tc>
          <w:tcPr>
            <w:tcW w:w="985" w:type="dxa"/>
            <w:tcBorders>
              <w:top w:val="nil"/>
              <w:left w:val="nil"/>
              <w:bottom w:val="nil"/>
              <w:right w:val="nil"/>
            </w:tcBorders>
            <w:shd w:val="clear" w:color="000000" w:fill="auto"/>
            <w:noWrap/>
            <w:vAlign w:val="center"/>
            <w:hideMark/>
          </w:tcPr>
          <w:p w14:paraId="2E4C158A" w14:textId="4A59A8CD"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123 </w:t>
            </w:r>
          </w:p>
        </w:tc>
        <w:tc>
          <w:tcPr>
            <w:tcW w:w="1221" w:type="dxa"/>
            <w:tcBorders>
              <w:top w:val="nil"/>
              <w:left w:val="nil"/>
              <w:bottom w:val="nil"/>
              <w:right w:val="nil"/>
            </w:tcBorders>
            <w:shd w:val="clear" w:color="000000" w:fill="auto"/>
            <w:noWrap/>
            <w:vAlign w:val="center"/>
            <w:hideMark/>
          </w:tcPr>
          <w:p w14:paraId="37E31830" w14:textId="6CAD99A3"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32 </w:t>
            </w:r>
          </w:p>
        </w:tc>
        <w:tc>
          <w:tcPr>
            <w:tcW w:w="1048" w:type="dxa"/>
            <w:tcBorders>
              <w:top w:val="nil"/>
              <w:left w:val="nil"/>
              <w:bottom w:val="nil"/>
              <w:right w:val="nil"/>
            </w:tcBorders>
            <w:shd w:val="clear" w:color="000000" w:fill="auto"/>
            <w:noWrap/>
            <w:vAlign w:val="center"/>
            <w:hideMark/>
          </w:tcPr>
          <w:p w14:paraId="1E23C71A" w14:textId="5AEBE1E6"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1 229 </w:t>
            </w:r>
          </w:p>
        </w:tc>
        <w:tc>
          <w:tcPr>
            <w:tcW w:w="985" w:type="dxa"/>
            <w:tcBorders>
              <w:top w:val="nil"/>
              <w:left w:val="nil"/>
              <w:bottom w:val="nil"/>
              <w:right w:val="nil"/>
            </w:tcBorders>
            <w:shd w:val="clear" w:color="000000" w:fill="auto"/>
            <w:noWrap/>
            <w:vAlign w:val="center"/>
            <w:hideMark/>
          </w:tcPr>
          <w:p w14:paraId="5D99E5DE" w14:textId="26460CBF"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60 </w:t>
            </w:r>
          </w:p>
        </w:tc>
        <w:tc>
          <w:tcPr>
            <w:tcW w:w="1309" w:type="dxa"/>
            <w:tcBorders>
              <w:top w:val="nil"/>
              <w:left w:val="nil"/>
              <w:bottom w:val="nil"/>
              <w:right w:val="nil"/>
            </w:tcBorders>
            <w:shd w:val="clear" w:color="000000" w:fill="auto"/>
            <w:noWrap/>
            <w:vAlign w:val="center"/>
            <w:hideMark/>
          </w:tcPr>
          <w:p w14:paraId="7414630A" w14:textId="6863CD35"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71 671 </w:t>
            </w:r>
          </w:p>
        </w:tc>
      </w:tr>
      <w:tr w:rsidR="00C05C08" w:rsidRPr="005269E6" w14:paraId="22874176" w14:textId="77777777" w:rsidTr="004C39BB">
        <w:trPr>
          <w:trHeight w:val="255"/>
          <w:jc w:val="center"/>
        </w:trPr>
        <w:tc>
          <w:tcPr>
            <w:tcW w:w="3060" w:type="dxa"/>
            <w:tcBorders>
              <w:top w:val="nil"/>
              <w:left w:val="nil"/>
              <w:bottom w:val="nil"/>
              <w:right w:val="nil"/>
            </w:tcBorders>
            <w:shd w:val="clear" w:color="000000" w:fill="auto"/>
            <w:noWrap/>
            <w:vAlign w:val="bottom"/>
            <w:hideMark/>
          </w:tcPr>
          <w:p w14:paraId="2583348F" w14:textId="77777777" w:rsidR="00C05C08" w:rsidRPr="005269E6" w:rsidRDefault="00C05C08" w:rsidP="00C05C08">
            <w:pPr>
              <w:tabs>
                <w:tab w:val="clear" w:pos="794"/>
              </w:tabs>
              <w:spacing w:before="0" w:line="200" w:lineRule="exact"/>
              <w:jc w:val="center"/>
              <w:rPr>
                <w:rFonts w:eastAsia="Times New Roman"/>
                <w:b/>
                <w:bCs/>
                <w:color w:val="000000"/>
                <w:sz w:val="18"/>
                <w:szCs w:val="18"/>
                <w:lang w:val="en-GB" w:eastAsia="en-GB"/>
              </w:rPr>
            </w:pPr>
          </w:p>
        </w:tc>
        <w:tc>
          <w:tcPr>
            <w:tcW w:w="986" w:type="dxa"/>
            <w:tcBorders>
              <w:top w:val="nil"/>
              <w:left w:val="nil"/>
              <w:bottom w:val="nil"/>
              <w:right w:val="nil"/>
            </w:tcBorders>
            <w:shd w:val="clear" w:color="000000" w:fill="auto"/>
            <w:noWrap/>
            <w:vAlign w:val="bottom"/>
            <w:hideMark/>
          </w:tcPr>
          <w:p w14:paraId="358415D6"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985" w:type="dxa"/>
            <w:tcBorders>
              <w:top w:val="nil"/>
              <w:left w:val="nil"/>
              <w:bottom w:val="nil"/>
              <w:right w:val="nil"/>
            </w:tcBorders>
            <w:shd w:val="clear" w:color="000000" w:fill="auto"/>
            <w:noWrap/>
            <w:vAlign w:val="bottom"/>
            <w:hideMark/>
          </w:tcPr>
          <w:p w14:paraId="27467BF3"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1221" w:type="dxa"/>
            <w:tcBorders>
              <w:top w:val="nil"/>
              <w:left w:val="nil"/>
              <w:bottom w:val="nil"/>
              <w:right w:val="nil"/>
            </w:tcBorders>
            <w:shd w:val="clear" w:color="000000" w:fill="auto"/>
            <w:noWrap/>
            <w:vAlign w:val="bottom"/>
            <w:hideMark/>
          </w:tcPr>
          <w:p w14:paraId="560DDE83"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1048" w:type="dxa"/>
            <w:tcBorders>
              <w:top w:val="nil"/>
              <w:left w:val="nil"/>
              <w:bottom w:val="nil"/>
              <w:right w:val="nil"/>
            </w:tcBorders>
            <w:shd w:val="clear" w:color="000000" w:fill="auto"/>
            <w:noWrap/>
            <w:vAlign w:val="bottom"/>
            <w:hideMark/>
          </w:tcPr>
          <w:p w14:paraId="6D1E1B22"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985" w:type="dxa"/>
            <w:tcBorders>
              <w:top w:val="nil"/>
              <w:left w:val="nil"/>
              <w:bottom w:val="nil"/>
              <w:right w:val="nil"/>
            </w:tcBorders>
            <w:shd w:val="clear" w:color="000000" w:fill="auto"/>
            <w:noWrap/>
            <w:vAlign w:val="bottom"/>
            <w:hideMark/>
          </w:tcPr>
          <w:p w14:paraId="3703D57F"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c>
          <w:tcPr>
            <w:tcW w:w="1309" w:type="dxa"/>
            <w:tcBorders>
              <w:top w:val="nil"/>
              <w:left w:val="nil"/>
              <w:bottom w:val="nil"/>
              <w:right w:val="nil"/>
            </w:tcBorders>
            <w:shd w:val="clear" w:color="000000" w:fill="auto"/>
            <w:noWrap/>
            <w:vAlign w:val="bottom"/>
            <w:hideMark/>
          </w:tcPr>
          <w:p w14:paraId="29224394" w14:textId="77777777" w:rsidR="00C05C08" w:rsidRPr="005269E6" w:rsidRDefault="00C05C08" w:rsidP="002E61A9">
            <w:pPr>
              <w:tabs>
                <w:tab w:val="clear" w:pos="794"/>
              </w:tabs>
              <w:spacing w:before="0" w:line="200" w:lineRule="exact"/>
              <w:jc w:val="left"/>
              <w:rPr>
                <w:rFonts w:eastAsia="Times New Roman"/>
                <w:b/>
                <w:bCs/>
                <w:color w:val="000000"/>
                <w:sz w:val="18"/>
                <w:szCs w:val="18"/>
                <w:lang w:val="en-GB" w:eastAsia="en-GB"/>
              </w:rPr>
            </w:pPr>
          </w:p>
        </w:tc>
      </w:tr>
      <w:tr w:rsidR="00C05C08" w:rsidRPr="005269E6" w14:paraId="0AA70420" w14:textId="77777777" w:rsidTr="004C39BB">
        <w:trPr>
          <w:trHeight w:val="510"/>
          <w:jc w:val="center"/>
        </w:trPr>
        <w:tc>
          <w:tcPr>
            <w:tcW w:w="3060" w:type="dxa"/>
            <w:tcBorders>
              <w:top w:val="nil"/>
              <w:left w:val="nil"/>
              <w:bottom w:val="nil"/>
              <w:right w:val="nil"/>
            </w:tcBorders>
            <w:shd w:val="clear" w:color="000000" w:fill="538DD5"/>
            <w:vAlign w:val="center"/>
            <w:hideMark/>
          </w:tcPr>
          <w:p w14:paraId="39E7044A" w14:textId="61EC66BF" w:rsidR="00C05C08" w:rsidRPr="005269E6" w:rsidRDefault="004F44A4" w:rsidP="00C05C08">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صافي المبلغ الدفتري</w:t>
            </w:r>
            <w:r w:rsidRPr="005269E6">
              <w:rPr>
                <w:sz w:val="18"/>
                <w:szCs w:val="18"/>
                <w:rtl/>
              </w:rPr>
              <w:t xml:space="preserve"> </w:t>
            </w:r>
            <w:r w:rsidRPr="005269E6">
              <w:rPr>
                <w:rFonts w:eastAsia="Times New Roman"/>
                <w:b/>
                <w:bCs/>
                <w:color w:val="000000"/>
                <w:sz w:val="18"/>
                <w:szCs w:val="18"/>
                <w:rtl/>
                <w:lang w:val="en-GB" w:eastAsia="en-GB"/>
              </w:rPr>
              <w:t>في 31 ديسمبر 2022</w:t>
            </w:r>
          </w:p>
        </w:tc>
        <w:tc>
          <w:tcPr>
            <w:tcW w:w="986" w:type="dxa"/>
            <w:tcBorders>
              <w:top w:val="nil"/>
              <w:left w:val="nil"/>
              <w:bottom w:val="nil"/>
              <w:right w:val="nil"/>
            </w:tcBorders>
            <w:shd w:val="clear" w:color="000000" w:fill="538DD5"/>
            <w:noWrap/>
            <w:vAlign w:val="center"/>
            <w:hideMark/>
          </w:tcPr>
          <w:p w14:paraId="6E9C5C1A" w14:textId="57C45194"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62 423 </w:t>
            </w:r>
          </w:p>
        </w:tc>
        <w:tc>
          <w:tcPr>
            <w:tcW w:w="985" w:type="dxa"/>
            <w:tcBorders>
              <w:top w:val="nil"/>
              <w:left w:val="nil"/>
              <w:bottom w:val="nil"/>
              <w:right w:val="nil"/>
            </w:tcBorders>
            <w:shd w:val="clear" w:color="000000" w:fill="538DD5"/>
            <w:noWrap/>
            <w:vAlign w:val="center"/>
            <w:hideMark/>
          </w:tcPr>
          <w:p w14:paraId="7F864DBF" w14:textId="217A871D"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126 </w:t>
            </w:r>
          </w:p>
        </w:tc>
        <w:tc>
          <w:tcPr>
            <w:tcW w:w="1221" w:type="dxa"/>
            <w:tcBorders>
              <w:top w:val="nil"/>
              <w:left w:val="nil"/>
              <w:bottom w:val="nil"/>
              <w:right w:val="nil"/>
            </w:tcBorders>
            <w:shd w:val="clear" w:color="000000" w:fill="538DD5"/>
            <w:noWrap/>
            <w:vAlign w:val="center"/>
            <w:hideMark/>
          </w:tcPr>
          <w:p w14:paraId="5E61A5C6" w14:textId="6D257A3A"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22 </w:t>
            </w:r>
          </w:p>
        </w:tc>
        <w:tc>
          <w:tcPr>
            <w:tcW w:w="1048" w:type="dxa"/>
            <w:tcBorders>
              <w:top w:val="nil"/>
              <w:left w:val="nil"/>
              <w:bottom w:val="nil"/>
              <w:right w:val="nil"/>
            </w:tcBorders>
            <w:shd w:val="clear" w:color="000000" w:fill="538DD5"/>
            <w:noWrap/>
            <w:vAlign w:val="center"/>
            <w:hideMark/>
          </w:tcPr>
          <w:p w14:paraId="632193D7" w14:textId="67BE8401"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800 </w:t>
            </w:r>
          </w:p>
        </w:tc>
        <w:tc>
          <w:tcPr>
            <w:tcW w:w="985" w:type="dxa"/>
            <w:tcBorders>
              <w:top w:val="nil"/>
              <w:left w:val="nil"/>
              <w:bottom w:val="nil"/>
              <w:right w:val="nil"/>
            </w:tcBorders>
            <w:shd w:val="clear" w:color="000000" w:fill="538DD5"/>
            <w:noWrap/>
            <w:vAlign w:val="center"/>
            <w:hideMark/>
          </w:tcPr>
          <w:p w14:paraId="1A318310" w14:textId="0847AA76"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41 </w:t>
            </w:r>
          </w:p>
        </w:tc>
        <w:tc>
          <w:tcPr>
            <w:tcW w:w="1309" w:type="dxa"/>
            <w:tcBorders>
              <w:top w:val="nil"/>
              <w:left w:val="nil"/>
              <w:bottom w:val="nil"/>
              <w:right w:val="nil"/>
            </w:tcBorders>
            <w:shd w:val="clear" w:color="000000" w:fill="538DD5"/>
            <w:noWrap/>
            <w:vAlign w:val="center"/>
            <w:hideMark/>
          </w:tcPr>
          <w:p w14:paraId="787DBC20" w14:textId="749E3009" w:rsidR="00C05C08" w:rsidRPr="005269E6" w:rsidRDefault="00C05C08" w:rsidP="002E61A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63 412 </w:t>
            </w:r>
          </w:p>
        </w:tc>
      </w:tr>
    </w:tbl>
    <w:p w14:paraId="5258376E" w14:textId="75F09764" w:rsidR="00A62E6F" w:rsidRPr="005269E6" w:rsidRDefault="00A62E6F" w:rsidP="00A62E6F">
      <w:pPr>
        <w:spacing w:before="240" w:after="120"/>
        <w:jc w:val="center"/>
        <w:rPr>
          <w:b/>
          <w:bCs/>
          <w:rtl/>
          <w:lang w:bidi="ar-SY"/>
        </w:rPr>
      </w:pPr>
      <w:r w:rsidRPr="005269E6">
        <w:rPr>
          <w:b/>
          <w:bCs/>
          <w:lang w:bidi="ar-SY"/>
        </w:rPr>
        <w:t>2021</w:t>
      </w:r>
    </w:p>
    <w:tbl>
      <w:tblPr>
        <w:bidiVisual/>
        <w:tblW w:w="5000" w:type="pct"/>
        <w:tblLook w:val="04A0" w:firstRow="1" w:lastRow="0" w:firstColumn="1" w:lastColumn="0" w:noHBand="0" w:noVBand="1"/>
      </w:tblPr>
      <w:tblGrid>
        <w:gridCol w:w="2988"/>
        <w:gridCol w:w="998"/>
        <w:gridCol w:w="998"/>
        <w:gridCol w:w="999"/>
        <w:gridCol w:w="1060"/>
        <w:gridCol w:w="999"/>
        <w:gridCol w:w="1597"/>
      </w:tblGrid>
      <w:tr w:rsidR="004F44A4" w:rsidRPr="005269E6" w14:paraId="33E38B97" w14:textId="77777777" w:rsidTr="004C39BB">
        <w:trPr>
          <w:trHeight w:val="765"/>
        </w:trPr>
        <w:tc>
          <w:tcPr>
            <w:tcW w:w="3096" w:type="dxa"/>
            <w:tcBorders>
              <w:top w:val="nil"/>
              <w:left w:val="nil"/>
              <w:bottom w:val="nil"/>
              <w:right w:val="nil"/>
            </w:tcBorders>
            <w:shd w:val="clear" w:color="000000" w:fill="538DD5"/>
            <w:vAlign w:val="center"/>
            <w:hideMark/>
          </w:tcPr>
          <w:p w14:paraId="3AEB0BDB" w14:textId="570A88D8" w:rsidR="004F44A4" w:rsidRPr="005269E6" w:rsidRDefault="004F44A4"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فئة الأصول (بآلاف الفرنكات السويسرية)</w:t>
            </w:r>
          </w:p>
        </w:tc>
        <w:tc>
          <w:tcPr>
            <w:tcW w:w="998" w:type="dxa"/>
            <w:tcBorders>
              <w:top w:val="nil"/>
              <w:left w:val="nil"/>
              <w:bottom w:val="nil"/>
              <w:right w:val="nil"/>
            </w:tcBorders>
            <w:shd w:val="clear" w:color="000000" w:fill="538DD5"/>
            <w:vAlign w:val="center"/>
            <w:hideMark/>
          </w:tcPr>
          <w:p w14:paraId="6632AA19" w14:textId="47B65A88" w:rsidR="004F44A4" w:rsidRPr="005269E6" w:rsidRDefault="004F44A4"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المباني</w:t>
            </w:r>
          </w:p>
        </w:tc>
        <w:tc>
          <w:tcPr>
            <w:tcW w:w="998" w:type="dxa"/>
            <w:tcBorders>
              <w:top w:val="nil"/>
              <w:left w:val="nil"/>
              <w:bottom w:val="nil"/>
              <w:right w:val="nil"/>
            </w:tcBorders>
            <w:shd w:val="clear" w:color="000000" w:fill="538DD5"/>
            <w:vAlign w:val="center"/>
            <w:hideMark/>
          </w:tcPr>
          <w:p w14:paraId="40B45D3E" w14:textId="7C609AD6" w:rsidR="004F44A4" w:rsidRPr="005269E6" w:rsidRDefault="004F44A4"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الآلات والمعدات</w:t>
            </w:r>
          </w:p>
        </w:tc>
        <w:tc>
          <w:tcPr>
            <w:tcW w:w="999" w:type="dxa"/>
            <w:tcBorders>
              <w:top w:val="nil"/>
              <w:left w:val="nil"/>
              <w:bottom w:val="nil"/>
              <w:right w:val="nil"/>
            </w:tcBorders>
            <w:shd w:val="clear" w:color="000000" w:fill="538DD5"/>
            <w:vAlign w:val="center"/>
            <w:hideMark/>
          </w:tcPr>
          <w:p w14:paraId="6269FD65" w14:textId="098A5949" w:rsidR="004F44A4" w:rsidRPr="005269E6" w:rsidRDefault="004F44A4"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الأثاث والتجهيزات</w:t>
            </w:r>
          </w:p>
        </w:tc>
        <w:tc>
          <w:tcPr>
            <w:tcW w:w="1060" w:type="dxa"/>
            <w:tcBorders>
              <w:top w:val="nil"/>
              <w:left w:val="nil"/>
              <w:bottom w:val="nil"/>
              <w:right w:val="nil"/>
            </w:tcBorders>
            <w:shd w:val="clear" w:color="000000" w:fill="538DD5"/>
            <w:vAlign w:val="center"/>
            <w:hideMark/>
          </w:tcPr>
          <w:p w14:paraId="172AFEC9" w14:textId="7BFFCF70" w:rsidR="004F44A4" w:rsidRPr="005269E6" w:rsidRDefault="004F44A4"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معدات الحاسوب</w:t>
            </w:r>
          </w:p>
        </w:tc>
        <w:tc>
          <w:tcPr>
            <w:tcW w:w="999" w:type="dxa"/>
            <w:tcBorders>
              <w:top w:val="nil"/>
              <w:left w:val="nil"/>
              <w:bottom w:val="nil"/>
              <w:right w:val="nil"/>
            </w:tcBorders>
            <w:shd w:val="clear" w:color="000000" w:fill="538DD5"/>
            <w:vAlign w:val="center"/>
            <w:hideMark/>
          </w:tcPr>
          <w:p w14:paraId="677D187E" w14:textId="06D0A8DC" w:rsidR="004F44A4" w:rsidRPr="005269E6" w:rsidRDefault="004F44A4"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المركبات</w:t>
            </w:r>
          </w:p>
        </w:tc>
        <w:tc>
          <w:tcPr>
            <w:tcW w:w="1597" w:type="dxa"/>
            <w:tcBorders>
              <w:top w:val="nil"/>
              <w:left w:val="nil"/>
              <w:bottom w:val="nil"/>
              <w:right w:val="nil"/>
            </w:tcBorders>
            <w:shd w:val="clear" w:color="000000" w:fill="538DD5"/>
            <w:vAlign w:val="center"/>
            <w:hideMark/>
          </w:tcPr>
          <w:p w14:paraId="452191CF" w14:textId="486BC724" w:rsidR="004F44A4" w:rsidRPr="005269E6" w:rsidRDefault="004F44A4" w:rsidP="000222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المجموع الكلي 2021</w:t>
            </w:r>
          </w:p>
        </w:tc>
      </w:tr>
      <w:tr w:rsidR="00A62E6F" w:rsidRPr="005269E6" w14:paraId="64E73434" w14:textId="77777777" w:rsidTr="004C39BB">
        <w:trPr>
          <w:trHeight w:val="255"/>
        </w:trPr>
        <w:tc>
          <w:tcPr>
            <w:tcW w:w="3096" w:type="dxa"/>
            <w:tcBorders>
              <w:top w:val="nil"/>
              <w:left w:val="nil"/>
              <w:bottom w:val="nil"/>
              <w:right w:val="nil"/>
            </w:tcBorders>
            <w:shd w:val="clear" w:color="000000" w:fill="auto"/>
            <w:vAlign w:val="center"/>
            <w:hideMark/>
          </w:tcPr>
          <w:p w14:paraId="3B6EEE15" w14:textId="77777777" w:rsidR="00A62E6F" w:rsidRPr="005269E6" w:rsidRDefault="00A62E6F" w:rsidP="00A62E6F">
            <w:pPr>
              <w:tabs>
                <w:tab w:val="clear" w:pos="794"/>
              </w:tabs>
              <w:spacing w:before="0" w:line="200" w:lineRule="exact"/>
              <w:jc w:val="center"/>
              <w:rPr>
                <w:rFonts w:eastAsia="Times New Roman"/>
                <w:b/>
                <w:bCs/>
                <w:color w:val="000000"/>
                <w:sz w:val="18"/>
                <w:szCs w:val="18"/>
                <w:lang w:val="en-GB" w:eastAsia="en-GB"/>
              </w:rPr>
            </w:pPr>
          </w:p>
        </w:tc>
        <w:tc>
          <w:tcPr>
            <w:tcW w:w="998" w:type="dxa"/>
            <w:tcBorders>
              <w:top w:val="nil"/>
              <w:left w:val="nil"/>
              <w:bottom w:val="nil"/>
              <w:right w:val="nil"/>
            </w:tcBorders>
            <w:shd w:val="clear" w:color="000000" w:fill="auto"/>
            <w:vAlign w:val="center"/>
            <w:hideMark/>
          </w:tcPr>
          <w:p w14:paraId="29B06762" w14:textId="77777777" w:rsidR="00A62E6F" w:rsidRPr="005269E6" w:rsidRDefault="00A62E6F" w:rsidP="00022249">
            <w:pPr>
              <w:tabs>
                <w:tab w:val="clear" w:pos="794"/>
              </w:tabs>
              <w:spacing w:before="0" w:line="200" w:lineRule="exact"/>
              <w:jc w:val="left"/>
              <w:rPr>
                <w:rFonts w:eastAsia="Times New Roman"/>
                <w:sz w:val="18"/>
                <w:szCs w:val="18"/>
                <w:lang w:val="en-GB" w:eastAsia="en-GB"/>
              </w:rPr>
            </w:pPr>
          </w:p>
        </w:tc>
        <w:tc>
          <w:tcPr>
            <w:tcW w:w="998" w:type="dxa"/>
            <w:tcBorders>
              <w:top w:val="nil"/>
              <w:left w:val="nil"/>
              <w:bottom w:val="nil"/>
              <w:right w:val="nil"/>
            </w:tcBorders>
            <w:shd w:val="clear" w:color="000000" w:fill="auto"/>
            <w:vAlign w:val="center"/>
            <w:hideMark/>
          </w:tcPr>
          <w:p w14:paraId="6F7AE694" w14:textId="77777777" w:rsidR="00A62E6F" w:rsidRPr="005269E6" w:rsidRDefault="00A62E6F" w:rsidP="00022249">
            <w:pPr>
              <w:tabs>
                <w:tab w:val="clear" w:pos="794"/>
              </w:tabs>
              <w:spacing w:before="0" w:line="200" w:lineRule="exact"/>
              <w:jc w:val="left"/>
              <w:rPr>
                <w:rFonts w:eastAsia="Times New Roman"/>
                <w:sz w:val="18"/>
                <w:szCs w:val="18"/>
                <w:lang w:val="en-GB" w:eastAsia="en-GB"/>
              </w:rPr>
            </w:pPr>
          </w:p>
        </w:tc>
        <w:tc>
          <w:tcPr>
            <w:tcW w:w="999" w:type="dxa"/>
            <w:tcBorders>
              <w:top w:val="nil"/>
              <w:left w:val="nil"/>
              <w:bottom w:val="nil"/>
              <w:right w:val="nil"/>
            </w:tcBorders>
            <w:shd w:val="clear" w:color="000000" w:fill="auto"/>
            <w:vAlign w:val="center"/>
            <w:hideMark/>
          </w:tcPr>
          <w:p w14:paraId="58EC9CA6" w14:textId="77777777" w:rsidR="00A62E6F" w:rsidRPr="005269E6" w:rsidRDefault="00A62E6F" w:rsidP="00022249">
            <w:pPr>
              <w:tabs>
                <w:tab w:val="clear" w:pos="794"/>
              </w:tabs>
              <w:spacing w:before="0" w:line="200" w:lineRule="exact"/>
              <w:jc w:val="left"/>
              <w:rPr>
                <w:rFonts w:eastAsia="Times New Roman"/>
                <w:sz w:val="18"/>
                <w:szCs w:val="18"/>
                <w:lang w:val="en-GB" w:eastAsia="en-GB"/>
              </w:rPr>
            </w:pPr>
          </w:p>
        </w:tc>
        <w:tc>
          <w:tcPr>
            <w:tcW w:w="1060" w:type="dxa"/>
            <w:tcBorders>
              <w:top w:val="nil"/>
              <w:left w:val="nil"/>
              <w:bottom w:val="nil"/>
              <w:right w:val="nil"/>
            </w:tcBorders>
            <w:shd w:val="clear" w:color="000000" w:fill="auto"/>
            <w:vAlign w:val="center"/>
            <w:hideMark/>
          </w:tcPr>
          <w:p w14:paraId="084260E7" w14:textId="77777777" w:rsidR="00A62E6F" w:rsidRPr="005269E6" w:rsidRDefault="00A62E6F" w:rsidP="00022249">
            <w:pPr>
              <w:tabs>
                <w:tab w:val="clear" w:pos="794"/>
              </w:tabs>
              <w:spacing w:before="0" w:line="200" w:lineRule="exact"/>
              <w:jc w:val="left"/>
              <w:rPr>
                <w:rFonts w:eastAsia="Times New Roman"/>
                <w:sz w:val="18"/>
                <w:szCs w:val="18"/>
                <w:lang w:val="en-GB" w:eastAsia="en-GB"/>
              </w:rPr>
            </w:pPr>
          </w:p>
        </w:tc>
        <w:tc>
          <w:tcPr>
            <w:tcW w:w="999" w:type="dxa"/>
            <w:tcBorders>
              <w:top w:val="nil"/>
              <w:left w:val="nil"/>
              <w:bottom w:val="nil"/>
              <w:right w:val="nil"/>
            </w:tcBorders>
            <w:shd w:val="clear" w:color="000000" w:fill="auto"/>
            <w:vAlign w:val="center"/>
            <w:hideMark/>
          </w:tcPr>
          <w:p w14:paraId="758C342A" w14:textId="77777777" w:rsidR="00A62E6F" w:rsidRPr="005269E6" w:rsidRDefault="00A62E6F" w:rsidP="00022249">
            <w:pPr>
              <w:tabs>
                <w:tab w:val="clear" w:pos="794"/>
              </w:tabs>
              <w:spacing w:before="0" w:line="200" w:lineRule="exact"/>
              <w:jc w:val="left"/>
              <w:rPr>
                <w:rFonts w:eastAsia="Times New Roman"/>
                <w:sz w:val="18"/>
                <w:szCs w:val="18"/>
                <w:lang w:val="en-GB" w:eastAsia="en-GB"/>
              </w:rPr>
            </w:pPr>
          </w:p>
        </w:tc>
        <w:tc>
          <w:tcPr>
            <w:tcW w:w="1597" w:type="dxa"/>
            <w:tcBorders>
              <w:top w:val="nil"/>
              <w:left w:val="nil"/>
              <w:bottom w:val="nil"/>
              <w:right w:val="nil"/>
            </w:tcBorders>
            <w:shd w:val="clear" w:color="000000" w:fill="auto"/>
            <w:vAlign w:val="center"/>
            <w:hideMark/>
          </w:tcPr>
          <w:p w14:paraId="1EBA1C95" w14:textId="77777777" w:rsidR="00A62E6F" w:rsidRPr="005269E6" w:rsidRDefault="00A62E6F" w:rsidP="00022249">
            <w:pPr>
              <w:tabs>
                <w:tab w:val="clear" w:pos="794"/>
              </w:tabs>
              <w:spacing w:before="0" w:line="200" w:lineRule="exact"/>
              <w:jc w:val="left"/>
              <w:rPr>
                <w:rFonts w:eastAsia="Times New Roman"/>
                <w:sz w:val="18"/>
                <w:szCs w:val="18"/>
                <w:lang w:val="en-GB" w:eastAsia="en-GB"/>
              </w:rPr>
            </w:pPr>
          </w:p>
        </w:tc>
      </w:tr>
      <w:tr w:rsidR="00E062C2" w:rsidRPr="005269E6" w14:paraId="6FC72F49" w14:textId="77777777" w:rsidTr="004C39BB">
        <w:trPr>
          <w:trHeight w:val="255"/>
        </w:trPr>
        <w:tc>
          <w:tcPr>
            <w:tcW w:w="3096" w:type="dxa"/>
            <w:tcBorders>
              <w:top w:val="nil"/>
              <w:left w:val="nil"/>
              <w:bottom w:val="nil"/>
              <w:right w:val="nil"/>
            </w:tcBorders>
            <w:shd w:val="clear" w:color="000000" w:fill="auto"/>
            <w:vAlign w:val="center"/>
            <w:hideMark/>
          </w:tcPr>
          <w:p w14:paraId="14CA91F3" w14:textId="0ACB4B9D" w:rsidR="00E062C2" w:rsidRPr="005269E6" w:rsidRDefault="00E062C2" w:rsidP="00E062C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التكلفة في 1 يناير 2021</w:t>
            </w:r>
          </w:p>
        </w:tc>
        <w:tc>
          <w:tcPr>
            <w:tcW w:w="998" w:type="dxa"/>
            <w:tcBorders>
              <w:top w:val="nil"/>
              <w:left w:val="nil"/>
              <w:bottom w:val="nil"/>
              <w:right w:val="nil"/>
            </w:tcBorders>
            <w:shd w:val="clear" w:color="000000" w:fill="auto"/>
            <w:noWrap/>
            <w:vAlign w:val="center"/>
            <w:hideMark/>
          </w:tcPr>
          <w:p w14:paraId="3A4DCFB3" w14:textId="6C6B6E32" w:rsidR="00E062C2" w:rsidRPr="005269E6" w:rsidRDefault="00E062C2" w:rsidP="00CC316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125 070 </w:t>
            </w:r>
          </w:p>
        </w:tc>
        <w:tc>
          <w:tcPr>
            <w:tcW w:w="998" w:type="dxa"/>
            <w:tcBorders>
              <w:top w:val="nil"/>
              <w:left w:val="nil"/>
              <w:bottom w:val="nil"/>
              <w:right w:val="nil"/>
            </w:tcBorders>
            <w:shd w:val="clear" w:color="000000" w:fill="FFFFFF"/>
            <w:noWrap/>
            <w:vAlign w:val="center"/>
            <w:hideMark/>
          </w:tcPr>
          <w:p w14:paraId="5625D740" w14:textId="706F6022" w:rsidR="00E062C2" w:rsidRPr="005269E6" w:rsidRDefault="00E062C2" w:rsidP="00CC316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2 121 </w:t>
            </w:r>
          </w:p>
        </w:tc>
        <w:tc>
          <w:tcPr>
            <w:tcW w:w="999" w:type="dxa"/>
            <w:tcBorders>
              <w:top w:val="nil"/>
              <w:left w:val="nil"/>
              <w:bottom w:val="nil"/>
              <w:right w:val="nil"/>
            </w:tcBorders>
            <w:shd w:val="clear" w:color="000000" w:fill="auto"/>
            <w:noWrap/>
            <w:vAlign w:val="center"/>
            <w:hideMark/>
          </w:tcPr>
          <w:p w14:paraId="04BF8832" w14:textId="7BC7EECF" w:rsidR="00E062C2" w:rsidRPr="005269E6" w:rsidRDefault="00E062C2" w:rsidP="00CC316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1 506 </w:t>
            </w:r>
          </w:p>
        </w:tc>
        <w:tc>
          <w:tcPr>
            <w:tcW w:w="1060" w:type="dxa"/>
            <w:tcBorders>
              <w:top w:val="nil"/>
              <w:left w:val="nil"/>
              <w:bottom w:val="nil"/>
              <w:right w:val="nil"/>
            </w:tcBorders>
            <w:shd w:val="clear" w:color="000000" w:fill="FFFFFF"/>
            <w:noWrap/>
            <w:vAlign w:val="center"/>
            <w:hideMark/>
          </w:tcPr>
          <w:p w14:paraId="42D8A6C1" w14:textId="40218225" w:rsidR="00E062C2" w:rsidRPr="005269E6" w:rsidRDefault="00E062C2" w:rsidP="00CC316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9 354 </w:t>
            </w:r>
          </w:p>
        </w:tc>
        <w:tc>
          <w:tcPr>
            <w:tcW w:w="999" w:type="dxa"/>
            <w:tcBorders>
              <w:top w:val="nil"/>
              <w:left w:val="nil"/>
              <w:bottom w:val="nil"/>
              <w:right w:val="nil"/>
            </w:tcBorders>
            <w:shd w:val="clear" w:color="000000" w:fill="auto"/>
            <w:noWrap/>
            <w:vAlign w:val="center"/>
            <w:hideMark/>
          </w:tcPr>
          <w:p w14:paraId="0C82039F" w14:textId="608AA486" w:rsidR="00E062C2" w:rsidRPr="005269E6" w:rsidRDefault="00E062C2" w:rsidP="00CC316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296 </w:t>
            </w:r>
          </w:p>
        </w:tc>
        <w:tc>
          <w:tcPr>
            <w:tcW w:w="1597" w:type="dxa"/>
            <w:tcBorders>
              <w:top w:val="nil"/>
              <w:left w:val="nil"/>
              <w:bottom w:val="nil"/>
              <w:right w:val="nil"/>
            </w:tcBorders>
            <w:shd w:val="clear" w:color="000000" w:fill="auto"/>
            <w:noWrap/>
            <w:vAlign w:val="center"/>
            <w:hideMark/>
          </w:tcPr>
          <w:p w14:paraId="72D1A581" w14:textId="41D695C7"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138 347 </w:t>
            </w:r>
          </w:p>
        </w:tc>
      </w:tr>
      <w:tr w:rsidR="00E062C2" w:rsidRPr="005269E6" w14:paraId="2038B7A8" w14:textId="77777777" w:rsidTr="004C39BB">
        <w:trPr>
          <w:trHeight w:val="255"/>
        </w:trPr>
        <w:tc>
          <w:tcPr>
            <w:tcW w:w="3096" w:type="dxa"/>
            <w:tcBorders>
              <w:top w:val="nil"/>
              <w:left w:val="nil"/>
              <w:bottom w:val="nil"/>
              <w:right w:val="nil"/>
            </w:tcBorders>
            <w:shd w:val="clear" w:color="000000" w:fill="auto"/>
            <w:hideMark/>
          </w:tcPr>
          <w:p w14:paraId="476DF33D" w14:textId="12DD9B9A" w:rsidR="00E062C2" w:rsidRPr="005269E6" w:rsidRDefault="00E062C2" w:rsidP="00E062C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w:t>
            </w:r>
            <w:r w:rsidR="00022249" w:rsidRPr="005269E6">
              <w:rPr>
                <w:rFonts w:eastAsia="Times New Roman" w:hint="cs"/>
                <w:color w:val="000000"/>
                <w:sz w:val="18"/>
                <w:szCs w:val="18"/>
                <w:rtl/>
                <w:lang w:val="en-GB" w:eastAsia="en-GB" w:bidi="ar-SY"/>
              </w:rPr>
              <w:t>إ</w:t>
            </w:r>
            <w:r w:rsidRPr="005269E6">
              <w:rPr>
                <w:rFonts w:eastAsia="Times New Roman"/>
                <w:color w:val="000000"/>
                <w:sz w:val="18"/>
                <w:szCs w:val="18"/>
                <w:rtl/>
                <w:lang w:val="en-GB" w:eastAsia="en-GB"/>
              </w:rPr>
              <w:t>ضافات</w:t>
            </w:r>
          </w:p>
        </w:tc>
        <w:tc>
          <w:tcPr>
            <w:tcW w:w="998" w:type="dxa"/>
            <w:tcBorders>
              <w:top w:val="nil"/>
              <w:left w:val="nil"/>
              <w:bottom w:val="nil"/>
              <w:right w:val="nil"/>
            </w:tcBorders>
            <w:shd w:val="clear" w:color="000000" w:fill="auto"/>
            <w:noWrap/>
            <w:hideMark/>
          </w:tcPr>
          <w:p w14:paraId="60193E67" w14:textId="603CB8C0"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49 </w:t>
            </w:r>
          </w:p>
        </w:tc>
        <w:tc>
          <w:tcPr>
            <w:tcW w:w="998" w:type="dxa"/>
            <w:tcBorders>
              <w:top w:val="nil"/>
              <w:left w:val="nil"/>
              <w:bottom w:val="nil"/>
              <w:right w:val="nil"/>
            </w:tcBorders>
            <w:shd w:val="clear" w:color="000000" w:fill="auto"/>
            <w:noWrap/>
            <w:hideMark/>
          </w:tcPr>
          <w:p w14:paraId="437BEE0D" w14:textId="14888634"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34 </w:t>
            </w:r>
          </w:p>
        </w:tc>
        <w:tc>
          <w:tcPr>
            <w:tcW w:w="999" w:type="dxa"/>
            <w:tcBorders>
              <w:top w:val="nil"/>
              <w:left w:val="nil"/>
              <w:bottom w:val="nil"/>
              <w:right w:val="nil"/>
            </w:tcBorders>
            <w:shd w:val="clear" w:color="000000" w:fill="auto"/>
            <w:noWrap/>
            <w:hideMark/>
          </w:tcPr>
          <w:p w14:paraId="04685380" w14:textId="5491344F"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 </w:t>
            </w:r>
          </w:p>
        </w:tc>
        <w:tc>
          <w:tcPr>
            <w:tcW w:w="1060" w:type="dxa"/>
            <w:tcBorders>
              <w:top w:val="nil"/>
              <w:left w:val="nil"/>
              <w:bottom w:val="nil"/>
              <w:right w:val="nil"/>
            </w:tcBorders>
            <w:shd w:val="clear" w:color="000000" w:fill="auto"/>
            <w:noWrap/>
            <w:hideMark/>
          </w:tcPr>
          <w:p w14:paraId="315802C2" w14:textId="6190961C"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910 </w:t>
            </w:r>
          </w:p>
        </w:tc>
        <w:tc>
          <w:tcPr>
            <w:tcW w:w="999" w:type="dxa"/>
            <w:tcBorders>
              <w:top w:val="nil"/>
              <w:left w:val="nil"/>
              <w:bottom w:val="nil"/>
              <w:right w:val="nil"/>
            </w:tcBorders>
            <w:shd w:val="clear" w:color="000000" w:fill="auto"/>
            <w:noWrap/>
            <w:vAlign w:val="bottom"/>
            <w:hideMark/>
          </w:tcPr>
          <w:p w14:paraId="186E9B3B" w14:textId="02DBA118"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 </w:t>
            </w:r>
          </w:p>
        </w:tc>
        <w:tc>
          <w:tcPr>
            <w:tcW w:w="1597" w:type="dxa"/>
            <w:tcBorders>
              <w:top w:val="nil"/>
              <w:left w:val="nil"/>
              <w:bottom w:val="nil"/>
              <w:right w:val="nil"/>
            </w:tcBorders>
            <w:shd w:val="clear" w:color="000000" w:fill="auto"/>
            <w:noWrap/>
            <w:vAlign w:val="center"/>
            <w:hideMark/>
          </w:tcPr>
          <w:p w14:paraId="6645D63C" w14:textId="3EBFBEEE"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993 </w:t>
            </w:r>
          </w:p>
        </w:tc>
      </w:tr>
      <w:tr w:rsidR="00E062C2" w:rsidRPr="005269E6" w14:paraId="6A99405A" w14:textId="77777777" w:rsidTr="004C39BB">
        <w:trPr>
          <w:trHeight w:val="255"/>
        </w:trPr>
        <w:tc>
          <w:tcPr>
            <w:tcW w:w="3096" w:type="dxa"/>
            <w:tcBorders>
              <w:top w:val="nil"/>
              <w:left w:val="nil"/>
              <w:bottom w:val="nil"/>
              <w:right w:val="nil"/>
            </w:tcBorders>
            <w:shd w:val="clear" w:color="000000" w:fill="auto"/>
            <w:hideMark/>
          </w:tcPr>
          <w:p w14:paraId="3AEA652C" w14:textId="10FEC5D6" w:rsidR="00E062C2" w:rsidRPr="005269E6" w:rsidRDefault="00E062C2" w:rsidP="00E062C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التخلص</w:t>
            </w:r>
          </w:p>
        </w:tc>
        <w:tc>
          <w:tcPr>
            <w:tcW w:w="998" w:type="dxa"/>
            <w:tcBorders>
              <w:top w:val="nil"/>
              <w:left w:val="nil"/>
              <w:bottom w:val="nil"/>
              <w:right w:val="nil"/>
            </w:tcBorders>
            <w:shd w:val="clear" w:color="000000" w:fill="auto"/>
            <w:noWrap/>
            <w:hideMark/>
          </w:tcPr>
          <w:p w14:paraId="4D382B37" w14:textId="77777777" w:rsidR="00E062C2" w:rsidRPr="005269E6" w:rsidRDefault="00E062C2" w:rsidP="00CC3169">
            <w:pPr>
              <w:tabs>
                <w:tab w:val="clear" w:pos="794"/>
              </w:tabs>
              <w:spacing w:before="40" w:after="40" w:line="240" w:lineRule="exact"/>
              <w:jc w:val="left"/>
              <w:rPr>
                <w:rFonts w:eastAsia="Times New Roman"/>
                <w:color w:val="000000"/>
                <w:sz w:val="18"/>
                <w:szCs w:val="18"/>
                <w:lang w:val="en-GB" w:eastAsia="en-GB"/>
              </w:rPr>
            </w:pPr>
          </w:p>
        </w:tc>
        <w:tc>
          <w:tcPr>
            <w:tcW w:w="998" w:type="dxa"/>
            <w:tcBorders>
              <w:top w:val="nil"/>
              <w:left w:val="nil"/>
              <w:bottom w:val="nil"/>
              <w:right w:val="nil"/>
            </w:tcBorders>
            <w:shd w:val="clear" w:color="000000" w:fill="auto"/>
            <w:noWrap/>
            <w:hideMark/>
          </w:tcPr>
          <w:p w14:paraId="7EDEBBD6" w14:textId="5D0C868E"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(43)</w:t>
            </w:r>
          </w:p>
        </w:tc>
        <w:tc>
          <w:tcPr>
            <w:tcW w:w="999" w:type="dxa"/>
            <w:tcBorders>
              <w:top w:val="nil"/>
              <w:left w:val="nil"/>
              <w:bottom w:val="nil"/>
              <w:right w:val="nil"/>
            </w:tcBorders>
            <w:shd w:val="clear" w:color="000000" w:fill="auto"/>
            <w:noWrap/>
            <w:hideMark/>
          </w:tcPr>
          <w:p w14:paraId="41D8FF4C" w14:textId="4492DB1D"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(112)</w:t>
            </w:r>
          </w:p>
        </w:tc>
        <w:tc>
          <w:tcPr>
            <w:tcW w:w="1060" w:type="dxa"/>
            <w:tcBorders>
              <w:top w:val="nil"/>
              <w:left w:val="nil"/>
              <w:bottom w:val="nil"/>
              <w:right w:val="nil"/>
            </w:tcBorders>
            <w:shd w:val="clear" w:color="000000" w:fill="auto"/>
            <w:noWrap/>
            <w:hideMark/>
          </w:tcPr>
          <w:p w14:paraId="3CC6D882" w14:textId="50ECC618"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(1 461)</w:t>
            </w:r>
          </w:p>
        </w:tc>
        <w:tc>
          <w:tcPr>
            <w:tcW w:w="999" w:type="dxa"/>
            <w:tcBorders>
              <w:top w:val="nil"/>
              <w:left w:val="nil"/>
              <w:bottom w:val="nil"/>
              <w:right w:val="nil"/>
            </w:tcBorders>
            <w:shd w:val="clear" w:color="000000" w:fill="auto"/>
            <w:noWrap/>
            <w:vAlign w:val="bottom"/>
            <w:hideMark/>
          </w:tcPr>
          <w:p w14:paraId="336CBB29" w14:textId="77777777" w:rsidR="00E062C2" w:rsidRPr="005269E6" w:rsidRDefault="00E062C2" w:rsidP="00CC3169">
            <w:pPr>
              <w:tabs>
                <w:tab w:val="clear" w:pos="794"/>
              </w:tabs>
              <w:spacing w:before="40" w:after="40" w:line="240" w:lineRule="exact"/>
              <w:jc w:val="left"/>
              <w:rPr>
                <w:rFonts w:eastAsia="Times New Roman"/>
                <w:sz w:val="18"/>
                <w:szCs w:val="18"/>
                <w:lang w:val="en-GB" w:eastAsia="en-GB"/>
              </w:rPr>
            </w:pPr>
          </w:p>
        </w:tc>
        <w:tc>
          <w:tcPr>
            <w:tcW w:w="1597" w:type="dxa"/>
            <w:tcBorders>
              <w:top w:val="nil"/>
              <w:left w:val="nil"/>
              <w:bottom w:val="nil"/>
              <w:right w:val="nil"/>
            </w:tcBorders>
            <w:shd w:val="clear" w:color="000000" w:fill="auto"/>
            <w:noWrap/>
            <w:vAlign w:val="bottom"/>
            <w:hideMark/>
          </w:tcPr>
          <w:p w14:paraId="6D54D5C1" w14:textId="26786967"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(1 616)</w:t>
            </w:r>
          </w:p>
        </w:tc>
      </w:tr>
      <w:tr w:rsidR="00A62E6F" w:rsidRPr="005269E6" w14:paraId="27D2A28F" w14:textId="77777777" w:rsidTr="004C39BB">
        <w:trPr>
          <w:trHeight w:val="255"/>
        </w:trPr>
        <w:tc>
          <w:tcPr>
            <w:tcW w:w="3096" w:type="dxa"/>
            <w:tcBorders>
              <w:top w:val="nil"/>
              <w:left w:val="nil"/>
              <w:bottom w:val="nil"/>
              <w:right w:val="nil"/>
            </w:tcBorders>
            <w:shd w:val="clear" w:color="000000" w:fill="auto"/>
            <w:hideMark/>
          </w:tcPr>
          <w:p w14:paraId="1446A4A0" w14:textId="51AE8596" w:rsidR="00A62E6F" w:rsidRPr="005269E6" w:rsidRDefault="00E062C2" w:rsidP="00E062C2">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إعادة التصنيف والتصويبات</w:t>
            </w:r>
          </w:p>
        </w:tc>
        <w:tc>
          <w:tcPr>
            <w:tcW w:w="998" w:type="dxa"/>
            <w:tcBorders>
              <w:top w:val="nil"/>
              <w:left w:val="nil"/>
              <w:bottom w:val="nil"/>
              <w:right w:val="nil"/>
            </w:tcBorders>
            <w:shd w:val="clear" w:color="000000" w:fill="auto"/>
            <w:noWrap/>
            <w:hideMark/>
          </w:tcPr>
          <w:p w14:paraId="75263F20" w14:textId="7470505C" w:rsidR="00A62E6F" w:rsidRPr="005269E6" w:rsidRDefault="00A62E6F"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1 219 </w:t>
            </w:r>
          </w:p>
        </w:tc>
        <w:tc>
          <w:tcPr>
            <w:tcW w:w="998" w:type="dxa"/>
            <w:tcBorders>
              <w:top w:val="nil"/>
              <w:left w:val="nil"/>
              <w:bottom w:val="nil"/>
              <w:right w:val="nil"/>
            </w:tcBorders>
            <w:shd w:val="clear" w:color="000000" w:fill="auto"/>
            <w:noWrap/>
            <w:hideMark/>
          </w:tcPr>
          <w:p w14:paraId="5750A6E2" w14:textId="77777777" w:rsidR="00A62E6F" w:rsidRPr="005269E6" w:rsidRDefault="00A62E6F" w:rsidP="00CC3169">
            <w:pPr>
              <w:tabs>
                <w:tab w:val="clear" w:pos="794"/>
              </w:tabs>
              <w:spacing w:before="40" w:after="40" w:line="240" w:lineRule="exact"/>
              <w:jc w:val="left"/>
              <w:rPr>
                <w:rFonts w:eastAsia="Times New Roman"/>
                <w:sz w:val="18"/>
                <w:szCs w:val="18"/>
                <w:lang w:val="en-GB" w:eastAsia="en-GB"/>
              </w:rPr>
            </w:pPr>
          </w:p>
        </w:tc>
        <w:tc>
          <w:tcPr>
            <w:tcW w:w="999" w:type="dxa"/>
            <w:tcBorders>
              <w:top w:val="nil"/>
              <w:left w:val="nil"/>
              <w:bottom w:val="nil"/>
              <w:right w:val="nil"/>
            </w:tcBorders>
            <w:shd w:val="clear" w:color="000000" w:fill="auto"/>
            <w:noWrap/>
            <w:hideMark/>
          </w:tcPr>
          <w:p w14:paraId="4C1F1A78" w14:textId="77777777" w:rsidR="00A62E6F" w:rsidRPr="005269E6" w:rsidRDefault="00A62E6F" w:rsidP="00CC3169">
            <w:pPr>
              <w:tabs>
                <w:tab w:val="clear" w:pos="794"/>
              </w:tabs>
              <w:spacing w:before="40" w:after="40" w:line="240" w:lineRule="exact"/>
              <w:jc w:val="left"/>
              <w:rPr>
                <w:rFonts w:eastAsia="Times New Roman"/>
                <w:sz w:val="18"/>
                <w:szCs w:val="18"/>
                <w:lang w:val="en-GB" w:eastAsia="en-GB"/>
              </w:rPr>
            </w:pPr>
          </w:p>
        </w:tc>
        <w:tc>
          <w:tcPr>
            <w:tcW w:w="1060" w:type="dxa"/>
            <w:tcBorders>
              <w:top w:val="nil"/>
              <w:left w:val="nil"/>
              <w:bottom w:val="nil"/>
              <w:right w:val="nil"/>
            </w:tcBorders>
            <w:shd w:val="clear" w:color="000000" w:fill="auto"/>
            <w:noWrap/>
            <w:hideMark/>
          </w:tcPr>
          <w:p w14:paraId="60475CC9" w14:textId="77777777" w:rsidR="00A62E6F" w:rsidRPr="005269E6" w:rsidRDefault="00A62E6F" w:rsidP="00CC3169">
            <w:pPr>
              <w:tabs>
                <w:tab w:val="clear" w:pos="794"/>
              </w:tabs>
              <w:spacing w:before="40" w:after="40" w:line="240" w:lineRule="exact"/>
              <w:jc w:val="left"/>
              <w:rPr>
                <w:rFonts w:eastAsia="Times New Roman"/>
                <w:sz w:val="18"/>
                <w:szCs w:val="18"/>
                <w:lang w:val="en-GB" w:eastAsia="en-GB"/>
              </w:rPr>
            </w:pPr>
          </w:p>
        </w:tc>
        <w:tc>
          <w:tcPr>
            <w:tcW w:w="999" w:type="dxa"/>
            <w:tcBorders>
              <w:top w:val="nil"/>
              <w:left w:val="nil"/>
              <w:bottom w:val="nil"/>
              <w:right w:val="nil"/>
            </w:tcBorders>
            <w:shd w:val="clear" w:color="000000" w:fill="auto"/>
            <w:noWrap/>
            <w:vAlign w:val="bottom"/>
            <w:hideMark/>
          </w:tcPr>
          <w:p w14:paraId="2CBF7A24" w14:textId="77777777" w:rsidR="00A62E6F" w:rsidRPr="005269E6" w:rsidRDefault="00A62E6F" w:rsidP="00CC3169">
            <w:pPr>
              <w:tabs>
                <w:tab w:val="clear" w:pos="794"/>
              </w:tabs>
              <w:spacing w:before="40" w:after="40" w:line="240" w:lineRule="exact"/>
              <w:jc w:val="left"/>
              <w:rPr>
                <w:rFonts w:eastAsia="Times New Roman"/>
                <w:sz w:val="18"/>
                <w:szCs w:val="18"/>
                <w:lang w:val="en-GB" w:eastAsia="en-GB"/>
              </w:rPr>
            </w:pPr>
          </w:p>
        </w:tc>
        <w:tc>
          <w:tcPr>
            <w:tcW w:w="1597" w:type="dxa"/>
            <w:tcBorders>
              <w:top w:val="nil"/>
              <w:left w:val="nil"/>
              <w:bottom w:val="nil"/>
              <w:right w:val="nil"/>
            </w:tcBorders>
            <w:shd w:val="clear" w:color="000000" w:fill="auto"/>
            <w:noWrap/>
            <w:vAlign w:val="bottom"/>
            <w:hideMark/>
          </w:tcPr>
          <w:p w14:paraId="48BD78DD" w14:textId="13C7BF41" w:rsidR="00A62E6F" w:rsidRPr="005269E6" w:rsidRDefault="00A62E6F" w:rsidP="00CC316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1 219 </w:t>
            </w:r>
          </w:p>
        </w:tc>
      </w:tr>
      <w:tr w:rsidR="00A62E6F" w:rsidRPr="005269E6" w14:paraId="07773AD2" w14:textId="77777777" w:rsidTr="004C39BB">
        <w:trPr>
          <w:trHeight w:val="255"/>
        </w:trPr>
        <w:tc>
          <w:tcPr>
            <w:tcW w:w="3096" w:type="dxa"/>
            <w:tcBorders>
              <w:top w:val="nil"/>
              <w:left w:val="nil"/>
              <w:bottom w:val="nil"/>
              <w:right w:val="nil"/>
            </w:tcBorders>
            <w:shd w:val="clear" w:color="000000" w:fill="auto"/>
            <w:hideMark/>
          </w:tcPr>
          <w:p w14:paraId="56B30D7B" w14:textId="45AE7139" w:rsidR="00A62E6F" w:rsidRPr="005269E6" w:rsidRDefault="00E062C2" w:rsidP="00E062C2">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إعادة التقييم</w:t>
            </w:r>
          </w:p>
        </w:tc>
        <w:tc>
          <w:tcPr>
            <w:tcW w:w="998" w:type="dxa"/>
            <w:tcBorders>
              <w:top w:val="nil"/>
              <w:left w:val="nil"/>
              <w:bottom w:val="nil"/>
              <w:right w:val="nil"/>
            </w:tcBorders>
            <w:shd w:val="clear" w:color="000000" w:fill="auto"/>
            <w:noWrap/>
            <w:hideMark/>
          </w:tcPr>
          <w:p w14:paraId="2E19171A" w14:textId="77777777" w:rsidR="00A62E6F" w:rsidRPr="005269E6" w:rsidRDefault="00A62E6F" w:rsidP="00CC3169">
            <w:pPr>
              <w:tabs>
                <w:tab w:val="clear" w:pos="794"/>
              </w:tabs>
              <w:spacing w:before="40" w:after="40" w:line="240" w:lineRule="exact"/>
              <w:jc w:val="left"/>
              <w:rPr>
                <w:rFonts w:eastAsia="Times New Roman"/>
                <w:color w:val="000000"/>
                <w:sz w:val="18"/>
                <w:szCs w:val="18"/>
                <w:lang w:val="en-GB" w:eastAsia="en-GB"/>
              </w:rPr>
            </w:pPr>
          </w:p>
        </w:tc>
        <w:tc>
          <w:tcPr>
            <w:tcW w:w="998" w:type="dxa"/>
            <w:tcBorders>
              <w:top w:val="nil"/>
              <w:left w:val="nil"/>
              <w:bottom w:val="nil"/>
              <w:right w:val="nil"/>
            </w:tcBorders>
            <w:shd w:val="clear" w:color="000000" w:fill="auto"/>
            <w:noWrap/>
            <w:hideMark/>
          </w:tcPr>
          <w:p w14:paraId="13981E1C" w14:textId="77777777" w:rsidR="00A62E6F" w:rsidRPr="005269E6" w:rsidRDefault="00A62E6F" w:rsidP="00CC3169">
            <w:pPr>
              <w:tabs>
                <w:tab w:val="clear" w:pos="794"/>
              </w:tabs>
              <w:spacing w:before="40" w:after="40" w:line="240" w:lineRule="exact"/>
              <w:jc w:val="left"/>
              <w:rPr>
                <w:rFonts w:eastAsia="Times New Roman"/>
                <w:sz w:val="18"/>
                <w:szCs w:val="18"/>
                <w:lang w:val="en-GB" w:eastAsia="en-GB"/>
              </w:rPr>
            </w:pPr>
          </w:p>
        </w:tc>
        <w:tc>
          <w:tcPr>
            <w:tcW w:w="999" w:type="dxa"/>
            <w:tcBorders>
              <w:top w:val="nil"/>
              <w:left w:val="nil"/>
              <w:bottom w:val="nil"/>
              <w:right w:val="nil"/>
            </w:tcBorders>
            <w:shd w:val="clear" w:color="000000" w:fill="auto"/>
            <w:noWrap/>
            <w:hideMark/>
          </w:tcPr>
          <w:p w14:paraId="4DC7CD98" w14:textId="77777777" w:rsidR="00A62E6F" w:rsidRPr="005269E6" w:rsidRDefault="00A62E6F" w:rsidP="00CC3169">
            <w:pPr>
              <w:tabs>
                <w:tab w:val="clear" w:pos="794"/>
              </w:tabs>
              <w:spacing w:before="40" w:after="40" w:line="240" w:lineRule="exact"/>
              <w:jc w:val="left"/>
              <w:rPr>
                <w:rFonts w:eastAsia="Times New Roman"/>
                <w:sz w:val="18"/>
                <w:szCs w:val="18"/>
                <w:lang w:val="en-GB" w:eastAsia="en-GB"/>
              </w:rPr>
            </w:pPr>
          </w:p>
        </w:tc>
        <w:tc>
          <w:tcPr>
            <w:tcW w:w="1060" w:type="dxa"/>
            <w:tcBorders>
              <w:top w:val="nil"/>
              <w:left w:val="nil"/>
              <w:bottom w:val="nil"/>
              <w:right w:val="nil"/>
            </w:tcBorders>
            <w:shd w:val="clear" w:color="000000" w:fill="auto"/>
            <w:noWrap/>
            <w:hideMark/>
          </w:tcPr>
          <w:p w14:paraId="05272D9E" w14:textId="77777777" w:rsidR="00A62E6F" w:rsidRPr="005269E6" w:rsidRDefault="00A62E6F" w:rsidP="00CC3169">
            <w:pPr>
              <w:tabs>
                <w:tab w:val="clear" w:pos="794"/>
              </w:tabs>
              <w:spacing w:before="40" w:after="40" w:line="240" w:lineRule="exact"/>
              <w:jc w:val="left"/>
              <w:rPr>
                <w:rFonts w:eastAsia="Times New Roman"/>
                <w:sz w:val="18"/>
                <w:szCs w:val="18"/>
                <w:lang w:val="en-GB" w:eastAsia="en-GB"/>
              </w:rPr>
            </w:pPr>
          </w:p>
        </w:tc>
        <w:tc>
          <w:tcPr>
            <w:tcW w:w="999" w:type="dxa"/>
            <w:tcBorders>
              <w:top w:val="nil"/>
              <w:left w:val="nil"/>
              <w:bottom w:val="nil"/>
              <w:right w:val="nil"/>
            </w:tcBorders>
            <w:shd w:val="clear" w:color="000000" w:fill="auto"/>
            <w:noWrap/>
            <w:vAlign w:val="bottom"/>
            <w:hideMark/>
          </w:tcPr>
          <w:p w14:paraId="4B0DC15E" w14:textId="77777777" w:rsidR="00A62E6F" w:rsidRPr="005269E6" w:rsidRDefault="00A62E6F" w:rsidP="00CC3169">
            <w:pPr>
              <w:tabs>
                <w:tab w:val="clear" w:pos="794"/>
              </w:tabs>
              <w:spacing w:before="40" w:after="40" w:line="240" w:lineRule="exact"/>
              <w:jc w:val="left"/>
              <w:rPr>
                <w:rFonts w:eastAsia="Times New Roman"/>
                <w:sz w:val="18"/>
                <w:szCs w:val="18"/>
                <w:lang w:val="en-GB" w:eastAsia="en-GB"/>
              </w:rPr>
            </w:pPr>
          </w:p>
        </w:tc>
        <w:tc>
          <w:tcPr>
            <w:tcW w:w="1597" w:type="dxa"/>
            <w:tcBorders>
              <w:top w:val="nil"/>
              <w:left w:val="nil"/>
              <w:bottom w:val="nil"/>
              <w:right w:val="nil"/>
            </w:tcBorders>
            <w:shd w:val="clear" w:color="000000" w:fill="auto"/>
            <w:noWrap/>
            <w:vAlign w:val="bottom"/>
            <w:hideMark/>
          </w:tcPr>
          <w:p w14:paraId="69C00B1D" w14:textId="7100CE64" w:rsidR="00A62E6F" w:rsidRPr="005269E6" w:rsidRDefault="00A62E6F" w:rsidP="00CC316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r>
      <w:tr w:rsidR="00A62E6F" w:rsidRPr="005269E6" w14:paraId="7D0F3C9A" w14:textId="77777777" w:rsidTr="004C39BB">
        <w:trPr>
          <w:trHeight w:val="255"/>
        </w:trPr>
        <w:tc>
          <w:tcPr>
            <w:tcW w:w="3096" w:type="dxa"/>
            <w:tcBorders>
              <w:top w:val="nil"/>
              <w:left w:val="nil"/>
              <w:bottom w:val="nil"/>
              <w:right w:val="nil"/>
            </w:tcBorders>
            <w:shd w:val="clear" w:color="000000" w:fill="auto"/>
            <w:vAlign w:val="center"/>
            <w:hideMark/>
          </w:tcPr>
          <w:p w14:paraId="04183141" w14:textId="098C0EFC" w:rsidR="00A62E6F" w:rsidRPr="005269E6" w:rsidRDefault="00E062C2" w:rsidP="00A62E6F">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التكلفة في 31 ديسمبر 2021</w:t>
            </w:r>
          </w:p>
        </w:tc>
        <w:tc>
          <w:tcPr>
            <w:tcW w:w="998" w:type="dxa"/>
            <w:tcBorders>
              <w:top w:val="nil"/>
              <w:left w:val="nil"/>
              <w:bottom w:val="nil"/>
              <w:right w:val="nil"/>
            </w:tcBorders>
            <w:shd w:val="clear" w:color="000000" w:fill="auto"/>
            <w:noWrap/>
            <w:vAlign w:val="center"/>
            <w:hideMark/>
          </w:tcPr>
          <w:p w14:paraId="2F264F79" w14:textId="46FAD1DB" w:rsidR="00A62E6F" w:rsidRPr="005269E6" w:rsidRDefault="00A62E6F"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126 338 </w:t>
            </w:r>
          </w:p>
        </w:tc>
        <w:tc>
          <w:tcPr>
            <w:tcW w:w="998" w:type="dxa"/>
            <w:tcBorders>
              <w:top w:val="nil"/>
              <w:left w:val="nil"/>
              <w:bottom w:val="nil"/>
              <w:right w:val="nil"/>
            </w:tcBorders>
            <w:shd w:val="clear" w:color="000000" w:fill="auto"/>
            <w:noWrap/>
            <w:vAlign w:val="center"/>
            <w:hideMark/>
          </w:tcPr>
          <w:p w14:paraId="6BC3AC05" w14:textId="1F519E65" w:rsidR="00A62E6F" w:rsidRPr="005269E6" w:rsidRDefault="00A62E6F"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2 112 </w:t>
            </w:r>
          </w:p>
        </w:tc>
        <w:tc>
          <w:tcPr>
            <w:tcW w:w="999" w:type="dxa"/>
            <w:tcBorders>
              <w:top w:val="nil"/>
              <w:left w:val="nil"/>
              <w:bottom w:val="nil"/>
              <w:right w:val="nil"/>
            </w:tcBorders>
            <w:shd w:val="clear" w:color="000000" w:fill="auto"/>
            <w:noWrap/>
            <w:vAlign w:val="center"/>
            <w:hideMark/>
          </w:tcPr>
          <w:p w14:paraId="4CAB3E91" w14:textId="19364862" w:rsidR="00A62E6F" w:rsidRPr="005269E6" w:rsidRDefault="00A62E6F"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1 394 </w:t>
            </w:r>
          </w:p>
        </w:tc>
        <w:tc>
          <w:tcPr>
            <w:tcW w:w="1060" w:type="dxa"/>
            <w:tcBorders>
              <w:top w:val="nil"/>
              <w:left w:val="nil"/>
              <w:bottom w:val="nil"/>
              <w:right w:val="nil"/>
            </w:tcBorders>
            <w:shd w:val="clear" w:color="000000" w:fill="auto"/>
            <w:noWrap/>
            <w:vAlign w:val="center"/>
            <w:hideMark/>
          </w:tcPr>
          <w:p w14:paraId="608C192A" w14:textId="52839A36" w:rsidR="00A62E6F" w:rsidRPr="005269E6" w:rsidRDefault="00A62E6F"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8 803 </w:t>
            </w:r>
          </w:p>
        </w:tc>
        <w:tc>
          <w:tcPr>
            <w:tcW w:w="999" w:type="dxa"/>
            <w:tcBorders>
              <w:top w:val="nil"/>
              <w:left w:val="nil"/>
              <w:bottom w:val="nil"/>
              <w:right w:val="nil"/>
            </w:tcBorders>
            <w:shd w:val="clear" w:color="000000" w:fill="auto"/>
            <w:noWrap/>
            <w:vAlign w:val="center"/>
            <w:hideMark/>
          </w:tcPr>
          <w:p w14:paraId="79AE4DF3" w14:textId="1DBFF5D1" w:rsidR="00A62E6F" w:rsidRPr="005269E6" w:rsidRDefault="00A62E6F"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296 </w:t>
            </w:r>
          </w:p>
        </w:tc>
        <w:tc>
          <w:tcPr>
            <w:tcW w:w="1597" w:type="dxa"/>
            <w:tcBorders>
              <w:top w:val="nil"/>
              <w:left w:val="nil"/>
              <w:bottom w:val="nil"/>
              <w:right w:val="nil"/>
            </w:tcBorders>
            <w:shd w:val="clear" w:color="000000" w:fill="auto"/>
            <w:noWrap/>
            <w:vAlign w:val="center"/>
            <w:hideMark/>
          </w:tcPr>
          <w:p w14:paraId="2EF1607C" w14:textId="6846117D" w:rsidR="00A62E6F" w:rsidRPr="005269E6" w:rsidRDefault="00A62E6F"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138 943 </w:t>
            </w:r>
          </w:p>
        </w:tc>
      </w:tr>
      <w:tr w:rsidR="00A62E6F" w:rsidRPr="005269E6" w14:paraId="26C462FA" w14:textId="77777777" w:rsidTr="004C39BB">
        <w:trPr>
          <w:trHeight w:val="405"/>
        </w:trPr>
        <w:tc>
          <w:tcPr>
            <w:tcW w:w="3096" w:type="dxa"/>
            <w:tcBorders>
              <w:top w:val="nil"/>
              <w:left w:val="nil"/>
              <w:bottom w:val="nil"/>
              <w:right w:val="nil"/>
            </w:tcBorders>
            <w:shd w:val="clear" w:color="000000" w:fill="auto"/>
            <w:vAlign w:val="center"/>
            <w:hideMark/>
          </w:tcPr>
          <w:p w14:paraId="4C94CBB1" w14:textId="77777777" w:rsidR="00A62E6F" w:rsidRPr="005269E6" w:rsidRDefault="00A62E6F" w:rsidP="00A62E6F">
            <w:pPr>
              <w:tabs>
                <w:tab w:val="clear" w:pos="794"/>
              </w:tabs>
              <w:spacing w:before="0" w:line="200" w:lineRule="exact"/>
              <w:jc w:val="center"/>
              <w:rPr>
                <w:rFonts w:eastAsia="Times New Roman"/>
                <w:b/>
                <w:bCs/>
                <w:color w:val="000000"/>
                <w:sz w:val="18"/>
                <w:szCs w:val="18"/>
                <w:lang w:val="en-GB" w:eastAsia="en-GB"/>
              </w:rPr>
            </w:pPr>
          </w:p>
        </w:tc>
        <w:tc>
          <w:tcPr>
            <w:tcW w:w="998" w:type="dxa"/>
            <w:tcBorders>
              <w:top w:val="nil"/>
              <w:left w:val="nil"/>
              <w:bottom w:val="nil"/>
              <w:right w:val="nil"/>
            </w:tcBorders>
            <w:shd w:val="clear" w:color="000000" w:fill="auto"/>
            <w:noWrap/>
            <w:vAlign w:val="center"/>
            <w:hideMark/>
          </w:tcPr>
          <w:p w14:paraId="035726F0" w14:textId="77777777" w:rsidR="00A62E6F" w:rsidRPr="005269E6" w:rsidRDefault="00A62E6F" w:rsidP="00CC3169">
            <w:pPr>
              <w:tabs>
                <w:tab w:val="clear" w:pos="794"/>
              </w:tabs>
              <w:spacing w:before="0" w:line="200" w:lineRule="exact"/>
              <w:jc w:val="left"/>
              <w:rPr>
                <w:rFonts w:eastAsia="Times New Roman"/>
                <w:b/>
                <w:bCs/>
                <w:color w:val="000000"/>
                <w:sz w:val="18"/>
                <w:szCs w:val="18"/>
                <w:lang w:val="en-GB" w:eastAsia="en-GB"/>
              </w:rPr>
            </w:pPr>
          </w:p>
        </w:tc>
        <w:tc>
          <w:tcPr>
            <w:tcW w:w="998" w:type="dxa"/>
            <w:tcBorders>
              <w:top w:val="nil"/>
              <w:left w:val="nil"/>
              <w:bottom w:val="nil"/>
              <w:right w:val="nil"/>
            </w:tcBorders>
            <w:shd w:val="clear" w:color="000000" w:fill="auto"/>
            <w:noWrap/>
            <w:vAlign w:val="center"/>
            <w:hideMark/>
          </w:tcPr>
          <w:p w14:paraId="417D6C4D" w14:textId="77777777" w:rsidR="00A62E6F" w:rsidRPr="005269E6" w:rsidRDefault="00A62E6F" w:rsidP="00CC3169">
            <w:pPr>
              <w:tabs>
                <w:tab w:val="clear" w:pos="794"/>
              </w:tabs>
              <w:spacing w:before="0" w:line="200" w:lineRule="exact"/>
              <w:jc w:val="left"/>
              <w:rPr>
                <w:rFonts w:eastAsia="Times New Roman"/>
                <w:b/>
                <w:bCs/>
                <w:color w:val="000000"/>
                <w:sz w:val="18"/>
                <w:szCs w:val="18"/>
                <w:lang w:val="en-GB" w:eastAsia="en-GB"/>
              </w:rPr>
            </w:pPr>
          </w:p>
        </w:tc>
        <w:tc>
          <w:tcPr>
            <w:tcW w:w="999" w:type="dxa"/>
            <w:tcBorders>
              <w:top w:val="nil"/>
              <w:left w:val="nil"/>
              <w:bottom w:val="nil"/>
              <w:right w:val="nil"/>
            </w:tcBorders>
            <w:shd w:val="clear" w:color="000000" w:fill="auto"/>
            <w:noWrap/>
            <w:vAlign w:val="center"/>
            <w:hideMark/>
          </w:tcPr>
          <w:p w14:paraId="03B098C6" w14:textId="77777777" w:rsidR="00A62E6F" w:rsidRPr="005269E6" w:rsidRDefault="00A62E6F" w:rsidP="00CC3169">
            <w:pPr>
              <w:tabs>
                <w:tab w:val="clear" w:pos="794"/>
              </w:tabs>
              <w:spacing w:before="0" w:line="200" w:lineRule="exact"/>
              <w:jc w:val="left"/>
              <w:rPr>
                <w:rFonts w:eastAsia="Times New Roman"/>
                <w:b/>
                <w:bCs/>
                <w:color w:val="000000"/>
                <w:sz w:val="18"/>
                <w:szCs w:val="18"/>
                <w:lang w:val="en-GB" w:eastAsia="en-GB"/>
              </w:rPr>
            </w:pPr>
          </w:p>
        </w:tc>
        <w:tc>
          <w:tcPr>
            <w:tcW w:w="1060" w:type="dxa"/>
            <w:tcBorders>
              <w:top w:val="nil"/>
              <w:left w:val="nil"/>
              <w:bottom w:val="nil"/>
              <w:right w:val="nil"/>
            </w:tcBorders>
            <w:shd w:val="clear" w:color="000000" w:fill="auto"/>
            <w:noWrap/>
            <w:vAlign w:val="center"/>
            <w:hideMark/>
          </w:tcPr>
          <w:p w14:paraId="28E18C65" w14:textId="77777777" w:rsidR="00A62E6F" w:rsidRPr="005269E6" w:rsidRDefault="00A62E6F" w:rsidP="00CC3169">
            <w:pPr>
              <w:tabs>
                <w:tab w:val="clear" w:pos="794"/>
              </w:tabs>
              <w:spacing w:before="0" w:line="200" w:lineRule="exact"/>
              <w:jc w:val="left"/>
              <w:rPr>
                <w:rFonts w:eastAsia="Times New Roman"/>
                <w:b/>
                <w:bCs/>
                <w:color w:val="000000"/>
                <w:sz w:val="18"/>
                <w:szCs w:val="18"/>
                <w:lang w:val="en-GB" w:eastAsia="en-GB"/>
              </w:rPr>
            </w:pPr>
          </w:p>
        </w:tc>
        <w:tc>
          <w:tcPr>
            <w:tcW w:w="999" w:type="dxa"/>
            <w:tcBorders>
              <w:top w:val="nil"/>
              <w:left w:val="nil"/>
              <w:bottom w:val="nil"/>
              <w:right w:val="nil"/>
            </w:tcBorders>
            <w:shd w:val="clear" w:color="000000" w:fill="auto"/>
            <w:noWrap/>
            <w:vAlign w:val="center"/>
            <w:hideMark/>
          </w:tcPr>
          <w:p w14:paraId="6FD3B576" w14:textId="77777777" w:rsidR="00A62E6F" w:rsidRPr="005269E6" w:rsidRDefault="00A62E6F" w:rsidP="00CC3169">
            <w:pPr>
              <w:tabs>
                <w:tab w:val="clear" w:pos="794"/>
              </w:tabs>
              <w:spacing w:before="0" w:line="200" w:lineRule="exact"/>
              <w:jc w:val="left"/>
              <w:rPr>
                <w:rFonts w:eastAsia="Times New Roman"/>
                <w:b/>
                <w:bCs/>
                <w:color w:val="000000"/>
                <w:sz w:val="18"/>
                <w:szCs w:val="18"/>
                <w:lang w:val="en-GB" w:eastAsia="en-GB"/>
              </w:rPr>
            </w:pPr>
          </w:p>
        </w:tc>
        <w:tc>
          <w:tcPr>
            <w:tcW w:w="1597" w:type="dxa"/>
            <w:tcBorders>
              <w:top w:val="nil"/>
              <w:left w:val="nil"/>
              <w:bottom w:val="nil"/>
              <w:right w:val="nil"/>
            </w:tcBorders>
            <w:shd w:val="clear" w:color="000000" w:fill="auto"/>
            <w:noWrap/>
            <w:vAlign w:val="center"/>
            <w:hideMark/>
          </w:tcPr>
          <w:p w14:paraId="27E5679B" w14:textId="77777777" w:rsidR="00A62E6F" w:rsidRPr="005269E6" w:rsidRDefault="00A62E6F" w:rsidP="00CC3169">
            <w:pPr>
              <w:tabs>
                <w:tab w:val="clear" w:pos="794"/>
              </w:tabs>
              <w:spacing w:before="0" w:line="200" w:lineRule="exact"/>
              <w:jc w:val="left"/>
              <w:rPr>
                <w:rFonts w:eastAsia="Times New Roman"/>
                <w:b/>
                <w:bCs/>
                <w:color w:val="000000"/>
                <w:sz w:val="18"/>
                <w:szCs w:val="18"/>
                <w:lang w:val="en-GB" w:eastAsia="en-GB"/>
              </w:rPr>
            </w:pPr>
          </w:p>
        </w:tc>
      </w:tr>
      <w:tr w:rsidR="00E062C2" w:rsidRPr="005269E6" w14:paraId="20AB4757" w14:textId="77777777" w:rsidTr="004C39BB">
        <w:trPr>
          <w:trHeight w:val="405"/>
        </w:trPr>
        <w:tc>
          <w:tcPr>
            <w:tcW w:w="3096" w:type="dxa"/>
            <w:tcBorders>
              <w:top w:val="nil"/>
              <w:left w:val="nil"/>
              <w:bottom w:val="nil"/>
              <w:right w:val="nil"/>
            </w:tcBorders>
            <w:shd w:val="clear" w:color="000000" w:fill="auto"/>
            <w:vAlign w:val="center"/>
            <w:hideMark/>
          </w:tcPr>
          <w:p w14:paraId="5715D71A" w14:textId="11B7ADFB" w:rsidR="00E062C2" w:rsidRPr="005269E6" w:rsidRDefault="00E062C2" w:rsidP="00E062C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الاستهلاك المتراكم في 1 يناير 2021</w:t>
            </w:r>
          </w:p>
        </w:tc>
        <w:tc>
          <w:tcPr>
            <w:tcW w:w="998" w:type="dxa"/>
            <w:tcBorders>
              <w:top w:val="nil"/>
              <w:left w:val="nil"/>
              <w:bottom w:val="nil"/>
              <w:right w:val="nil"/>
            </w:tcBorders>
            <w:shd w:val="clear" w:color="000000" w:fill="auto"/>
            <w:noWrap/>
            <w:vAlign w:val="center"/>
            <w:hideMark/>
          </w:tcPr>
          <w:p w14:paraId="7BE9E8D1" w14:textId="6319DBF3"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48 084 </w:t>
            </w:r>
          </w:p>
        </w:tc>
        <w:tc>
          <w:tcPr>
            <w:tcW w:w="998" w:type="dxa"/>
            <w:tcBorders>
              <w:top w:val="nil"/>
              <w:left w:val="nil"/>
              <w:bottom w:val="nil"/>
              <w:right w:val="nil"/>
            </w:tcBorders>
            <w:shd w:val="clear" w:color="000000" w:fill="auto"/>
            <w:noWrap/>
            <w:vAlign w:val="center"/>
            <w:hideMark/>
          </w:tcPr>
          <w:p w14:paraId="57959B1A" w14:textId="7217D68F"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1 989 </w:t>
            </w:r>
          </w:p>
        </w:tc>
        <w:tc>
          <w:tcPr>
            <w:tcW w:w="999" w:type="dxa"/>
            <w:tcBorders>
              <w:top w:val="nil"/>
              <w:left w:val="nil"/>
              <w:bottom w:val="nil"/>
              <w:right w:val="nil"/>
            </w:tcBorders>
            <w:shd w:val="clear" w:color="000000" w:fill="auto"/>
            <w:noWrap/>
            <w:vAlign w:val="center"/>
            <w:hideMark/>
          </w:tcPr>
          <w:p w14:paraId="216C13FB" w14:textId="178F31A0"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1 449 </w:t>
            </w:r>
          </w:p>
        </w:tc>
        <w:tc>
          <w:tcPr>
            <w:tcW w:w="1060" w:type="dxa"/>
            <w:tcBorders>
              <w:top w:val="nil"/>
              <w:left w:val="nil"/>
              <w:bottom w:val="nil"/>
              <w:right w:val="nil"/>
            </w:tcBorders>
            <w:shd w:val="clear" w:color="000000" w:fill="auto"/>
            <w:noWrap/>
            <w:vAlign w:val="center"/>
            <w:hideMark/>
          </w:tcPr>
          <w:p w14:paraId="4A474E5D" w14:textId="6B6F7C66"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8 582 </w:t>
            </w:r>
          </w:p>
        </w:tc>
        <w:tc>
          <w:tcPr>
            <w:tcW w:w="999" w:type="dxa"/>
            <w:tcBorders>
              <w:top w:val="nil"/>
              <w:left w:val="nil"/>
              <w:bottom w:val="nil"/>
              <w:right w:val="nil"/>
            </w:tcBorders>
            <w:shd w:val="clear" w:color="000000" w:fill="auto"/>
            <w:noWrap/>
            <w:vAlign w:val="center"/>
            <w:hideMark/>
          </w:tcPr>
          <w:p w14:paraId="2C9618E2" w14:textId="2F043484"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203 </w:t>
            </w:r>
          </w:p>
        </w:tc>
        <w:tc>
          <w:tcPr>
            <w:tcW w:w="1597" w:type="dxa"/>
            <w:tcBorders>
              <w:top w:val="nil"/>
              <w:left w:val="nil"/>
              <w:bottom w:val="nil"/>
              <w:right w:val="nil"/>
            </w:tcBorders>
            <w:shd w:val="clear" w:color="000000" w:fill="auto"/>
            <w:noWrap/>
            <w:vAlign w:val="center"/>
            <w:hideMark/>
          </w:tcPr>
          <w:p w14:paraId="15455A70" w14:textId="4F5F6F50"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60 307 </w:t>
            </w:r>
          </w:p>
        </w:tc>
      </w:tr>
      <w:tr w:rsidR="00E062C2" w:rsidRPr="005269E6" w14:paraId="052DD8EA" w14:textId="77777777" w:rsidTr="004C39BB">
        <w:trPr>
          <w:trHeight w:val="255"/>
        </w:trPr>
        <w:tc>
          <w:tcPr>
            <w:tcW w:w="3096" w:type="dxa"/>
            <w:tcBorders>
              <w:top w:val="nil"/>
              <w:left w:val="nil"/>
              <w:bottom w:val="nil"/>
              <w:right w:val="nil"/>
            </w:tcBorders>
            <w:shd w:val="clear" w:color="000000" w:fill="auto"/>
            <w:vAlign w:val="center"/>
            <w:hideMark/>
          </w:tcPr>
          <w:p w14:paraId="65DCA779" w14:textId="77777777" w:rsidR="00E062C2" w:rsidRPr="005269E6" w:rsidRDefault="00E062C2" w:rsidP="00E062C2">
            <w:pPr>
              <w:tabs>
                <w:tab w:val="clear" w:pos="794"/>
              </w:tabs>
              <w:spacing w:before="0" w:line="200" w:lineRule="exact"/>
              <w:jc w:val="center"/>
              <w:rPr>
                <w:rFonts w:eastAsia="Times New Roman"/>
                <w:b/>
                <w:bCs/>
                <w:color w:val="000000"/>
                <w:sz w:val="18"/>
                <w:szCs w:val="18"/>
                <w:lang w:val="en-GB" w:eastAsia="en-GB"/>
              </w:rPr>
            </w:pPr>
          </w:p>
        </w:tc>
        <w:tc>
          <w:tcPr>
            <w:tcW w:w="998" w:type="dxa"/>
            <w:tcBorders>
              <w:top w:val="nil"/>
              <w:left w:val="nil"/>
              <w:bottom w:val="nil"/>
              <w:right w:val="nil"/>
            </w:tcBorders>
            <w:shd w:val="clear" w:color="000000" w:fill="auto"/>
            <w:noWrap/>
            <w:vAlign w:val="center"/>
            <w:hideMark/>
          </w:tcPr>
          <w:p w14:paraId="5D11C91D" w14:textId="77777777" w:rsidR="00E062C2" w:rsidRPr="005269E6" w:rsidRDefault="00E062C2" w:rsidP="00CC3169">
            <w:pPr>
              <w:tabs>
                <w:tab w:val="clear" w:pos="794"/>
              </w:tabs>
              <w:spacing w:before="0" w:line="200" w:lineRule="exact"/>
              <w:jc w:val="left"/>
              <w:rPr>
                <w:rFonts w:eastAsia="Times New Roman"/>
                <w:b/>
                <w:bCs/>
                <w:color w:val="000000"/>
                <w:sz w:val="18"/>
                <w:szCs w:val="18"/>
                <w:lang w:val="en-GB" w:eastAsia="en-GB"/>
              </w:rPr>
            </w:pPr>
          </w:p>
        </w:tc>
        <w:tc>
          <w:tcPr>
            <w:tcW w:w="998" w:type="dxa"/>
            <w:tcBorders>
              <w:top w:val="nil"/>
              <w:left w:val="nil"/>
              <w:bottom w:val="nil"/>
              <w:right w:val="nil"/>
            </w:tcBorders>
            <w:shd w:val="clear" w:color="000000" w:fill="auto"/>
            <w:noWrap/>
            <w:vAlign w:val="center"/>
            <w:hideMark/>
          </w:tcPr>
          <w:p w14:paraId="0E5D368E" w14:textId="77777777" w:rsidR="00E062C2" w:rsidRPr="005269E6" w:rsidRDefault="00E062C2" w:rsidP="00CC3169">
            <w:pPr>
              <w:tabs>
                <w:tab w:val="clear" w:pos="794"/>
              </w:tabs>
              <w:spacing w:before="0" w:line="200" w:lineRule="exact"/>
              <w:jc w:val="left"/>
              <w:rPr>
                <w:rFonts w:eastAsia="Times New Roman"/>
                <w:b/>
                <w:bCs/>
                <w:color w:val="000000"/>
                <w:sz w:val="18"/>
                <w:szCs w:val="18"/>
                <w:lang w:val="en-GB" w:eastAsia="en-GB"/>
              </w:rPr>
            </w:pPr>
          </w:p>
        </w:tc>
        <w:tc>
          <w:tcPr>
            <w:tcW w:w="999" w:type="dxa"/>
            <w:tcBorders>
              <w:top w:val="nil"/>
              <w:left w:val="nil"/>
              <w:bottom w:val="nil"/>
              <w:right w:val="nil"/>
            </w:tcBorders>
            <w:shd w:val="clear" w:color="000000" w:fill="auto"/>
            <w:noWrap/>
            <w:vAlign w:val="center"/>
            <w:hideMark/>
          </w:tcPr>
          <w:p w14:paraId="290290F9" w14:textId="77777777" w:rsidR="00E062C2" w:rsidRPr="005269E6" w:rsidRDefault="00E062C2" w:rsidP="00CC3169">
            <w:pPr>
              <w:tabs>
                <w:tab w:val="clear" w:pos="794"/>
              </w:tabs>
              <w:spacing w:before="0" w:line="200" w:lineRule="exact"/>
              <w:jc w:val="left"/>
              <w:rPr>
                <w:rFonts w:eastAsia="Times New Roman"/>
                <w:b/>
                <w:bCs/>
                <w:color w:val="000000"/>
                <w:sz w:val="18"/>
                <w:szCs w:val="18"/>
                <w:lang w:val="en-GB" w:eastAsia="en-GB"/>
              </w:rPr>
            </w:pPr>
          </w:p>
        </w:tc>
        <w:tc>
          <w:tcPr>
            <w:tcW w:w="1060" w:type="dxa"/>
            <w:tcBorders>
              <w:top w:val="nil"/>
              <w:left w:val="nil"/>
              <w:bottom w:val="nil"/>
              <w:right w:val="nil"/>
            </w:tcBorders>
            <w:shd w:val="clear" w:color="000000" w:fill="auto"/>
            <w:noWrap/>
            <w:vAlign w:val="center"/>
            <w:hideMark/>
          </w:tcPr>
          <w:p w14:paraId="62805A73" w14:textId="77777777" w:rsidR="00E062C2" w:rsidRPr="005269E6" w:rsidRDefault="00E062C2" w:rsidP="00CC3169">
            <w:pPr>
              <w:tabs>
                <w:tab w:val="clear" w:pos="794"/>
              </w:tabs>
              <w:spacing w:before="0" w:line="200" w:lineRule="exact"/>
              <w:jc w:val="left"/>
              <w:rPr>
                <w:rFonts w:eastAsia="Times New Roman"/>
                <w:b/>
                <w:bCs/>
                <w:color w:val="000000"/>
                <w:sz w:val="18"/>
                <w:szCs w:val="18"/>
                <w:lang w:val="en-GB" w:eastAsia="en-GB"/>
              </w:rPr>
            </w:pPr>
          </w:p>
        </w:tc>
        <w:tc>
          <w:tcPr>
            <w:tcW w:w="999" w:type="dxa"/>
            <w:tcBorders>
              <w:top w:val="nil"/>
              <w:left w:val="nil"/>
              <w:bottom w:val="nil"/>
              <w:right w:val="nil"/>
            </w:tcBorders>
            <w:shd w:val="clear" w:color="000000" w:fill="auto"/>
            <w:noWrap/>
            <w:vAlign w:val="center"/>
            <w:hideMark/>
          </w:tcPr>
          <w:p w14:paraId="711ADE3E" w14:textId="77777777" w:rsidR="00E062C2" w:rsidRPr="005269E6" w:rsidRDefault="00E062C2" w:rsidP="00CC3169">
            <w:pPr>
              <w:tabs>
                <w:tab w:val="clear" w:pos="794"/>
              </w:tabs>
              <w:spacing w:before="0" w:line="200" w:lineRule="exact"/>
              <w:jc w:val="left"/>
              <w:rPr>
                <w:rFonts w:eastAsia="Times New Roman"/>
                <w:b/>
                <w:bCs/>
                <w:color w:val="000000"/>
                <w:sz w:val="18"/>
                <w:szCs w:val="18"/>
                <w:lang w:val="en-GB" w:eastAsia="en-GB"/>
              </w:rPr>
            </w:pPr>
          </w:p>
        </w:tc>
        <w:tc>
          <w:tcPr>
            <w:tcW w:w="1597" w:type="dxa"/>
            <w:tcBorders>
              <w:top w:val="nil"/>
              <w:left w:val="nil"/>
              <w:bottom w:val="nil"/>
              <w:right w:val="nil"/>
            </w:tcBorders>
            <w:shd w:val="clear" w:color="000000" w:fill="auto"/>
            <w:noWrap/>
            <w:vAlign w:val="center"/>
            <w:hideMark/>
          </w:tcPr>
          <w:p w14:paraId="2ECCE304" w14:textId="77777777" w:rsidR="00E062C2" w:rsidRPr="005269E6" w:rsidRDefault="00E062C2" w:rsidP="00CC3169">
            <w:pPr>
              <w:tabs>
                <w:tab w:val="clear" w:pos="794"/>
              </w:tabs>
              <w:spacing w:before="0" w:line="200" w:lineRule="exact"/>
              <w:jc w:val="left"/>
              <w:rPr>
                <w:rFonts w:eastAsia="Times New Roman"/>
                <w:b/>
                <w:bCs/>
                <w:color w:val="000000"/>
                <w:sz w:val="18"/>
                <w:szCs w:val="18"/>
                <w:lang w:val="en-GB" w:eastAsia="en-GB"/>
              </w:rPr>
            </w:pPr>
          </w:p>
        </w:tc>
      </w:tr>
      <w:tr w:rsidR="00E062C2" w:rsidRPr="005269E6" w14:paraId="65C974C6" w14:textId="77777777" w:rsidTr="004C39BB">
        <w:trPr>
          <w:trHeight w:val="255"/>
        </w:trPr>
        <w:tc>
          <w:tcPr>
            <w:tcW w:w="3096" w:type="dxa"/>
            <w:tcBorders>
              <w:top w:val="nil"/>
              <w:left w:val="nil"/>
              <w:bottom w:val="nil"/>
              <w:right w:val="nil"/>
            </w:tcBorders>
            <w:shd w:val="clear" w:color="000000" w:fill="auto"/>
            <w:hideMark/>
          </w:tcPr>
          <w:p w14:paraId="4AE72EEC" w14:textId="0965FD43" w:rsidR="00E062C2" w:rsidRPr="005269E6" w:rsidRDefault="00E062C2" w:rsidP="00E062C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المثبَّت خلال العام</w:t>
            </w:r>
          </w:p>
        </w:tc>
        <w:tc>
          <w:tcPr>
            <w:tcW w:w="998" w:type="dxa"/>
            <w:tcBorders>
              <w:top w:val="nil"/>
              <w:left w:val="nil"/>
              <w:bottom w:val="nil"/>
              <w:right w:val="nil"/>
            </w:tcBorders>
            <w:shd w:val="clear" w:color="000000" w:fill="auto"/>
            <w:noWrap/>
            <w:hideMark/>
          </w:tcPr>
          <w:p w14:paraId="21FFEA21" w14:textId="1B3E3538"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8 027 </w:t>
            </w:r>
          </w:p>
        </w:tc>
        <w:tc>
          <w:tcPr>
            <w:tcW w:w="998" w:type="dxa"/>
            <w:tcBorders>
              <w:top w:val="nil"/>
              <w:left w:val="nil"/>
              <w:bottom w:val="nil"/>
              <w:right w:val="nil"/>
            </w:tcBorders>
            <w:shd w:val="clear" w:color="000000" w:fill="auto"/>
            <w:noWrap/>
            <w:hideMark/>
          </w:tcPr>
          <w:p w14:paraId="71C5B805" w14:textId="3C8C6110"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43 </w:t>
            </w:r>
          </w:p>
        </w:tc>
        <w:tc>
          <w:tcPr>
            <w:tcW w:w="999" w:type="dxa"/>
            <w:tcBorders>
              <w:top w:val="nil"/>
              <w:left w:val="nil"/>
              <w:bottom w:val="nil"/>
              <w:right w:val="nil"/>
            </w:tcBorders>
            <w:shd w:val="clear" w:color="000000" w:fill="auto"/>
            <w:noWrap/>
            <w:hideMark/>
          </w:tcPr>
          <w:p w14:paraId="49319552" w14:textId="707473BC"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25 </w:t>
            </w:r>
          </w:p>
        </w:tc>
        <w:tc>
          <w:tcPr>
            <w:tcW w:w="1060" w:type="dxa"/>
            <w:tcBorders>
              <w:top w:val="nil"/>
              <w:left w:val="nil"/>
              <w:bottom w:val="nil"/>
              <w:right w:val="nil"/>
            </w:tcBorders>
            <w:shd w:val="clear" w:color="000000" w:fill="auto"/>
            <w:noWrap/>
            <w:hideMark/>
          </w:tcPr>
          <w:p w14:paraId="0E3A4E39" w14:textId="3E88D3BB"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453 </w:t>
            </w:r>
          </w:p>
        </w:tc>
        <w:tc>
          <w:tcPr>
            <w:tcW w:w="999" w:type="dxa"/>
            <w:tcBorders>
              <w:top w:val="nil"/>
              <w:left w:val="nil"/>
              <w:bottom w:val="nil"/>
              <w:right w:val="nil"/>
            </w:tcBorders>
            <w:shd w:val="clear" w:color="000000" w:fill="auto"/>
            <w:noWrap/>
            <w:vAlign w:val="center"/>
            <w:hideMark/>
          </w:tcPr>
          <w:p w14:paraId="6DD7959B" w14:textId="222F7E15" w:rsidR="00E062C2" w:rsidRPr="005269E6" w:rsidRDefault="00E062C2" w:rsidP="00CC316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33 </w:t>
            </w:r>
          </w:p>
        </w:tc>
        <w:tc>
          <w:tcPr>
            <w:tcW w:w="1597" w:type="dxa"/>
            <w:tcBorders>
              <w:top w:val="nil"/>
              <w:left w:val="nil"/>
              <w:bottom w:val="nil"/>
              <w:right w:val="nil"/>
            </w:tcBorders>
            <w:shd w:val="clear" w:color="000000" w:fill="auto"/>
            <w:noWrap/>
            <w:vAlign w:val="center"/>
            <w:hideMark/>
          </w:tcPr>
          <w:p w14:paraId="02933E4B" w14:textId="1304BA9B"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8 581 </w:t>
            </w:r>
          </w:p>
        </w:tc>
      </w:tr>
      <w:tr w:rsidR="00E062C2" w:rsidRPr="005269E6" w14:paraId="56684CD5" w14:textId="77777777" w:rsidTr="004C39BB">
        <w:trPr>
          <w:trHeight w:val="255"/>
        </w:trPr>
        <w:tc>
          <w:tcPr>
            <w:tcW w:w="3096" w:type="dxa"/>
            <w:tcBorders>
              <w:top w:val="nil"/>
              <w:left w:val="nil"/>
              <w:bottom w:val="nil"/>
              <w:right w:val="nil"/>
            </w:tcBorders>
            <w:shd w:val="clear" w:color="000000" w:fill="auto"/>
            <w:hideMark/>
          </w:tcPr>
          <w:p w14:paraId="7C91AC3E" w14:textId="42E08B85" w:rsidR="00E062C2" w:rsidRPr="005269E6" w:rsidRDefault="00E062C2" w:rsidP="00E062C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التخلص</w:t>
            </w:r>
          </w:p>
        </w:tc>
        <w:tc>
          <w:tcPr>
            <w:tcW w:w="998" w:type="dxa"/>
            <w:tcBorders>
              <w:top w:val="nil"/>
              <w:left w:val="nil"/>
              <w:bottom w:val="nil"/>
              <w:right w:val="nil"/>
            </w:tcBorders>
            <w:shd w:val="clear" w:color="000000" w:fill="auto"/>
            <w:noWrap/>
            <w:hideMark/>
          </w:tcPr>
          <w:p w14:paraId="7B89AEF8" w14:textId="77777777" w:rsidR="00E062C2" w:rsidRPr="005269E6" w:rsidRDefault="00E062C2" w:rsidP="00CC3169">
            <w:pPr>
              <w:tabs>
                <w:tab w:val="clear" w:pos="794"/>
              </w:tabs>
              <w:spacing w:before="40" w:after="40" w:line="240" w:lineRule="exact"/>
              <w:jc w:val="left"/>
              <w:rPr>
                <w:rFonts w:eastAsia="Times New Roman"/>
                <w:color w:val="000000"/>
                <w:sz w:val="18"/>
                <w:szCs w:val="18"/>
                <w:lang w:val="en-GB" w:eastAsia="en-GB"/>
              </w:rPr>
            </w:pPr>
          </w:p>
        </w:tc>
        <w:tc>
          <w:tcPr>
            <w:tcW w:w="998" w:type="dxa"/>
            <w:tcBorders>
              <w:top w:val="nil"/>
              <w:left w:val="nil"/>
              <w:bottom w:val="nil"/>
              <w:right w:val="nil"/>
            </w:tcBorders>
            <w:shd w:val="clear" w:color="000000" w:fill="auto"/>
            <w:noWrap/>
            <w:hideMark/>
          </w:tcPr>
          <w:p w14:paraId="6C0A6863" w14:textId="37779105"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(43)</w:t>
            </w:r>
          </w:p>
        </w:tc>
        <w:tc>
          <w:tcPr>
            <w:tcW w:w="999" w:type="dxa"/>
            <w:tcBorders>
              <w:top w:val="nil"/>
              <w:left w:val="nil"/>
              <w:bottom w:val="nil"/>
              <w:right w:val="nil"/>
            </w:tcBorders>
            <w:shd w:val="clear" w:color="000000" w:fill="auto"/>
            <w:noWrap/>
            <w:hideMark/>
          </w:tcPr>
          <w:p w14:paraId="66538763" w14:textId="010335F3"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(112)</w:t>
            </w:r>
          </w:p>
        </w:tc>
        <w:tc>
          <w:tcPr>
            <w:tcW w:w="1060" w:type="dxa"/>
            <w:tcBorders>
              <w:top w:val="nil"/>
              <w:left w:val="nil"/>
              <w:bottom w:val="nil"/>
              <w:right w:val="nil"/>
            </w:tcBorders>
            <w:shd w:val="clear" w:color="000000" w:fill="auto"/>
            <w:noWrap/>
            <w:hideMark/>
          </w:tcPr>
          <w:p w14:paraId="2D7DD0AF" w14:textId="7339698A" w:rsidR="00E062C2" w:rsidRPr="005269E6" w:rsidRDefault="00E062C2" w:rsidP="00CC316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(1 461)</w:t>
            </w:r>
          </w:p>
        </w:tc>
        <w:tc>
          <w:tcPr>
            <w:tcW w:w="999" w:type="dxa"/>
            <w:tcBorders>
              <w:top w:val="nil"/>
              <w:left w:val="nil"/>
              <w:bottom w:val="nil"/>
              <w:right w:val="nil"/>
            </w:tcBorders>
            <w:shd w:val="clear" w:color="000000" w:fill="auto"/>
            <w:noWrap/>
            <w:hideMark/>
          </w:tcPr>
          <w:p w14:paraId="4EBB9CBE" w14:textId="77777777" w:rsidR="00E062C2" w:rsidRPr="005269E6" w:rsidRDefault="00E062C2" w:rsidP="00CC3169">
            <w:pPr>
              <w:tabs>
                <w:tab w:val="clear" w:pos="794"/>
              </w:tabs>
              <w:spacing w:before="40" w:after="40" w:line="240" w:lineRule="exact"/>
              <w:jc w:val="left"/>
              <w:rPr>
                <w:rFonts w:eastAsia="Times New Roman"/>
                <w:sz w:val="18"/>
                <w:szCs w:val="18"/>
                <w:lang w:val="en-GB" w:eastAsia="en-GB"/>
              </w:rPr>
            </w:pPr>
          </w:p>
        </w:tc>
        <w:tc>
          <w:tcPr>
            <w:tcW w:w="1597" w:type="dxa"/>
            <w:tcBorders>
              <w:top w:val="nil"/>
              <w:left w:val="nil"/>
              <w:bottom w:val="nil"/>
              <w:right w:val="nil"/>
            </w:tcBorders>
            <w:shd w:val="clear" w:color="000000" w:fill="auto"/>
            <w:noWrap/>
            <w:vAlign w:val="bottom"/>
            <w:hideMark/>
          </w:tcPr>
          <w:p w14:paraId="0E7916B1" w14:textId="7C92D129"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(1 616)</w:t>
            </w:r>
          </w:p>
        </w:tc>
      </w:tr>
      <w:tr w:rsidR="00E062C2" w:rsidRPr="005269E6" w14:paraId="009983A9" w14:textId="77777777" w:rsidTr="004C39BB">
        <w:trPr>
          <w:trHeight w:val="510"/>
        </w:trPr>
        <w:tc>
          <w:tcPr>
            <w:tcW w:w="3096" w:type="dxa"/>
            <w:tcBorders>
              <w:top w:val="nil"/>
              <w:left w:val="nil"/>
              <w:bottom w:val="nil"/>
              <w:right w:val="nil"/>
            </w:tcBorders>
            <w:shd w:val="clear" w:color="000000" w:fill="auto"/>
            <w:vAlign w:val="center"/>
            <w:hideMark/>
          </w:tcPr>
          <w:p w14:paraId="7A585A9F" w14:textId="39E7B21A" w:rsidR="00E062C2" w:rsidRPr="005269E6" w:rsidRDefault="00E062C2" w:rsidP="00E062C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الاستهلاك المتراكم في 31 ديسمبر 2021</w:t>
            </w:r>
          </w:p>
        </w:tc>
        <w:tc>
          <w:tcPr>
            <w:tcW w:w="998" w:type="dxa"/>
            <w:tcBorders>
              <w:top w:val="nil"/>
              <w:left w:val="nil"/>
              <w:bottom w:val="nil"/>
              <w:right w:val="nil"/>
            </w:tcBorders>
            <w:shd w:val="clear" w:color="000000" w:fill="auto"/>
            <w:noWrap/>
            <w:vAlign w:val="center"/>
            <w:hideMark/>
          </w:tcPr>
          <w:p w14:paraId="2A997E66" w14:textId="276F0B35"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56 111 </w:t>
            </w:r>
          </w:p>
        </w:tc>
        <w:tc>
          <w:tcPr>
            <w:tcW w:w="998" w:type="dxa"/>
            <w:tcBorders>
              <w:top w:val="nil"/>
              <w:left w:val="nil"/>
              <w:bottom w:val="nil"/>
              <w:right w:val="nil"/>
            </w:tcBorders>
            <w:shd w:val="clear" w:color="000000" w:fill="auto"/>
            <w:noWrap/>
            <w:vAlign w:val="center"/>
            <w:hideMark/>
          </w:tcPr>
          <w:p w14:paraId="5D92D39D" w14:textId="6A0DA6B9"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1 989 </w:t>
            </w:r>
          </w:p>
        </w:tc>
        <w:tc>
          <w:tcPr>
            <w:tcW w:w="999" w:type="dxa"/>
            <w:tcBorders>
              <w:top w:val="nil"/>
              <w:left w:val="nil"/>
              <w:bottom w:val="nil"/>
              <w:right w:val="nil"/>
            </w:tcBorders>
            <w:shd w:val="clear" w:color="000000" w:fill="auto"/>
            <w:noWrap/>
            <w:vAlign w:val="center"/>
            <w:hideMark/>
          </w:tcPr>
          <w:p w14:paraId="64CD0F97" w14:textId="28C2096F"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1 362 </w:t>
            </w:r>
          </w:p>
        </w:tc>
        <w:tc>
          <w:tcPr>
            <w:tcW w:w="1060" w:type="dxa"/>
            <w:tcBorders>
              <w:top w:val="nil"/>
              <w:left w:val="nil"/>
              <w:bottom w:val="nil"/>
              <w:right w:val="nil"/>
            </w:tcBorders>
            <w:shd w:val="clear" w:color="000000" w:fill="auto"/>
            <w:noWrap/>
            <w:vAlign w:val="center"/>
            <w:hideMark/>
          </w:tcPr>
          <w:p w14:paraId="29DC00BA" w14:textId="36F0B553"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7 574 </w:t>
            </w:r>
          </w:p>
        </w:tc>
        <w:tc>
          <w:tcPr>
            <w:tcW w:w="999" w:type="dxa"/>
            <w:tcBorders>
              <w:top w:val="nil"/>
              <w:left w:val="nil"/>
              <w:bottom w:val="nil"/>
              <w:right w:val="nil"/>
            </w:tcBorders>
            <w:shd w:val="clear" w:color="000000" w:fill="auto"/>
            <w:noWrap/>
            <w:vAlign w:val="center"/>
            <w:hideMark/>
          </w:tcPr>
          <w:p w14:paraId="7814B67C" w14:textId="4B690E5D"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236 </w:t>
            </w:r>
          </w:p>
        </w:tc>
        <w:tc>
          <w:tcPr>
            <w:tcW w:w="1597" w:type="dxa"/>
            <w:tcBorders>
              <w:top w:val="nil"/>
              <w:left w:val="nil"/>
              <w:bottom w:val="nil"/>
              <w:right w:val="nil"/>
            </w:tcBorders>
            <w:shd w:val="clear" w:color="000000" w:fill="auto"/>
            <w:noWrap/>
            <w:vAlign w:val="center"/>
            <w:hideMark/>
          </w:tcPr>
          <w:p w14:paraId="4DA9A7DC" w14:textId="1858DE21"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67 272 </w:t>
            </w:r>
          </w:p>
        </w:tc>
      </w:tr>
      <w:tr w:rsidR="00E062C2" w:rsidRPr="005269E6" w14:paraId="3C47EEE8" w14:textId="77777777" w:rsidTr="004C39BB">
        <w:trPr>
          <w:trHeight w:val="255"/>
        </w:trPr>
        <w:tc>
          <w:tcPr>
            <w:tcW w:w="3096" w:type="dxa"/>
            <w:tcBorders>
              <w:top w:val="nil"/>
              <w:left w:val="nil"/>
              <w:bottom w:val="nil"/>
              <w:right w:val="nil"/>
            </w:tcBorders>
            <w:shd w:val="clear" w:color="000000" w:fill="auto"/>
            <w:vAlign w:val="center"/>
            <w:hideMark/>
          </w:tcPr>
          <w:p w14:paraId="1C5C8A9E" w14:textId="77777777" w:rsidR="00E062C2" w:rsidRPr="005269E6" w:rsidRDefault="00E062C2" w:rsidP="00E062C2">
            <w:pPr>
              <w:tabs>
                <w:tab w:val="clear" w:pos="794"/>
              </w:tabs>
              <w:spacing w:before="0" w:line="200" w:lineRule="exact"/>
              <w:jc w:val="center"/>
              <w:rPr>
                <w:rFonts w:eastAsia="Times New Roman"/>
                <w:b/>
                <w:bCs/>
                <w:color w:val="000000"/>
                <w:sz w:val="18"/>
                <w:szCs w:val="18"/>
                <w:lang w:val="en-GB" w:eastAsia="en-GB"/>
              </w:rPr>
            </w:pPr>
          </w:p>
        </w:tc>
        <w:tc>
          <w:tcPr>
            <w:tcW w:w="998" w:type="dxa"/>
            <w:tcBorders>
              <w:top w:val="nil"/>
              <w:left w:val="nil"/>
              <w:bottom w:val="nil"/>
              <w:right w:val="nil"/>
            </w:tcBorders>
            <w:shd w:val="clear" w:color="000000" w:fill="auto"/>
            <w:noWrap/>
            <w:vAlign w:val="center"/>
            <w:hideMark/>
          </w:tcPr>
          <w:p w14:paraId="253E86EC" w14:textId="77777777" w:rsidR="00E062C2" w:rsidRPr="005269E6" w:rsidRDefault="00E062C2" w:rsidP="00CC3169">
            <w:pPr>
              <w:tabs>
                <w:tab w:val="clear" w:pos="794"/>
              </w:tabs>
              <w:spacing w:before="0" w:line="200" w:lineRule="exact"/>
              <w:jc w:val="left"/>
              <w:rPr>
                <w:rFonts w:eastAsia="Times New Roman"/>
                <w:b/>
                <w:bCs/>
                <w:color w:val="000000"/>
                <w:sz w:val="18"/>
                <w:szCs w:val="18"/>
                <w:lang w:val="en-GB" w:eastAsia="en-GB"/>
              </w:rPr>
            </w:pPr>
          </w:p>
        </w:tc>
        <w:tc>
          <w:tcPr>
            <w:tcW w:w="998" w:type="dxa"/>
            <w:tcBorders>
              <w:top w:val="nil"/>
              <w:left w:val="nil"/>
              <w:bottom w:val="nil"/>
              <w:right w:val="nil"/>
            </w:tcBorders>
            <w:shd w:val="clear" w:color="000000" w:fill="auto"/>
            <w:noWrap/>
            <w:vAlign w:val="center"/>
            <w:hideMark/>
          </w:tcPr>
          <w:p w14:paraId="6ACAE190" w14:textId="77777777" w:rsidR="00E062C2" w:rsidRPr="005269E6" w:rsidRDefault="00E062C2" w:rsidP="00CC3169">
            <w:pPr>
              <w:tabs>
                <w:tab w:val="clear" w:pos="794"/>
              </w:tabs>
              <w:spacing w:before="0" w:line="200" w:lineRule="exact"/>
              <w:jc w:val="left"/>
              <w:rPr>
                <w:rFonts w:eastAsia="Times New Roman"/>
                <w:b/>
                <w:bCs/>
                <w:color w:val="000000"/>
                <w:sz w:val="18"/>
                <w:szCs w:val="18"/>
                <w:lang w:val="en-GB" w:eastAsia="en-GB"/>
              </w:rPr>
            </w:pPr>
          </w:p>
        </w:tc>
        <w:tc>
          <w:tcPr>
            <w:tcW w:w="999" w:type="dxa"/>
            <w:tcBorders>
              <w:top w:val="nil"/>
              <w:left w:val="nil"/>
              <w:bottom w:val="nil"/>
              <w:right w:val="nil"/>
            </w:tcBorders>
            <w:shd w:val="clear" w:color="000000" w:fill="auto"/>
            <w:noWrap/>
            <w:vAlign w:val="center"/>
            <w:hideMark/>
          </w:tcPr>
          <w:p w14:paraId="043C40FF" w14:textId="77777777" w:rsidR="00E062C2" w:rsidRPr="005269E6" w:rsidRDefault="00E062C2" w:rsidP="00CC3169">
            <w:pPr>
              <w:tabs>
                <w:tab w:val="clear" w:pos="794"/>
              </w:tabs>
              <w:spacing w:before="0" w:line="200" w:lineRule="exact"/>
              <w:jc w:val="left"/>
              <w:rPr>
                <w:rFonts w:eastAsia="Times New Roman"/>
                <w:b/>
                <w:bCs/>
                <w:color w:val="000000"/>
                <w:sz w:val="18"/>
                <w:szCs w:val="18"/>
                <w:lang w:val="en-GB" w:eastAsia="en-GB"/>
              </w:rPr>
            </w:pPr>
          </w:p>
        </w:tc>
        <w:tc>
          <w:tcPr>
            <w:tcW w:w="1060" w:type="dxa"/>
            <w:tcBorders>
              <w:top w:val="nil"/>
              <w:left w:val="nil"/>
              <w:bottom w:val="nil"/>
              <w:right w:val="nil"/>
            </w:tcBorders>
            <w:shd w:val="clear" w:color="000000" w:fill="auto"/>
            <w:noWrap/>
            <w:vAlign w:val="center"/>
            <w:hideMark/>
          </w:tcPr>
          <w:p w14:paraId="16963342" w14:textId="77777777" w:rsidR="00E062C2" w:rsidRPr="005269E6" w:rsidRDefault="00E062C2" w:rsidP="00CC3169">
            <w:pPr>
              <w:tabs>
                <w:tab w:val="clear" w:pos="794"/>
              </w:tabs>
              <w:spacing w:before="0" w:line="200" w:lineRule="exact"/>
              <w:jc w:val="left"/>
              <w:rPr>
                <w:rFonts w:eastAsia="Times New Roman"/>
                <w:b/>
                <w:bCs/>
                <w:color w:val="000000"/>
                <w:sz w:val="18"/>
                <w:szCs w:val="18"/>
                <w:lang w:val="en-GB" w:eastAsia="en-GB"/>
              </w:rPr>
            </w:pPr>
          </w:p>
        </w:tc>
        <w:tc>
          <w:tcPr>
            <w:tcW w:w="999" w:type="dxa"/>
            <w:tcBorders>
              <w:top w:val="nil"/>
              <w:left w:val="nil"/>
              <w:bottom w:val="nil"/>
              <w:right w:val="nil"/>
            </w:tcBorders>
            <w:shd w:val="clear" w:color="000000" w:fill="auto"/>
            <w:noWrap/>
            <w:vAlign w:val="center"/>
            <w:hideMark/>
          </w:tcPr>
          <w:p w14:paraId="1B391C6F" w14:textId="77777777" w:rsidR="00E062C2" w:rsidRPr="005269E6" w:rsidRDefault="00E062C2" w:rsidP="00CC3169">
            <w:pPr>
              <w:tabs>
                <w:tab w:val="clear" w:pos="794"/>
              </w:tabs>
              <w:spacing w:before="0" w:line="200" w:lineRule="exact"/>
              <w:jc w:val="left"/>
              <w:rPr>
                <w:rFonts w:eastAsia="Times New Roman"/>
                <w:b/>
                <w:bCs/>
                <w:color w:val="000000"/>
                <w:sz w:val="18"/>
                <w:szCs w:val="18"/>
                <w:lang w:val="en-GB" w:eastAsia="en-GB"/>
              </w:rPr>
            </w:pPr>
          </w:p>
        </w:tc>
        <w:tc>
          <w:tcPr>
            <w:tcW w:w="1597" w:type="dxa"/>
            <w:tcBorders>
              <w:top w:val="nil"/>
              <w:left w:val="nil"/>
              <w:bottom w:val="nil"/>
              <w:right w:val="nil"/>
            </w:tcBorders>
            <w:shd w:val="clear" w:color="000000" w:fill="auto"/>
            <w:noWrap/>
            <w:vAlign w:val="center"/>
            <w:hideMark/>
          </w:tcPr>
          <w:p w14:paraId="79047D4D" w14:textId="77777777" w:rsidR="00E062C2" w:rsidRPr="005269E6" w:rsidRDefault="00E062C2" w:rsidP="00CC3169">
            <w:pPr>
              <w:tabs>
                <w:tab w:val="clear" w:pos="794"/>
              </w:tabs>
              <w:spacing w:before="0" w:line="200" w:lineRule="exact"/>
              <w:jc w:val="left"/>
              <w:rPr>
                <w:rFonts w:eastAsia="Times New Roman"/>
                <w:b/>
                <w:bCs/>
                <w:color w:val="000000"/>
                <w:sz w:val="18"/>
                <w:szCs w:val="18"/>
                <w:lang w:val="en-GB" w:eastAsia="en-GB"/>
              </w:rPr>
            </w:pPr>
          </w:p>
        </w:tc>
      </w:tr>
      <w:tr w:rsidR="00E062C2" w:rsidRPr="005269E6" w14:paraId="338DDB19" w14:textId="77777777" w:rsidTr="004C39BB">
        <w:trPr>
          <w:trHeight w:val="255"/>
        </w:trPr>
        <w:tc>
          <w:tcPr>
            <w:tcW w:w="3096" w:type="dxa"/>
            <w:tcBorders>
              <w:top w:val="nil"/>
              <w:left w:val="nil"/>
              <w:bottom w:val="nil"/>
              <w:right w:val="nil"/>
            </w:tcBorders>
            <w:shd w:val="clear" w:color="000000" w:fill="auto"/>
            <w:vAlign w:val="center"/>
            <w:hideMark/>
          </w:tcPr>
          <w:p w14:paraId="2EA4FE8B" w14:textId="4FCA6F98" w:rsidR="00E062C2" w:rsidRPr="005269E6" w:rsidRDefault="00E062C2" w:rsidP="00E062C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صافي المبلغ الدفتري في 1 يناير 2021</w:t>
            </w:r>
          </w:p>
        </w:tc>
        <w:tc>
          <w:tcPr>
            <w:tcW w:w="998" w:type="dxa"/>
            <w:tcBorders>
              <w:top w:val="nil"/>
              <w:left w:val="nil"/>
              <w:bottom w:val="nil"/>
              <w:right w:val="nil"/>
            </w:tcBorders>
            <w:shd w:val="clear" w:color="000000" w:fill="auto"/>
            <w:noWrap/>
            <w:vAlign w:val="center"/>
            <w:hideMark/>
          </w:tcPr>
          <w:p w14:paraId="0AC5E02F" w14:textId="244E5163"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76 986 </w:t>
            </w:r>
          </w:p>
        </w:tc>
        <w:tc>
          <w:tcPr>
            <w:tcW w:w="998" w:type="dxa"/>
            <w:tcBorders>
              <w:top w:val="nil"/>
              <w:left w:val="nil"/>
              <w:bottom w:val="nil"/>
              <w:right w:val="nil"/>
            </w:tcBorders>
            <w:shd w:val="clear" w:color="000000" w:fill="auto"/>
            <w:noWrap/>
            <w:vAlign w:val="center"/>
            <w:hideMark/>
          </w:tcPr>
          <w:p w14:paraId="64361BB3" w14:textId="6B94FBAF"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132 </w:t>
            </w:r>
          </w:p>
        </w:tc>
        <w:tc>
          <w:tcPr>
            <w:tcW w:w="999" w:type="dxa"/>
            <w:tcBorders>
              <w:top w:val="nil"/>
              <w:left w:val="nil"/>
              <w:bottom w:val="nil"/>
              <w:right w:val="nil"/>
            </w:tcBorders>
            <w:shd w:val="clear" w:color="000000" w:fill="auto"/>
            <w:noWrap/>
            <w:vAlign w:val="center"/>
            <w:hideMark/>
          </w:tcPr>
          <w:p w14:paraId="0AD19DD0" w14:textId="4D8855AB"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57 </w:t>
            </w:r>
          </w:p>
        </w:tc>
        <w:tc>
          <w:tcPr>
            <w:tcW w:w="1060" w:type="dxa"/>
            <w:tcBorders>
              <w:top w:val="nil"/>
              <w:left w:val="nil"/>
              <w:bottom w:val="nil"/>
              <w:right w:val="nil"/>
            </w:tcBorders>
            <w:shd w:val="clear" w:color="000000" w:fill="auto"/>
            <w:noWrap/>
            <w:vAlign w:val="center"/>
            <w:hideMark/>
          </w:tcPr>
          <w:p w14:paraId="269FEABD" w14:textId="024B6CF2"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772 </w:t>
            </w:r>
          </w:p>
        </w:tc>
        <w:tc>
          <w:tcPr>
            <w:tcW w:w="999" w:type="dxa"/>
            <w:tcBorders>
              <w:top w:val="nil"/>
              <w:left w:val="nil"/>
              <w:bottom w:val="nil"/>
              <w:right w:val="nil"/>
            </w:tcBorders>
            <w:shd w:val="clear" w:color="000000" w:fill="auto"/>
            <w:noWrap/>
            <w:vAlign w:val="center"/>
            <w:hideMark/>
          </w:tcPr>
          <w:p w14:paraId="5FFD14A6" w14:textId="229F4201"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93 </w:t>
            </w:r>
          </w:p>
        </w:tc>
        <w:tc>
          <w:tcPr>
            <w:tcW w:w="1597" w:type="dxa"/>
            <w:tcBorders>
              <w:top w:val="nil"/>
              <w:left w:val="nil"/>
              <w:bottom w:val="nil"/>
              <w:right w:val="nil"/>
            </w:tcBorders>
            <w:shd w:val="clear" w:color="000000" w:fill="auto"/>
            <w:noWrap/>
            <w:vAlign w:val="center"/>
            <w:hideMark/>
          </w:tcPr>
          <w:p w14:paraId="0B0E02CB" w14:textId="52B3DBC8" w:rsidR="00E062C2" w:rsidRPr="005269E6" w:rsidRDefault="00E062C2"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78 040 </w:t>
            </w:r>
          </w:p>
        </w:tc>
      </w:tr>
      <w:tr w:rsidR="00A62E6F" w:rsidRPr="005269E6" w14:paraId="5D0FA175" w14:textId="77777777" w:rsidTr="004C39BB">
        <w:trPr>
          <w:trHeight w:val="255"/>
        </w:trPr>
        <w:tc>
          <w:tcPr>
            <w:tcW w:w="3096" w:type="dxa"/>
            <w:tcBorders>
              <w:top w:val="nil"/>
              <w:left w:val="nil"/>
              <w:bottom w:val="nil"/>
              <w:right w:val="nil"/>
            </w:tcBorders>
            <w:shd w:val="clear" w:color="000000" w:fill="auto"/>
            <w:vAlign w:val="center"/>
            <w:hideMark/>
          </w:tcPr>
          <w:p w14:paraId="641B0E25" w14:textId="77777777" w:rsidR="00A62E6F" w:rsidRPr="005269E6" w:rsidRDefault="00A62E6F" w:rsidP="00A62E6F">
            <w:pPr>
              <w:tabs>
                <w:tab w:val="clear" w:pos="794"/>
              </w:tabs>
              <w:spacing w:before="0" w:line="200" w:lineRule="exact"/>
              <w:jc w:val="center"/>
              <w:rPr>
                <w:rFonts w:eastAsia="Times New Roman"/>
                <w:b/>
                <w:bCs/>
                <w:color w:val="000000"/>
                <w:sz w:val="18"/>
                <w:szCs w:val="18"/>
                <w:lang w:val="en-GB" w:eastAsia="en-GB"/>
              </w:rPr>
            </w:pPr>
          </w:p>
        </w:tc>
        <w:tc>
          <w:tcPr>
            <w:tcW w:w="998" w:type="dxa"/>
            <w:tcBorders>
              <w:top w:val="nil"/>
              <w:left w:val="nil"/>
              <w:bottom w:val="nil"/>
              <w:right w:val="nil"/>
            </w:tcBorders>
            <w:shd w:val="clear" w:color="000000" w:fill="auto"/>
            <w:noWrap/>
            <w:vAlign w:val="center"/>
            <w:hideMark/>
          </w:tcPr>
          <w:p w14:paraId="7CFA86E4" w14:textId="77777777" w:rsidR="00A62E6F" w:rsidRPr="005269E6" w:rsidRDefault="00A62E6F" w:rsidP="00CC3169">
            <w:pPr>
              <w:tabs>
                <w:tab w:val="clear" w:pos="794"/>
              </w:tabs>
              <w:spacing w:before="0" w:line="200" w:lineRule="exact"/>
              <w:jc w:val="left"/>
              <w:rPr>
                <w:rFonts w:eastAsia="Times New Roman"/>
                <w:b/>
                <w:bCs/>
                <w:color w:val="000000"/>
                <w:sz w:val="18"/>
                <w:szCs w:val="18"/>
                <w:lang w:val="en-GB" w:eastAsia="en-GB"/>
              </w:rPr>
            </w:pPr>
          </w:p>
        </w:tc>
        <w:tc>
          <w:tcPr>
            <w:tcW w:w="998" w:type="dxa"/>
            <w:tcBorders>
              <w:top w:val="nil"/>
              <w:left w:val="nil"/>
              <w:bottom w:val="nil"/>
              <w:right w:val="nil"/>
            </w:tcBorders>
            <w:shd w:val="clear" w:color="000000" w:fill="auto"/>
            <w:noWrap/>
            <w:vAlign w:val="center"/>
            <w:hideMark/>
          </w:tcPr>
          <w:p w14:paraId="3215D6C9" w14:textId="77777777" w:rsidR="00A62E6F" w:rsidRPr="005269E6" w:rsidRDefault="00A62E6F" w:rsidP="00CC3169">
            <w:pPr>
              <w:tabs>
                <w:tab w:val="clear" w:pos="794"/>
              </w:tabs>
              <w:spacing w:before="0" w:line="200" w:lineRule="exact"/>
              <w:jc w:val="left"/>
              <w:rPr>
                <w:rFonts w:eastAsia="Times New Roman"/>
                <w:b/>
                <w:bCs/>
                <w:color w:val="000000"/>
                <w:sz w:val="18"/>
                <w:szCs w:val="18"/>
                <w:lang w:val="en-GB" w:eastAsia="en-GB"/>
              </w:rPr>
            </w:pPr>
          </w:p>
        </w:tc>
        <w:tc>
          <w:tcPr>
            <w:tcW w:w="999" w:type="dxa"/>
            <w:tcBorders>
              <w:top w:val="nil"/>
              <w:left w:val="nil"/>
              <w:bottom w:val="nil"/>
              <w:right w:val="nil"/>
            </w:tcBorders>
            <w:shd w:val="clear" w:color="000000" w:fill="auto"/>
            <w:noWrap/>
            <w:vAlign w:val="center"/>
            <w:hideMark/>
          </w:tcPr>
          <w:p w14:paraId="0ADD9D89" w14:textId="77777777" w:rsidR="00A62E6F" w:rsidRPr="005269E6" w:rsidRDefault="00A62E6F" w:rsidP="00CC3169">
            <w:pPr>
              <w:tabs>
                <w:tab w:val="clear" w:pos="794"/>
              </w:tabs>
              <w:spacing w:before="0" w:line="200" w:lineRule="exact"/>
              <w:jc w:val="left"/>
              <w:rPr>
                <w:rFonts w:eastAsia="Times New Roman"/>
                <w:b/>
                <w:bCs/>
                <w:color w:val="000000"/>
                <w:sz w:val="18"/>
                <w:szCs w:val="18"/>
                <w:lang w:val="en-GB" w:eastAsia="en-GB"/>
              </w:rPr>
            </w:pPr>
          </w:p>
        </w:tc>
        <w:tc>
          <w:tcPr>
            <w:tcW w:w="1060" w:type="dxa"/>
            <w:tcBorders>
              <w:top w:val="nil"/>
              <w:left w:val="nil"/>
              <w:bottom w:val="nil"/>
              <w:right w:val="nil"/>
            </w:tcBorders>
            <w:shd w:val="clear" w:color="000000" w:fill="auto"/>
            <w:noWrap/>
            <w:vAlign w:val="center"/>
            <w:hideMark/>
          </w:tcPr>
          <w:p w14:paraId="72F1534E" w14:textId="77777777" w:rsidR="00A62E6F" w:rsidRPr="005269E6" w:rsidRDefault="00A62E6F" w:rsidP="00CC3169">
            <w:pPr>
              <w:tabs>
                <w:tab w:val="clear" w:pos="794"/>
              </w:tabs>
              <w:spacing w:before="0" w:line="200" w:lineRule="exact"/>
              <w:jc w:val="left"/>
              <w:rPr>
                <w:rFonts w:eastAsia="Times New Roman"/>
                <w:b/>
                <w:bCs/>
                <w:color w:val="000000"/>
                <w:sz w:val="18"/>
                <w:szCs w:val="18"/>
                <w:lang w:val="en-GB" w:eastAsia="en-GB"/>
              </w:rPr>
            </w:pPr>
          </w:p>
        </w:tc>
        <w:tc>
          <w:tcPr>
            <w:tcW w:w="999" w:type="dxa"/>
            <w:tcBorders>
              <w:top w:val="nil"/>
              <w:left w:val="nil"/>
              <w:bottom w:val="nil"/>
              <w:right w:val="nil"/>
            </w:tcBorders>
            <w:shd w:val="clear" w:color="000000" w:fill="auto"/>
            <w:noWrap/>
            <w:vAlign w:val="center"/>
            <w:hideMark/>
          </w:tcPr>
          <w:p w14:paraId="2F15BC91" w14:textId="77777777" w:rsidR="00A62E6F" w:rsidRPr="005269E6" w:rsidRDefault="00A62E6F" w:rsidP="00CC3169">
            <w:pPr>
              <w:tabs>
                <w:tab w:val="clear" w:pos="794"/>
              </w:tabs>
              <w:spacing w:before="0" w:line="200" w:lineRule="exact"/>
              <w:jc w:val="left"/>
              <w:rPr>
                <w:rFonts w:eastAsia="Times New Roman"/>
                <w:b/>
                <w:bCs/>
                <w:color w:val="000000"/>
                <w:sz w:val="18"/>
                <w:szCs w:val="18"/>
                <w:lang w:val="en-GB" w:eastAsia="en-GB"/>
              </w:rPr>
            </w:pPr>
          </w:p>
        </w:tc>
        <w:tc>
          <w:tcPr>
            <w:tcW w:w="1597" w:type="dxa"/>
            <w:tcBorders>
              <w:top w:val="nil"/>
              <w:left w:val="nil"/>
              <w:bottom w:val="nil"/>
              <w:right w:val="nil"/>
            </w:tcBorders>
            <w:shd w:val="clear" w:color="000000" w:fill="auto"/>
            <w:noWrap/>
            <w:vAlign w:val="center"/>
            <w:hideMark/>
          </w:tcPr>
          <w:p w14:paraId="6FEFC96F" w14:textId="77777777" w:rsidR="00A62E6F" w:rsidRPr="005269E6" w:rsidRDefault="00A62E6F" w:rsidP="00CC3169">
            <w:pPr>
              <w:tabs>
                <w:tab w:val="clear" w:pos="794"/>
              </w:tabs>
              <w:spacing w:before="0" w:line="200" w:lineRule="exact"/>
              <w:jc w:val="left"/>
              <w:rPr>
                <w:rFonts w:eastAsia="Times New Roman"/>
                <w:b/>
                <w:bCs/>
                <w:color w:val="000000"/>
                <w:sz w:val="18"/>
                <w:szCs w:val="18"/>
                <w:lang w:val="en-GB" w:eastAsia="en-GB"/>
              </w:rPr>
            </w:pPr>
          </w:p>
        </w:tc>
      </w:tr>
      <w:tr w:rsidR="00A62E6F" w:rsidRPr="005269E6" w14:paraId="21E6AC8D" w14:textId="77777777" w:rsidTr="004C39BB">
        <w:trPr>
          <w:trHeight w:val="522"/>
        </w:trPr>
        <w:tc>
          <w:tcPr>
            <w:tcW w:w="3096" w:type="dxa"/>
            <w:tcBorders>
              <w:top w:val="nil"/>
              <w:left w:val="nil"/>
              <w:bottom w:val="nil"/>
              <w:right w:val="nil"/>
            </w:tcBorders>
            <w:shd w:val="clear" w:color="000000" w:fill="538DD5"/>
            <w:vAlign w:val="center"/>
            <w:hideMark/>
          </w:tcPr>
          <w:p w14:paraId="3BB1E257" w14:textId="67CB60A3" w:rsidR="00A62E6F" w:rsidRPr="005269E6" w:rsidRDefault="00E062C2" w:rsidP="00E062C2">
            <w:pPr>
              <w:tabs>
                <w:tab w:val="clear" w:pos="794"/>
              </w:tabs>
              <w:spacing w:before="40" w:after="40" w:line="240" w:lineRule="exact"/>
              <w:jc w:val="left"/>
              <w:rPr>
                <w:rFonts w:eastAsia="Times New Roman"/>
                <w:b/>
                <w:bCs/>
                <w:color w:val="000000"/>
                <w:spacing w:val="-4"/>
                <w:sz w:val="18"/>
                <w:szCs w:val="18"/>
                <w:lang w:val="en-GB" w:eastAsia="en-GB"/>
              </w:rPr>
            </w:pPr>
            <w:r w:rsidRPr="005269E6">
              <w:rPr>
                <w:rFonts w:eastAsia="Times New Roman"/>
                <w:b/>
                <w:bCs/>
                <w:color w:val="000000"/>
                <w:spacing w:val="-4"/>
                <w:sz w:val="18"/>
                <w:szCs w:val="18"/>
                <w:rtl/>
                <w:lang w:val="en-GB" w:eastAsia="en-GB"/>
              </w:rPr>
              <w:t>صافي المبلغ الدفتري في 31 ديسمبر 2021</w:t>
            </w:r>
          </w:p>
        </w:tc>
        <w:tc>
          <w:tcPr>
            <w:tcW w:w="998" w:type="dxa"/>
            <w:tcBorders>
              <w:top w:val="nil"/>
              <w:left w:val="nil"/>
              <w:bottom w:val="nil"/>
              <w:right w:val="nil"/>
            </w:tcBorders>
            <w:shd w:val="clear" w:color="000000" w:fill="538DD5"/>
            <w:noWrap/>
            <w:vAlign w:val="center"/>
            <w:hideMark/>
          </w:tcPr>
          <w:p w14:paraId="3244FF78" w14:textId="59037A12" w:rsidR="00A62E6F" w:rsidRPr="005269E6" w:rsidRDefault="00A62E6F"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70 227 </w:t>
            </w:r>
          </w:p>
        </w:tc>
        <w:tc>
          <w:tcPr>
            <w:tcW w:w="998" w:type="dxa"/>
            <w:tcBorders>
              <w:top w:val="nil"/>
              <w:left w:val="nil"/>
              <w:bottom w:val="nil"/>
              <w:right w:val="nil"/>
            </w:tcBorders>
            <w:shd w:val="clear" w:color="000000" w:fill="538DD5"/>
            <w:noWrap/>
            <w:vAlign w:val="center"/>
            <w:hideMark/>
          </w:tcPr>
          <w:p w14:paraId="1C096C99" w14:textId="75B49EC7" w:rsidR="00A62E6F" w:rsidRPr="005269E6" w:rsidRDefault="00A62E6F"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123 </w:t>
            </w:r>
          </w:p>
        </w:tc>
        <w:tc>
          <w:tcPr>
            <w:tcW w:w="999" w:type="dxa"/>
            <w:tcBorders>
              <w:top w:val="nil"/>
              <w:left w:val="nil"/>
              <w:bottom w:val="nil"/>
              <w:right w:val="nil"/>
            </w:tcBorders>
            <w:shd w:val="clear" w:color="000000" w:fill="538DD5"/>
            <w:noWrap/>
            <w:vAlign w:val="center"/>
            <w:hideMark/>
          </w:tcPr>
          <w:p w14:paraId="3097E06E" w14:textId="756EEC63" w:rsidR="00A62E6F" w:rsidRPr="005269E6" w:rsidRDefault="00A62E6F"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32 </w:t>
            </w:r>
          </w:p>
        </w:tc>
        <w:tc>
          <w:tcPr>
            <w:tcW w:w="1060" w:type="dxa"/>
            <w:tcBorders>
              <w:top w:val="nil"/>
              <w:left w:val="nil"/>
              <w:bottom w:val="nil"/>
              <w:right w:val="nil"/>
            </w:tcBorders>
            <w:shd w:val="clear" w:color="000000" w:fill="538DD5"/>
            <w:noWrap/>
            <w:vAlign w:val="center"/>
            <w:hideMark/>
          </w:tcPr>
          <w:p w14:paraId="4D89B44D" w14:textId="3B6F88BA" w:rsidR="00A62E6F" w:rsidRPr="005269E6" w:rsidRDefault="00A62E6F"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1 229 </w:t>
            </w:r>
          </w:p>
        </w:tc>
        <w:tc>
          <w:tcPr>
            <w:tcW w:w="999" w:type="dxa"/>
            <w:tcBorders>
              <w:top w:val="nil"/>
              <w:left w:val="nil"/>
              <w:bottom w:val="nil"/>
              <w:right w:val="nil"/>
            </w:tcBorders>
            <w:shd w:val="clear" w:color="000000" w:fill="538DD5"/>
            <w:noWrap/>
            <w:vAlign w:val="center"/>
            <w:hideMark/>
          </w:tcPr>
          <w:p w14:paraId="36D6CDBB" w14:textId="40DD1DAA" w:rsidR="00A62E6F" w:rsidRPr="005269E6" w:rsidRDefault="00A62E6F"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60 </w:t>
            </w:r>
          </w:p>
        </w:tc>
        <w:tc>
          <w:tcPr>
            <w:tcW w:w="1597" w:type="dxa"/>
            <w:tcBorders>
              <w:top w:val="nil"/>
              <w:left w:val="nil"/>
              <w:bottom w:val="nil"/>
              <w:right w:val="nil"/>
            </w:tcBorders>
            <w:shd w:val="clear" w:color="000000" w:fill="538DD5"/>
            <w:noWrap/>
            <w:vAlign w:val="center"/>
            <w:hideMark/>
          </w:tcPr>
          <w:p w14:paraId="699F5E04" w14:textId="7DC7D147" w:rsidR="00A62E6F" w:rsidRPr="005269E6" w:rsidRDefault="00A62E6F" w:rsidP="00CC316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71 671 </w:t>
            </w:r>
          </w:p>
        </w:tc>
      </w:tr>
    </w:tbl>
    <w:p w14:paraId="65643DD3" w14:textId="618636CD" w:rsidR="00EE151F" w:rsidRPr="005269E6" w:rsidRDefault="00C543C6" w:rsidP="00696AA6">
      <w:pPr>
        <w:pStyle w:val="Heading5"/>
        <w:rPr>
          <w:rtl/>
          <w:lang w:bidi="ar-SY"/>
        </w:rPr>
      </w:pPr>
      <w:bookmarkStart w:id="456" w:name="_Toc452156632"/>
      <w:bookmarkStart w:id="457" w:name="_Toc482792216"/>
      <w:bookmarkStart w:id="458" w:name="_Toc482793721"/>
      <w:bookmarkStart w:id="459" w:name="_Toc511402236"/>
      <w:bookmarkStart w:id="460" w:name="_Toc511756673"/>
      <w:bookmarkStart w:id="461" w:name="_Toc9614792"/>
      <w:bookmarkStart w:id="462" w:name="_Toc42013547"/>
      <w:bookmarkStart w:id="463" w:name="_Toc42014548"/>
      <w:bookmarkStart w:id="464" w:name="_Toc74061580"/>
      <w:bookmarkStart w:id="465" w:name="_Toc162520631"/>
      <w:r w:rsidRPr="005269E6">
        <w:rPr>
          <w:rFonts w:hint="cs"/>
          <w:rtl/>
        </w:rPr>
        <w:t xml:space="preserve">الملاحظة </w:t>
      </w:r>
      <w:r w:rsidR="00EE151F" w:rsidRPr="005269E6">
        <w:t>13</w:t>
      </w:r>
      <w:r w:rsidRPr="005269E6">
        <w:rPr>
          <w:rtl/>
        </w:rPr>
        <w:tab/>
      </w:r>
      <w:r w:rsidRPr="005269E6">
        <w:rPr>
          <w:rFonts w:hint="cs"/>
          <w:rtl/>
        </w:rPr>
        <w:t>الأصول غير المادية</w:t>
      </w:r>
      <w:bookmarkEnd w:id="456"/>
      <w:bookmarkEnd w:id="457"/>
      <w:bookmarkEnd w:id="458"/>
      <w:bookmarkEnd w:id="459"/>
      <w:bookmarkEnd w:id="460"/>
      <w:bookmarkEnd w:id="461"/>
      <w:bookmarkEnd w:id="462"/>
      <w:bookmarkEnd w:id="463"/>
      <w:bookmarkEnd w:id="464"/>
      <w:bookmarkEnd w:id="465"/>
    </w:p>
    <w:p w14:paraId="67FBEF03" w14:textId="5537068A" w:rsidR="00EE151F" w:rsidRPr="005269E6" w:rsidRDefault="00646A8B" w:rsidP="00646A8B">
      <w:pPr>
        <w:spacing w:after="120"/>
        <w:rPr>
          <w:rtl/>
          <w:lang w:bidi="ar-SY"/>
        </w:rPr>
      </w:pPr>
      <w:r w:rsidRPr="005269E6">
        <w:rPr>
          <w:rtl/>
          <w:lang w:bidi="ar-SY"/>
        </w:rPr>
        <w:t>وفقا</w:t>
      </w:r>
      <w:r w:rsidR="00E26C0C" w:rsidRPr="005269E6">
        <w:rPr>
          <w:rFonts w:hint="cs"/>
          <w:rtl/>
          <w:lang w:bidi="ar-SY"/>
        </w:rPr>
        <w:t>ً</w:t>
      </w:r>
      <w:r w:rsidRPr="005269E6">
        <w:rPr>
          <w:rtl/>
          <w:lang w:bidi="ar-SY"/>
        </w:rPr>
        <w:t xml:space="preserve"> لممارساتنا في تقديم التقارير المالية، قمنا بتقييم مستوى المادية لتسجيل الأصول غير </w:t>
      </w:r>
      <w:bookmarkStart w:id="466" w:name="_Hlk160948911"/>
      <w:r w:rsidRPr="005269E6">
        <w:rPr>
          <w:rtl/>
          <w:lang w:bidi="ar-SY"/>
        </w:rPr>
        <w:t xml:space="preserve">المادية </w:t>
      </w:r>
      <w:bookmarkEnd w:id="466"/>
      <w:r w:rsidRPr="005269E6">
        <w:rPr>
          <w:rtl/>
          <w:lang w:bidi="ar-SY"/>
        </w:rPr>
        <w:t xml:space="preserve">وحددنا مشاريع ذات عتبة مادية قدرها </w:t>
      </w:r>
      <w:r w:rsidR="00CA29BC" w:rsidRPr="005269E6">
        <w:rPr>
          <w:lang w:bidi="ar-SY"/>
        </w:rPr>
        <w:t>100 000</w:t>
      </w:r>
      <w:r w:rsidRPr="005269E6">
        <w:rPr>
          <w:rtl/>
          <w:lang w:bidi="ar-SY"/>
        </w:rPr>
        <w:t xml:space="preserve"> فرنك سويسري. وفي 31 ديسمبر 2022، أدى تقييمنا إلى تحديد 8 مشاريع ضمن فئة الأصول غير المادية التي تبلغ مدة حياتها الاقتصادية زهاء سنتين </w:t>
      </w:r>
      <w:r w:rsidRPr="005269E6">
        <w:rPr>
          <w:rFonts w:hint="cs"/>
          <w:rtl/>
          <w:lang w:bidi="ar-SY"/>
        </w:rPr>
        <w:t>و</w:t>
      </w:r>
      <w:r w:rsidRPr="005269E6">
        <w:rPr>
          <w:rtl/>
          <w:lang w:bidi="ar-SY"/>
        </w:rPr>
        <w:t xml:space="preserve">تبلغ قيمتها 2,468 مليون فرنك سويسري. </w:t>
      </w:r>
      <w:r w:rsidR="00CC6378" w:rsidRPr="005269E6">
        <w:rPr>
          <w:rtl/>
          <w:lang w:bidi="ar-SY"/>
        </w:rPr>
        <w:t xml:space="preserve">وتشمل هذه المشاريع </w:t>
      </w:r>
      <w:r w:rsidRPr="005269E6">
        <w:rPr>
          <w:rtl/>
          <w:lang w:bidi="ar-SY"/>
        </w:rPr>
        <w:t xml:space="preserve">وحدات </w:t>
      </w:r>
      <w:r w:rsidR="00CC6378" w:rsidRPr="005269E6">
        <w:rPr>
          <w:rtl/>
          <w:lang w:bidi="ar-SY"/>
        </w:rPr>
        <w:t>تطوير إدارة الفضاء</w:t>
      </w:r>
      <w:r w:rsidR="00972C3D" w:rsidRPr="005269E6">
        <w:rPr>
          <w:rFonts w:hint="cs"/>
          <w:rtl/>
          <w:lang w:bidi="ar-SY"/>
        </w:rPr>
        <w:t>،</w:t>
      </w:r>
      <w:r w:rsidR="00CC6378" w:rsidRPr="005269E6">
        <w:rPr>
          <w:rtl/>
          <w:lang w:bidi="ar-SY"/>
        </w:rPr>
        <w:t xml:space="preserve"> </w:t>
      </w:r>
      <w:r w:rsidR="00972C3D" w:rsidRPr="005269E6">
        <w:rPr>
          <w:rFonts w:hint="cs"/>
          <w:rtl/>
          <w:lang w:bidi="ar-SY"/>
        </w:rPr>
        <w:t>و</w:t>
      </w:r>
      <w:r w:rsidR="00CC6378" w:rsidRPr="005269E6">
        <w:rPr>
          <w:rtl/>
          <w:lang w:bidi="ar-SY"/>
        </w:rPr>
        <w:t>تطوير</w:t>
      </w:r>
      <w:r w:rsidR="00972C3D" w:rsidRPr="005269E6">
        <w:rPr>
          <w:rFonts w:hint="cs"/>
          <w:rtl/>
          <w:lang w:bidi="ar-SY"/>
        </w:rPr>
        <w:t xml:space="preserve"> الخدمات المساعدة لإعداد البرامج</w:t>
      </w:r>
      <w:r w:rsidR="00CC6378" w:rsidRPr="005269E6">
        <w:rPr>
          <w:rtl/>
          <w:lang w:bidi="ar-SY"/>
        </w:rPr>
        <w:t xml:space="preserve"> </w:t>
      </w:r>
      <w:r w:rsidR="00972C3D" w:rsidRPr="005269E6">
        <w:rPr>
          <w:rFonts w:hint="cs"/>
          <w:rtl/>
          <w:lang w:bidi="ar-SY"/>
        </w:rPr>
        <w:t>(</w:t>
      </w:r>
      <w:r w:rsidR="00CC6378" w:rsidRPr="005269E6">
        <w:rPr>
          <w:lang w:bidi="ar-SY"/>
        </w:rPr>
        <w:t>SAP</w:t>
      </w:r>
      <w:r w:rsidR="00972C3D" w:rsidRPr="005269E6">
        <w:rPr>
          <w:rFonts w:hint="cs"/>
          <w:rtl/>
          <w:lang w:bidi="ar-SY"/>
        </w:rPr>
        <w:t>)،</w:t>
      </w:r>
      <w:r w:rsidR="00CC6378" w:rsidRPr="005269E6">
        <w:rPr>
          <w:rtl/>
          <w:lang w:bidi="ar-SY"/>
        </w:rPr>
        <w:t xml:space="preserve"> و</w:t>
      </w:r>
      <w:r w:rsidR="00972C3D" w:rsidRPr="005269E6">
        <w:rPr>
          <w:rFonts w:hint="cs"/>
          <w:rtl/>
          <w:lang w:bidi="ar-SY"/>
        </w:rPr>
        <w:t>ال</w:t>
      </w:r>
      <w:r w:rsidR="00CC6378" w:rsidRPr="005269E6">
        <w:rPr>
          <w:rtl/>
          <w:lang w:bidi="ar-SY"/>
        </w:rPr>
        <w:t>توظيف. وعلاوة</w:t>
      </w:r>
      <w:r w:rsidR="00CA29BC" w:rsidRPr="005269E6">
        <w:rPr>
          <w:rFonts w:hint="cs"/>
          <w:rtl/>
          <w:lang w:bidi="ar-SY"/>
        </w:rPr>
        <w:t>ً</w:t>
      </w:r>
      <w:r w:rsidR="00CC6378" w:rsidRPr="005269E6">
        <w:rPr>
          <w:rtl/>
          <w:lang w:bidi="ar-SY"/>
        </w:rPr>
        <w:t xml:space="preserve"> على ذلك، لم تكن هناك التزامات تعاقدية </w:t>
      </w:r>
      <w:r w:rsidR="00972C3D" w:rsidRPr="005269E6">
        <w:rPr>
          <w:rFonts w:hint="cs"/>
          <w:rtl/>
          <w:lang w:bidi="ar-SY"/>
        </w:rPr>
        <w:t>م</w:t>
      </w:r>
      <w:r w:rsidR="00CC6378" w:rsidRPr="005269E6">
        <w:rPr>
          <w:rtl/>
          <w:lang w:bidi="ar-SY"/>
        </w:rPr>
        <w:t>همة إزاء الأصول غير المادية حتى 31 ديسمبر 2022.</w:t>
      </w:r>
    </w:p>
    <w:tbl>
      <w:tblPr>
        <w:bidiVisual/>
        <w:tblW w:w="5000" w:type="pct"/>
        <w:tblLook w:val="04A0" w:firstRow="1" w:lastRow="0" w:firstColumn="1" w:lastColumn="0" w:noHBand="0" w:noVBand="1"/>
      </w:tblPr>
      <w:tblGrid>
        <w:gridCol w:w="3579"/>
        <w:gridCol w:w="1010"/>
        <w:gridCol w:w="1010"/>
        <w:gridCol w:w="1010"/>
        <w:gridCol w:w="1010"/>
        <w:gridCol w:w="1010"/>
        <w:gridCol w:w="1010"/>
      </w:tblGrid>
      <w:tr w:rsidR="007950C1" w:rsidRPr="005269E6" w14:paraId="1A661A1E" w14:textId="77777777" w:rsidTr="008B21B2">
        <w:trPr>
          <w:trHeight w:val="390"/>
        </w:trPr>
        <w:tc>
          <w:tcPr>
            <w:tcW w:w="3579" w:type="dxa"/>
            <w:tcBorders>
              <w:top w:val="nil"/>
              <w:left w:val="nil"/>
              <w:bottom w:val="nil"/>
              <w:right w:val="nil"/>
            </w:tcBorders>
            <w:shd w:val="clear" w:color="000000" w:fill="538DD5"/>
            <w:vAlign w:val="center"/>
            <w:hideMark/>
          </w:tcPr>
          <w:p w14:paraId="4CD9A5AD" w14:textId="59C54C55" w:rsidR="007950C1" w:rsidRPr="005269E6" w:rsidRDefault="00800DD6" w:rsidP="00CA29BC">
            <w:pPr>
              <w:tabs>
                <w:tab w:val="clear" w:pos="794"/>
              </w:tabs>
              <w:spacing w:before="40" w:after="40" w:line="240" w:lineRule="atLeas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lastRenderedPageBreak/>
              <w:t>فئة الأصول (بآلاف الفرنكات السويسرية)</w:t>
            </w:r>
          </w:p>
        </w:tc>
        <w:tc>
          <w:tcPr>
            <w:tcW w:w="2020" w:type="dxa"/>
            <w:gridSpan w:val="2"/>
            <w:tcBorders>
              <w:top w:val="nil"/>
              <w:left w:val="nil"/>
              <w:bottom w:val="nil"/>
              <w:right w:val="nil"/>
            </w:tcBorders>
            <w:shd w:val="clear" w:color="000000" w:fill="538DD5"/>
            <w:vAlign w:val="center"/>
            <w:hideMark/>
          </w:tcPr>
          <w:p w14:paraId="54B5C46C" w14:textId="3CBF6994" w:rsidR="007950C1" w:rsidRPr="005269E6" w:rsidRDefault="00800DD6" w:rsidP="00CA29BC">
            <w:pPr>
              <w:tabs>
                <w:tab w:val="clear" w:pos="794"/>
              </w:tabs>
              <w:spacing w:before="40" w:after="40" w:line="240" w:lineRule="atLeas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التطوير الداخلي</w:t>
            </w:r>
          </w:p>
        </w:tc>
        <w:tc>
          <w:tcPr>
            <w:tcW w:w="2020" w:type="dxa"/>
            <w:gridSpan w:val="2"/>
            <w:tcBorders>
              <w:top w:val="nil"/>
              <w:left w:val="nil"/>
              <w:bottom w:val="nil"/>
              <w:right w:val="nil"/>
            </w:tcBorders>
            <w:shd w:val="clear" w:color="000000" w:fill="538DD5"/>
            <w:vAlign w:val="center"/>
            <w:hideMark/>
          </w:tcPr>
          <w:p w14:paraId="5C3D569F" w14:textId="565D957C" w:rsidR="007950C1" w:rsidRPr="005269E6" w:rsidRDefault="00800DD6" w:rsidP="00CA29BC">
            <w:pPr>
              <w:tabs>
                <w:tab w:val="clear" w:pos="794"/>
              </w:tabs>
              <w:spacing w:before="40" w:after="40" w:line="240" w:lineRule="atLeas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البرمجيات</w:t>
            </w:r>
          </w:p>
        </w:tc>
        <w:tc>
          <w:tcPr>
            <w:tcW w:w="1010" w:type="dxa"/>
            <w:tcBorders>
              <w:top w:val="nil"/>
              <w:left w:val="nil"/>
              <w:bottom w:val="nil"/>
              <w:right w:val="nil"/>
            </w:tcBorders>
            <w:shd w:val="clear" w:color="000000" w:fill="538DD5"/>
            <w:vAlign w:val="center"/>
            <w:hideMark/>
          </w:tcPr>
          <w:p w14:paraId="78513497" w14:textId="77777777" w:rsidR="00800DD6" w:rsidRPr="005269E6" w:rsidRDefault="00800DD6" w:rsidP="00CA29BC">
            <w:pPr>
              <w:tabs>
                <w:tab w:val="clear" w:pos="794"/>
              </w:tabs>
              <w:spacing w:before="40" w:after="40" w:line="240" w:lineRule="atLeast"/>
              <w:jc w:val="center"/>
              <w:rPr>
                <w:rFonts w:eastAsia="Times New Roman"/>
                <w:b/>
                <w:bCs/>
                <w:color w:val="000000"/>
                <w:sz w:val="18"/>
                <w:szCs w:val="18"/>
                <w:rtl/>
                <w:lang w:val="en-GB" w:eastAsia="en-GB"/>
              </w:rPr>
            </w:pPr>
            <w:r w:rsidRPr="005269E6">
              <w:rPr>
                <w:rFonts w:eastAsia="Times New Roman"/>
                <w:b/>
                <w:bCs/>
                <w:color w:val="000000"/>
                <w:sz w:val="18"/>
                <w:szCs w:val="18"/>
                <w:rtl/>
                <w:lang w:val="en-GB" w:eastAsia="en-GB"/>
              </w:rPr>
              <w:t>المجموع الكلي</w:t>
            </w:r>
          </w:p>
          <w:p w14:paraId="3831077A" w14:textId="3B02D00C" w:rsidR="007950C1" w:rsidRPr="005269E6" w:rsidRDefault="007950C1" w:rsidP="00CA29BC">
            <w:pPr>
              <w:tabs>
                <w:tab w:val="clear" w:pos="794"/>
              </w:tabs>
              <w:spacing w:before="40" w:after="40" w:line="240" w:lineRule="atLeas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c>
          <w:tcPr>
            <w:tcW w:w="1010" w:type="dxa"/>
            <w:tcBorders>
              <w:top w:val="nil"/>
              <w:left w:val="nil"/>
              <w:bottom w:val="nil"/>
              <w:right w:val="nil"/>
            </w:tcBorders>
            <w:shd w:val="clear" w:color="000000" w:fill="538DD5"/>
            <w:vAlign w:val="center"/>
            <w:hideMark/>
          </w:tcPr>
          <w:p w14:paraId="08A28136" w14:textId="75F4361F" w:rsidR="00800DD6" w:rsidRPr="005269E6" w:rsidRDefault="00800DD6" w:rsidP="00CA29BC">
            <w:pPr>
              <w:tabs>
                <w:tab w:val="clear" w:pos="794"/>
              </w:tabs>
              <w:spacing w:before="40" w:after="40" w:line="240" w:lineRule="atLeast"/>
              <w:jc w:val="center"/>
              <w:rPr>
                <w:rFonts w:eastAsia="Times New Roman"/>
                <w:b/>
                <w:bCs/>
                <w:color w:val="000000"/>
                <w:sz w:val="18"/>
                <w:szCs w:val="18"/>
                <w:rtl/>
                <w:lang w:val="en-GB" w:eastAsia="en-GB"/>
              </w:rPr>
            </w:pPr>
            <w:r w:rsidRPr="005269E6">
              <w:rPr>
                <w:rFonts w:eastAsia="Times New Roman"/>
                <w:b/>
                <w:bCs/>
                <w:color w:val="000000"/>
                <w:sz w:val="18"/>
                <w:szCs w:val="18"/>
                <w:rtl/>
                <w:lang w:val="en-GB" w:eastAsia="en-GB"/>
              </w:rPr>
              <w:t>المجموع الكلي</w:t>
            </w:r>
          </w:p>
          <w:p w14:paraId="4BF89482" w14:textId="440ED8DD" w:rsidR="007950C1" w:rsidRPr="005269E6" w:rsidRDefault="007950C1" w:rsidP="00CA29BC">
            <w:pPr>
              <w:tabs>
                <w:tab w:val="clear" w:pos="794"/>
              </w:tabs>
              <w:spacing w:before="40" w:after="40" w:line="240" w:lineRule="atLeas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2022</w:t>
            </w:r>
          </w:p>
        </w:tc>
      </w:tr>
      <w:tr w:rsidR="007950C1" w:rsidRPr="005269E6" w14:paraId="41006050" w14:textId="77777777" w:rsidTr="008B21B2">
        <w:trPr>
          <w:trHeight w:val="360"/>
        </w:trPr>
        <w:tc>
          <w:tcPr>
            <w:tcW w:w="3579" w:type="dxa"/>
            <w:tcBorders>
              <w:top w:val="nil"/>
              <w:left w:val="nil"/>
              <w:bottom w:val="nil"/>
              <w:right w:val="nil"/>
            </w:tcBorders>
            <w:shd w:val="clear" w:color="000000" w:fill="538DD5"/>
            <w:hideMark/>
          </w:tcPr>
          <w:p w14:paraId="5A04B109" w14:textId="34CD3454" w:rsidR="007950C1" w:rsidRPr="005269E6" w:rsidRDefault="007950C1" w:rsidP="00CA29BC">
            <w:pPr>
              <w:tabs>
                <w:tab w:val="clear" w:pos="794"/>
              </w:tabs>
              <w:spacing w:before="40" w:after="40" w:line="240" w:lineRule="atLeast"/>
              <w:jc w:val="center"/>
              <w:rPr>
                <w:rFonts w:eastAsia="Times New Roman"/>
                <w:b/>
                <w:bCs/>
                <w:color w:val="000000"/>
                <w:sz w:val="18"/>
                <w:szCs w:val="18"/>
                <w:lang w:val="en-GB" w:eastAsia="en-GB"/>
              </w:rPr>
            </w:pPr>
          </w:p>
        </w:tc>
        <w:tc>
          <w:tcPr>
            <w:tcW w:w="1010" w:type="dxa"/>
            <w:tcBorders>
              <w:top w:val="nil"/>
              <w:left w:val="nil"/>
              <w:bottom w:val="nil"/>
              <w:right w:val="nil"/>
            </w:tcBorders>
            <w:shd w:val="clear" w:color="000000" w:fill="538DD5"/>
            <w:vAlign w:val="center"/>
            <w:hideMark/>
          </w:tcPr>
          <w:p w14:paraId="010892B2" w14:textId="77777777" w:rsidR="007950C1" w:rsidRPr="005269E6" w:rsidRDefault="007950C1" w:rsidP="00CA29BC">
            <w:pPr>
              <w:tabs>
                <w:tab w:val="clear" w:pos="794"/>
              </w:tabs>
              <w:spacing w:before="40" w:after="40" w:line="240" w:lineRule="atLeas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2022</w:t>
            </w:r>
          </w:p>
        </w:tc>
        <w:tc>
          <w:tcPr>
            <w:tcW w:w="1010" w:type="dxa"/>
            <w:tcBorders>
              <w:top w:val="nil"/>
              <w:left w:val="nil"/>
              <w:bottom w:val="nil"/>
              <w:right w:val="nil"/>
            </w:tcBorders>
            <w:shd w:val="clear" w:color="000000" w:fill="538DD5"/>
            <w:vAlign w:val="center"/>
            <w:hideMark/>
          </w:tcPr>
          <w:p w14:paraId="40F063C5" w14:textId="77777777" w:rsidR="007950C1" w:rsidRPr="005269E6" w:rsidRDefault="007950C1" w:rsidP="00CA29BC">
            <w:pPr>
              <w:tabs>
                <w:tab w:val="clear" w:pos="794"/>
              </w:tabs>
              <w:spacing w:before="40" w:after="40" w:line="240" w:lineRule="atLeas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c>
          <w:tcPr>
            <w:tcW w:w="1010" w:type="dxa"/>
            <w:tcBorders>
              <w:top w:val="nil"/>
              <w:left w:val="nil"/>
              <w:bottom w:val="nil"/>
              <w:right w:val="nil"/>
            </w:tcBorders>
            <w:shd w:val="clear" w:color="000000" w:fill="538DD5"/>
            <w:vAlign w:val="center"/>
            <w:hideMark/>
          </w:tcPr>
          <w:p w14:paraId="613063BE" w14:textId="77777777" w:rsidR="007950C1" w:rsidRPr="005269E6" w:rsidRDefault="007950C1" w:rsidP="00CA29BC">
            <w:pPr>
              <w:tabs>
                <w:tab w:val="clear" w:pos="794"/>
              </w:tabs>
              <w:spacing w:before="40" w:after="40" w:line="240" w:lineRule="atLeas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2022</w:t>
            </w:r>
          </w:p>
        </w:tc>
        <w:tc>
          <w:tcPr>
            <w:tcW w:w="1010" w:type="dxa"/>
            <w:tcBorders>
              <w:top w:val="nil"/>
              <w:left w:val="nil"/>
              <w:bottom w:val="nil"/>
              <w:right w:val="nil"/>
            </w:tcBorders>
            <w:shd w:val="clear" w:color="000000" w:fill="538DD5"/>
            <w:vAlign w:val="center"/>
            <w:hideMark/>
          </w:tcPr>
          <w:p w14:paraId="186F59E6" w14:textId="77777777" w:rsidR="007950C1" w:rsidRPr="005269E6" w:rsidRDefault="007950C1" w:rsidP="00CA29BC">
            <w:pPr>
              <w:tabs>
                <w:tab w:val="clear" w:pos="794"/>
              </w:tabs>
              <w:spacing w:before="40" w:after="40" w:line="240" w:lineRule="atLeas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c>
          <w:tcPr>
            <w:tcW w:w="1010" w:type="dxa"/>
            <w:tcBorders>
              <w:top w:val="nil"/>
              <w:left w:val="nil"/>
              <w:bottom w:val="nil"/>
              <w:right w:val="nil"/>
            </w:tcBorders>
            <w:shd w:val="clear" w:color="000000" w:fill="538DD5"/>
            <w:hideMark/>
          </w:tcPr>
          <w:p w14:paraId="02D89949" w14:textId="3F5D581A" w:rsidR="007950C1" w:rsidRPr="005269E6" w:rsidRDefault="007950C1" w:rsidP="00CA29BC">
            <w:pPr>
              <w:tabs>
                <w:tab w:val="clear" w:pos="794"/>
              </w:tabs>
              <w:spacing w:before="40" w:after="40" w:line="240" w:lineRule="atLeast"/>
              <w:jc w:val="center"/>
              <w:rPr>
                <w:rFonts w:eastAsia="Times New Roman"/>
                <w:b/>
                <w:bCs/>
                <w:color w:val="000000"/>
                <w:sz w:val="18"/>
                <w:szCs w:val="18"/>
                <w:lang w:val="en-GB" w:eastAsia="en-GB"/>
              </w:rPr>
            </w:pPr>
          </w:p>
        </w:tc>
        <w:tc>
          <w:tcPr>
            <w:tcW w:w="1010" w:type="dxa"/>
            <w:tcBorders>
              <w:top w:val="nil"/>
              <w:left w:val="nil"/>
              <w:bottom w:val="nil"/>
              <w:right w:val="nil"/>
            </w:tcBorders>
            <w:shd w:val="clear" w:color="000000" w:fill="538DD5"/>
            <w:hideMark/>
          </w:tcPr>
          <w:p w14:paraId="4A7D38FF" w14:textId="7B09B243" w:rsidR="007950C1" w:rsidRPr="005269E6" w:rsidRDefault="007950C1" w:rsidP="00CA29BC">
            <w:pPr>
              <w:tabs>
                <w:tab w:val="clear" w:pos="794"/>
              </w:tabs>
              <w:spacing w:before="40" w:after="40" w:line="240" w:lineRule="atLeast"/>
              <w:jc w:val="center"/>
              <w:rPr>
                <w:rFonts w:eastAsia="Times New Roman"/>
                <w:b/>
                <w:bCs/>
                <w:color w:val="000000"/>
                <w:sz w:val="18"/>
                <w:szCs w:val="18"/>
                <w:lang w:val="en-GB" w:eastAsia="en-GB"/>
              </w:rPr>
            </w:pPr>
          </w:p>
        </w:tc>
      </w:tr>
      <w:tr w:rsidR="007950C1" w:rsidRPr="005269E6" w14:paraId="641ED073" w14:textId="77777777" w:rsidTr="008B21B2">
        <w:trPr>
          <w:trHeight w:val="150"/>
        </w:trPr>
        <w:tc>
          <w:tcPr>
            <w:tcW w:w="3579" w:type="dxa"/>
            <w:tcBorders>
              <w:top w:val="nil"/>
              <w:left w:val="nil"/>
              <w:bottom w:val="nil"/>
              <w:right w:val="nil"/>
            </w:tcBorders>
            <w:shd w:val="clear" w:color="000000" w:fill="auto"/>
            <w:hideMark/>
          </w:tcPr>
          <w:p w14:paraId="467BA717" w14:textId="77777777" w:rsidR="007950C1" w:rsidRPr="005269E6" w:rsidRDefault="007950C1" w:rsidP="007950C1">
            <w:pPr>
              <w:tabs>
                <w:tab w:val="clear" w:pos="794"/>
              </w:tabs>
              <w:spacing w:before="0" w:line="200" w:lineRule="exact"/>
              <w:jc w:val="center"/>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hideMark/>
          </w:tcPr>
          <w:p w14:paraId="10C608E1" w14:textId="77777777" w:rsidR="007950C1" w:rsidRPr="005269E6" w:rsidRDefault="007950C1" w:rsidP="007950C1">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hideMark/>
          </w:tcPr>
          <w:p w14:paraId="184F6C51" w14:textId="77777777" w:rsidR="007950C1" w:rsidRPr="005269E6" w:rsidRDefault="007950C1" w:rsidP="007950C1">
            <w:pPr>
              <w:tabs>
                <w:tab w:val="clear" w:pos="794"/>
              </w:tabs>
              <w:spacing w:before="0" w:line="200" w:lineRule="exact"/>
              <w:jc w:val="center"/>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hideMark/>
          </w:tcPr>
          <w:p w14:paraId="39FB2B54" w14:textId="77777777" w:rsidR="007950C1" w:rsidRPr="005269E6" w:rsidRDefault="007950C1" w:rsidP="007950C1">
            <w:pPr>
              <w:tabs>
                <w:tab w:val="clear" w:pos="794"/>
              </w:tabs>
              <w:spacing w:before="0" w:line="200" w:lineRule="exact"/>
              <w:jc w:val="center"/>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hideMark/>
          </w:tcPr>
          <w:p w14:paraId="73BA0F6D" w14:textId="77777777" w:rsidR="007950C1" w:rsidRPr="005269E6" w:rsidRDefault="007950C1" w:rsidP="007950C1">
            <w:pPr>
              <w:tabs>
                <w:tab w:val="clear" w:pos="794"/>
              </w:tabs>
              <w:spacing w:before="0" w:line="200" w:lineRule="exact"/>
              <w:jc w:val="center"/>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hideMark/>
          </w:tcPr>
          <w:p w14:paraId="43EEC79A" w14:textId="77777777" w:rsidR="007950C1" w:rsidRPr="005269E6" w:rsidRDefault="007950C1" w:rsidP="007950C1">
            <w:pPr>
              <w:tabs>
                <w:tab w:val="clear" w:pos="794"/>
              </w:tabs>
              <w:spacing w:before="0" w:line="200" w:lineRule="exact"/>
              <w:jc w:val="center"/>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hideMark/>
          </w:tcPr>
          <w:p w14:paraId="3A6C344A" w14:textId="77777777" w:rsidR="007950C1" w:rsidRPr="005269E6" w:rsidRDefault="007950C1" w:rsidP="007950C1">
            <w:pPr>
              <w:tabs>
                <w:tab w:val="clear" w:pos="794"/>
              </w:tabs>
              <w:spacing w:before="0" w:line="200" w:lineRule="exact"/>
              <w:jc w:val="center"/>
              <w:rPr>
                <w:rFonts w:eastAsia="Times New Roman"/>
                <w:b/>
                <w:bCs/>
                <w:color w:val="000000"/>
                <w:sz w:val="18"/>
                <w:szCs w:val="18"/>
                <w:lang w:val="en-GB" w:eastAsia="en-GB"/>
              </w:rPr>
            </w:pPr>
          </w:p>
        </w:tc>
      </w:tr>
      <w:tr w:rsidR="008B21B2" w:rsidRPr="005269E6" w14:paraId="5E2D51AA" w14:textId="77777777" w:rsidTr="008B21B2">
        <w:trPr>
          <w:trHeight w:val="255"/>
        </w:trPr>
        <w:tc>
          <w:tcPr>
            <w:tcW w:w="3579" w:type="dxa"/>
            <w:tcBorders>
              <w:top w:val="nil"/>
              <w:left w:val="nil"/>
              <w:bottom w:val="nil"/>
              <w:right w:val="nil"/>
            </w:tcBorders>
            <w:shd w:val="clear" w:color="000000" w:fill="auto"/>
            <w:vAlign w:val="center"/>
            <w:hideMark/>
          </w:tcPr>
          <w:p w14:paraId="0D2FB641" w14:textId="1DAD8B5A" w:rsidR="008B21B2" w:rsidRPr="005269E6" w:rsidRDefault="008B21B2" w:rsidP="008B21B2">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 xml:space="preserve">التكلفة في 1 يناير </w:t>
            </w:r>
          </w:p>
        </w:tc>
        <w:tc>
          <w:tcPr>
            <w:tcW w:w="1010" w:type="dxa"/>
            <w:tcBorders>
              <w:top w:val="nil"/>
              <w:left w:val="nil"/>
              <w:bottom w:val="nil"/>
              <w:right w:val="nil"/>
            </w:tcBorders>
            <w:shd w:val="clear" w:color="000000" w:fill="auto"/>
            <w:vAlign w:val="center"/>
            <w:hideMark/>
          </w:tcPr>
          <w:p w14:paraId="7A6F935B" w14:textId="52F43453" w:rsidR="008B21B2" w:rsidRPr="005269E6" w:rsidRDefault="008B21B2"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3 288 </w:t>
            </w:r>
          </w:p>
        </w:tc>
        <w:tc>
          <w:tcPr>
            <w:tcW w:w="1010" w:type="dxa"/>
            <w:tcBorders>
              <w:top w:val="nil"/>
              <w:left w:val="nil"/>
              <w:bottom w:val="nil"/>
              <w:right w:val="nil"/>
            </w:tcBorders>
            <w:shd w:val="clear" w:color="000000" w:fill="auto"/>
            <w:vAlign w:val="center"/>
            <w:hideMark/>
          </w:tcPr>
          <w:p w14:paraId="25750FA8" w14:textId="7D88460A" w:rsidR="008B21B2" w:rsidRPr="005269E6" w:rsidRDefault="008B21B2"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3 211 </w:t>
            </w:r>
          </w:p>
        </w:tc>
        <w:tc>
          <w:tcPr>
            <w:tcW w:w="1010" w:type="dxa"/>
            <w:tcBorders>
              <w:top w:val="nil"/>
              <w:left w:val="nil"/>
              <w:bottom w:val="nil"/>
              <w:right w:val="nil"/>
            </w:tcBorders>
            <w:shd w:val="clear" w:color="000000" w:fill="FFFFFF"/>
            <w:noWrap/>
            <w:vAlign w:val="center"/>
            <w:hideMark/>
          </w:tcPr>
          <w:p w14:paraId="16E674C7" w14:textId="6FF3F16E" w:rsidR="008B21B2" w:rsidRPr="005269E6" w:rsidRDefault="008B21B2"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6 817 </w:t>
            </w:r>
          </w:p>
        </w:tc>
        <w:tc>
          <w:tcPr>
            <w:tcW w:w="1010" w:type="dxa"/>
            <w:tcBorders>
              <w:top w:val="nil"/>
              <w:left w:val="nil"/>
              <w:bottom w:val="nil"/>
              <w:right w:val="nil"/>
            </w:tcBorders>
            <w:shd w:val="clear" w:color="000000" w:fill="auto"/>
            <w:vAlign w:val="center"/>
            <w:hideMark/>
          </w:tcPr>
          <w:p w14:paraId="221ABA7B" w14:textId="7C81F647" w:rsidR="008B21B2" w:rsidRPr="005269E6" w:rsidRDefault="008B21B2"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7 025 </w:t>
            </w:r>
          </w:p>
        </w:tc>
        <w:tc>
          <w:tcPr>
            <w:tcW w:w="1010" w:type="dxa"/>
            <w:tcBorders>
              <w:top w:val="nil"/>
              <w:left w:val="nil"/>
              <w:bottom w:val="nil"/>
              <w:right w:val="nil"/>
            </w:tcBorders>
            <w:shd w:val="clear" w:color="000000" w:fill="auto"/>
            <w:vAlign w:val="center"/>
            <w:hideMark/>
          </w:tcPr>
          <w:p w14:paraId="7670BF65" w14:textId="20D20299" w:rsidR="008B21B2" w:rsidRPr="005269E6" w:rsidRDefault="008B21B2"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10 236 </w:t>
            </w:r>
          </w:p>
        </w:tc>
        <w:tc>
          <w:tcPr>
            <w:tcW w:w="1010" w:type="dxa"/>
            <w:tcBorders>
              <w:top w:val="nil"/>
              <w:left w:val="nil"/>
              <w:bottom w:val="nil"/>
              <w:right w:val="nil"/>
            </w:tcBorders>
            <w:shd w:val="clear" w:color="000000" w:fill="auto"/>
            <w:vAlign w:val="center"/>
            <w:hideMark/>
          </w:tcPr>
          <w:p w14:paraId="5E6B872A" w14:textId="33BA645A" w:rsidR="008B21B2" w:rsidRPr="005269E6" w:rsidRDefault="008B21B2"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10 105 </w:t>
            </w:r>
          </w:p>
        </w:tc>
      </w:tr>
      <w:tr w:rsidR="008B21B2" w:rsidRPr="005269E6" w14:paraId="2B512172" w14:textId="77777777" w:rsidTr="008B21B2">
        <w:trPr>
          <w:trHeight w:val="255"/>
        </w:trPr>
        <w:tc>
          <w:tcPr>
            <w:tcW w:w="3579" w:type="dxa"/>
            <w:tcBorders>
              <w:top w:val="nil"/>
              <w:left w:val="nil"/>
              <w:bottom w:val="nil"/>
              <w:right w:val="nil"/>
            </w:tcBorders>
            <w:shd w:val="clear" w:color="000000" w:fill="auto"/>
            <w:hideMark/>
          </w:tcPr>
          <w:p w14:paraId="0BA2C6D2" w14:textId="4CCD2661" w:rsidR="008B21B2" w:rsidRPr="005269E6" w:rsidRDefault="008B21B2" w:rsidP="008B21B2">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rtl/>
                <w:lang w:val="en-GB" w:eastAsia="en-GB"/>
              </w:rPr>
              <w:t>ال</w:t>
            </w:r>
            <w:r w:rsidR="00CA29BC" w:rsidRPr="005269E6">
              <w:rPr>
                <w:rFonts w:eastAsia="Times New Roman" w:hint="cs"/>
                <w:color w:val="000000"/>
                <w:sz w:val="18"/>
                <w:szCs w:val="18"/>
                <w:rtl/>
                <w:lang w:val="en-GB" w:eastAsia="en-GB" w:bidi="ar-SY"/>
              </w:rPr>
              <w:t>إ</w:t>
            </w:r>
            <w:r w:rsidRPr="005269E6">
              <w:rPr>
                <w:rFonts w:eastAsia="Times New Roman"/>
                <w:color w:val="000000"/>
                <w:sz w:val="18"/>
                <w:szCs w:val="18"/>
                <w:rtl/>
                <w:lang w:val="en-GB" w:eastAsia="en-GB"/>
              </w:rPr>
              <w:t>ضافات</w:t>
            </w:r>
          </w:p>
        </w:tc>
        <w:tc>
          <w:tcPr>
            <w:tcW w:w="1010" w:type="dxa"/>
            <w:tcBorders>
              <w:top w:val="nil"/>
              <w:left w:val="nil"/>
              <w:bottom w:val="nil"/>
              <w:right w:val="nil"/>
            </w:tcBorders>
            <w:shd w:val="clear" w:color="000000" w:fill="auto"/>
            <w:hideMark/>
          </w:tcPr>
          <w:p w14:paraId="7EB21484" w14:textId="10A89016"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2 263 </w:t>
            </w:r>
          </w:p>
        </w:tc>
        <w:tc>
          <w:tcPr>
            <w:tcW w:w="1010" w:type="dxa"/>
            <w:tcBorders>
              <w:top w:val="nil"/>
              <w:left w:val="nil"/>
              <w:bottom w:val="nil"/>
              <w:right w:val="nil"/>
            </w:tcBorders>
            <w:shd w:val="clear" w:color="000000" w:fill="auto"/>
            <w:hideMark/>
          </w:tcPr>
          <w:p w14:paraId="10CA0EEE" w14:textId="7FA13333"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77 </w:t>
            </w:r>
          </w:p>
        </w:tc>
        <w:tc>
          <w:tcPr>
            <w:tcW w:w="1010" w:type="dxa"/>
            <w:tcBorders>
              <w:top w:val="nil"/>
              <w:left w:val="nil"/>
              <w:bottom w:val="nil"/>
              <w:right w:val="nil"/>
            </w:tcBorders>
            <w:shd w:val="clear" w:color="000000" w:fill="auto"/>
            <w:noWrap/>
            <w:vAlign w:val="bottom"/>
            <w:hideMark/>
          </w:tcPr>
          <w:p w14:paraId="32AB876B" w14:textId="2DAC6918"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1 023 </w:t>
            </w:r>
          </w:p>
        </w:tc>
        <w:tc>
          <w:tcPr>
            <w:tcW w:w="1010" w:type="dxa"/>
            <w:tcBorders>
              <w:top w:val="nil"/>
              <w:left w:val="nil"/>
              <w:bottom w:val="nil"/>
              <w:right w:val="nil"/>
            </w:tcBorders>
            <w:shd w:val="clear" w:color="000000" w:fill="auto"/>
            <w:noWrap/>
            <w:vAlign w:val="bottom"/>
            <w:hideMark/>
          </w:tcPr>
          <w:p w14:paraId="7976EE3B" w14:textId="361E11C9"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384 </w:t>
            </w:r>
          </w:p>
        </w:tc>
        <w:tc>
          <w:tcPr>
            <w:tcW w:w="1010" w:type="dxa"/>
            <w:tcBorders>
              <w:top w:val="nil"/>
              <w:left w:val="nil"/>
              <w:bottom w:val="nil"/>
              <w:right w:val="nil"/>
            </w:tcBorders>
            <w:shd w:val="clear" w:color="000000" w:fill="auto"/>
            <w:noWrap/>
            <w:vAlign w:val="bottom"/>
            <w:hideMark/>
          </w:tcPr>
          <w:p w14:paraId="629E4FE2" w14:textId="4A489409"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461 </w:t>
            </w:r>
          </w:p>
        </w:tc>
        <w:tc>
          <w:tcPr>
            <w:tcW w:w="1010" w:type="dxa"/>
            <w:tcBorders>
              <w:top w:val="nil"/>
              <w:left w:val="nil"/>
              <w:bottom w:val="nil"/>
              <w:right w:val="nil"/>
            </w:tcBorders>
            <w:shd w:val="clear" w:color="000000" w:fill="auto"/>
            <w:noWrap/>
            <w:vAlign w:val="bottom"/>
            <w:hideMark/>
          </w:tcPr>
          <w:p w14:paraId="6E6B7414" w14:textId="5D6400B3"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3 286 </w:t>
            </w:r>
          </w:p>
        </w:tc>
      </w:tr>
      <w:tr w:rsidR="008B21B2" w:rsidRPr="005269E6" w14:paraId="738ECD97" w14:textId="77777777" w:rsidTr="008B21B2">
        <w:trPr>
          <w:trHeight w:val="255"/>
        </w:trPr>
        <w:tc>
          <w:tcPr>
            <w:tcW w:w="3579" w:type="dxa"/>
            <w:tcBorders>
              <w:top w:val="nil"/>
              <w:left w:val="nil"/>
              <w:bottom w:val="nil"/>
              <w:right w:val="nil"/>
            </w:tcBorders>
            <w:shd w:val="clear" w:color="000000" w:fill="auto"/>
            <w:hideMark/>
          </w:tcPr>
          <w:p w14:paraId="627CE7C1" w14:textId="57655223" w:rsidR="008B21B2" w:rsidRPr="005269E6" w:rsidRDefault="008B21B2" w:rsidP="008B21B2">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التخلص</w:t>
            </w:r>
          </w:p>
        </w:tc>
        <w:tc>
          <w:tcPr>
            <w:tcW w:w="1010" w:type="dxa"/>
            <w:tcBorders>
              <w:top w:val="nil"/>
              <w:left w:val="nil"/>
              <w:bottom w:val="nil"/>
              <w:right w:val="nil"/>
            </w:tcBorders>
            <w:shd w:val="clear" w:color="000000" w:fill="auto"/>
            <w:hideMark/>
          </w:tcPr>
          <w:p w14:paraId="6CD3D30B" w14:textId="77777777"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p>
        </w:tc>
        <w:tc>
          <w:tcPr>
            <w:tcW w:w="1010" w:type="dxa"/>
            <w:tcBorders>
              <w:top w:val="nil"/>
              <w:left w:val="nil"/>
              <w:bottom w:val="nil"/>
              <w:right w:val="nil"/>
            </w:tcBorders>
            <w:shd w:val="clear" w:color="000000" w:fill="auto"/>
            <w:hideMark/>
          </w:tcPr>
          <w:p w14:paraId="15543779" w14:textId="77777777" w:rsidR="008B21B2" w:rsidRPr="005269E6" w:rsidRDefault="008B21B2" w:rsidP="00CC3169">
            <w:pPr>
              <w:tabs>
                <w:tab w:val="clear" w:pos="794"/>
              </w:tabs>
              <w:spacing w:before="40" w:after="40" w:line="240" w:lineRule="atLeast"/>
              <w:jc w:val="left"/>
              <w:rPr>
                <w:rFonts w:eastAsia="Times New Roman"/>
                <w:sz w:val="18"/>
                <w:szCs w:val="18"/>
                <w:lang w:val="en-GB" w:eastAsia="en-GB"/>
              </w:rPr>
            </w:pPr>
          </w:p>
        </w:tc>
        <w:tc>
          <w:tcPr>
            <w:tcW w:w="1010" w:type="dxa"/>
            <w:tcBorders>
              <w:top w:val="nil"/>
              <w:left w:val="nil"/>
              <w:bottom w:val="nil"/>
              <w:right w:val="nil"/>
            </w:tcBorders>
            <w:shd w:val="clear" w:color="000000" w:fill="auto"/>
            <w:noWrap/>
            <w:vAlign w:val="bottom"/>
            <w:hideMark/>
          </w:tcPr>
          <w:p w14:paraId="5AE0D4C7" w14:textId="607BAE4A"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(1 360)</w:t>
            </w:r>
          </w:p>
        </w:tc>
        <w:tc>
          <w:tcPr>
            <w:tcW w:w="1010" w:type="dxa"/>
            <w:tcBorders>
              <w:top w:val="nil"/>
              <w:left w:val="nil"/>
              <w:bottom w:val="nil"/>
              <w:right w:val="nil"/>
            </w:tcBorders>
            <w:shd w:val="clear" w:color="000000" w:fill="auto"/>
            <w:noWrap/>
            <w:vAlign w:val="bottom"/>
            <w:hideMark/>
          </w:tcPr>
          <w:p w14:paraId="7E4FBC7E" w14:textId="05E75245"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(592)</w:t>
            </w:r>
          </w:p>
        </w:tc>
        <w:tc>
          <w:tcPr>
            <w:tcW w:w="1010" w:type="dxa"/>
            <w:tcBorders>
              <w:top w:val="nil"/>
              <w:left w:val="nil"/>
              <w:bottom w:val="nil"/>
              <w:right w:val="nil"/>
            </w:tcBorders>
            <w:shd w:val="clear" w:color="000000" w:fill="auto"/>
            <w:noWrap/>
            <w:vAlign w:val="bottom"/>
            <w:hideMark/>
          </w:tcPr>
          <w:p w14:paraId="53FF24AF" w14:textId="75D52DC9"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(592)</w:t>
            </w:r>
          </w:p>
        </w:tc>
        <w:tc>
          <w:tcPr>
            <w:tcW w:w="1010" w:type="dxa"/>
            <w:tcBorders>
              <w:top w:val="nil"/>
              <w:left w:val="nil"/>
              <w:bottom w:val="nil"/>
              <w:right w:val="nil"/>
            </w:tcBorders>
            <w:shd w:val="clear" w:color="000000" w:fill="auto"/>
            <w:noWrap/>
            <w:vAlign w:val="bottom"/>
            <w:hideMark/>
          </w:tcPr>
          <w:p w14:paraId="7E2F319A" w14:textId="03DA2FDE"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(1 360)</w:t>
            </w:r>
          </w:p>
        </w:tc>
      </w:tr>
      <w:tr w:rsidR="008B21B2" w:rsidRPr="005269E6" w14:paraId="43923E17" w14:textId="77777777" w:rsidTr="008B21B2">
        <w:trPr>
          <w:trHeight w:val="255"/>
        </w:trPr>
        <w:tc>
          <w:tcPr>
            <w:tcW w:w="3579" w:type="dxa"/>
            <w:tcBorders>
              <w:top w:val="nil"/>
              <w:left w:val="nil"/>
              <w:bottom w:val="nil"/>
              <w:right w:val="nil"/>
            </w:tcBorders>
            <w:shd w:val="clear" w:color="000000" w:fill="auto"/>
            <w:hideMark/>
          </w:tcPr>
          <w:p w14:paraId="48720261" w14:textId="3A42546C" w:rsidR="008B21B2" w:rsidRPr="005269E6" w:rsidRDefault="008B21B2" w:rsidP="008B21B2">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rtl/>
                <w:lang w:val="en-GB" w:eastAsia="en-GB"/>
              </w:rPr>
              <w:t>إعادة التصنيف والتصويبات</w:t>
            </w:r>
          </w:p>
        </w:tc>
        <w:tc>
          <w:tcPr>
            <w:tcW w:w="1010" w:type="dxa"/>
            <w:tcBorders>
              <w:top w:val="nil"/>
              <w:left w:val="nil"/>
              <w:bottom w:val="nil"/>
              <w:right w:val="nil"/>
            </w:tcBorders>
            <w:shd w:val="clear" w:color="000000" w:fill="auto"/>
            <w:hideMark/>
          </w:tcPr>
          <w:p w14:paraId="58D22C10" w14:textId="77777777"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p>
        </w:tc>
        <w:tc>
          <w:tcPr>
            <w:tcW w:w="1010" w:type="dxa"/>
            <w:tcBorders>
              <w:top w:val="nil"/>
              <w:left w:val="nil"/>
              <w:bottom w:val="nil"/>
              <w:right w:val="nil"/>
            </w:tcBorders>
            <w:shd w:val="clear" w:color="000000" w:fill="auto"/>
            <w:hideMark/>
          </w:tcPr>
          <w:p w14:paraId="11F14013" w14:textId="77777777" w:rsidR="008B21B2" w:rsidRPr="005269E6" w:rsidRDefault="008B21B2" w:rsidP="00CC3169">
            <w:pPr>
              <w:tabs>
                <w:tab w:val="clear" w:pos="794"/>
              </w:tabs>
              <w:spacing w:before="40" w:after="40" w:line="240" w:lineRule="atLeast"/>
              <w:jc w:val="left"/>
              <w:rPr>
                <w:rFonts w:eastAsia="Times New Roman"/>
                <w:sz w:val="18"/>
                <w:szCs w:val="18"/>
                <w:lang w:val="en-GB" w:eastAsia="en-GB"/>
              </w:rPr>
            </w:pPr>
          </w:p>
        </w:tc>
        <w:tc>
          <w:tcPr>
            <w:tcW w:w="1010" w:type="dxa"/>
            <w:tcBorders>
              <w:top w:val="nil"/>
              <w:left w:val="nil"/>
              <w:bottom w:val="nil"/>
              <w:right w:val="nil"/>
            </w:tcBorders>
            <w:shd w:val="clear" w:color="000000" w:fill="auto"/>
            <w:noWrap/>
            <w:vAlign w:val="bottom"/>
            <w:hideMark/>
          </w:tcPr>
          <w:p w14:paraId="6F33DFB5" w14:textId="0E4A7813"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306 </w:t>
            </w:r>
          </w:p>
        </w:tc>
        <w:tc>
          <w:tcPr>
            <w:tcW w:w="1010" w:type="dxa"/>
            <w:tcBorders>
              <w:top w:val="nil"/>
              <w:left w:val="nil"/>
              <w:bottom w:val="nil"/>
              <w:right w:val="nil"/>
            </w:tcBorders>
            <w:shd w:val="clear" w:color="000000" w:fill="auto"/>
            <w:noWrap/>
            <w:vAlign w:val="bottom"/>
            <w:hideMark/>
          </w:tcPr>
          <w:p w14:paraId="341A158C" w14:textId="77777777"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67B959D3" w14:textId="7C0C12B7"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010" w:type="dxa"/>
            <w:tcBorders>
              <w:top w:val="nil"/>
              <w:left w:val="nil"/>
              <w:bottom w:val="nil"/>
              <w:right w:val="nil"/>
            </w:tcBorders>
            <w:shd w:val="clear" w:color="000000" w:fill="auto"/>
            <w:noWrap/>
            <w:vAlign w:val="bottom"/>
            <w:hideMark/>
          </w:tcPr>
          <w:p w14:paraId="4CB7D5CF" w14:textId="332A05C6" w:rsidR="008B21B2" w:rsidRPr="005269E6" w:rsidRDefault="008B21B2"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306 </w:t>
            </w:r>
          </w:p>
        </w:tc>
      </w:tr>
      <w:tr w:rsidR="007950C1" w:rsidRPr="005269E6" w14:paraId="531823F8" w14:textId="77777777" w:rsidTr="00CA29BC">
        <w:trPr>
          <w:trHeight w:val="50"/>
        </w:trPr>
        <w:tc>
          <w:tcPr>
            <w:tcW w:w="3579" w:type="dxa"/>
            <w:tcBorders>
              <w:top w:val="nil"/>
              <w:left w:val="nil"/>
              <w:bottom w:val="nil"/>
              <w:right w:val="nil"/>
            </w:tcBorders>
            <w:shd w:val="clear" w:color="000000" w:fill="auto"/>
            <w:hideMark/>
          </w:tcPr>
          <w:p w14:paraId="5C64D4AA" w14:textId="77777777" w:rsidR="007950C1" w:rsidRPr="005269E6" w:rsidRDefault="007950C1" w:rsidP="007950C1">
            <w:pPr>
              <w:tabs>
                <w:tab w:val="clear" w:pos="794"/>
              </w:tabs>
              <w:spacing w:before="0" w:line="200" w:lineRule="exact"/>
              <w:jc w:val="center"/>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hideMark/>
          </w:tcPr>
          <w:p w14:paraId="233F7592"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hideMark/>
          </w:tcPr>
          <w:p w14:paraId="548E2686"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6C68BD44"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0931CAB3"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5639E535" w14:textId="646B0919"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c>
          <w:tcPr>
            <w:tcW w:w="1010" w:type="dxa"/>
            <w:tcBorders>
              <w:top w:val="nil"/>
              <w:left w:val="nil"/>
              <w:bottom w:val="nil"/>
              <w:right w:val="nil"/>
            </w:tcBorders>
            <w:shd w:val="clear" w:color="000000" w:fill="auto"/>
            <w:noWrap/>
            <w:vAlign w:val="bottom"/>
            <w:hideMark/>
          </w:tcPr>
          <w:p w14:paraId="061AF43B"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r>
      <w:tr w:rsidR="007950C1" w:rsidRPr="005269E6" w14:paraId="38DACE7A" w14:textId="77777777" w:rsidTr="008B21B2">
        <w:trPr>
          <w:trHeight w:val="255"/>
        </w:trPr>
        <w:tc>
          <w:tcPr>
            <w:tcW w:w="3579" w:type="dxa"/>
            <w:tcBorders>
              <w:top w:val="nil"/>
              <w:left w:val="nil"/>
              <w:bottom w:val="nil"/>
              <w:right w:val="nil"/>
            </w:tcBorders>
            <w:shd w:val="clear" w:color="000000" w:fill="auto"/>
            <w:vAlign w:val="center"/>
            <w:hideMark/>
          </w:tcPr>
          <w:p w14:paraId="6028C532" w14:textId="13E9F155" w:rsidR="007950C1" w:rsidRPr="005269E6" w:rsidRDefault="005D62AC" w:rsidP="007950C1">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 xml:space="preserve">التكلفة في 31 ديسمبر </w:t>
            </w:r>
          </w:p>
        </w:tc>
        <w:tc>
          <w:tcPr>
            <w:tcW w:w="1010" w:type="dxa"/>
            <w:tcBorders>
              <w:top w:val="nil"/>
              <w:left w:val="nil"/>
              <w:bottom w:val="nil"/>
              <w:right w:val="nil"/>
            </w:tcBorders>
            <w:shd w:val="clear" w:color="000000" w:fill="auto"/>
            <w:vAlign w:val="center"/>
            <w:hideMark/>
          </w:tcPr>
          <w:p w14:paraId="172202C8" w14:textId="7948FFC9"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5 551 </w:t>
            </w:r>
          </w:p>
        </w:tc>
        <w:tc>
          <w:tcPr>
            <w:tcW w:w="1010" w:type="dxa"/>
            <w:tcBorders>
              <w:top w:val="nil"/>
              <w:left w:val="nil"/>
              <w:bottom w:val="nil"/>
              <w:right w:val="nil"/>
            </w:tcBorders>
            <w:shd w:val="clear" w:color="000000" w:fill="auto"/>
            <w:vAlign w:val="center"/>
            <w:hideMark/>
          </w:tcPr>
          <w:p w14:paraId="0ED1708D" w14:textId="0089BDF5"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3 288 </w:t>
            </w:r>
          </w:p>
        </w:tc>
        <w:tc>
          <w:tcPr>
            <w:tcW w:w="1010" w:type="dxa"/>
            <w:tcBorders>
              <w:top w:val="nil"/>
              <w:left w:val="nil"/>
              <w:bottom w:val="nil"/>
              <w:right w:val="nil"/>
            </w:tcBorders>
            <w:shd w:val="clear" w:color="000000" w:fill="auto"/>
            <w:vAlign w:val="center"/>
            <w:hideMark/>
          </w:tcPr>
          <w:p w14:paraId="13D7860D" w14:textId="3F48FDE7"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6 786 </w:t>
            </w:r>
          </w:p>
        </w:tc>
        <w:tc>
          <w:tcPr>
            <w:tcW w:w="1010" w:type="dxa"/>
            <w:tcBorders>
              <w:top w:val="nil"/>
              <w:left w:val="nil"/>
              <w:bottom w:val="nil"/>
              <w:right w:val="nil"/>
            </w:tcBorders>
            <w:shd w:val="clear" w:color="000000" w:fill="auto"/>
            <w:noWrap/>
            <w:vAlign w:val="center"/>
            <w:hideMark/>
          </w:tcPr>
          <w:p w14:paraId="4E3E565F" w14:textId="6E414C9A"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6 817 </w:t>
            </w:r>
          </w:p>
        </w:tc>
        <w:tc>
          <w:tcPr>
            <w:tcW w:w="1010" w:type="dxa"/>
            <w:tcBorders>
              <w:top w:val="nil"/>
              <w:left w:val="nil"/>
              <w:bottom w:val="nil"/>
              <w:right w:val="nil"/>
            </w:tcBorders>
            <w:shd w:val="clear" w:color="000000" w:fill="auto"/>
            <w:noWrap/>
            <w:vAlign w:val="center"/>
            <w:hideMark/>
          </w:tcPr>
          <w:p w14:paraId="48845673" w14:textId="5A249266"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10 105 </w:t>
            </w:r>
          </w:p>
        </w:tc>
        <w:tc>
          <w:tcPr>
            <w:tcW w:w="1010" w:type="dxa"/>
            <w:tcBorders>
              <w:top w:val="nil"/>
              <w:left w:val="nil"/>
              <w:bottom w:val="nil"/>
              <w:right w:val="nil"/>
            </w:tcBorders>
            <w:shd w:val="clear" w:color="000000" w:fill="auto"/>
            <w:noWrap/>
            <w:vAlign w:val="center"/>
            <w:hideMark/>
          </w:tcPr>
          <w:p w14:paraId="17F54EC0" w14:textId="481146F8"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12 337 </w:t>
            </w:r>
          </w:p>
        </w:tc>
      </w:tr>
      <w:tr w:rsidR="007950C1" w:rsidRPr="005269E6" w14:paraId="794D9C9A" w14:textId="77777777" w:rsidTr="00CA29BC">
        <w:trPr>
          <w:trHeight w:val="143"/>
        </w:trPr>
        <w:tc>
          <w:tcPr>
            <w:tcW w:w="3579" w:type="dxa"/>
            <w:tcBorders>
              <w:top w:val="nil"/>
              <w:left w:val="nil"/>
              <w:bottom w:val="nil"/>
              <w:right w:val="nil"/>
            </w:tcBorders>
            <w:shd w:val="clear" w:color="000000" w:fill="auto"/>
            <w:vAlign w:val="center"/>
            <w:hideMark/>
          </w:tcPr>
          <w:p w14:paraId="3D2FF709" w14:textId="77777777" w:rsidR="007950C1" w:rsidRPr="005269E6" w:rsidRDefault="007950C1" w:rsidP="007950C1">
            <w:pPr>
              <w:tabs>
                <w:tab w:val="clear" w:pos="794"/>
              </w:tabs>
              <w:spacing w:before="0" w:line="200" w:lineRule="exact"/>
              <w:jc w:val="center"/>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vAlign w:val="center"/>
            <w:hideMark/>
          </w:tcPr>
          <w:p w14:paraId="7424F081"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vAlign w:val="center"/>
            <w:hideMark/>
          </w:tcPr>
          <w:p w14:paraId="482B75B5"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vAlign w:val="center"/>
            <w:hideMark/>
          </w:tcPr>
          <w:p w14:paraId="464F6982"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center"/>
            <w:hideMark/>
          </w:tcPr>
          <w:p w14:paraId="6F8F8860"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center"/>
            <w:hideMark/>
          </w:tcPr>
          <w:p w14:paraId="706FB725" w14:textId="59DC71DB"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c>
          <w:tcPr>
            <w:tcW w:w="1010" w:type="dxa"/>
            <w:tcBorders>
              <w:top w:val="nil"/>
              <w:left w:val="nil"/>
              <w:bottom w:val="nil"/>
              <w:right w:val="nil"/>
            </w:tcBorders>
            <w:shd w:val="clear" w:color="000000" w:fill="auto"/>
            <w:noWrap/>
            <w:vAlign w:val="center"/>
            <w:hideMark/>
          </w:tcPr>
          <w:p w14:paraId="08D1F26B"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r>
      <w:tr w:rsidR="007950C1" w:rsidRPr="005269E6" w14:paraId="7C4C18F4" w14:textId="77777777" w:rsidTr="008B21B2">
        <w:trPr>
          <w:trHeight w:val="255"/>
        </w:trPr>
        <w:tc>
          <w:tcPr>
            <w:tcW w:w="3579" w:type="dxa"/>
            <w:tcBorders>
              <w:top w:val="nil"/>
              <w:left w:val="nil"/>
              <w:bottom w:val="nil"/>
              <w:right w:val="nil"/>
            </w:tcBorders>
            <w:shd w:val="clear" w:color="000000" w:fill="auto"/>
            <w:vAlign w:val="center"/>
            <w:hideMark/>
          </w:tcPr>
          <w:p w14:paraId="317DC6D1" w14:textId="2C444D91" w:rsidR="007950C1" w:rsidRPr="005269E6" w:rsidRDefault="005D62AC" w:rsidP="005D62AC">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الاستهلاك المتراكم في 1 يناير</w:t>
            </w:r>
          </w:p>
        </w:tc>
        <w:tc>
          <w:tcPr>
            <w:tcW w:w="1010" w:type="dxa"/>
            <w:tcBorders>
              <w:top w:val="nil"/>
              <w:left w:val="nil"/>
              <w:bottom w:val="nil"/>
              <w:right w:val="nil"/>
            </w:tcBorders>
            <w:shd w:val="clear" w:color="000000" w:fill="auto"/>
            <w:vAlign w:val="center"/>
            <w:hideMark/>
          </w:tcPr>
          <w:p w14:paraId="414117F7" w14:textId="7908CF9F"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3 063 </w:t>
            </w:r>
          </w:p>
        </w:tc>
        <w:tc>
          <w:tcPr>
            <w:tcW w:w="1010" w:type="dxa"/>
            <w:tcBorders>
              <w:top w:val="nil"/>
              <w:left w:val="nil"/>
              <w:bottom w:val="nil"/>
              <w:right w:val="nil"/>
            </w:tcBorders>
            <w:shd w:val="clear" w:color="000000" w:fill="auto"/>
            <w:vAlign w:val="center"/>
            <w:hideMark/>
          </w:tcPr>
          <w:p w14:paraId="794148FA" w14:textId="62120AA2"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2 590 </w:t>
            </w:r>
          </w:p>
        </w:tc>
        <w:tc>
          <w:tcPr>
            <w:tcW w:w="1010" w:type="dxa"/>
            <w:tcBorders>
              <w:top w:val="nil"/>
              <w:left w:val="nil"/>
              <w:bottom w:val="nil"/>
              <w:right w:val="nil"/>
            </w:tcBorders>
            <w:shd w:val="clear" w:color="000000" w:fill="auto"/>
            <w:noWrap/>
            <w:vAlign w:val="center"/>
            <w:hideMark/>
          </w:tcPr>
          <w:p w14:paraId="58998E63" w14:textId="692EDD10"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6 249 </w:t>
            </w:r>
          </w:p>
        </w:tc>
        <w:tc>
          <w:tcPr>
            <w:tcW w:w="1010" w:type="dxa"/>
            <w:tcBorders>
              <w:top w:val="nil"/>
              <w:left w:val="nil"/>
              <w:bottom w:val="nil"/>
              <w:right w:val="nil"/>
            </w:tcBorders>
            <w:shd w:val="clear" w:color="000000" w:fill="auto"/>
            <w:noWrap/>
            <w:vAlign w:val="center"/>
            <w:hideMark/>
          </w:tcPr>
          <w:p w14:paraId="15F857A4" w14:textId="45E3A473"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6 203 </w:t>
            </w:r>
          </w:p>
        </w:tc>
        <w:tc>
          <w:tcPr>
            <w:tcW w:w="1010" w:type="dxa"/>
            <w:tcBorders>
              <w:top w:val="nil"/>
              <w:left w:val="nil"/>
              <w:bottom w:val="nil"/>
              <w:right w:val="nil"/>
            </w:tcBorders>
            <w:shd w:val="clear" w:color="000000" w:fill="auto"/>
            <w:noWrap/>
            <w:vAlign w:val="center"/>
            <w:hideMark/>
          </w:tcPr>
          <w:p w14:paraId="7346E2BA" w14:textId="4928B05C"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8 793 </w:t>
            </w:r>
          </w:p>
        </w:tc>
        <w:tc>
          <w:tcPr>
            <w:tcW w:w="1010" w:type="dxa"/>
            <w:tcBorders>
              <w:top w:val="nil"/>
              <w:left w:val="nil"/>
              <w:bottom w:val="nil"/>
              <w:right w:val="nil"/>
            </w:tcBorders>
            <w:shd w:val="clear" w:color="000000" w:fill="auto"/>
            <w:noWrap/>
            <w:vAlign w:val="center"/>
            <w:hideMark/>
          </w:tcPr>
          <w:p w14:paraId="0174E399" w14:textId="3902986F"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9 312 </w:t>
            </w:r>
          </w:p>
        </w:tc>
      </w:tr>
      <w:tr w:rsidR="007950C1" w:rsidRPr="005269E6" w14:paraId="2B3FEB38" w14:textId="77777777" w:rsidTr="008B21B2">
        <w:trPr>
          <w:trHeight w:val="255"/>
        </w:trPr>
        <w:tc>
          <w:tcPr>
            <w:tcW w:w="3579" w:type="dxa"/>
            <w:tcBorders>
              <w:top w:val="nil"/>
              <w:left w:val="nil"/>
              <w:bottom w:val="nil"/>
              <w:right w:val="nil"/>
            </w:tcBorders>
            <w:shd w:val="clear" w:color="000000" w:fill="auto"/>
            <w:hideMark/>
          </w:tcPr>
          <w:p w14:paraId="0E664793" w14:textId="4791FD95" w:rsidR="007950C1" w:rsidRPr="005269E6" w:rsidRDefault="005D62AC" w:rsidP="007950C1">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المثبَّت خلال العام</w:t>
            </w:r>
          </w:p>
        </w:tc>
        <w:tc>
          <w:tcPr>
            <w:tcW w:w="1010" w:type="dxa"/>
            <w:tcBorders>
              <w:top w:val="nil"/>
              <w:left w:val="nil"/>
              <w:bottom w:val="nil"/>
              <w:right w:val="nil"/>
            </w:tcBorders>
            <w:shd w:val="clear" w:color="000000" w:fill="auto"/>
            <w:noWrap/>
            <w:vAlign w:val="bottom"/>
            <w:hideMark/>
          </w:tcPr>
          <w:p w14:paraId="04D485E2" w14:textId="40871012"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238 </w:t>
            </w:r>
          </w:p>
        </w:tc>
        <w:tc>
          <w:tcPr>
            <w:tcW w:w="1010" w:type="dxa"/>
            <w:tcBorders>
              <w:top w:val="nil"/>
              <w:left w:val="nil"/>
              <w:bottom w:val="nil"/>
              <w:right w:val="nil"/>
            </w:tcBorders>
            <w:shd w:val="clear" w:color="000000" w:fill="auto"/>
            <w:noWrap/>
            <w:vAlign w:val="bottom"/>
            <w:hideMark/>
          </w:tcPr>
          <w:p w14:paraId="6820DA68" w14:textId="7CBA11F8"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473 </w:t>
            </w:r>
          </w:p>
        </w:tc>
        <w:tc>
          <w:tcPr>
            <w:tcW w:w="1010" w:type="dxa"/>
            <w:tcBorders>
              <w:top w:val="nil"/>
              <w:left w:val="nil"/>
              <w:bottom w:val="nil"/>
              <w:right w:val="nil"/>
            </w:tcBorders>
            <w:shd w:val="clear" w:color="000000" w:fill="auto"/>
            <w:noWrap/>
            <w:vAlign w:val="bottom"/>
            <w:hideMark/>
          </w:tcPr>
          <w:p w14:paraId="4F67C789" w14:textId="09505E6B"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610 </w:t>
            </w:r>
          </w:p>
        </w:tc>
        <w:tc>
          <w:tcPr>
            <w:tcW w:w="1010" w:type="dxa"/>
            <w:tcBorders>
              <w:top w:val="nil"/>
              <w:left w:val="nil"/>
              <w:bottom w:val="nil"/>
              <w:right w:val="nil"/>
            </w:tcBorders>
            <w:shd w:val="clear" w:color="000000" w:fill="auto"/>
            <w:noWrap/>
            <w:vAlign w:val="bottom"/>
            <w:hideMark/>
          </w:tcPr>
          <w:p w14:paraId="5B5EA0FE" w14:textId="00373EE7"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522 </w:t>
            </w:r>
          </w:p>
        </w:tc>
        <w:tc>
          <w:tcPr>
            <w:tcW w:w="1010" w:type="dxa"/>
            <w:tcBorders>
              <w:top w:val="nil"/>
              <w:left w:val="nil"/>
              <w:bottom w:val="nil"/>
              <w:right w:val="nil"/>
            </w:tcBorders>
            <w:shd w:val="clear" w:color="000000" w:fill="auto"/>
            <w:noWrap/>
            <w:vAlign w:val="bottom"/>
            <w:hideMark/>
          </w:tcPr>
          <w:p w14:paraId="58532263" w14:textId="34EA222C"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995 </w:t>
            </w:r>
          </w:p>
        </w:tc>
        <w:tc>
          <w:tcPr>
            <w:tcW w:w="1010" w:type="dxa"/>
            <w:tcBorders>
              <w:top w:val="nil"/>
              <w:left w:val="nil"/>
              <w:bottom w:val="nil"/>
              <w:right w:val="nil"/>
            </w:tcBorders>
            <w:shd w:val="clear" w:color="000000" w:fill="auto"/>
            <w:noWrap/>
            <w:vAlign w:val="bottom"/>
            <w:hideMark/>
          </w:tcPr>
          <w:p w14:paraId="085B224F" w14:textId="7E2730C6"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848 </w:t>
            </w:r>
          </w:p>
        </w:tc>
      </w:tr>
      <w:tr w:rsidR="007950C1" w:rsidRPr="005269E6" w14:paraId="45CCEDEC" w14:textId="77777777" w:rsidTr="008B21B2">
        <w:trPr>
          <w:trHeight w:val="255"/>
        </w:trPr>
        <w:tc>
          <w:tcPr>
            <w:tcW w:w="3579" w:type="dxa"/>
            <w:tcBorders>
              <w:top w:val="nil"/>
              <w:left w:val="nil"/>
              <w:bottom w:val="nil"/>
              <w:right w:val="nil"/>
            </w:tcBorders>
            <w:shd w:val="clear" w:color="000000" w:fill="auto"/>
            <w:hideMark/>
          </w:tcPr>
          <w:p w14:paraId="4E2F97DD" w14:textId="520A948B" w:rsidR="007950C1" w:rsidRPr="005269E6" w:rsidRDefault="005D62AC" w:rsidP="007950C1">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الاستهلاك</w:t>
            </w:r>
          </w:p>
        </w:tc>
        <w:tc>
          <w:tcPr>
            <w:tcW w:w="1010" w:type="dxa"/>
            <w:tcBorders>
              <w:top w:val="nil"/>
              <w:left w:val="nil"/>
              <w:bottom w:val="nil"/>
              <w:right w:val="nil"/>
            </w:tcBorders>
            <w:shd w:val="clear" w:color="000000" w:fill="auto"/>
            <w:noWrap/>
            <w:vAlign w:val="bottom"/>
            <w:hideMark/>
          </w:tcPr>
          <w:p w14:paraId="12E1CEEE" w14:textId="77777777"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7BCC4B89" w14:textId="77777777" w:rsidR="007950C1" w:rsidRPr="005269E6" w:rsidRDefault="007950C1" w:rsidP="00CC3169">
            <w:pPr>
              <w:tabs>
                <w:tab w:val="clear" w:pos="794"/>
              </w:tabs>
              <w:spacing w:before="40" w:after="40" w:line="240" w:lineRule="atLeast"/>
              <w:jc w:val="left"/>
              <w:rPr>
                <w:rFonts w:eastAsia="Times New Roman"/>
                <w:sz w:val="18"/>
                <w:szCs w:val="18"/>
                <w:lang w:val="en-GB" w:eastAsia="en-GB"/>
              </w:rPr>
            </w:pPr>
          </w:p>
        </w:tc>
        <w:tc>
          <w:tcPr>
            <w:tcW w:w="1010" w:type="dxa"/>
            <w:tcBorders>
              <w:top w:val="nil"/>
              <w:left w:val="nil"/>
              <w:bottom w:val="nil"/>
              <w:right w:val="nil"/>
            </w:tcBorders>
            <w:shd w:val="clear" w:color="000000" w:fill="auto"/>
            <w:noWrap/>
            <w:vAlign w:val="bottom"/>
            <w:hideMark/>
          </w:tcPr>
          <w:p w14:paraId="677AC71F" w14:textId="339E9A17"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(1 254)</w:t>
            </w:r>
          </w:p>
        </w:tc>
        <w:tc>
          <w:tcPr>
            <w:tcW w:w="1010" w:type="dxa"/>
            <w:tcBorders>
              <w:top w:val="nil"/>
              <w:left w:val="nil"/>
              <w:bottom w:val="nil"/>
              <w:right w:val="nil"/>
            </w:tcBorders>
            <w:shd w:val="clear" w:color="000000" w:fill="auto"/>
            <w:noWrap/>
            <w:vAlign w:val="bottom"/>
            <w:hideMark/>
          </w:tcPr>
          <w:p w14:paraId="6C35CFF1" w14:textId="7BE65CF5"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(475)</w:t>
            </w:r>
          </w:p>
        </w:tc>
        <w:tc>
          <w:tcPr>
            <w:tcW w:w="1010" w:type="dxa"/>
            <w:tcBorders>
              <w:top w:val="nil"/>
              <w:left w:val="nil"/>
              <w:bottom w:val="nil"/>
              <w:right w:val="nil"/>
            </w:tcBorders>
            <w:shd w:val="clear" w:color="000000" w:fill="auto"/>
            <w:noWrap/>
            <w:vAlign w:val="bottom"/>
            <w:hideMark/>
          </w:tcPr>
          <w:p w14:paraId="67774F07" w14:textId="4F891FC2"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(475)</w:t>
            </w:r>
          </w:p>
        </w:tc>
        <w:tc>
          <w:tcPr>
            <w:tcW w:w="1010" w:type="dxa"/>
            <w:tcBorders>
              <w:top w:val="nil"/>
              <w:left w:val="nil"/>
              <w:bottom w:val="nil"/>
              <w:right w:val="nil"/>
            </w:tcBorders>
            <w:shd w:val="clear" w:color="000000" w:fill="auto"/>
            <w:noWrap/>
            <w:vAlign w:val="bottom"/>
            <w:hideMark/>
          </w:tcPr>
          <w:p w14:paraId="671FB0C2" w14:textId="668A2DEF"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(1 254)</w:t>
            </w:r>
          </w:p>
        </w:tc>
      </w:tr>
      <w:tr w:rsidR="007950C1" w:rsidRPr="005269E6" w14:paraId="72359DED" w14:textId="77777777" w:rsidTr="008B21B2">
        <w:trPr>
          <w:trHeight w:val="255"/>
        </w:trPr>
        <w:tc>
          <w:tcPr>
            <w:tcW w:w="3579" w:type="dxa"/>
            <w:tcBorders>
              <w:top w:val="nil"/>
              <w:left w:val="nil"/>
              <w:bottom w:val="nil"/>
              <w:right w:val="nil"/>
            </w:tcBorders>
            <w:shd w:val="clear" w:color="000000" w:fill="auto"/>
            <w:hideMark/>
          </w:tcPr>
          <w:p w14:paraId="61D062B4" w14:textId="24C3AAC5" w:rsidR="007950C1" w:rsidRPr="005269E6" w:rsidRDefault="005D62AC" w:rsidP="005D62AC">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خسائر انخفاض القيمة</w:t>
            </w:r>
          </w:p>
        </w:tc>
        <w:tc>
          <w:tcPr>
            <w:tcW w:w="1010" w:type="dxa"/>
            <w:tcBorders>
              <w:top w:val="nil"/>
              <w:left w:val="nil"/>
              <w:bottom w:val="nil"/>
              <w:right w:val="nil"/>
            </w:tcBorders>
            <w:shd w:val="clear" w:color="000000" w:fill="auto"/>
            <w:noWrap/>
            <w:vAlign w:val="bottom"/>
            <w:hideMark/>
          </w:tcPr>
          <w:p w14:paraId="126789C8" w14:textId="77777777"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291D70D6" w14:textId="77777777" w:rsidR="007950C1" w:rsidRPr="005269E6" w:rsidRDefault="007950C1" w:rsidP="00CC3169">
            <w:pPr>
              <w:tabs>
                <w:tab w:val="clear" w:pos="794"/>
              </w:tabs>
              <w:spacing w:before="40" w:after="40" w:line="240" w:lineRule="atLeast"/>
              <w:jc w:val="left"/>
              <w:rPr>
                <w:rFonts w:eastAsia="Times New Roman"/>
                <w:sz w:val="18"/>
                <w:szCs w:val="18"/>
                <w:lang w:val="en-GB" w:eastAsia="en-GB"/>
              </w:rPr>
            </w:pPr>
          </w:p>
        </w:tc>
        <w:tc>
          <w:tcPr>
            <w:tcW w:w="1010" w:type="dxa"/>
            <w:tcBorders>
              <w:top w:val="nil"/>
              <w:left w:val="nil"/>
              <w:bottom w:val="nil"/>
              <w:right w:val="nil"/>
            </w:tcBorders>
            <w:shd w:val="clear" w:color="000000" w:fill="auto"/>
            <w:noWrap/>
            <w:vAlign w:val="bottom"/>
            <w:hideMark/>
          </w:tcPr>
          <w:p w14:paraId="697E778A" w14:textId="77777777" w:rsidR="007950C1" w:rsidRPr="005269E6" w:rsidRDefault="007950C1" w:rsidP="00CC3169">
            <w:pPr>
              <w:tabs>
                <w:tab w:val="clear" w:pos="794"/>
              </w:tabs>
              <w:spacing w:before="40" w:after="40" w:line="240" w:lineRule="atLeast"/>
              <w:jc w:val="left"/>
              <w:rPr>
                <w:rFonts w:eastAsia="Times New Roman"/>
                <w:sz w:val="18"/>
                <w:szCs w:val="18"/>
                <w:lang w:val="en-GB" w:eastAsia="en-GB"/>
              </w:rPr>
            </w:pPr>
          </w:p>
        </w:tc>
        <w:tc>
          <w:tcPr>
            <w:tcW w:w="1010" w:type="dxa"/>
            <w:tcBorders>
              <w:top w:val="nil"/>
              <w:left w:val="nil"/>
              <w:bottom w:val="nil"/>
              <w:right w:val="nil"/>
            </w:tcBorders>
            <w:shd w:val="clear" w:color="000000" w:fill="auto"/>
            <w:noWrap/>
            <w:vAlign w:val="bottom"/>
            <w:hideMark/>
          </w:tcPr>
          <w:p w14:paraId="33BCD302" w14:textId="77777777" w:rsidR="007950C1" w:rsidRPr="005269E6" w:rsidRDefault="007950C1" w:rsidP="00CC3169">
            <w:pPr>
              <w:tabs>
                <w:tab w:val="clear" w:pos="794"/>
              </w:tabs>
              <w:spacing w:before="40" w:after="40" w:line="240" w:lineRule="atLeast"/>
              <w:jc w:val="left"/>
              <w:rPr>
                <w:rFonts w:eastAsia="Times New Roman"/>
                <w:sz w:val="18"/>
                <w:szCs w:val="18"/>
                <w:lang w:val="en-GB" w:eastAsia="en-GB"/>
              </w:rPr>
            </w:pPr>
          </w:p>
        </w:tc>
        <w:tc>
          <w:tcPr>
            <w:tcW w:w="1010" w:type="dxa"/>
            <w:tcBorders>
              <w:top w:val="nil"/>
              <w:left w:val="nil"/>
              <w:bottom w:val="nil"/>
              <w:right w:val="nil"/>
            </w:tcBorders>
            <w:shd w:val="clear" w:color="000000" w:fill="auto"/>
            <w:noWrap/>
            <w:vAlign w:val="bottom"/>
            <w:hideMark/>
          </w:tcPr>
          <w:p w14:paraId="6DF7C073" w14:textId="53DA99E8"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010" w:type="dxa"/>
            <w:tcBorders>
              <w:top w:val="nil"/>
              <w:left w:val="nil"/>
              <w:bottom w:val="nil"/>
              <w:right w:val="nil"/>
            </w:tcBorders>
            <w:shd w:val="clear" w:color="000000" w:fill="auto"/>
            <w:noWrap/>
            <w:vAlign w:val="bottom"/>
            <w:hideMark/>
          </w:tcPr>
          <w:p w14:paraId="549EFBFB" w14:textId="044F4ACD"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r>
      <w:tr w:rsidR="007950C1" w:rsidRPr="005269E6" w14:paraId="26EBCC58" w14:textId="77777777" w:rsidTr="008B21B2">
        <w:trPr>
          <w:trHeight w:val="255"/>
        </w:trPr>
        <w:tc>
          <w:tcPr>
            <w:tcW w:w="3579" w:type="dxa"/>
            <w:tcBorders>
              <w:top w:val="nil"/>
              <w:left w:val="nil"/>
              <w:bottom w:val="nil"/>
              <w:right w:val="nil"/>
            </w:tcBorders>
            <w:shd w:val="clear" w:color="000000" w:fill="auto"/>
            <w:hideMark/>
          </w:tcPr>
          <w:p w14:paraId="0DF893D2" w14:textId="554B0C69" w:rsidR="007950C1" w:rsidRPr="005269E6" w:rsidRDefault="005D62AC" w:rsidP="007950C1">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rtl/>
                <w:lang w:val="en-GB" w:eastAsia="en-GB"/>
              </w:rPr>
              <w:t>إعادة التصنيف والتصويبات</w:t>
            </w:r>
          </w:p>
        </w:tc>
        <w:tc>
          <w:tcPr>
            <w:tcW w:w="1010" w:type="dxa"/>
            <w:tcBorders>
              <w:top w:val="nil"/>
              <w:left w:val="nil"/>
              <w:bottom w:val="nil"/>
              <w:right w:val="nil"/>
            </w:tcBorders>
            <w:shd w:val="clear" w:color="000000" w:fill="auto"/>
            <w:noWrap/>
            <w:vAlign w:val="bottom"/>
            <w:hideMark/>
          </w:tcPr>
          <w:p w14:paraId="144BA98C" w14:textId="77777777"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35B41390" w14:textId="77777777" w:rsidR="007950C1" w:rsidRPr="005269E6" w:rsidRDefault="007950C1" w:rsidP="00CC3169">
            <w:pPr>
              <w:tabs>
                <w:tab w:val="clear" w:pos="794"/>
              </w:tabs>
              <w:spacing w:before="40" w:after="40" w:line="240" w:lineRule="atLeast"/>
              <w:jc w:val="left"/>
              <w:rPr>
                <w:rFonts w:eastAsia="Times New Roman"/>
                <w:sz w:val="18"/>
                <w:szCs w:val="18"/>
                <w:lang w:val="en-GB" w:eastAsia="en-GB"/>
              </w:rPr>
            </w:pPr>
          </w:p>
        </w:tc>
        <w:tc>
          <w:tcPr>
            <w:tcW w:w="1010" w:type="dxa"/>
            <w:tcBorders>
              <w:top w:val="nil"/>
              <w:left w:val="nil"/>
              <w:bottom w:val="nil"/>
              <w:right w:val="nil"/>
            </w:tcBorders>
            <w:shd w:val="clear" w:color="000000" w:fill="auto"/>
            <w:noWrap/>
            <w:vAlign w:val="bottom"/>
            <w:hideMark/>
          </w:tcPr>
          <w:p w14:paraId="585F3B86" w14:textId="77777777" w:rsidR="007950C1" w:rsidRPr="005269E6" w:rsidRDefault="007950C1" w:rsidP="00CC3169">
            <w:pPr>
              <w:tabs>
                <w:tab w:val="clear" w:pos="794"/>
              </w:tabs>
              <w:spacing w:before="40" w:after="40" w:line="240" w:lineRule="atLeast"/>
              <w:jc w:val="left"/>
              <w:rPr>
                <w:rFonts w:eastAsia="Times New Roman"/>
                <w:sz w:val="18"/>
                <w:szCs w:val="18"/>
                <w:lang w:val="en-GB" w:eastAsia="en-GB"/>
              </w:rPr>
            </w:pPr>
          </w:p>
        </w:tc>
        <w:tc>
          <w:tcPr>
            <w:tcW w:w="1010" w:type="dxa"/>
            <w:tcBorders>
              <w:top w:val="nil"/>
              <w:left w:val="nil"/>
              <w:bottom w:val="nil"/>
              <w:right w:val="nil"/>
            </w:tcBorders>
            <w:shd w:val="clear" w:color="000000" w:fill="auto"/>
            <w:noWrap/>
            <w:vAlign w:val="bottom"/>
            <w:hideMark/>
          </w:tcPr>
          <w:p w14:paraId="587B7711" w14:textId="77777777" w:rsidR="007950C1" w:rsidRPr="005269E6" w:rsidRDefault="007950C1" w:rsidP="00CC3169">
            <w:pPr>
              <w:tabs>
                <w:tab w:val="clear" w:pos="794"/>
              </w:tabs>
              <w:spacing w:before="40" w:after="40" w:line="240" w:lineRule="atLeast"/>
              <w:jc w:val="left"/>
              <w:rPr>
                <w:rFonts w:eastAsia="Times New Roman"/>
                <w:sz w:val="18"/>
                <w:szCs w:val="18"/>
                <w:lang w:val="en-GB" w:eastAsia="en-GB"/>
              </w:rPr>
            </w:pPr>
          </w:p>
        </w:tc>
        <w:tc>
          <w:tcPr>
            <w:tcW w:w="1010" w:type="dxa"/>
            <w:tcBorders>
              <w:top w:val="nil"/>
              <w:left w:val="nil"/>
              <w:bottom w:val="nil"/>
              <w:right w:val="nil"/>
            </w:tcBorders>
            <w:shd w:val="clear" w:color="000000" w:fill="auto"/>
            <w:noWrap/>
            <w:vAlign w:val="bottom"/>
            <w:hideMark/>
          </w:tcPr>
          <w:p w14:paraId="1393BCE4" w14:textId="70F55510"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010" w:type="dxa"/>
            <w:tcBorders>
              <w:top w:val="nil"/>
              <w:left w:val="nil"/>
              <w:bottom w:val="nil"/>
              <w:right w:val="nil"/>
            </w:tcBorders>
            <w:shd w:val="clear" w:color="000000" w:fill="auto"/>
            <w:noWrap/>
            <w:vAlign w:val="bottom"/>
            <w:hideMark/>
          </w:tcPr>
          <w:p w14:paraId="25C23805" w14:textId="0ECD48AB"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r>
      <w:tr w:rsidR="007950C1" w:rsidRPr="005269E6" w14:paraId="730477C2" w14:textId="77777777" w:rsidTr="008B21B2">
        <w:trPr>
          <w:trHeight w:val="255"/>
        </w:trPr>
        <w:tc>
          <w:tcPr>
            <w:tcW w:w="3579" w:type="dxa"/>
            <w:tcBorders>
              <w:top w:val="nil"/>
              <w:left w:val="nil"/>
              <w:bottom w:val="nil"/>
              <w:right w:val="nil"/>
            </w:tcBorders>
            <w:shd w:val="clear" w:color="000000" w:fill="auto"/>
            <w:hideMark/>
          </w:tcPr>
          <w:p w14:paraId="3F0B0C1C" w14:textId="4B89D35F" w:rsidR="007950C1" w:rsidRPr="005269E6" w:rsidRDefault="005D62AC" w:rsidP="007950C1">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rtl/>
                <w:lang w:val="en-GB" w:eastAsia="en-GB"/>
              </w:rPr>
              <w:t>إعادة التقييم</w:t>
            </w:r>
          </w:p>
        </w:tc>
        <w:tc>
          <w:tcPr>
            <w:tcW w:w="1010" w:type="dxa"/>
            <w:tcBorders>
              <w:top w:val="nil"/>
              <w:left w:val="nil"/>
              <w:bottom w:val="nil"/>
              <w:right w:val="nil"/>
            </w:tcBorders>
            <w:shd w:val="clear" w:color="000000" w:fill="auto"/>
            <w:noWrap/>
            <w:vAlign w:val="bottom"/>
            <w:hideMark/>
          </w:tcPr>
          <w:p w14:paraId="25DC543B" w14:textId="77777777"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10982EE8" w14:textId="77777777" w:rsidR="007950C1" w:rsidRPr="005269E6" w:rsidRDefault="007950C1" w:rsidP="00CC3169">
            <w:pPr>
              <w:tabs>
                <w:tab w:val="clear" w:pos="794"/>
              </w:tabs>
              <w:spacing w:before="40" w:after="40" w:line="240" w:lineRule="atLeast"/>
              <w:jc w:val="left"/>
              <w:rPr>
                <w:rFonts w:eastAsia="Times New Roman"/>
                <w:sz w:val="18"/>
                <w:szCs w:val="18"/>
                <w:lang w:val="en-GB" w:eastAsia="en-GB"/>
              </w:rPr>
            </w:pPr>
          </w:p>
        </w:tc>
        <w:tc>
          <w:tcPr>
            <w:tcW w:w="1010" w:type="dxa"/>
            <w:tcBorders>
              <w:top w:val="nil"/>
              <w:left w:val="nil"/>
              <w:bottom w:val="nil"/>
              <w:right w:val="nil"/>
            </w:tcBorders>
            <w:shd w:val="clear" w:color="000000" w:fill="auto"/>
            <w:noWrap/>
            <w:vAlign w:val="bottom"/>
            <w:hideMark/>
          </w:tcPr>
          <w:p w14:paraId="394C3B18" w14:textId="77777777" w:rsidR="007950C1" w:rsidRPr="005269E6" w:rsidRDefault="007950C1" w:rsidP="00CC3169">
            <w:pPr>
              <w:tabs>
                <w:tab w:val="clear" w:pos="794"/>
              </w:tabs>
              <w:spacing w:before="40" w:after="40" w:line="240" w:lineRule="atLeast"/>
              <w:jc w:val="left"/>
              <w:rPr>
                <w:rFonts w:eastAsia="Times New Roman"/>
                <w:sz w:val="18"/>
                <w:szCs w:val="18"/>
                <w:lang w:val="en-GB" w:eastAsia="en-GB"/>
              </w:rPr>
            </w:pPr>
          </w:p>
        </w:tc>
        <w:tc>
          <w:tcPr>
            <w:tcW w:w="1010" w:type="dxa"/>
            <w:tcBorders>
              <w:top w:val="nil"/>
              <w:left w:val="nil"/>
              <w:bottom w:val="nil"/>
              <w:right w:val="nil"/>
            </w:tcBorders>
            <w:shd w:val="clear" w:color="000000" w:fill="auto"/>
            <w:noWrap/>
            <w:vAlign w:val="bottom"/>
            <w:hideMark/>
          </w:tcPr>
          <w:p w14:paraId="3C83E621" w14:textId="77777777" w:rsidR="007950C1" w:rsidRPr="005269E6" w:rsidRDefault="007950C1" w:rsidP="00CC3169">
            <w:pPr>
              <w:tabs>
                <w:tab w:val="clear" w:pos="794"/>
              </w:tabs>
              <w:spacing w:before="40" w:after="40" w:line="240" w:lineRule="atLeast"/>
              <w:jc w:val="left"/>
              <w:rPr>
                <w:rFonts w:eastAsia="Times New Roman"/>
                <w:sz w:val="18"/>
                <w:szCs w:val="18"/>
                <w:lang w:val="en-GB" w:eastAsia="en-GB"/>
              </w:rPr>
            </w:pPr>
          </w:p>
        </w:tc>
        <w:tc>
          <w:tcPr>
            <w:tcW w:w="1010" w:type="dxa"/>
            <w:tcBorders>
              <w:top w:val="nil"/>
              <w:left w:val="nil"/>
              <w:bottom w:val="nil"/>
              <w:right w:val="nil"/>
            </w:tcBorders>
            <w:shd w:val="clear" w:color="000000" w:fill="auto"/>
            <w:noWrap/>
            <w:vAlign w:val="bottom"/>
            <w:hideMark/>
          </w:tcPr>
          <w:p w14:paraId="2B2054BC" w14:textId="7469735A"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010" w:type="dxa"/>
            <w:tcBorders>
              <w:top w:val="nil"/>
              <w:left w:val="nil"/>
              <w:bottom w:val="nil"/>
              <w:right w:val="nil"/>
            </w:tcBorders>
            <w:shd w:val="clear" w:color="000000" w:fill="auto"/>
            <w:noWrap/>
            <w:vAlign w:val="bottom"/>
            <w:hideMark/>
          </w:tcPr>
          <w:p w14:paraId="125F747C" w14:textId="0C7B3C7C" w:rsidR="007950C1" w:rsidRPr="005269E6" w:rsidRDefault="007950C1" w:rsidP="00CC3169">
            <w:pPr>
              <w:tabs>
                <w:tab w:val="clear" w:pos="794"/>
              </w:tabs>
              <w:spacing w:before="40" w:after="40" w:line="240" w:lineRule="atLeas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r>
      <w:tr w:rsidR="007950C1" w:rsidRPr="005269E6" w14:paraId="3A68BA5F" w14:textId="77777777" w:rsidTr="00CA29BC">
        <w:trPr>
          <w:trHeight w:val="50"/>
        </w:trPr>
        <w:tc>
          <w:tcPr>
            <w:tcW w:w="3579" w:type="dxa"/>
            <w:tcBorders>
              <w:top w:val="nil"/>
              <w:left w:val="nil"/>
              <w:bottom w:val="nil"/>
              <w:right w:val="nil"/>
            </w:tcBorders>
            <w:shd w:val="clear" w:color="000000" w:fill="auto"/>
            <w:hideMark/>
          </w:tcPr>
          <w:p w14:paraId="0D734EF5" w14:textId="77777777" w:rsidR="007950C1" w:rsidRPr="005269E6" w:rsidRDefault="007950C1" w:rsidP="007950C1">
            <w:pPr>
              <w:tabs>
                <w:tab w:val="clear" w:pos="794"/>
              </w:tabs>
              <w:spacing w:before="0" w:line="200" w:lineRule="exact"/>
              <w:jc w:val="center"/>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1BA8BBB0"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333508A2"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14990373"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4D260906"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bottom"/>
            <w:hideMark/>
          </w:tcPr>
          <w:p w14:paraId="47351880" w14:textId="5E1111E6"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c>
          <w:tcPr>
            <w:tcW w:w="1010" w:type="dxa"/>
            <w:tcBorders>
              <w:top w:val="nil"/>
              <w:left w:val="nil"/>
              <w:bottom w:val="nil"/>
              <w:right w:val="nil"/>
            </w:tcBorders>
            <w:shd w:val="clear" w:color="000000" w:fill="auto"/>
            <w:noWrap/>
            <w:vAlign w:val="bottom"/>
            <w:hideMark/>
          </w:tcPr>
          <w:p w14:paraId="5AF9C0DD"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r>
      <w:tr w:rsidR="007950C1" w:rsidRPr="005269E6" w14:paraId="53D27D6D" w14:textId="77777777" w:rsidTr="008B21B2">
        <w:trPr>
          <w:trHeight w:val="255"/>
        </w:trPr>
        <w:tc>
          <w:tcPr>
            <w:tcW w:w="3579" w:type="dxa"/>
            <w:tcBorders>
              <w:top w:val="nil"/>
              <w:left w:val="nil"/>
              <w:bottom w:val="nil"/>
              <w:right w:val="nil"/>
            </w:tcBorders>
            <w:shd w:val="clear" w:color="000000" w:fill="auto"/>
            <w:vAlign w:val="center"/>
            <w:hideMark/>
          </w:tcPr>
          <w:p w14:paraId="5EC2B16A" w14:textId="39C10FEA" w:rsidR="007950C1" w:rsidRPr="005269E6" w:rsidRDefault="00EF7DF3" w:rsidP="00EF7DF3">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الاستهلاك في 31 ديسمبر</w:t>
            </w:r>
          </w:p>
        </w:tc>
        <w:tc>
          <w:tcPr>
            <w:tcW w:w="1010" w:type="dxa"/>
            <w:tcBorders>
              <w:top w:val="nil"/>
              <w:left w:val="nil"/>
              <w:bottom w:val="nil"/>
              <w:right w:val="nil"/>
            </w:tcBorders>
            <w:shd w:val="clear" w:color="000000" w:fill="auto"/>
            <w:vAlign w:val="center"/>
            <w:hideMark/>
          </w:tcPr>
          <w:p w14:paraId="6E1D26B7" w14:textId="4FE889DB"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3 301 </w:t>
            </w:r>
          </w:p>
        </w:tc>
        <w:tc>
          <w:tcPr>
            <w:tcW w:w="1010" w:type="dxa"/>
            <w:tcBorders>
              <w:top w:val="nil"/>
              <w:left w:val="nil"/>
              <w:bottom w:val="nil"/>
              <w:right w:val="nil"/>
            </w:tcBorders>
            <w:shd w:val="clear" w:color="000000" w:fill="auto"/>
            <w:vAlign w:val="center"/>
            <w:hideMark/>
          </w:tcPr>
          <w:p w14:paraId="6F633A4E" w14:textId="26FD8694"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3 063 </w:t>
            </w:r>
          </w:p>
        </w:tc>
        <w:tc>
          <w:tcPr>
            <w:tcW w:w="1010" w:type="dxa"/>
            <w:tcBorders>
              <w:top w:val="nil"/>
              <w:left w:val="nil"/>
              <w:bottom w:val="nil"/>
              <w:right w:val="nil"/>
            </w:tcBorders>
            <w:shd w:val="clear" w:color="000000" w:fill="auto"/>
            <w:vAlign w:val="center"/>
            <w:hideMark/>
          </w:tcPr>
          <w:p w14:paraId="4CC0BE0B" w14:textId="6720A472"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5 605 </w:t>
            </w:r>
          </w:p>
        </w:tc>
        <w:tc>
          <w:tcPr>
            <w:tcW w:w="1010" w:type="dxa"/>
            <w:tcBorders>
              <w:top w:val="nil"/>
              <w:left w:val="nil"/>
              <w:bottom w:val="nil"/>
              <w:right w:val="nil"/>
            </w:tcBorders>
            <w:shd w:val="clear" w:color="000000" w:fill="auto"/>
            <w:vAlign w:val="center"/>
            <w:hideMark/>
          </w:tcPr>
          <w:p w14:paraId="194781A4" w14:textId="6A518A98"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6 250 </w:t>
            </w:r>
          </w:p>
        </w:tc>
        <w:tc>
          <w:tcPr>
            <w:tcW w:w="1010" w:type="dxa"/>
            <w:tcBorders>
              <w:top w:val="nil"/>
              <w:left w:val="nil"/>
              <w:bottom w:val="nil"/>
              <w:right w:val="nil"/>
            </w:tcBorders>
            <w:shd w:val="clear" w:color="000000" w:fill="auto"/>
            <w:vAlign w:val="center"/>
            <w:hideMark/>
          </w:tcPr>
          <w:p w14:paraId="67453BA7" w14:textId="553ED99C"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9 313 </w:t>
            </w:r>
          </w:p>
        </w:tc>
        <w:tc>
          <w:tcPr>
            <w:tcW w:w="1010" w:type="dxa"/>
            <w:tcBorders>
              <w:top w:val="nil"/>
              <w:left w:val="nil"/>
              <w:bottom w:val="nil"/>
              <w:right w:val="nil"/>
            </w:tcBorders>
            <w:shd w:val="clear" w:color="000000" w:fill="auto"/>
            <w:vAlign w:val="center"/>
            <w:hideMark/>
          </w:tcPr>
          <w:p w14:paraId="660E7605" w14:textId="672F2131"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8 906 </w:t>
            </w:r>
          </w:p>
        </w:tc>
      </w:tr>
      <w:tr w:rsidR="007950C1" w:rsidRPr="005269E6" w14:paraId="7FB6E396" w14:textId="77777777" w:rsidTr="00CA29BC">
        <w:trPr>
          <w:trHeight w:val="50"/>
        </w:trPr>
        <w:tc>
          <w:tcPr>
            <w:tcW w:w="3579" w:type="dxa"/>
            <w:tcBorders>
              <w:top w:val="nil"/>
              <w:left w:val="nil"/>
              <w:bottom w:val="nil"/>
              <w:right w:val="nil"/>
            </w:tcBorders>
            <w:shd w:val="clear" w:color="000000" w:fill="auto"/>
            <w:vAlign w:val="center"/>
            <w:hideMark/>
          </w:tcPr>
          <w:p w14:paraId="4D228FBF" w14:textId="77777777" w:rsidR="007950C1" w:rsidRPr="005269E6" w:rsidRDefault="007950C1" w:rsidP="007950C1">
            <w:pPr>
              <w:tabs>
                <w:tab w:val="clear" w:pos="794"/>
              </w:tabs>
              <w:spacing w:before="0" w:line="200" w:lineRule="exact"/>
              <w:jc w:val="center"/>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vAlign w:val="center"/>
            <w:hideMark/>
          </w:tcPr>
          <w:p w14:paraId="41F1615D"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vAlign w:val="center"/>
            <w:hideMark/>
          </w:tcPr>
          <w:p w14:paraId="6430F17E"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vAlign w:val="center"/>
            <w:hideMark/>
          </w:tcPr>
          <w:p w14:paraId="44AD5E44"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center"/>
            <w:hideMark/>
          </w:tcPr>
          <w:p w14:paraId="4A063B55"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center"/>
            <w:hideMark/>
          </w:tcPr>
          <w:p w14:paraId="6C1F038B" w14:textId="5A943FF3"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p>
        </w:tc>
        <w:tc>
          <w:tcPr>
            <w:tcW w:w="1010" w:type="dxa"/>
            <w:tcBorders>
              <w:top w:val="nil"/>
              <w:left w:val="nil"/>
              <w:bottom w:val="nil"/>
              <w:right w:val="nil"/>
            </w:tcBorders>
            <w:shd w:val="clear" w:color="000000" w:fill="auto"/>
            <w:noWrap/>
            <w:vAlign w:val="center"/>
            <w:hideMark/>
          </w:tcPr>
          <w:p w14:paraId="7CD7D943"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r>
      <w:tr w:rsidR="007950C1" w:rsidRPr="005269E6" w14:paraId="02BD68E1" w14:textId="77777777" w:rsidTr="00CA29BC">
        <w:trPr>
          <w:trHeight w:val="233"/>
        </w:trPr>
        <w:tc>
          <w:tcPr>
            <w:tcW w:w="3579" w:type="dxa"/>
            <w:tcBorders>
              <w:top w:val="nil"/>
              <w:left w:val="nil"/>
              <w:bottom w:val="nil"/>
              <w:right w:val="nil"/>
            </w:tcBorders>
            <w:shd w:val="clear" w:color="000000" w:fill="auto"/>
            <w:vAlign w:val="center"/>
            <w:hideMark/>
          </w:tcPr>
          <w:p w14:paraId="2645E243" w14:textId="77FD034F" w:rsidR="007950C1" w:rsidRPr="005269E6" w:rsidRDefault="00EF7DF3" w:rsidP="007950C1">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 xml:space="preserve">صافي المبلغ الدفتري في 1 يناير </w:t>
            </w:r>
          </w:p>
        </w:tc>
        <w:tc>
          <w:tcPr>
            <w:tcW w:w="1010" w:type="dxa"/>
            <w:tcBorders>
              <w:top w:val="nil"/>
              <w:left w:val="nil"/>
              <w:bottom w:val="nil"/>
              <w:right w:val="nil"/>
            </w:tcBorders>
            <w:shd w:val="clear" w:color="000000" w:fill="auto"/>
            <w:vAlign w:val="center"/>
            <w:hideMark/>
          </w:tcPr>
          <w:p w14:paraId="6205E60D" w14:textId="3BCA02FB"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225 </w:t>
            </w:r>
          </w:p>
        </w:tc>
        <w:tc>
          <w:tcPr>
            <w:tcW w:w="1010" w:type="dxa"/>
            <w:tcBorders>
              <w:top w:val="nil"/>
              <w:left w:val="nil"/>
              <w:bottom w:val="nil"/>
              <w:right w:val="nil"/>
            </w:tcBorders>
            <w:shd w:val="clear" w:color="000000" w:fill="auto"/>
            <w:vAlign w:val="center"/>
            <w:hideMark/>
          </w:tcPr>
          <w:p w14:paraId="17576607" w14:textId="04662B64"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621 </w:t>
            </w:r>
          </w:p>
        </w:tc>
        <w:tc>
          <w:tcPr>
            <w:tcW w:w="1010" w:type="dxa"/>
            <w:tcBorders>
              <w:top w:val="nil"/>
              <w:left w:val="nil"/>
              <w:bottom w:val="nil"/>
              <w:right w:val="nil"/>
            </w:tcBorders>
            <w:shd w:val="clear" w:color="000000" w:fill="auto"/>
            <w:vAlign w:val="center"/>
            <w:hideMark/>
          </w:tcPr>
          <w:p w14:paraId="0EF1E433" w14:textId="22D0346E"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568 </w:t>
            </w:r>
          </w:p>
        </w:tc>
        <w:tc>
          <w:tcPr>
            <w:tcW w:w="1010" w:type="dxa"/>
            <w:tcBorders>
              <w:top w:val="nil"/>
              <w:left w:val="nil"/>
              <w:bottom w:val="nil"/>
              <w:right w:val="nil"/>
            </w:tcBorders>
            <w:shd w:val="clear" w:color="000000" w:fill="auto"/>
            <w:noWrap/>
            <w:vAlign w:val="center"/>
            <w:hideMark/>
          </w:tcPr>
          <w:p w14:paraId="70CC4135" w14:textId="28782B1E"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821 </w:t>
            </w:r>
          </w:p>
        </w:tc>
        <w:tc>
          <w:tcPr>
            <w:tcW w:w="1010" w:type="dxa"/>
            <w:tcBorders>
              <w:top w:val="nil"/>
              <w:left w:val="nil"/>
              <w:bottom w:val="nil"/>
              <w:right w:val="nil"/>
            </w:tcBorders>
            <w:shd w:val="clear" w:color="000000" w:fill="auto"/>
            <w:noWrap/>
            <w:vAlign w:val="center"/>
            <w:hideMark/>
          </w:tcPr>
          <w:p w14:paraId="66EE6F6F" w14:textId="161947BE"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1 442 </w:t>
            </w:r>
          </w:p>
        </w:tc>
        <w:tc>
          <w:tcPr>
            <w:tcW w:w="1010" w:type="dxa"/>
            <w:tcBorders>
              <w:top w:val="nil"/>
              <w:left w:val="nil"/>
              <w:bottom w:val="nil"/>
              <w:right w:val="nil"/>
            </w:tcBorders>
            <w:shd w:val="clear" w:color="000000" w:fill="auto"/>
            <w:noWrap/>
            <w:vAlign w:val="center"/>
            <w:hideMark/>
          </w:tcPr>
          <w:p w14:paraId="6435E5CA" w14:textId="251AD87F"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793 </w:t>
            </w:r>
          </w:p>
        </w:tc>
      </w:tr>
      <w:tr w:rsidR="007950C1" w:rsidRPr="005269E6" w14:paraId="4FA0E009" w14:textId="77777777" w:rsidTr="008B21B2">
        <w:trPr>
          <w:trHeight w:val="255"/>
        </w:trPr>
        <w:tc>
          <w:tcPr>
            <w:tcW w:w="3579" w:type="dxa"/>
            <w:tcBorders>
              <w:top w:val="nil"/>
              <w:left w:val="nil"/>
              <w:bottom w:val="nil"/>
              <w:right w:val="nil"/>
            </w:tcBorders>
            <w:shd w:val="clear" w:color="000000" w:fill="auto"/>
            <w:vAlign w:val="center"/>
            <w:hideMark/>
          </w:tcPr>
          <w:p w14:paraId="376D21D5" w14:textId="77777777" w:rsidR="007950C1" w:rsidRPr="005269E6" w:rsidRDefault="007950C1" w:rsidP="007950C1">
            <w:pPr>
              <w:tabs>
                <w:tab w:val="clear" w:pos="794"/>
              </w:tabs>
              <w:spacing w:before="0" w:line="200" w:lineRule="exact"/>
              <w:jc w:val="center"/>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vAlign w:val="center"/>
            <w:hideMark/>
          </w:tcPr>
          <w:p w14:paraId="70B7B4A8"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vAlign w:val="center"/>
            <w:hideMark/>
          </w:tcPr>
          <w:p w14:paraId="529A7E6D"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vAlign w:val="center"/>
            <w:hideMark/>
          </w:tcPr>
          <w:p w14:paraId="0BF0FCEF"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center"/>
            <w:hideMark/>
          </w:tcPr>
          <w:p w14:paraId="37240E6D"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center"/>
            <w:hideMark/>
          </w:tcPr>
          <w:p w14:paraId="7D4A4EE0"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c>
          <w:tcPr>
            <w:tcW w:w="1010" w:type="dxa"/>
            <w:tcBorders>
              <w:top w:val="nil"/>
              <w:left w:val="nil"/>
              <w:bottom w:val="nil"/>
              <w:right w:val="nil"/>
            </w:tcBorders>
            <w:shd w:val="clear" w:color="000000" w:fill="auto"/>
            <w:noWrap/>
            <w:vAlign w:val="center"/>
            <w:hideMark/>
          </w:tcPr>
          <w:p w14:paraId="26C0DB11" w14:textId="77777777" w:rsidR="007950C1" w:rsidRPr="005269E6" w:rsidRDefault="007950C1" w:rsidP="00CC3169">
            <w:pPr>
              <w:tabs>
                <w:tab w:val="clear" w:pos="794"/>
              </w:tabs>
              <w:spacing w:before="0" w:line="200" w:lineRule="exact"/>
              <w:jc w:val="left"/>
              <w:rPr>
                <w:rFonts w:eastAsia="Times New Roman"/>
                <w:b/>
                <w:bCs/>
                <w:color w:val="000000"/>
                <w:sz w:val="18"/>
                <w:szCs w:val="18"/>
                <w:lang w:val="en-GB" w:eastAsia="en-GB"/>
              </w:rPr>
            </w:pPr>
          </w:p>
        </w:tc>
      </w:tr>
      <w:tr w:rsidR="007950C1" w:rsidRPr="005269E6" w14:paraId="55C8E48C" w14:textId="77777777" w:rsidTr="004C39BB">
        <w:trPr>
          <w:trHeight w:val="315"/>
        </w:trPr>
        <w:tc>
          <w:tcPr>
            <w:tcW w:w="3579" w:type="dxa"/>
            <w:tcBorders>
              <w:top w:val="nil"/>
              <w:left w:val="nil"/>
              <w:bottom w:val="nil"/>
              <w:right w:val="nil"/>
            </w:tcBorders>
            <w:shd w:val="clear" w:color="000000" w:fill="538DD5"/>
            <w:vAlign w:val="center"/>
            <w:hideMark/>
          </w:tcPr>
          <w:p w14:paraId="69BF9056" w14:textId="0A3295A9" w:rsidR="007950C1" w:rsidRPr="005269E6" w:rsidRDefault="00EF7DF3" w:rsidP="007950C1">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صافي المبلغ الدفتري في 31 ديسمبر</w:t>
            </w:r>
          </w:p>
        </w:tc>
        <w:tc>
          <w:tcPr>
            <w:tcW w:w="1010" w:type="dxa"/>
            <w:tcBorders>
              <w:top w:val="nil"/>
              <w:left w:val="nil"/>
              <w:bottom w:val="nil"/>
              <w:right w:val="nil"/>
            </w:tcBorders>
            <w:shd w:val="clear" w:color="000000" w:fill="538DD5"/>
            <w:vAlign w:val="center"/>
            <w:hideMark/>
          </w:tcPr>
          <w:p w14:paraId="75110FA0" w14:textId="62E20FED"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2 250 </w:t>
            </w:r>
          </w:p>
        </w:tc>
        <w:tc>
          <w:tcPr>
            <w:tcW w:w="1010" w:type="dxa"/>
            <w:tcBorders>
              <w:top w:val="nil"/>
              <w:left w:val="nil"/>
              <w:bottom w:val="nil"/>
              <w:right w:val="nil"/>
            </w:tcBorders>
            <w:shd w:val="clear" w:color="000000" w:fill="538DD5"/>
            <w:vAlign w:val="center"/>
            <w:hideMark/>
          </w:tcPr>
          <w:p w14:paraId="2A916BE8" w14:textId="4EB815BD"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225 </w:t>
            </w:r>
          </w:p>
        </w:tc>
        <w:tc>
          <w:tcPr>
            <w:tcW w:w="1010" w:type="dxa"/>
            <w:tcBorders>
              <w:top w:val="nil"/>
              <w:left w:val="nil"/>
              <w:bottom w:val="nil"/>
              <w:right w:val="nil"/>
            </w:tcBorders>
            <w:shd w:val="clear" w:color="000000" w:fill="538DD5"/>
            <w:vAlign w:val="center"/>
            <w:hideMark/>
          </w:tcPr>
          <w:p w14:paraId="27E563A5" w14:textId="1589D104"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1 181 </w:t>
            </w:r>
          </w:p>
        </w:tc>
        <w:tc>
          <w:tcPr>
            <w:tcW w:w="1010" w:type="dxa"/>
            <w:tcBorders>
              <w:top w:val="nil"/>
              <w:left w:val="nil"/>
              <w:bottom w:val="nil"/>
              <w:right w:val="nil"/>
            </w:tcBorders>
            <w:shd w:val="clear" w:color="000000" w:fill="538DD5"/>
            <w:vAlign w:val="center"/>
            <w:hideMark/>
          </w:tcPr>
          <w:p w14:paraId="262C8BE8" w14:textId="47381CDD"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567 </w:t>
            </w:r>
          </w:p>
        </w:tc>
        <w:tc>
          <w:tcPr>
            <w:tcW w:w="1010" w:type="dxa"/>
            <w:tcBorders>
              <w:top w:val="nil"/>
              <w:left w:val="nil"/>
              <w:bottom w:val="nil"/>
              <w:right w:val="nil"/>
            </w:tcBorders>
            <w:shd w:val="clear" w:color="000000" w:fill="538DD5"/>
            <w:noWrap/>
            <w:vAlign w:val="center"/>
            <w:hideMark/>
          </w:tcPr>
          <w:p w14:paraId="16000A64" w14:textId="11F03544"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792 </w:t>
            </w:r>
          </w:p>
        </w:tc>
        <w:tc>
          <w:tcPr>
            <w:tcW w:w="1010" w:type="dxa"/>
            <w:tcBorders>
              <w:top w:val="nil"/>
              <w:left w:val="nil"/>
              <w:bottom w:val="nil"/>
              <w:right w:val="nil"/>
            </w:tcBorders>
            <w:shd w:val="clear" w:color="000000" w:fill="538DD5"/>
            <w:noWrap/>
            <w:vAlign w:val="center"/>
            <w:hideMark/>
          </w:tcPr>
          <w:p w14:paraId="1A9B6045" w14:textId="632438BA" w:rsidR="007950C1" w:rsidRPr="005269E6" w:rsidRDefault="007950C1" w:rsidP="00CC3169">
            <w:pPr>
              <w:tabs>
                <w:tab w:val="clear" w:pos="794"/>
              </w:tabs>
              <w:spacing w:before="40" w:after="40" w:line="240" w:lineRule="atLeas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3 431 </w:t>
            </w:r>
          </w:p>
        </w:tc>
      </w:tr>
    </w:tbl>
    <w:p w14:paraId="6E1BEC29" w14:textId="392F036E" w:rsidR="00EE151F" w:rsidRPr="005269E6" w:rsidRDefault="00EF7DF3" w:rsidP="00EF7DF3">
      <w:pPr>
        <w:spacing w:after="120"/>
        <w:rPr>
          <w:rtl/>
          <w:lang w:bidi="ar-SY"/>
        </w:rPr>
      </w:pPr>
      <w:r w:rsidRPr="005269E6">
        <w:rPr>
          <w:rFonts w:hint="cs"/>
          <w:rtl/>
          <w:lang w:bidi="ar-EG"/>
        </w:rPr>
        <w:t xml:space="preserve">وحتى 31 ديسمبر 2022، كان </w:t>
      </w:r>
      <w:r w:rsidRPr="005269E6">
        <w:rPr>
          <w:rtl/>
          <w:lang w:bidi="ar-EG"/>
        </w:rPr>
        <w:t xml:space="preserve">الاتحاد </w:t>
      </w:r>
      <w:r w:rsidR="00386D96" w:rsidRPr="005269E6">
        <w:rPr>
          <w:rtl/>
          <w:lang w:bidi="ar-EG"/>
        </w:rPr>
        <w:t xml:space="preserve">يحتفظ </w:t>
      </w:r>
      <w:r w:rsidRPr="005269E6">
        <w:rPr>
          <w:rtl/>
          <w:lang w:bidi="ar-EG"/>
        </w:rPr>
        <w:t xml:space="preserve">بجدول زمني شامل </w:t>
      </w:r>
      <w:r w:rsidR="00386D96" w:rsidRPr="005269E6">
        <w:rPr>
          <w:rFonts w:hint="cs"/>
          <w:rtl/>
          <w:lang w:bidi="ar-EG"/>
        </w:rPr>
        <w:t>للأصول غير المادية</w:t>
      </w:r>
      <w:r w:rsidRPr="005269E6">
        <w:rPr>
          <w:rtl/>
          <w:lang w:bidi="ar-EG"/>
        </w:rPr>
        <w:t xml:space="preserve">. </w:t>
      </w:r>
      <w:r w:rsidR="00386D96" w:rsidRPr="005269E6">
        <w:rPr>
          <w:rFonts w:hint="cs"/>
          <w:rtl/>
          <w:lang w:bidi="ar-EG"/>
        </w:rPr>
        <w:t>و</w:t>
      </w:r>
      <w:r w:rsidRPr="005269E6">
        <w:rPr>
          <w:rtl/>
          <w:lang w:bidi="ar-EG"/>
        </w:rPr>
        <w:t xml:space="preserve">يتضمن هذا الجدول الأصول التي وصلت إلى الإهلاك الكامل ولكنها لا تزال قيد الاستخدام النشط </w:t>
      </w:r>
      <w:r w:rsidRPr="005269E6">
        <w:rPr>
          <w:rFonts w:hint="cs"/>
          <w:rtl/>
          <w:lang w:bidi="ar-EG"/>
        </w:rPr>
        <w:t>ضمن</w:t>
      </w:r>
      <w:r w:rsidRPr="005269E6">
        <w:rPr>
          <w:rtl/>
          <w:lang w:bidi="ar-EG"/>
        </w:rPr>
        <w:t xml:space="preserve"> </w:t>
      </w:r>
      <w:r w:rsidRPr="005269E6">
        <w:rPr>
          <w:rFonts w:hint="cs"/>
          <w:rtl/>
          <w:lang w:bidi="ar-EG"/>
        </w:rPr>
        <w:t>المنظمة</w:t>
      </w:r>
      <w:r w:rsidRPr="005269E6">
        <w:rPr>
          <w:rtl/>
          <w:lang w:bidi="ar-EG"/>
        </w:rPr>
        <w:t xml:space="preserve">. </w:t>
      </w:r>
      <w:r w:rsidRPr="005269E6">
        <w:rPr>
          <w:rFonts w:hint="cs"/>
          <w:rtl/>
          <w:lang w:bidi="ar-EG"/>
        </w:rPr>
        <w:t>و</w:t>
      </w:r>
      <w:r w:rsidRPr="005269E6">
        <w:rPr>
          <w:rtl/>
          <w:lang w:bidi="ar-EG"/>
        </w:rPr>
        <w:t xml:space="preserve">فيما يلي </w:t>
      </w:r>
      <w:r w:rsidR="00386D96" w:rsidRPr="005269E6">
        <w:rPr>
          <w:rtl/>
          <w:lang w:bidi="ar-EG"/>
        </w:rPr>
        <w:t xml:space="preserve">المبلغ الدفتري الإجمالي </w:t>
      </w:r>
      <w:r w:rsidR="003804C0" w:rsidRPr="005269E6">
        <w:rPr>
          <w:rtl/>
          <w:lang w:bidi="ar-EG"/>
        </w:rPr>
        <w:t>للأصول غير المادية</w:t>
      </w:r>
      <w:r w:rsidRPr="005269E6">
        <w:rPr>
          <w:rtl/>
          <w:lang w:bidi="ar-EG"/>
        </w:rPr>
        <w:t xml:space="preserve"> المستهلكة بالكامل والتي</w:t>
      </w:r>
      <w:r w:rsidRPr="005269E6">
        <w:rPr>
          <w:rFonts w:hint="cs"/>
          <w:rtl/>
          <w:lang w:bidi="ar-EG"/>
        </w:rPr>
        <w:t xml:space="preserve"> كانت</w:t>
      </w:r>
      <w:r w:rsidRPr="005269E6">
        <w:rPr>
          <w:rtl/>
          <w:lang w:bidi="ar-EG"/>
        </w:rPr>
        <w:t xml:space="preserve"> لا تزال قيد الاستخدام </w:t>
      </w:r>
      <w:r w:rsidR="003804C0" w:rsidRPr="005269E6">
        <w:rPr>
          <w:rFonts w:hint="cs"/>
          <w:rtl/>
          <w:lang w:bidi="ar-EG"/>
        </w:rPr>
        <w:t>حتى</w:t>
      </w:r>
      <w:r w:rsidRPr="005269E6">
        <w:rPr>
          <w:rtl/>
          <w:lang w:bidi="ar-EG"/>
        </w:rPr>
        <w:t xml:space="preserve"> 31 ديسمبر 2022:</w:t>
      </w:r>
      <w:r w:rsidR="006A4ABF" w:rsidRPr="005269E6">
        <w:rPr>
          <w:rFonts w:hint="cs"/>
          <w:rtl/>
          <w:lang w:bidi="ar-EG"/>
        </w:rPr>
        <w:t xml:space="preserve"> </w:t>
      </w:r>
    </w:p>
    <w:tbl>
      <w:tblPr>
        <w:bidiVisual/>
        <w:tblW w:w="2721" w:type="pct"/>
        <w:jc w:val="center"/>
        <w:tblLook w:val="04A0" w:firstRow="1" w:lastRow="0" w:firstColumn="1" w:lastColumn="0" w:noHBand="0" w:noVBand="1"/>
      </w:tblPr>
      <w:tblGrid>
        <w:gridCol w:w="3033"/>
        <w:gridCol w:w="2213"/>
      </w:tblGrid>
      <w:tr w:rsidR="00A66850" w:rsidRPr="005269E6" w14:paraId="27943AFD" w14:textId="77777777" w:rsidTr="00CA29BC">
        <w:trPr>
          <w:trHeight w:val="540"/>
          <w:jc w:val="center"/>
        </w:trPr>
        <w:tc>
          <w:tcPr>
            <w:tcW w:w="3033" w:type="dxa"/>
            <w:tcBorders>
              <w:top w:val="nil"/>
              <w:left w:val="nil"/>
              <w:bottom w:val="nil"/>
              <w:right w:val="nil"/>
            </w:tcBorders>
            <w:shd w:val="clear" w:color="000000" w:fill="538DD5"/>
            <w:noWrap/>
            <w:vAlign w:val="center"/>
            <w:hideMark/>
          </w:tcPr>
          <w:p w14:paraId="24E32894" w14:textId="176C2A8F" w:rsidR="00A66850" w:rsidRPr="005269E6" w:rsidRDefault="00333F6A" w:rsidP="00CA29BC">
            <w:pPr>
              <w:tabs>
                <w:tab w:val="clear" w:pos="794"/>
              </w:tabs>
              <w:spacing w:before="0" w:line="240" w:lineRule="auto"/>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 xml:space="preserve">فئة الأصول - </w:t>
            </w:r>
            <w:r w:rsidRPr="005269E6">
              <w:rPr>
                <w:rFonts w:eastAsia="Times New Roman"/>
                <w:b/>
                <w:bCs/>
                <w:color w:val="000000"/>
                <w:sz w:val="18"/>
                <w:szCs w:val="18"/>
                <w:rtl/>
                <w:lang w:val="en-GB" w:eastAsia="en-GB"/>
              </w:rPr>
              <w:t>صافي المبلغ الدفتري</w:t>
            </w:r>
          </w:p>
        </w:tc>
        <w:tc>
          <w:tcPr>
            <w:tcW w:w="2213" w:type="dxa"/>
            <w:tcBorders>
              <w:top w:val="nil"/>
              <w:left w:val="nil"/>
              <w:bottom w:val="nil"/>
              <w:right w:val="nil"/>
            </w:tcBorders>
            <w:shd w:val="clear" w:color="000000" w:fill="538DD5"/>
            <w:noWrap/>
            <w:vAlign w:val="center"/>
            <w:hideMark/>
          </w:tcPr>
          <w:p w14:paraId="39986CD7" w14:textId="57BB4A93" w:rsidR="00A66850" w:rsidRPr="005269E6" w:rsidRDefault="00333F6A" w:rsidP="00CA29BC">
            <w:pPr>
              <w:tabs>
                <w:tab w:val="clear" w:pos="794"/>
              </w:tabs>
              <w:spacing w:before="0" w:line="240" w:lineRule="auto"/>
              <w:jc w:val="center"/>
              <w:rPr>
                <w:rFonts w:eastAsia="Times New Roman"/>
                <w:b/>
                <w:bCs/>
                <w:color w:val="000000"/>
                <w:sz w:val="18"/>
                <w:szCs w:val="18"/>
                <w:lang w:eastAsia="en-GB"/>
              </w:rPr>
            </w:pPr>
            <w:r w:rsidRPr="005269E6">
              <w:rPr>
                <w:rFonts w:eastAsia="Times New Roman"/>
                <w:b/>
                <w:bCs/>
                <w:color w:val="000000"/>
                <w:sz w:val="18"/>
                <w:szCs w:val="18"/>
                <w:rtl/>
                <w:lang w:eastAsia="en-GB"/>
              </w:rPr>
              <w:t>(بآلاف الفرنكات السويسرية)</w:t>
            </w:r>
          </w:p>
        </w:tc>
      </w:tr>
      <w:tr w:rsidR="00A66850" w:rsidRPr="005269E6" w14:paraId="4D028E07" w14:textId="77777777" w:rsidTr="00CA29BC">
        <w:trPr>
          <w:trHeight w:val="255"/>
          <w:jc w:val="center"/>
        </w:trPr>
        <w:tc>
          <w:tcPr>
            <w:tcW w:w="3033" w:type="dxa"/>
            <w:tcBorders>
              <w:top w:val="nil"/>
              <w:left w:val="nil"/>
              <w:bottom w:val="nil"/>
              <w:right w:val="nil"/>
            </w:tcBorders>
            <w:shd w:val="clear" w:color="000000" w:fill="auto"/>
            <w:hideMark/>
          </w:tcPr>
          <w:p w14:paraId="7CA7CF4D" w14:textId="45DBF168" w:rsidR="00A66850" w:rsidRPr="005269E6" w:rsidRDefault="00333F6A" w:rsidP="00333F6A">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التطو</w:t>
            </w:r>
            <w:r w:rsidRPr="005269E6">
              <w:rPr>
                <w:rFonts w:eastAsia="Times New Roman" w:hint="cs"/>
                <w:color w:val="000000"/>
                <w:sz w:val="18"/>
                <w:szCs w:val="18"/>
                <w:rtl/>
                <w:lang w:val="en-GB" w:eastAsia="en-GB"/>
              </w:rPr>
              <w:t>ي</w:t>
            </w:r>
            <w:r w:rsidRPr="005269E6">
              <w:rPr>
                <w:rFonts w:eastAsia="Times New Roman"/>
                <w:color w:val="000000"/>
                <w:sz w:val="18"/>
                <w:szCs w:val="18"/>
                <w:rtl/>
                <w:lang w:val="en-GB" w:eastAsia="en-GB"/>
              </w:rPr>
              <w:t>رات الداخلية</w:t>
            </w:r>
          </w:p>
        </w:tc>
        <w:tc>
          <w:tcPr>
            <w:tcW w:w="2213" w:type="dxa"/>
            <w:tcBorders>
              <w:top w:val="nil"/>
              <w:left w:val="nil"/>
              <w:bottom w:val="nil"/>
              <w:right w:val="nil"/>
            </w:tcBorders>
            <w:shd w:val="clear" w:color="000000" w:fill="auto"/>
            <w:noWrap/>
            <w:hideMark/>
          </w:tcPr>
          <w:p w14:paraId="4CC8C38B" w14:textId="70F6006B" w:rsidR="00A66850" w:rsidRPr="005269E6" w:rsidRDefault="002259C7" w:rsidP="00CF6D39">
            <w:pPr>
              <w:tabs>
                <w:tab w:val="clear" w:pos="794"/>
              </w:tabs>
              <w:spacing w:before="0" w:line="240" w:lineRule="auto"/>
              <w:jc w:val="left"/>
              <w:rPr>
                <w:rFonts w:eastAsia="Times New Roman"/>
                <w:sz w:val="18"/>
                <w:szCs w:val="18"/>
                <w:lang w:val="en-GB" w:eastAsia="en-GB"/>
              </w:rPr>
            </w:pPr>
            <w:r w:rsidRPr="005269E6">
              <w:rPr>
                <w:rFonts w:eastAsia="Times New Roman"/>
                <w:sz w:val="18"/>
                <w:szCs w:val="18"/>
                <w:lang w:val="en-GB" w:eastAsia="en-GB"/>
              </w:rPr>
              <w:t>3 211</w:t>
            </w:r>
          </w:p>
        </w:tc>
      </w:tr>
      <w:tr w:rsidR="00A66850" w:rsidRPr="005269E6" w14:paraId="3BDB5DE0" w14:textId="77777777" w:rsidTr="00CA29BC">
        <w:trPr>
          <w:trHeight w:val="255"/>
          <w:jc w:val="center"/>
        </w:trPr>
        <w:tc>
          <w:tcPr>
            <w:tcW w:w="3033" w:type="dxa"/>
            <w:tcBorders>
              <w:top w:val="nil"/>
              <w:left w:val="nil"/>
              <w:bottom w:val="nil"/>
              <w:right w:val="nil"/>
            </w:tcBorders>
            <w:shd w:val="clear" w:color="000000" w:fill="auto"/>
            <w:hideMark/>
          </w:tcPr>
          <w:p w14:paraId="760F76E9" w14:textId="3AE89AEA" w:rsidR="00A66850" w:rsidRPr="005269E6" w:rsidRDefault="00333F6A" w:rsidP="00A66850">
            <w:pPr>
              <w:tabs>
                <w:tab w:val="clear" w:pos="794"/>
              </w:tabs>
              <w:spacing w:before="0" w:line="240" w:lineRule="auto"/>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البرمجيات</w:t>
            </w:r>
          </w:p>
        </w:tc>
        <w:tc>
          <w:tcPr>
            <w:tcW w:w="2213" w:type="dxa"/>
            <w:tcBorders>
              <w:top w:val="nil"/>
              <w:left w:val="nil"/>
              <w:bottom w:val="nil"/>
              <w:right w:val="nil"/>
            </w:tcBorders>
            <w:shd w:val="clear" w:color="000000" w:fill="auto"/>
            <w:noWrap/>
            <w:hideMark/>
          </w:tcPr>
          <w:p w14:paraId="4A51B6B7" w14:textId="6B43503F" w:rsidR="00A66850" w:rsidRPr="005269E6" w:rsidRDefault="002259C7" w:rsidP="00CF6D39">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6 430</w:t>
            </w:r>
          </w:p>
        </w:tc>
      </w:tr>
      <w:tr w:rsidR="00A66850" w:rsidRPr="005269E6" w14:paraId="6EFE4FD4" w14:textId="77777777" w:rsidTr="004C39BB">
        <w:trPr>
          <w:trHeight w:val="296"/>
          <w:jc w:val="center"/>
        </w:trPr>
        <w:tc>
          <w:tcPr>
            <w:tcW w:w="3033" w:type="dxa"/>
            <w:tcBorders>
              <w:top w:val="nil"/>
              <w:left w:val="nil"/>
              <w:bottom w:val="nil"/>
              <w:right w:val="nil"/>
            </w:tcBorders>
            <w:shd w:val="clear" w:color="000000" w:fill="538DD5"/>
            <w:vAlign w:val="center"/>
            <w:hideMark/>
          </w:tcPr>
          <w:p w14:paraId="0AA09EC0" w14:textId="01B322FF" w:rsidR="00A66850" w:rsidRPr="005269E6" w:rsidRDefault="00333F6A" w:rsidP="00A66850">
            <w:pPr>
              <w:tabs>
                <w:tab w:val="clear" w:pos="794"/>
              </w:tabs>
              <w:spacing w:before="0" w:line="240" w:lineRule="auto"/>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المجموع الكلي</w:t>
            </w:r>
          </w:p>
        </w:tc>
        <w:tc>
          <w:tcPr>
            <w:tcW w:w="2213" w:type="dxa"/>
            <w:tcBorders>
              <w:top w:val="nil"/>
              <w:left w:val="nil"/>
              <w:bottom w:val="nil"/>
              <w:right w:val="nil"/>
            </w:tcBorders>
            <w:shd w:val="clear" w:color="000000" w:fill="538DD5"/>
            <w:noWrap/>
            <w:vAlign w:val="center"/>
            <w:hideMark/>
          </w:tcPr>
          <w:p w14:paraId="4EF6D961" w14:textId="2ED529DA" w:rsidR="00A66850" w:rsidRPr="005269E6" w:rsidRDefault="002259C7" w:rsidP="00CF6D39">
            <w:pPr>
              <w:tabs>
                <w:tab w:val="clear" w:pos="794"/>
              </w:tabs>
              <w:spacing w:before="0" w:line="240" w:lineRule="auto"/>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9 641</w:t>
            </w:r>
          </w:p>
        </w:tc>
      </w:tr>
    </w:tbl>
    <w:p w14:paraId="35FB8EE1" w14:textId="5CDA73FF" w:rsidR="00C543C6" w:rsidRPr="005269E6" w:rsidRDefault="00C543C6" w:rsidP="00696AA6">
      <w:pPr>
        <w:pStyle w:val="Heading5"/>
        <w:rPr>
          <w:rtl/>
        </w:rPr>
      </w:pPr>
      <w:bookmarkStart w:id="467" w:name="_Toc452156633"/>
      <w:bookmarkStart w:id="468" w:name="_Toc482792217"/>
      <w:bookmarkStart w:id="469" w:name="_Toc482793722"/>
      <w:bookmarkStart w:id="470" w:name="_Toc511402237"/>
      <w:bookmarkStart w:id="471" w:name="_Toc511756674"/>
      <w:bookmarkStart w:id="472" w:name="_Toc9614793"/>
      <w:bookmarkStart w:id="473" w:name="_Toc42013548"/>
      <w:bookmarkStart w:id="474" w:name="_Toc42014549"/>
      <w:bookmarkStart w:id="475" w:name="_Toc74061581"/>
      <w:bookmarkStart w:id="476" w:name="_Toc162520632"/>
      <w:r w:rsidRPr="005269E6">
        <w:rPr>
          <w:rFonts w:hint="cs"/>
          <w:rtl/>
        </w:rPr>
        <w:t xml:space="preserve">الملاحظة </w:t>
      </w:r>
      <w:bookmarkEnd w:id="467"/>
      <w:bookmarkEnd w:id="468"/>
      <w:bookmarkEnd w:id="469"/>
      <w:r w:rsidR="000600D0" w:rsidRPr="005269E6">
        <w:t>14</w:t>
      </w:r>
      <w:r w:rsidRPr="005269E6">
        <w:rPr>
          <w:rtl/>
        </w:rPr>
        <w:tab/>
      </w:r>
      <w:r w:rsidRPr="005269E6">
        <w:rPr>
          <w:rFonts w:hint="cs"/>
          <w:rtl/>
        </w:rPr>
        <w:t>الأصول قيد الإنشاء</w:t>
      </w:r>
      <w:bookmarkEnd w:id="470"/>
      <w:bookmarkEnd w:id="471"/>
      <w:bookmarkEnd w:id="472"/>
      <w:bookmarkEnd w:id="473"/>
      <w:bookmarkEnd w:id="474"/>
      <w:bookmarkEnd w:id="475"/>
      <w:bookmarkEnd w:id="476"/>
    </w:p>
    <w:p w14:paraId="0E56E099" w14:textId="1E1B4C10" w:rsidR="00C543C6" w:rsidRPr="005269E6" w:rsidRDefault="00C543C6" w:rsidP="00D7435A">
      <w:pPr>
        <w:spacing w:after="120"/>
        <w:rPr>
          <w:rtl/>
        </w:rPr>
      </w:pPr>
      <w:bookmarkStart w:id="477" w:name="_Toc511402238"/>
      <w:bookmarkStart w:id="478" w:name="_Toc511756675"/>
      <w:r w:rsidRPr="005269E6">
        <w:rPr>
          <w:rFonts w:hint="cs"/>
          <w:rtl/>
        </w:rPr>
        <w:t>تقرر الكشف بصورة منفصلة عن الأصول قيد الإنشاء استعداداً لمشروع المبنى الجديد وبالتالي السماح بمتابعة شفافة للمشروع خلال مرحلة الإنشاء.</w:t>
      </w:r>
      <w:r w:rsidR="000F403D" w:rsidRPr="005269E6">
        <w:rPr>
          <w:rFonts w:hint="cs"/>
          <w:rtl/>
        </w:rPr>
        <w:t xml:space="preserve"> </w:t>
      </w:r>
      <w:r w:rsidR="00333F6A" w:rsidRPr="005269E6">
        <w:rPr>
          <w:rFonts w:hint="cs"/>
          <w:rtl/>
        </w:rPr>
        <w:t>وحتى</w:t>
      </w:r>
      <w:r w:rsidR="00333F6A" w:rsidRPr="005269E6">
        <w:rPr>
          <w:rtl/>
        </w:rPr>
        <w:t xml:space="preserve"> 31 ديسمبر 2022، لم تكن هناك التزامات تعاقدية </w:t>
      </w:r>
      <w:r w:rsidR="00D40884" w:rsidRPr="005269E6">
        <w:rPr>
          <w:rFonts w:hint="cs"/>
          <w:rtl/>
        </w:rPr>
        <w:t>ذات شأن</w:t>
      </w:r>
      <w:r w:rsidR="00333F6A" w:rsidRPr="005269E6">
        <w:rPr>
          <w:rtl/>
        </w:rPr>
        <w:t>.</w:t>
      </w:r>
    </w:p>
    <w:tbl>
      <w:tblPr>
        <w:bidiVisual/>
        <w:tblW w:w="5000" w:type="pct"/>
        <w:tblLook w:val="04A0" w:firstRow="1" w:lastRow="0" w:firstColumn="1" w:lastColumn="0" w:noHBand="0" w:noVBand="1"/>
      </w:tblPr>
      <w:tblGrid>
        <w:gridCol w:w="2893"/>
        <w:gridCol w:w="1119"/>
        <w:gridCol w:w="1120"/>
        <w:gridCol w:w="1120"/>
        <w:gridCol w:w="1120"/>
        <w:gridCol w:w="1300"/>
        <w:gridCol w:w="967"/>
      </w:tblGrid>
      <w:tr w:rsidR="00D40884" w:rsidRPr="005269E6" w14:paraId="73F290D5" w14:textId="77777777" w:rsidTr="00D40884">
        <w:trPr>
          <w:trHeight w:val="510"/>
        </w:trPr>
        <w:tc>
          <w:tcPr>
            <w:tcW w:w="2893" w:type="dxa"/>
            <w:vMerge w:val="restart"/>
            <w:tcBorders>
              <w:top w:val="nil"/>
              <w:left w:val="nil"/>
              <w:bottom w:val="nil"/>
              <w:right w:val="nil"/>
            </w:tcBorders>
            <w:shd w:val="clear" w:color="000000" w:fill="538DD5"/>
            <w:vAlign w:val="center"/>
            <w:hideMark/>
          </w:tcPr>
          <w:p w14:paraId="4EC4B963" w14:textId="050C9AD9" w:rsidR="00D40884" w:rsidRPr="005269E6" w:rsidRDefault="00D40884" w:rsidP="00D40884">
            <w:pPr>
              <w:tabs>
                <w:tab w:val="clear" w:pos="794"/>
              </w:tabs>
              <w:spacing w:before="40" w:after="40" w:line="240" w:lineRule="exact"/>
              <w:jc w:val="center"/>
              <w:rPr>
                <w:rFonts w:eastAsia="Times New Roman"/>
                <w:b/>
                <w:bCs/>
                <w:sz w:val="18"/>
                <w:szCs w:val="18"/>
                <w:lang w:val="en-GB" w:eastAsia="en-GB"/>
              </w:rPr>
            </w:pPr>
            <w:r w:rsidRPr="005269E6">
              <w:rPr>
                <w:rFonts w:eastAsia="Times New Roman"/>
                <w:b/>
                <w:bCs/>
                <w:sz w:val="18"/>
                <w:szCs w:val="18"/>
                <w:rtl/>
                <w:lang w:val="en-GB" w:eastAsia="en-GB"/>
              </w:rPr>
              <w:t>فئة الأصول</w:t>
            </w:r>
          </w:p>
        </w:tc>
        <w:tc>
          <w:tcPr>
            <w:tcW w:w="2239" w:type="dxa"/>
            <w:gridSpan w:val="2"/>
            <w:tcBorders>
              <w:top w:val="nil"/>
              <w:left w:val="nil"/>
              <w:bottom w:val="nil"/>
              <w:right w:val="nil"/>
            </w:tcBorders>
            <w:shd w:val="clear" w:color="000000" w:fill="538DD5"/>
            <w:vAlign w:val="center"/>
            <w:hideMark/>
          </w:tcPr>
          <w:p w14:paraId="6C08FB94" w14:textId="19C329E4" w:rsidR="00D40884" w:rsidRPr="005269E6" w:rsidRDefault="00D40884" w:rsidP="004A6F5F">
            <w:pPr>
              <w:jc w:val="center"/>
              <w:rPr>
                <w:rFonts w:eastAsia="Times New Roman"/>
                <w:b/>
                <w:bCs/>
                <w:sz w:val="18"/>
                <w:szCs w:val="18"/>
                <w:lang w:val="en-GB" w:eastAsia="en-GB"/>
              </w:rPr>
            </w:pPr>
            <w:r w:rsidRPr="005269E6">
              <w:rPr>
                <w:rFonts w:eastAsia="Times New Roman"/>
                <w:b/>
                <w:bCs/>
                <w:sz w:val="18"/>
                <w:szCs w:val="18"/>
                <w:rtl/>
                <w:lang w:val="en-GB" w:eastAsia="en-GB"/>
              </w:rPr>
              <w:t>المبنى قيد الإنشاء</w:t>
            </w:r>
          </w:p>
        </w:tc>
        <w:tc>
          <w:tcPr>
            <w:tcW w:w="2240" w:type="dxa"/>
            <w:gridSpan w:val="2"/>
            <w:tcBorders>
              <w:top w:val="nil"/>
              <w:left w:val="nil"/>
              <w:bottom w:val="nil"/>
              <w:right w:val="nil"/>
            </w:tcBorders>
            <w:shd w:val="clear" w:color="000000" w:fill="538DD5"/>
            <w:vAlign w:val="center"/>
            <w:hideMark/>
          </w:tcPr>
          <w:p w14:paraId="2FA85D32" w14:textId="6F2AC792" w:rsidR="00D40884" w:rsidRPr="005269E6" w:rsidRDefault="00D40884" w:rsidP="004A6F5F">
            <w:pPr>
              <w:jc w:val="center"/>
              <w:rPr>
                <w:rFonts w:eastAsia="Times New Roman"/>
                <w:b/>
                <w:bCs/>
                <w:sz w:val="18"/>
                <w:szCs w:val="18"/>
                <w:lang w:val="en-GB" w:eastAsia="en-GB"/>
              </w:rPr>
            </w:pPr>
            <w:r w:rsidRPr="005269E6">
              <w:rPr>
                <w:rFonts w:eastAsia="Times New Roman"/>
                <w:b/>
                <w:bCs/>
                <w:sz w:val="18"/>
                <w:szCs w:val="18"/>
                <w:rtl/>
                <w:lang w:val="en-GB" w:eastAsia="en-GB"/>
              </w:rPr>
              <w:t>أصول أخرى قيد الإنشاء</w:t>
            </w:r>
          </w:p>
        </w:tc>
        <w:tc>
          <w:tcPr>
            <w:tcW w:w="1300" w:type="dxa"/>
            <w:vMerge w:val="restart"/>
            <w:tcBorders>
              <w:top w:val="nil"/>
              <w:left w:val="nil"/>
              <w:bottom w:val="nil"/>
              <w:right w:val="nil"/>
            </w:tcBorders>
            <w:shd w:val="clear" w:color="000000" w:fill="538DD5"/>
            <w:vAlign w:val="center"/>
            <w:hideMark/>
          </w:tcPr>
          <w:p w14:paraId="690C0786" w14:textId="573731A3" w:rsidR="00D40884" w:rsidRPr="005269E6" w:rsidRDefault="00D40884" w:rsidP="004A6F5F">
            <w:pPr>
              <w:tabs>
                <w:tab w:val="clear" w:pos="794"/>
              </w:tabs>
              <w:spacing w:before="40" w:after="40" w:line="240" w:lineRule="atLeas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المجموع الكلي</w:t>
            </w:r>
            <w:r w:rsidRPr="005269E6">
              <w:rPr>
                <w:rFonts w:eastAsia="Times New Roman"/>
                <w:b/>
                <w:bCs/>
                <w:color w:val="000000"/>
                <w:sz w:val="18"/>
                <w:szCs w:val="18"/>
                <w:lang w:val="en-GB" w:eastAsia="en-GB"/>
              </w:rPr>
              <w:t xml:space="preserve"> 2021</w:t>
            </w:r>
          </w:p>
        </w:tc>
        <w:tc>
          <w:tcPr>
            <w:tcW w:w="967" w:type="dxa"/>
            <w:vMerge w:val="restart"/>
            <w:tcBorders>
              <w:top w:val="nil"/>
              <w:left w:val="nil"/>
              <w:bottom w:val="nil"/>
              <w:right w:val="nil"/>
            </w:tcBorders>
            <w:shd w:val="clear" w:color="000000" w:fill="538DD5"/>
            <w:vAlign w:val="center"/>
            <w:hideMark/>
          </w:tcPr>
          <w:p w14:paraId="0D89A102" w14:textId="7B780EF5" w:rsidR="00D40884" w:rsidRPr="005269E6" w:rsidRDefault="00D40884" w:rsidP="004A6F5F">
            <w:pPr>
              <w:tabs>
                <w:tab w:val="clear" w:pos="794"/>
              </w:tabs>
              <w:spacing w:before="40" w:after="40" w:line="240" w:lineRule="atLeast"/>
              <w:jc w:val="center"/>
              <w:rPr>
                <w:rFonts w:eastAsia="Times New Roman"/>
                <w:b/>
                <w:bCs/>
                <w:sz w:val="18"/>
                <w:szCs w:val="18"/>
                <w:lang w:val="en-GB" w:eastAsia="en-GB"/>
              </w:rPr>
            </w:pPr>
            <w:r w:rsidRPr="005269E6">
              <w:rPr>
                <w:rFonts w:eastAsia="Times New Roman"/>
                <w:b/>
                <w:bCs/>
                <w:color w:val="000000"/>
                <w:sz w:val="18"/>
                <w:szCs w:val="18"/>
                <w:rtl/>
                <w:lang w:val="en-GB" w:eastAsia="en-GB"/>
              </w:rPr>
              <w:t>المجموع الكلي</w:t>
            </w:r>
            <w:r w:rsidRPr="005269E6">
              <w:rPr>
                <w:rFonts w:eastAsia="Times New Roman"/>
                <w:b/>
                <w:bCs/>
                <w:color w:val="000000"/>
                <w:sz w:val="18"/>
                <w:szCs w:val="18"/>
                <w:lang w:val="en-GB" w:eastAsia="en-GB"/>
              </w:rPr>
              <w:t xml:space="preserve"> 2022</w:t>
            </w:r>
          </w:p>
        </w:tc>
      </w:tr>
      <w:tr w:rsidR="009A4551" w:rsidRPr="005269E6" w14:paraId="3556914F" w14:textId="77777777" w:rsidTr="00D40884">
        <w:trPr>
          <w:trHeight w:val="255"/>
        </w:trPr>
        <w:tc>
          <w:tcPr>
            <w:tcW w:w="2893" w:type="dxa"/>
            <w:vMerge/>
            <w:tcBorders>
              <w:top w:val="nil"/>
              <w:left w:val="nil"/>
              <w:bottom w:val="nil"/>
              <w:right w:val="nil"/>
            </w:tcBorders>
            <w:vAlign w:val="center"/>
            <w:hideMark/>
          </w:tcPr>
          <w:p w14:paraId="3BAB23AE" w14:textId="77777777" w:rsidR="009A4551" w:rsidRPr="005269E6" w:rsidRDefault="009A4551" w:rsidP="009A4551">
            <w:pPr>
              <w:tabs>
                <w:tab w:val="clear" w:pos="794"/>
              </w:tabs>
              <w:spacing w:before="40" w:after="40" w:line="240" w:lineRule="exact"/>
              <w:jc w:val="left"/>
              <w:rPr>
                <w:rFonts w:eastAsia="Times New Roman"/>
                <w:b/>
                <w:bCs/>
                <w:sz w:val="18"/>
                <w:szCs w:val="18"/>
                <w:lang w:val="en-GB" w:eastAsia="en-GB"/>
              </w:rPr>
            </w:pPr>
          </w:p>
        </w:tc>
        <w:tc>
          <w:tcPr>
            <w:tcW w:w="1119" w:type="dxa"/>
            <w:tcBorders>
              <w:top w:val="nil"/>
              <w:left w:val="nil"/>
              <w:bottom w:val="nil"/>
              <w:right w:val="nil"/>
            </w:tcBorders>
            <w:shd w:val="clear" w:color="000000" w:fill="538DD5"/>
            <w:vAlign w:val="center"/>
            <w:hideMark/>
          </w:tcPr>
          <w:p w14:paraId="2F849E0F" w14:textId="77777777" w:rsidR="009A4551" w:rsidRPr="005269E6" w:rsidRDefault="009A4551" w:rsidP="009A4551">
            <w:pPr>
              <w:tabs>
                <w:tab w:val="clear" w:pos="794"/>
              </w:tabs>
              <w:spacing w:before="40" w:after="40" w:line="240" w:lineRule="exact"/>
              <w:jc w:val="center"/>
              <w:rPr>
                <w:rFonts w:eastAsia="Times New Roman"/>
                <w:b/>
                <w:bCs/>
                <w:sz w:val="18"/>
                <w:szCs w:val="18"/>
                <w:lang w:val="en-GB" w:eastAsia="en-GB"/>
              </w:rPr>
            </w:pPr>
            <w:r w:rsidRPr="005269E6">
              <w:rPr>
                <w:rFonts w:eastAsia="Times New Roman"/>
                <w:b/>
                <w:bCs/>
                <w:sz w:val="18"/>
                <w:szCs w:val="18"/>
                <w:lang w:val="en-GB" w:eastAsia="en-GB"/>
              </w:rPr>
              <w:t>2022</w:t>
            </w:r>
          </w:p>
        </w:tc>
        <w:tc>
          <w:tcPr>
            <w:tcW w:w="1120" w:type="dxa"/>
            <w:tcBorders>
              <w:top w:val="nil"/>
              <w:left w:val="nil"/>
              <w:bottom w:val="nil"/>
              <w:right w:val="nil"/>
            </w:tcBorders>
            <w:shd w:val="clear" w:color="000000" w:fill="538DD5"/>
            <w:vAlign w:val="center"/>
            <w:hideMark/>
          </w:tcPr>
          <w:p w14:paraId="0DB062BE" w14:textId="77777777" w:rsidR="009A4551" w:rsidRPr="005269E6" w:rsidRDefault="009A4551" w:rsidP="009A4551">
            <w:pPr>
              <w:tabs>
                <w:tab w:val="clear" w:pos="794"/>
              </w:tabs>
              <w:spacing w:before="40" w:after="40" w:line="240" w:lineRule="exact"/>
              <w:jc w:val="center"/>
              <w:rPr>
                <w:rFonts w:eastAsia="Times New Roman"/>
                <w:b/>
                <w:bCs/>
                <w:sz w:val="18"/>
                <w:szCs w:val="18"/>
                <w:lang w:val="en-GB" w:eastAsia="en-GB"/>
              </w:rPr>
            </w:pPr>
            <w:r w:rsidRPr="005269E6">
              <w:rPr>
                <w:rFonts w:eastAsia="Times New Roman"/>
                <w:b/>
                <w:bCs/>
                <w:sz w:val="18"/>
                <w:szCs w:val="18"/>
                <w:lang w:val="en-GB" w:eastAsia="en-GB"/>
              </w:rPr>
              <w:t>2021</w:t>
            </w:r>
          </w:p>
        </w:tc>
        <w:tc>
          <w:tcPr>
            <w:tcW w:w="1120" w:type="dxa"/>
            <w:tcBorders>
              <w:top w:val="nil"/>
              <w:left w:val="nil"/>
              <w:bottom w:val="nil"/>
              <w:right w:val="nil"/>
            </w:tcBorders>
            <w:shd w:val="clear" w:color="000000" w:fill="538DD5"/>
            <w:vAlign w:val="center"/>
            <w:hideMark/>
          </w:tcPr>
          <w:p w14:paraId="42C8DCD4" w14:textId="77777777" w:rsidR="009A4551" w:rsidRPr="005269E6" w:rsidRDefault="009A4551" w:rsidP="009A4551">
            <w:pPr>
              <w:tabs>
                <w:tab w:val="clear" w:pos="794"/>
              </w:tabs>
              <w:spacing w:before="40" w:after="40" w:line="240" w:lineRule="exact"/>
              <w:jc w:val="center"/>
              <w:rPr>
                <w:rFonts w:eastAsia="Times New Roman"/>
                <w:b/>
                <w:bCs/>
                <w:sz w:val="18"/>
                <w:szCs w:val="18"/>
                <w:lang w:val="en-GB" w:eastAsia="en-GB"/>
              </w:rPr>
            </w:pPr>
            <w:r w:rsidRPr="005269E6">
              <w:rPr>
                <w:rFonts w:eastAsia="Times New Roman"/>
                <w:b/>
                <w:bCs/>
                <w:sz w:val="18"/>
                <w:szCs w:val="18"/>
                <w:lang w:val="en-GB" w:eastAsia="en-GB"/>
              </w:rPr>
              <w:t>2022</w:t>
            </w:r>
          </w:p>
        </w:tc>
        <w:tc>
          <w:tcPr>
            <w:tcW w:w="1120" w:type="dxa"/>
            <w:tcBorders>
              <w:top w:val="nil"/>
              <w:left w:val="nil"/>
              <w:bottom w:val="nil"/>
              <w:right w:val="nil"/>
            </w:tcBorders>
            <w:shd w:val="clear" w:color="000000" w:fill="538DD5"/>
            <w:vAlign w:val="center"/>
            <w:hideMark/>
          </w:tcPr>
          <w:p w14:paraId="2ECC87A2" w14:textId="77777777" w:rsidR="009A4551" w:rsidRPr="005269E6" w:rsidRDefault="009A4551" w:rsidP="009A4551">
            <w:pPr>
              <w:tabs>
                <w:tab w:val="clear" w:pos="794"/>
              </w:tabs>
              <w:spacing w:before="40" w:after="40" w:line="240" w:lineRule="exact"/>
              <w:jc w:val="center"/>
              <w:rPr>
                <w:rFonts w:eastAsia="Times New Roman"/>
                <w:b/>
                <w:bCs/>
                <w:sz w:val="18"/>
                <w:szCs w:val="18"/>
                <w:lang w:val="en-GB" w:eastAsia="en-GB"/>
              </w:rPr>
            </w:pPr>
            <w:r w:rsidRPr="005269E6">
              <w:rPr>
                <w:rFonts w:eastAsia="Times New Roman"/>
                <w:b/>
                <w:bCs/>
                <w:sz w:val="18"/>
                <w:szCs w:val="18"/>
                <w:lang w:val="en-GB" w:eastAsia="en-GB"/>
              </w:rPr>
              <w:t>2021</w:t>
            </w:r>
          </w:p>
        </w:tc>
        <w:tc>
          <w:tcPr>
            <w:tcW w:w="1300" w:type="dxa"/>
            <w:vMerge/>
            <w:tcBorders>
              <w:top w:val="nil"/>
              <w:left w:val="nil"/>
              <w:bottom w:val="nil"/>
              <w:right w:val="nil"/>
            </w:tcBorders>
            <w:vAlign w:val="center"/>
            <w:hideMark/>
          </w:tcPr>
          <w:p w14:paraId="777C2ACA" w14:textId="77777777" w:rsidR="009A4551" w:rsidRPr="005269E6" w:rsidRDefault="009A4551" w:rsidP="009A4551">
            <w:pPr>
              <w:tabs>
                <w:tab w:val="clear" w:pos="794"/>
              </w:tabs>
              <w:spacing w:before="40" w:after="40" w:line="240" w:lineRule="exact"/>
              <w:jc w:val="left"/>
              <w:rPr>
                <w:rFonts w:eastAsia="Times New Roman"/>
                <w:b/>
                <w:bCs/>
                <w:color w:val="000000"/>
                <w:sz w:val="18"/>
                <w:szCs w:val="18"/>
                <w:lang w:val="en-GB" w:eastAsia="en-GB"/>
              </w:rPr>
            </w:pPr>
          </w:p>
        </w:tc>
        <w:tc>
          <w:tcPr>
            <w:tcW w:w="967" w:type="dxa"/>
            <w:vMerge/>
            <w:tcBorders>
              <w:top w:val="nil"/>
              <w:left w:val="nil"/>
              <w:bottom w:val="nil"/>
              <w:right w:val="nil"/>
            </w:tcBorders>
            <w:vAlign w:val="center"/>
            <w:hideMark/>
          </w:tcPr>
          <w:p w14:paraId="71827886" w14:textId="77777777" w:rsidR="009A4551" w:rsidRPr="005269E6" w:rsidRDefault="009A4551" w:rsidP="009A4551">
            <w:pPr>
              <w:tabs>
                <w:tab w:val="clear" w:pos="794"/>
              </w:tabs>
              <w:spacing w:before="40" w:after="40" w:line="240" w:lineRule="exact"/>
              <w:jc w:val="left"/>
              <w:rPr>
                <w:rFonts w:eastAsia="Times New Roman"/>
                <w:b/>
                <w:bCs/>
                <w:sz w:val="18"/>
                <w:szCs w:val="18"/>
                <w:lang w:val="en-GB" w:eastAsia="en-GB"/>
              </w:rPr>
            </w:pPr>
          </w:p>
        </w:tc>
      </w:tr>
      <w:tr w:rsidR="00D402F2" w:rsidRPr="005269E6" w14:paraId="598385E1" w14:textId="77777777" w:rsidTr="000833E1">
        <w:trPr>
          <w:trHeight w:val="255"/>
        </w:trPr>
        <w:tc>
          <w:tcPr>
            <w:tcW w:w="2893" w:type="dxa"/>
            <w:tcBorders>
              <w:top w:val="nil"/>
              <w:left w:val="nil"/>
              <w:bottom w:val="nil"/>
              <w:right w:val="nil"/>
            </w:tcBorders>
            <w:shd w:val="clear" w:color="000000" w:fill="auto"/>
            <w:vAlign w:val="center"/>
            <w:hideMark/>
          </w:tcPr>
          <w:p w14:paraId="55115B70" w14:textId="3E8A20C2" w:rsidR="00D402F2" w:rsidRPr="005269E6" w:rsidRDefault="00D402F2" w:rsidP="00D402F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التكلفة في 1 يناير 2021</w:t>
            </w:r>
          </w:p>
        </w:tc>
        <w:tc>
          <w:tcPr>
            <w:tcW w:w="1119" w:type="dxa"/>
            <w:tcBorders>
              <w:top w:val="nil"/>
              <w:left w:val="nil"/>
              <w:bottom w:val="nil"/>
              <w:right w:val="nil"/>
            </w:tcBorders>
            <w:shd w:val="clear" w:color="auto" w:fill="auto"/>
            <w:noWrap/>
            <w:vAlign w:val="bottom"/>
            <w:hideMark/>
          </w:tcPr>
          <w:p w14:paraId="15EDCC6E" w14:textId="447682DF"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13 362 </w:t>
            </w:r>
          </w:p>
        </w:tc>
        <w:tc>
          <w:tcPr>
            <w:tcW w:w="1120" w:type="dxa"/>
            <w:tcBorders>
              <w:top w:val="nil"/>
              <w:left w:val="nil"/>
              <w:bottom w:val="nil"/>
              <w:right w:val="nil"/>
            </w:tcBorders>
            <w:shd w:val="clear" w:color="auto" w:fill="auto"/>
            <w:noWrap/>
            <w:vAlign w:val="bottom"/>
            <w:hideMark/>
          </w:tcPr>
          <w:p w14:paraId="5EC84B49" w14:textId="118782D3"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8 176 </w:t>
            </w:r>
          </w:p>
        </w:tc>
        <w:tc>
          <w:tcPr>
            <w:tcW w:w="1120" w:type="dxa"/>
            <w:tcBorders>
              <w:top w:val="nil"/>
              <w:left w:val="nil"/>
              <w:bottom w:val="nil"/>
              <w:right w:val="nil"/>
            </w:tcBorders>
            <w:shd w:val="clear" w:color="auto" w:fill="auto"/>
            <w:noWrap/>
            <w:vAlign w:val="bottom"/>
            <w:hideMark/>
          </w:tcPr>
          <w:p w14:paraId="44FD199E" w14:textId="3A9D1DEB"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370 </w:t>
            </w:r>
          </w:p>
        </w:tc>
        <w:tc>
          <w:tcPr>
            <w:tcW w:w="1120" w:type="dxa"/>
            <w:tcBorders>
              <w:top w:val="nil"/>
              <w:left w:val="nil"/>
              <w:bottom w:val="nil"/>
              <w:right w:val="nil"/>
            </w:tcBorders>
            <w:shd w:val="clear" w:color="auto" w:fill="auto"/>
            <w:noWrap/>
            <w:vAlign w:val="bottom"/>
            <w:hideMark/>
          </w:tcPr>
          <w:p w14:paraId="3CCCA408" w14:textId="16B29C04"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1 267 </w:t>
            </w:r>
          </w:p>
        </w:tc>
        <w:tc>
          <w:tcPr>
            <w:tcW w:w="1300" w:type="dxa"/>
            <w:tcBorders>
              <w:top w:val="nil"/>
              <w:left w:val="nil"/>
              <w:bottom w:val="nil"/>
              <w:right w:val="nil"/>
            </w:tcBorders>
            <w:shd w:val="clear" w:color="auto" w:fill="auto"/>
            <w:noWrap/>
            <w:vAlign w:val="bottom"/>
            <w:hideMark/>
          </w:tcPr>
          <w:p w14:paraId="11BD9463" w14:textId="5D18043E" w:rsidR="00D402F2" w:rsidRPr="005269E6" w:rsidRDefault="00D402F2"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9 443 </w:t>
            </w:r>
          </w:p>
        </w:tc>
        <w:tc>
          <w:tcPr>
            <w:tcW w:w="967" w:type="dxa"/>
            <w:tcBorders>
              <w:top w:val="nil"/>
              <w:left w:val="nil"/>
              <w:bottom w:val="nil"/>
              <w:right w:val="nil"/>
            </w:tcBorders>
            <w:shd w:val="clear" w:color="auto" w:fill="auto"/>
            <w:noWrap/>
            <w:vAlign w:val="bottom"/>
            <w:hideMark/>
          </w:tcPr>
          <w:p w14:paraId="30F24666" w14:textId="7D67A09A" w:rsidR="00D402F2" w:rsidRPr="005269E6" w:rsidRDefault="00D402F2"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13 732 </w:t>
            </w:r>
          </w:p>
        </w:tc>
      </w:tr>
      <w:tr w:rsidR="00D402F2" w:rsidRPr="005269E6" w14:paraId="4AB4743C" w14:textId="77777777" w:rsidTr="000833E1">
        <w:trPr>
          <w:trHeight w:val="255"/>
        </w:trPr>
        <w:tc>
          <w:tcPr>
            <w:tcW w:w="2893" w:type="dxa"/>
            <w:tcBorders>
              <w:top w:val="nil"/>
              <w:left w:val="nil"/>
              <w:bottom w:val="nil"/>
              <w:right w:val="nil"/>
            </w:tcBorders>
            <w:shd w:val="clear" w:color="000000" w:fill="auto"/>
            <w:hideMark/>
          </w:tcPr>
          <w:p w14:paraId="25B3E5E0" w14:textId="0E80FD08" w:rsidR="00D402F2" w:rsidRPr="005269E6" w:rsidRDefault="00D402F2" w:rsidP="00D402F2">
            <w:pPr>
              <w:tabs>
                <w:tab w:val="clear" w:pos="794"/>
              </w:tabs>
              <w:spacing w:before="40" w:after="40" w:line="240" w:lineRule="exact"/>
              <w:jc w:val="left"/>
              <w:rPr>
                <w:rFonts w:eastAsia="Times New Roman"/>
                <w:color w:val="000000"/>
                <w:sz w:val="18"/>
                <w:szCs w:val="18"/>
                <w:lang w:val="en-GB" w:eastAsia="en-GB" w:bidi="ar-EG"/>
              </w:rPr>
            </w:pPr>
            <w:r w:rsidRPr="005269E6">
              <w:rPr>
                <w:rFonts w:eastAsia="Times New Roman"/>
                <w:color w:val="000000"/>
                <w:sz w:val="18"/>
                <w:szCs w:val="18"/>
                <w:rtl/>
                <w:lang w:val="en-GB" w:eastAsia="en-GB"/>
              </w:rPr>
              <w:t>ال</w:t>
            </w:r>
            <w:r w:rsidR="00DC235C" w:rsidRPr="005269E6">
              <w:rPr>
                <w:rFonts w:eastAsia="Times New Roman" w:hint="cs"/>
                <w:color w:val="000000"/>
                <w:sz w:val="18"/>
                <w:szCs w:val="18"/>
                <w:rtl/>
                <w:lang w:val="en-GB" w:eastAsia="en-GB"/>
              </w:rPr>
              <w:t>إ</w:t>
            </w:r>
            <w:r w:rsidRPr="005269E6">
              <w:rPr>
                <w:rFonts w:eastAsia="Times New Roman"/>
                <w:color w:val="000000"/>
                <w:sz w:val="18"/>
                <w:szCs w:val="18"/>
                <w:rtl/>
                <w:lang w:val="en-GB" w:eastAsia="en-GB"/>
              </w:rPr>
              <w:t>ضافات</w:t>
            </w:r>
          </w:p>
        </w:tc>
        <w:tc>
          <w:tcPr>
            <w:tcW w:w="1119" w:type="dxa"/>
            <w:tcBorders>
              <w:top w:val="nil"/>
              <w:left w:val="nil"/>
              <w:bottom w:val="nil"/>
              <w:right w:val="nil"/>
            </w:tcBorders>
            <w:shd w:val="clear" w:color="auto" w:fill="auto"/>
            <w:noWrap/>
            <w:vAlign w:val="bottom"/>
            <w:hideMark/>
          </w:tcPr>
          <w:p w14:paraId="018693C0" w14:textId="0B892B3C"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4 143 </w:t>
            </w:r>
          </w:p>
        </w:tc>
        <w:tc>
          <w:tcPr>
            <w:tcW w:w="1120" w:type="dxa"/>
            <w:tcBorders>
              <w:top w:val="nil"/>
              <w:left w:val="nil"/>
              <w:bottom w:val="nil"/>
              <w:right w:val="nil"/>
            </w:tcBorders>
            <w:shd w:val="clear" w:color="auto" w:fill="auto"/>
            <w:noWrap/>
            <w:vAlign w:val="bottom"/>
            <w:hideMark/>
          </w:tcPr>
          <w:p w14:paraId="22DEEA45" w14:textId="284C56DE"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5 186 </w:t>
            </w:r>
          </w:p>
        </w:tc>
        <w:tc>
          <w:tcPr>
            <w:tcW w:w="1120" w:type="dxa"/>
            <w:tcBorders>
              <w:top w:val="nil"/>
              <w:left w:val="nil"/>
              <w:bottom w:val="nil"/>
              <w:right w:val="nil"/>
            </w:tcBorders>
            <w:shd w:val="clear" w:color="auto" w:fill="auto"/>
            <w:noWrap/>
            <w:vAlign w:val="bottom"/>
            <w:hideMark/>
          </w:tcPr>
          <w:p w14:paraId="5CCE116A" w14:textId="13AD53B9"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2 204 </w:t>
            </w:r>
          </w:p>
        </w:tc>
        <w:tc>
          <w:tcPr>
            <w:tcW w:w="1120" w:type="dxa"/>
            <w:tcBorders>
              <w:top w:val="nil"/>
              <w:left w:val="nil"/>
              <w:bottom w:val="nil"/>
              <w:right w:val="nil"/>
            </w:tcBorders>
            <w:shd w:val="clear" w:color="auto" w:fill="auto"/>
            <w:noWrap/>
            <w:vAlign w:val="bottom"/>
            <w:hideMark/>
          </w:tcPr>
          <w:p w14:paraId="687EE543" w14:textId="41F1EB18"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323 </w:t>
            </w:r>
          </w:p>
        </w:tc>
        <w:tc>
          <w:tcPr>
            <w:tcW w:w="1300" w:type="dxa"/>
            <w:tcBorders>
              <w:top w:val="nil"/>
              <w:left w:val="nil"/>
              <w:bottom w:val="nil"/>
              <w:right w:val="nil"/>
            </w:tcBorders>
            <w:shd w:val="clear" w:color="000000" w:fill="FFFFFF"/>
            <w:noWrap/>
            <w:vAlign w:val="bottom"/>
            <w:hideMark/>
          </w:tcPr>
          <w:p w14:paraId="672E2416" w14:textId="7B71A836"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5 509 </w:t>
            </w:r>
          </w:p>
        </w:tc>
        <w:tc>
          <w:tcPr>
            <w:tcW w:w="967" w:type="dxa"/>
            <w:tcBorders>
              <w:top w:val="nil"/>
              <w:left w:val="nil"/>
              <w:bottom w:val="nil"/>
              <w:right w:val="nil"/>
            </w:tcBorders>
            <w:shd w:val="clear" w:color="000000" w:fill="auto"/>
            <w:noWrap/>
            <w:vAlign w:val="bottom"/>
            <w:hideMark/>
          </w:tcPr>
          <w:p w14:paraId="702B5DA5" w14:textId="524F0ECF"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6 347 </w:t>
            </w:r>
          </w:p>
        </w:tc>
      </w:tr>
      <w:tr w:rsidR="00D402F2" w:rsidRPr="005269E6" w14:paraId="5ADED4ED" w14:textId="77777777" w:rsidTr="000833E1">
        <w:trPr>
          <w:trHeight w:val="255"/>
        </w:trPr>
        <w:tc>
          <w:tcPr>
            <w:tcW w:w="2893" w:type="dxa"/>
            <w:tcBorders>
              <w:top w:val="nil"/>
              <w:left w:val="nil"/>
              <w:bottom w:val="nil"/>
              <w:right w:val="nil"/>
            </w:tcBorders>
            <w:shd w:val="clear" w:color="000000" w:fill="auto"/>
            <w:hideMark/>
          </w:tcPr>
          <w:p w14:paraId="07DBEDDA" w14:textId="51249975" w:rsidR="00D402F2" w:rsidRPr="005269E6" w:rsidRDefault="00D402F2" w:rsidP="00D402F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lastRenderedPageBreak/>
              <w:t>التخلص</w:t>
            </w:r>
          </w:p>
        </w:tc>
        <w:tc>
          <w:tcPr>
            <w:tcW w:w="1119" w:type="dxa"/>
            <w:tcBorders>
              <w:top w:val="nil"/>
              <w:left w:val="nil"/>
              <w:bottom w:val="nil"/>
              <w:right w:val="nil"/>
            </w:tcBorders>
            <w:shd w:val="clear" w:color="auto" w:fill="auto"/>
            <w:noWrap/>
            <w:vAlign w:val="bottom"/>
            <w:hideMark/>
          </w:tcPr>
          <w:p w14:paraId="1B4085AF" w14:textId="17868BFA"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(23)</w:t>
            </w:r>
          </w:p>
        </w:tc>
        <w:tc>
          <w:tcPr>
            <w:tcW w:w="1120" w:type="dxa"/>
            <w:tcBorders>
              <w:top w:val="nil"/>
              <w:left w:val="nil"/>
              <w:bottom w:val="nil"/>
              <w:right w:val="nil"/>
            </w:tcBorders>
            <w:shd w:val="clear" w:color="auto" w:fill="auto"/>
            <w:noWrap/>
            <w:vAlign w:val="bottom"/>
            <w:hideMark/>
          </w:tcPr>
          <w:p w14:paraId="15555AFA" w14:textId="6DB69785" w:rsidR="00D402F2" w:rsidRPr="005269E6" w:rsidRDefault="004C39BB" w:rsidP="00CF6D39">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w:t>
            </w:r>
          </w:p>
        </w:tc>
        <w:tc>
          <w:tcPr>
            <w:tcW w:w="1120" w:type="dxa"/>
            <w:tcBorders>
              <w:top w:val="nil"/>
              <w:left w:val="nil"/>
              <w:bottom w:val="nil"/>
              <w:right w:val="nil"/>
            </w:tcBorders>
            <w:shd w:val="clear" w:color="auto" w:fill="auto"/>
            <w:noWrap/>
            <w:vAlign w:val="bottom"/>
            <w:hideMark/>
          </w:tcPr>
          <w:p w14:paraId="068FD87B" w14:textId="1FB4BAAF"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(287)</w:t>
            </w:r>
          </w:p>
        </w:tc>
        <w:tc>
          <w:tcPr>
            <w:tcW w:w="1120" w:type="dxa"/>
            <w:tcBorders>
              <w:top w:val="nil"/>
              <w:left w:val="nil"/>
              <w:bottom w:val="nil"/>
              <w:right w:val="nil"/>
            </w:tcBorders>
            <w:shd w:val="clear" w:color="auto" w:fill="auto"/>
            <w:noWrap/>
            <w:vAlign w:val="bottom"/>
            <w:hideMark/>
          </w:tcPr>
          <w:p w14:paraId="577087E0" w14:textId="3DF80A51"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(1 220)</w:t>
            </w:r>
          </w:p>
        </w:tc>
        <w:tc>
          <w:tcPr>
            <w:tcW w:w="1300" w:type="dxa"/>
            <w:tcBorders>
              <w:top w:val="nil"/>
              <w:left w:val="nil"/>
              <w:bottom w:val="nil"/>
              <w:right w:val="nil"/>
            </w:tcBorders>
            <w:shd w:val="clear" w:color="000000" w:fill="FFFFFF"/>
            <w:noWrap/>
            <w:vAlign w:val="bottom"/>
            <w:hideMark/>
          </w:tcPr>
          <w:p w14:paraId="13198820" w14:textId="6FB0AD93"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(1 220)</w:t>
            </w:r>
          </w:p>
        </w:tc>
        <w:tc>
          <w:tcPr>
            <w:tcW w:w="967" w:type="dxa"/>
            <w:tcBorders>
              <w:top w:val="nil"/>
              <w:left w:val="nil"/>
              <w:bottom w:val="nil"/>
              <w:right w:val="nil"/>
            </w:tcBorders>
            <w:shd w:val="clear" w:color="000000" w:fill="auto"/>
            <w:noWrap/>
            <w:vAlign w:val="bottom"/>
            <w:hideMark/>
          </w:tcPr>
          <w:p w14:paraId="5587EEBE" w14:textId="572E8C2E"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(310)</w:t>
            </w:r>
          </w:p>
        </w:tc>
      </w:tr>
      <w:tr w:rsidR="00D402F2" w:rsidRPr="005269E6" w14:paraId="77E314EF" w14:textId="77777777" w:rsidTr="000833E1">
        <w:trPr>
          <w:trHeight w:val="255"/>
        </w:trPr>
        <w:tc>
          <w:tcPr>
            <w:tcW w:w="2893" w:type="dxa"/>
            <w:tcBorders>
              <w:top w:val="nil"/>
              <w:left w:val="nil"/>
              <w:bottom w:val="nil"/>
              <w:right w:val="nil"/>
            </w:tcBorders>
            <w:shd w:val="clear" w:color="000000" w:fill="auto"/>
            <w:hideMark/>
          </w:tcPr>
          <w:p w14:paraId="319B6323" w14:textId="5B85C3F0" w:rsidR="00D402F2" w:rsidRPr="005269E6" w:rsidRDefault="00D402F2" w:rsidP="00D402F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إعادة التصنيف والتصويبات</w:t>
            </w:r>
          </w:p>
        </w:tc>
        <w:tc>
          <w:tcPr>
            <w:tcW w:w="1119" w:type="dxa"/>
            <w:tcBorders>
              <w:top w:val="nil"/>
              <w:left w:val="nil"/>
              <w:bottom w:val="nil"/>
              <w:right w:val="nil"/>
            </w:tcBorders>
            <w:shd w:val="clear" w:color="000000" w:fill="auto"/>
            <w:noWrap/>
            <w:vAlign w:val="bottom"/>
            <w:hideMark/>
          </w:tcPr>
          <w:p w14:paraId="313703CB" w14:textId="77777777"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p>
        </w:tc>
        <w:tc>
          <w:tcPr>
            <w:tcW w:w="1120" w:type="dxa"/>
            <w:tcBorders>
              <w:top w:val="nil"/>
              <w:left w:val="nil"/>
              <w:bottom w:val="nil"/>
              <w:right w:val="nil"/>
            </w:tcBorders>
            <w:shd w:val="clear" w:color="000000" w:fill="auto"/>
            <w:noWrap/>
            <w:vAlign w:val="bottom"/>
            <w:hideMark/>
          </w:tcPr>
          <w:p w14:paraId="26994090" w14:textId="77777777" w:rsidR="00D402F2" w:rsidRPr="005269E6" w:rsidRDefault="00D402F2" w:rsidP="00CF6D39">
            <w:pPr>
              <w:tabs>
                <w:tab w:val="clear" w:pos="794"/>
              </w:tabs>
              <w:spacing w:before="40" w:after="40" w:line="240" w:lineRule="exact"/>
              <w:jc w:val="left"/>
              <w:rPr>
                <w:rFonts w:eastAsia="Times New Roman"/>
                <w:sz w:val="18"/>
                <w:szCs w:val="18"/>
                <w:lang w:val="en-GB" w:eastAsia="en-GB"/>
              </w:rPr>
            </w:pPr>
          </w:p>
        </w:tc>
        <w:tc>
          <w:tcPr>
            <w:tcW w:w="1120" w:type="dxa"/>
            <w:tcBorders>
              <w:top w:val="nil"/>
              <w:left w:val="nil"/>
              <w:bottom w:val="nil"/>
              <w:right w:val="nil"/>
            </w:tcBorders>
            <w:shd w:val="clear" w:color="000000" w:fill="auto"/>
            <w:noWrap/>
            <w:vAlign w:val="bottom"/>
            <w:hideMark/>
          </w:tcPr>
          <w:p w14:paraId="604EA888" w14:textId="77777777" w:rsidR="00D402F2" w:rsidRPr="005269E6" w:rsidRDefault="00D402F2" w:rsidP="00CF6D39">
            <w:pPr>
              <w:tabs>
                <w:tab w:val="clear" w:pos="794"/>
              </w:tabs>
              <w:spacing w:before="40" w:after="40" w:line="240" w:lineRule="exact"/>
              <w:jc w:val="left"/>
              <w:rPr>
                <w:rFonts w:eastAsia="Times New Roman"/>
                <w:sz w:val="18"/>
                <w:szCs w:val="18"/>
                <w:lang w:val="en-GB" w:eastAsia="en-GB"/>
              </w:rPr>
            </w:pPr>
          </w:p>
        </w:tc>
        <w:tc>
          <w:tcPr>
            <w:tcW w:w="1120" w:type="dxa"/>
            <w:tcBorders>
              <w:top w:val="nil"/>
              <w:left w:val="nil"/>
              <w:bottom w:val="nil"/>
              <w:right w:val="nil"/>
            </w:tcBorders>
            <w:shd w:val="clear" w:color="000000" w:fill="auto"/>
            <w:noWrap/>
            <w:vAlign w:val="bottom"/>
            <w:hideMark/>
          </w:tcPr>
          <w:p w14:paraId="44A4498A" w14:textId="77777777" w:rsidR="00D402F2" w:rsidRPr="005269E6" w:rsidRDefault="00D402F2" w:rsidP="00CF6D39">
            <w:pPr>
              <w:tabs>
                <w:tab w:val="clear" w:pos="794"/>
              </w:tabs>
              <w:spacing w:before="40" w:after="40" w:line="240" w:lineRule="exact"/>
              <w:jc w:val="left"/>
              <w:rPr>
                <w:rFonts w:eastAsia="Times New Roman"/>
                <w:sz w:val="18"/>
                <w:szCs w:val="18"/>
                <w:lang w:val="en-GB" w:eastAsia="en-GB"/>
              </w:rPr>
            </w:pPr>
          </w:p>
        </w:tc>
        <w:tc>
          <w:tcPr>
            <w:tcW w:w="1300" w:type="dxa"/>
            <w:tcBorders>
              <w:top w:val="nil"/>
              <w:left w:val="nil"/>
              <w:bottom w:val="nil"/>
              <w:right w:val="nil"/>
            </w:tcBorders>
            <w:shd w:val="clear" w:color="000000" w:fill="auto"/>
            <w:noWrap/>
            <w:vAlign w:val="bottom"/>
            <w:hideMark/>
          </w:tcPr>
          <w:p w14:paraId="6DA60EB1" w14:textId="77777777" w:rsidR="00D402F2" w:rsidRPr="005269E6" w:rsidRDefault="00D402F2" w:rsidP="00CF6D39">
            <w:pPr>
              <w:tabs>
                <w:tab w:val="clear" w:pos="794"/>
              </w:tabs>
              <w:spacing w:before="40" w:after="40" w:line="240" w:lineRule="exact"/>
              <w:jc w:val="left"/>
              <w:rPr>
                <w:rFonts w:eastAsia="Times New Roman"/>
                <w:sz w:val="18"/>
                <w:szCs w:val="18"/>
                <w:lang w:val="en-GB" w:eastAsia="en-GB"/>
              </w:rPr>
            </w:pPr>
          </w:p>
        </w:tc>
        <w:tc>
          <w:tcPr>
            <w:tcW w:w="967" w:type="dxa"/>
            <w:tcBorders>
              <w:top w:val="nil"/>
              <w:left w:val="nil"/>
              <w:bottom w:val="nil"/>
              <w:right w:val="nil"/>
            </w:tcBorders>
            <w:shd w:val="clear" w:color="000000" w:fill="auto"/>
            <w:noWrap/>
            <w:vAlign w:val="bottom"/>
            <w:hideMark/>
          </w:tcPr>
          <w:p w14:paraId="168E9B28" w14:textId="2FC49934" w:rsidR="00D402F2" w:rsidRPr="005269E6" w:rsidRDefault="00D402F2"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r>
      <w:tr w:rsidR="009A4551" w:rsidRPr="005269E6" w14:paraId="52256B83" w14:textId="77777777" w:rsidTr="00D40884">
        <w:trPr>
          <w:trHeight w:val="525"/>
        </w:trPr>
        <w:tc>
          <w:tcPr>
            <w:tcW w:w="2893" w:type="dxa"/>
            <w:tcBorders>
              <w:top w:val="nil"/>
              <w:left w:val="nil"/>
              <w:bottom w:val="nil"/>
              <w:right w:val="nil"/>
            </w:tcBorders>
            <w:shd w:val="clear" w:color="000000" w:fill="538DD5"/>
            <w:vAlign w:val="center"/>
            <w:hideMark/>
          </w:tcPr>
          <w:p w14:paraId="5DA718FF" w14:textId="19FD76F4" w:rsidR="009A4551" w:rsidRPr="005269E6" w:rsidRDefault="00D402F2" w:rsidP="009A4551">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rtl/>
                <w:lang w:val="en-GB" w:eastAsia="en-GB"/>
              </w:rPr>
              <w:t>صافي المبلغ الدفتري في 31 ديسمبر</w:t>
            </w:r>
          </w:p>
        </w:tc>
        <w:tc>
          <w:tcPr>
            <w:tcW w:w="1119" w:type="dxa"/>
            <w:tcBorders>
              <w:top w:val="nil"/>
              <w:left w:val="nil"/>
              <w:bottom w:val="nil"/>
              <w:right w:val="nil"/>
            </w:tcBorders>
            <w:shd w:val="clear" w:color="000000" w:fill="538DD5"/>
            <w:vAlign w:val="bottom"/>
            <w:hideMark/>
          </w:tcPr>
          <w:p w14:paraId="6E76D85C" w14:textId="67FFCCAC" w:rsidR="009A4551" w:rsidRPr="005269E6" w:rsidRDefault="009A4551" w:rsidP="00CF6D3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17 482 </w:t>
            </w:r>
          </w:p>
        </w:tc>
        <w:tc>
          <w:tcPr>
            <w:tcW w:w="1120" w:type="dxa"/>
            <w:tcBorders>
              <w:top w:val="nil"/>
              <w:left w:val="nil"/>
              <w:bottom w:val="nil"/>
              <w:right w:val="nil"/>
            </w:tcBorders>
            <w:shd w:val="clear" w:color="000000" w:fill="538DD5"/>
            <w:vAlign w:val="bottom"/>
            <w:hideMark/>
          </w:tcPr>
          <w:p w14:paraId="60572693" w14:textId="5B5BCE74" w:rsidR="009A4551" w:rsidRPr="005269E6" w:rsidRDefault="009A4551"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13 362 </w:t>
            </w:r>
          </w:p>
        </w:tc>
        <w:tc>
          <w:tcPr>
            <w:tcW w:w="1120" w:type="dxa"/>
            <w:tcBorders>
              <w:top w:val="nil"/>
              <w:left w:val="nil"/>
              <w:bottom w:val="nil"/>
              <w:right w:val="nil"/>
            </w:tcBorders>
            <w:shd w:val="clear" w:color="000000" w:fill="538DD5"/>
            <w:vAlign w:val="bottom"/>
            <w:hideMark/>
          </w:tcPr>
          <w:p w14:paraId="0A6FB7A3" w14:textId="6C0C2E86" w:rsidR="009A4551" w:rsidRPr="005269E6" w:rsidRDefault="009A4551" w:rsidP="00CF6D3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2 287 </w:t>
            </w:r>
          </w:p>
        </w:tc>
        <w:tc>
          <w:tcPr>
            <w:tcW w:w="1120" w:type="dxa"/>
            <w:tcBorders>
              <w:top w:val="nil"/>
              <w:left w:val="nil"/>
              <w:bottom w:val="nil"/>
              <w:right w:val="nil"/>
            </w:tcBorders>
            <w:shd w:val="clear" w:color="000000" w:fill="538DD5"/>
            <w:vAlign w:val="bottom"/>
            <w:hideMark/>
          </w:tcPr>
          <w:p w14:paraId="7AE4A0B5" w14:textId="4C8B8C8C" w:rsidR="009A4551" w:rsidRPr="005269E6" w:rsidRDefault="009A4551" w:rsidP="00CF6D3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370 </w:t>
            </w:r>
          </w:p>
        </w:tc>
        <w:tc>
          <w:tcPr>
            <w:tcW w:w="1300" w:type="dxa"/>
            <w:tcBorders>
              <w:top w:val="nil"/>
              <w:left w:val="nil"/>
              <w:bottom w:val="nil"/>
              <w:right w:val="nil"/>
            </w:tcBorders>
            <w:shd w:val="clear" w:color="000000" w:fill="538DD5"/>
            <w:vAlign w:val="bottom"/>
            <w:hideMark/>
          </w:tcPr>
          <w:p w14:paraId="2FF63E4F" w14:textId="2A61CA95" w:rsidR="009A4551" w:rsidRPr="005269E6" w:rsidRDefault="009A4551"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13 732 </w:t>
            </w:r>
          </w:p>
        </w:tc>
        <w:tc>
          <w:tcPr>
            <w:tcW w:w="967" w:type="dxa"/>
            <w:tcBorders>
              <w:top w:val="nil"/>
              <w:left w:val="nil"/>
              <w:bottom w:val="nil"/>
              <w:right w:val="nil"/>
            </w:tcBorders>
            <w:shd w:val="clear" w:color="000000" w:fill="538DD5"/>
            <w:vAlign w:val="bottom"/>
            <w:hideMark/>
          </w:tcPr>
          <w:p w14:paraId="14C12E99" w14:textId="04A5925F" w:rsidR="009A4551" w:rsidRPr="005269E6" w:rsidRDefault="009A4551" w:rsidP="00CF6D39">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19 769 </w:t>
            </w:r>
          </w:p>
        </w:tc>
      </w:tr>
    </w:tbl>
    <w:p w14:paraId="35F304A8" w14:textId="46E0CF4D" w:rsidR="00C543C6" w:rsidRPr="005269E6" w:rsidRDefault="00C543C6" w:rsidP="00696AA6">
      <w:pPr>
        <w:pStyle w:val="Heading5"/>
        <w:rPr>
          <w:rtl/>
        </w:rPr>
      </w:pPr>
      <w:bookmarkStart w:id="479" w:name="_Toc9614794"/>
      <w:bookmarkStart w:id="480" w:name="_Toc42013549"/>
      <w:bookmarkStart w:id="481" w:name="_Toc42014550"/>
      <w:bookmarkStart w:id="482" w:name="_Toc74061582"/>
      <w:bookmarkStart w:id="483" w:name="_Toc162520633"/>
      <w:r w:rsidRPr="005269E6">
        <w:rPr>
          <w:rFonts w:hint="cs"/>
          <w:rtl/>
        </w:rPr>
        <w:t xml:space="preserve">الملاحظة </w:t>
      </w:r>
      <w:r w:rsidR="00C16B0A" w:rsidRPr="005269E6">
        <w:t>15</w:t>
      </w:r>
      <w:r w:rsidRPr="005269E6">
        <w:rPr>
          <w:rtl/>
        </w:rPr>
        <w:tab/>
      </w:r>
      <w:r w:rsidRPr="005269E6">
        <w:rPr>
          <w:rFonts w:hint="cs"/>
          <w:rtl/>
        </w:rPr>
        <w:t>ال</w:t>
      </w:r>
      <w:r w:rsidRPr="005269E6">
        <w:rPr>
          <w:rtl/>
        </w:rPr>
        <w:t>موردون و</w:t>
      </w:r>
      <w:r w:rsidRPr="005269E6">
        <w:rPr>
          <w:rFonts w:hint="cs"/>
          <w:rtl/>
        </w:rPr>
        <w:t>ال</w:t>
      </w:r>
      <w:r w:rsidRPr="005269E6">
        <w:rPr>
          <w:rtl/>
        </w:rPr>
        <w:t xml:space="preserve">دائنون </w:t>
      </w:r>
      <w:r w:rsidRPr="005269E6">
        <w:rPr>
          <w:rFonts w:hint="cs"/>
          <w:rtl/>
        </w:rPr>
        <w:t>ال</w:t>
      </w:r>
      <w:r w:rsidRPr="005269E6">
        <w:rPr>
          <w:rtl/>
        </w:rPr>
        <w:t>آخرون</w:t>
      </w:r>
      <w:bookmarkEnd w:id="477"/>
      <w:bookmarkEnd w:id="478"/>
      <w:bookmarkEnd w:id="479"/>
      <w:bookmarkEnd w:id="480"/>
      <w:bookmarkEnd w:id="481"/>
      <w:bookmarkEnd w:id="482"/>
      <w:bookmarkEnd w:id="483"/>
    </w:p>
    <w:tbl>
      <w:tblPr>
        <w:bidiVisual/>
        <w:tblW w:w="7227" w:type="dxa"/>
        <w:jc w:val="center"/>
        <w:tblLook w:val="04A0" w:firstRow="1" w:lastRow="0" w:firstColumn="1" w:lastColumn="0" w:noHBand="0" w:noVBand="1"/>
      </w:tblPr>
      <w:tblGrid>
        <w:gridCol w:w="3969"/>
        <w:gridCol w:w="1667"/>
        <w:gridCol w:w="1591"/>
      </w:tblGrid>
      <w:tr w:rsidR="0075084A" w:rsidRPr="005269E6" w14:paraId="43A21106" w14:textId="77777777" w:rsidTr="004C39BB">
        <w:trPr>
          <w:trHeight w:val="600"/>
          <w:jc w:val="center"/>
        </w:trPr>
        <w:tc>
          <w:tcPr>
            <w:tcW w:w="3969" w:type="dxa"/>
            <w:tcBorders>
              <w:top w:val="nil"/>
              <w:left w:val="nil"/>
              <w:bottom w:val="nil"/>
              <w:right w:val="nil"/>
            </w:tcBorders>
            <w:shd w:val="clear" w:color="000000" w:fill="538DD5"/>
            <w:noWrap/>
            <w:vAlign w:val="center"/>
            <w:hideMark/>
          </w:tcPr>
          <w:p w14:paraId="6C010E38" w14:textId="2154A42F" w:rsidR="0075084A" w:rsidRPr="005269E6" w:rsidRDefault="0075084A" w:rsidP="0075084A">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667" w:type="dxa"/>
            <w:tcBorders>
              <w:top w:val="nil"/>
              <w:left w:val="nil"/>
              <w:bottom w:val="nil"/>
              <w:right w:val="nil"/>
            </w:tcBorders>
            <w:shd w:val="clear" w:color="000000" w:fill="538DD5"/>
            <w:vAlign w:val="center"/>
            <w:hideMark/>
          </w:tcPr>
          <w:p w14:paraId="7F8B7D17" w14:textId="68B3BE3A" w:rsidR="0075084A" w:rsidRPr="005269E6" w:rsidRDefault="0075084A" w:rsidP="0075084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591" w:type="dxa"/>
            <w:tcBorders>
              <w:top w:val="nil"/>
              <w:left w:val="nil"/>
              <w:bottom w:val="nil"/>
              <w:right w:val="nil"/>
            </w:tcBorders>
            <w:shd w:val="clear" w:color="000000" w:fill="538DD5"/>
            <w:vAlign w:val="center"/>
            <w:hideMark/>
          </w:tcPr>
          <w:p w14:paraId="254ADA36" w14:textId="4FE200EF" w:rsidR="0075084A" w:rsidRPr="005269E6" w:rsidRDefault="0075084A" w:rsidP="0075084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CB00D5" w:rsidRPr="005269E6" w14:paraId="56885F72" w14:textId="77777777" w:rsidTr="004C39BB">
        <w:trPr>
          <w:trHeight w:val="169"/>
          <w:jc w:val="center"/>
        </w:trPr>
        <w:tc>
          <w:tcPr>
            <w:tcW w:w="3969" w:type="dxa"/>
            <w:tcBorders>
              <w:top w:val="nil"/>
              <w:left w:val="nil"/>
              <w:bottom w:val="nil"/>
              <w:right w:val="nil"/>
            </w:tcBorders>
            <w:shd w:val="clear" w:color="auto" w:fill="auto"/>
            <w:noWrap/>
            <w:vAlign w:val="bottom"/>
            <w:hideMark/>
          </w:tcPr>
          <w:p w14:paraId="3B73F0FE" w14:textId="77777777" w:rsidR="00CB00D5" w:rsidRPr="005269E6" w:rsidRDefault="00CB00D5" w:rsidP="00CB00D5">
            <w:pPr>
              <w:tabs>
                <w:tab w:val="clear" w:pos="794"/>
              </w:tabs>
              <w:spacing w:before="0" w:line="200" w:lineRule="exact"/>
              <w:jc w:val="center"/>
              <w:rPr>
                <w:rFonts w:eastAsia="Times New Roman"/>
                <w:b/>
                <w:bCs/>
                <w:color w:val="000000"/>
                <w:sz w:val="18"/>
                <w:szCs w:val="18"/>
                <w:lang w:val="en-GB" w:eastAsia="en-GB"/>
              </w:rPr>
            </w:pPr>
          </w:p>
        </w:tc>
        <w:tc>
          <w:tcPr>
            <w:tcW w:w="1667" w:type="dxa"/>
            <w:tcBorders>
              <w:top w:val="nil"/>
              <w:left w:val="nil"/>
              <w:bottom w:val="nil"/>
              <w:right w:val="nil"/>
            </w:tcBorders>
            <w:shd w:val="clear" w:color="auto" w:fill="auto"/>
            <w:noWrap/>
            <w:vAlign w:val="bottom"/>
            <w:hideMark/>
          </w:tcPr>
          <w:p w14:paraId="69F103A2" w14:textId="77777777" w:rsidR="00CB00D5" w:rsidRPr="005269E6" w:rsidRDefault="00CB00D5" w:rsidP="00CB00D5">
            <w:pPr>
              <w:tabs>
                <w:tab w:val="clear" w:pos="794"/>
              </w:tabs>
              <w:spacing w:before="0" w:line="200" w:lineRule="exact"/>
              <w:jc w:val="left"/>
              <w:rPr>
                <w:rFonts w:eastAsia="Times New Roman"/>
                <w:sz w:val="18"/>
                <w:szCs w:val="18"/>
                <w:lang w:val="en-GB" w:eastAsia="en-GB"/>
              </w:rPr>
            </w:pPr>
          </w:p>
        </w:tc>
        <w:tc>
          <w:tcPr>
            <w:tcW w:w="1591" w:type="dxa"/>
            <w:tcBorders>
              <w:top w:val="nil"/>
              <w:left w:val="nil"/>
              <w:bottom w:val="nil"/>
              <w:right w:val="nil"/>
            </w:tcBorders>
            <w:shd w:val="clear" w:color="auto" w:fill="auto"/>
            <w:noWrap/>
            <w:vAlign w:val="bottom"/>
            <w:hideMark/>
          </w:tcPr>
          <w:p w14:paraId="5E254301" w14:textId="77777777" w:rsidR="00CB00D5" w:rsidRPr="005269E6" w:rsidRDefault="00CB00D5" w:rsidP="00CB00D5">
            <w:pPr>
              <w:tabs>
                <w:tab w:val="clear" w:pos="794"/>
              </w:tabs>
              <w:spacing w:before="0" w:line="200" w:lineRule="exact"/>
              <w:jc w:val="left"/>
              <w:rPr>
                <w:rFonts w:eastAsia="Times New Roman"/>
                <w:sz w:val="18"/>
                <w:szCs w:val="18"/>
                <w:lang w:val="en-GB" w:eastAsia="en-GB"/>
              </w:rPr>
            </w:pPr>
          </w:p>
        </w:tc>
      </w:tr>
      <w:tr w:rsidR="00CB00D5" w:rsidRPr="005269E6" w14:paraId="5A55F6BD" w14:textId="77777777" w:rsidTr="004C39BB">
        <w:trPr>
          <w:trHeight w:val="255"/>
          <w:jc w:val="center"/>
        </w:trPr>
        <w:tc>
          <w:tcPr>
            <w:tcW w:w="3969" w:type="dxa"/>
            <w:tcBorders>
              <w:top w:val="nil"/>
              <w:left w:val="nil"/>
              <w:bottom w:val="nil"/>
              <w:right w:val="nil"/>
            </w:tcBorders>
            <w:shd w:val="clear" w:color="auto" w:fill="auto"/>
            <w:noWrap/>
            <w:vAlign w:val="bottom"/>
            <w:hideMark/>
          </w:tcPr>
          <w:p w14:paraId="48C26956" w14:textId="453D6441" w:rsidR="00CB00D5" w:rsidRPr="005269E6" w:rsidRDefault="003B6B44" w:rsidP="00CB00D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المورد</w:t>
            </w:r>
            <w:r w:rsidRPr="005269E6">
              <w:rPr>
                <w:rFonts w:eastAsia="Times New Roman" w:hint="cs"/>
                <w:color w:val="000000"/>
                <w:sz w:val="18"/>
                <w:szCs w:val="18"/>
                <w:rtl/>
                <w:lang w:val="en-GB" w:eastAsia="en-GB"/>
              </w:rPr>
              <w:t>و</w:t>
            </w:r>
            <w:r w:rsidRPr="005269E6">
              <w:rPr>
                <w:rFonts w:eastAsia="Times New Roman"/>
                <w:color w:val="000000"/>
                <w:sz w:val="18"/>
                <w:szCs w:val="18"/>
                <w:rtl/>
                <w:lang w:val="en-GB" w:eastAsia="en-GB"/>
              </w:rPr>
              <w:t>ن</w:t>
            </w:r>
          </w:p>
        </w:tc>
        <w:tc>
          <w:tcPr>
            <w:tcW w:w="1667" w:type="dxa"/>
            <w:tcBorders>
              <w:top w:val="nil"/>
              <w:left w:val="nil"/>
              <w:bottom w:val="nil"/>
              <w:right w:val="nil"/>
            </w:tcBorders>
            <w:shd w:val="clear" w:color="auto" w:fill="auto"/>
            <w:noWrap/>
            <w:vAlign w:val="bottom"/>
            <w:hideMark/>
          </w:tcPr>
          <w:p w14:paraId="654FE8AC" w14:textId="7DAB01A3" w:rsidR="00CB00D5" w:rsidRPr="005269E6" w:rsidRDefault="00CB00D5"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4 156 </w:t>
            </w:r>
          </w:p>
        </w:tc>
        <w:tc>
          <w:tcPr>
            <w:tcW w:w="1591" w:type="dxa"/>
            <w:tcBorders>
              <w:top w:val="nil"/>
              <w:left w:val="nil"/>
              <w:bottom w:val="nil"/>
              <w:right w:val="nil"/>
            </w:tcBorders>
            <w:shd w:val="clear" w:color="auto" w:fill="auto"/>
            <w:noWrap/>
            <w:vAlign w:val="bottom"/>
            <w:hideMark/>
          </w:tcPr>
          <w:p w14:paraId="459E05EC" w14:textId="2DFE728D" w:rsidR="00CB00D5" w:rsidRPr="005269E6" w:rsidRDefault="00CB00D5"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2 055 </w:t>
            </w:r>
          </w:p>
        </w:tc>
      </w:tr>
      <w:tr w:rsidR="00CB00D5" w:rsidRPr="005269E6" w14:paraId="785C39E3" w14:textId="77777777" w:rsidTr="004C39BB">
        <w:trPr>
          <w:trHeight w:val="255"/>
          <w:jc w:val="center"/>
        </w:trPr>
        <w:tc>
          <w:tcPr>
            <w:tcW w:w="3969" w:type="dxa"/>
            <w:tcBorders>
              <w:top w:val="nil"/>
              <w:left w:val="nil"/>
              <w:bottom w:val="nil"/>
              <w:right w:val="nil"/>
            </w:tcBorders>
            <w:shd w:val="clear" w:color="auto" w:fill="auto"/>
            <w:noWrap/>
            <w:vAlign w:val="center"/>
            <w:hideMark/>
          </w:tcPr>
          <w:p w14:paraId="2EE79FDB" w14:textId="5DF124B2" w:rsidR="00CB00D5" w:rsidRPr="005269E6" w:rsidRDefault="003B6B44" w:rsidP="003B6B44">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الس</w:t>
            </w: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ل</w:t>
            </w: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ف المقدمة من العملاء</w:t>
            </w:r>
          </w:p>
        </w:tc>
        <w:tc>
          <w:tcPr>
            <w:tcW w:w="1667" w:type="dxa"/>
            <w:tcBorders>
              <w:top w:val="nil"/>
              <w:left w:val="nil"/>
              <w:bottom w:val="nil"/>
              <w:right w:val="nil"/>
            </w:tcBorders>
            <w:shd w:val="clear" w:color="auto" w:fill="auto"/>
            <w:noWrap/>
            <w:vAlign w:val="bottom"/>
            <w:hideMark/>
          </w:tcPr>
          <w:p w14:paraId="06EC5D51" w14:textId="03C3A935" w:rsidR="00CB00D5" w:rsidRPr="005269E6" w:rsidRDefault="00CB00D5"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5 993 </w:t>
            </w:r>
          </w:p>
        </w:tc>
        <w:tc>
          <w:tcPr>
            <w:tcW w:w="1591" w:type="dxa"/>
            <w:tcBorders>
              <w:top w:val="nil"/>
              <w:left w:val="nil"/>
              <w:bottom w:val="nil"/>
              <w:right w:val="nil"/>
            </w:tcBorders>
            <w:shd w:val="clear" w:color="auto" w:fill="auto"/>
            <w:noWrap/>
            <w:vAlign w:val="bottom"/>
            <w:hideMark/>
          </w:tcPr>
          <w:p w14:paraId="34C4AE37" w14:textId="0259719E" w:rsidR="00CB00D5" w:rsidRPr="005269E6" w:rsidRDefault="00CB00D5"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2 497 </w:t>
            </w:r>
          </w:p>
        </w:tc>
      </w:tr>
      <w:tr w:rsidR="00CB00D5" w:rsidRPr="005269E6" w14:paraId="771F8CFD" w14:textId="77777777" w:rsidTr="004C39BB">
        <w:trPr>
          <w:trHeight w:val="255"/>
          <w:jc w:val="center"/>
        </w:trPr>
        <w:tc>
          <w:tcPr>
            <w:tcW w:w="3969" w:type="dxa"/>
            <w:tcBorders>
              <w:top w:val="nil"/>
              <w:left w:val="nil"/>
              <w:bottom w:val="nil"/>
              <w:right w:val="nil"/>
            </w:tcBorders>
            <w:shd w:val="clear" w:color="auto" w:fill="auto"/>
            <w:noWrap/>
            <w:vAlign w:val="bottom"/>
            <w:hideMark/>
          </w:tcPr>
          <w:p w14:paraId="0525A55E" w14:textId="5410E82A" w:rsidR="00CB00D5" w:rsidRPr="005269E6" w:rsidRDefault="003B6B44" w:rsidP="003B6B44">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الس</w:t>
            </w: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ل</w:t>
            </w: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ف المقدمة للمؤتمرات</w:t>
            </w:r>
          </w:p>
        </w:tc>
        <w:tc>
          <w:tcPr>
            <w:tcW w:w="1667" w:type="dxa"/>
            <w:tcBorders>
              <w:top w:val="nil"/>
              <w:left w:val="nil"/>
              <w:bottom w:val="nil"/>
              <w:right w:val="nil"/>
            </w:tcBorders>
            <w:shd w:val="clear" w:color="auto" w:fill="auto"/>
            <w:noWrap/>
            <w:vAlign w:val="bottom"/>
            <w:hideMark/>
          </w:tcPr>
          <w:p w14:paraId="1045A9D8" w14:textId="1E119BAB" w:rsidR="00CB00D5" w:rsidRPr="005269E6" w:rsidRDefault="00CB00D5"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392 </w:t>
            </w:r>
          </w:p>
        </w:tc>
        <w:tc>
          <w:tcPr>
            <w:tcW w:w="1591" w:type="dxa"/>
            <w:tcBorders>
              <w:top w:val="nil"/>
              <w:left w:val="nil"/>
              <w:bottom w:val="nil"/>
              <w:right w:val="nil"/>
            </w:tcBorders>
            <w:shd w:val="clear" w:color="auto" w:fill="auto"/>
            <w:noWrap/>
            <w:vAlign w:val="bottom"/>
            <w:hideMark/>
          </w:tcPr>
          <w:p w14:paraId="5B917AC4" w14:textId="0C7A257E" w:rsidR="00CB00D5" w:rsidRPr="005269E6" w:rsidRDefault="00CB00D5" w:rsidP="00CF6D3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2 903 </w:t>
            </w:r>
          </w:p>
        </w:tc>
      </w:tr>
      <w:tr w:rsidR="00CB00D5" w:rsidRPr="005269E6" w14:paraId="2D3C1F46" w14:textId="77777777" w:rsidTr="004C39BB">
        <w:trPr>
          <w:trHeight w:val="109"/>
          <w:jc w:val="center"/>
        </w:trPr>
        <w:tc>
          <w:tcPr>
            <w:tcW w:w="3969" w:type="dxa"/>
            <w:tcBorders>
              <w:top w:val="nil"/>
              <w:left w:val="nil"/>
              <w:bottom w:val="nil"/>
              <w:right w:val="nil"/>
            </w:tcBorders>
            <w:shd w:val="clear" w:color="auto" w:fill="auto"/>
            <w:noWrap/>
            <w:vAlign w:val="bottom"/>
            <w:hideMark/>
          </w:tcPr>
          <w:p w14:paraId="1070B34F" w14:textId="77777777" w:rsidR="00CB00D5" w:rsidRPr="005269E6" w:rsidRDefault="00CB00D5" w:rsidP="00CB00D5">
            <w:pPr>
              <w:tabs>
                <w:tab w:val="clear" w:pos="794"/>
              </w:tabs>
              <w:spacing w:before="0" w:line="200" w:lineRule="exact"/>
              <w:jc w:val="center"/>
              <w:rPr>
                <w:rFonts w:eastAsia="Times New Roman"/>
                <w:b/>
                <w:bCs/>
                <w:color w:val="000000"/>
                <w:sz w:val="18"/>
                <w:szCs w:val="18"/>
                <w:lang w:val="en-GB" w:eastAsia="en-GB"/>
              </w:rPr>
            </w:pPr>
          </w:p>
        </w:tc>
        <w:tc>
          <w:tcPr>
            <w:tcW w:w="1667" w:type="dxa"/>
            <w:tcBorders>
              <w:top w:val="nil"/>
              <w:left w:val="nil"/>
              <w:bottom w:val="nil"/>
              <w:right w:val="nil"/>
            </w:tcBorders>
            <w:shd w:val="clear" w:color="auto" w:fill="auto"/>
            <w:noWrap/>
            <w:vAlign w:val="bottom"/>
            <w:hideMark/>
          </w:tcPr>
          <w:p w14:paraId="4E9B98AB" w14:textId="77777777" w:rsidR="00CB00D5" w:rsidRPr="005269E6" w:rsidRDefault="00CB00D5" w:rsidP="00CF6D39">
            <w:pPr>
              <w:tabs>
                <w:tab w:val="clear" w:pos="794"/>
              </w:tabs>
              <w:spacing w:before="0" w:line="200" w:lineRule="exact"/>
              <w:jc w:val="left"/>
              <w:rPr>
                <w:rFonts w:eastAsia="Times New Roman"/>
                <w:b/>
                <w:bCs/>
                <w:color w:val="000000"/>
                <w:sz w:val="18"/>
                <w:szCs w:val="18"/>
                <w:lang w:val="en-GB" w:eastAsia="en-GB"/>
              </w:rPr>
            </w:pPr>
          </w:p>
        </w:tc>
        <w:tc>
          <w:tcPr>
            <w:tcW w:w="1591" w:type="dxa"/>
            <w:tcBorders>
              <w:top w:val="nil"/>
              <w:left w:val="nil"/>
              <w:bottom w:val="nil"/>
              <w:right w:val="nil"/>
            </w:tcBorders>
            <w:shd w:val="clear" w:color="auto" w:fill="auto"/>
            <w:noWrap/>
            <w:vAlign w:val="bottom"/>
            <w:hideMark/>
          </w:tcPr>
          <w:p w14:paraId="423CB016" w14:textId="77777777" w:rsidR="00CB00D5" w:rsidRPr="005269E6" w:rsidRDefault="00CB00D5" w:rsidP="00CF6D39">
            <w:pPr>
              <w:tabs>
                <w:tab w:val="clear" w:pos="794"/>
              </w:tabs>
              <w:spacing w:before="0" w:line="200" w:lineRule="exact"/>
              <w:jc w:val="left"/>
              <w:rPr>
                <w:rFonts w:eastAsia="Times New Roman"/>
                <w:b/>
                <w:bCs/>
                <w:color w:val="000000"/>
                <w:sz w:val="18"/>
                <w:szCs w:val="18"/>
                <w:lang w:val="en-GB" w:eastAsia="en-GB"/>
              </w:rPr>
            </w:pPr>
          </w:p>
        </w:tc>
      </w:tr>
      <w:tr w:rsidR="00CB00D5" w:rsidRPr="005269E6" w14:paraId="1B77B509" w14:textId="77777777" w:rsidTr="004C39BB">
        <w:trPr>
          <w:trHeight w:val="499"/>
          <w:jc w:val="center"/>
        </w:trPr>
        <w:tc>
          <w:tcPr>
            <w:tcW w:w="3969" w:type="dxa"/>
            <w:tcBorders>
              <w:top w:val="nil"/>
              <w:left w:val="nil"/>
              <w:bottom w:val="nil"/>
              <w:right w:val="nil"/>
            </w:tcBorders>
            <w:shd w:val="clear" w:color="000000" w:fill="538DD5"/>
            <w:noWrap/>
            <w:vAlign w:val="center"/>
            <w:hideMark/>
          </w:tcPr>
          <w:p w14:paraId="76888DC1" w14:textId="749C007B" w:rsidR="00CB00D5" w:rsidRPr="005269E6" w:rsidRDefault="003B6B44" w:rsidP="003B6B44">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المجموع</w:t>
            </w:r>
            <w:r w:rsidRPr="005269E6">
              <w:rPr>
                <w:rFonts w:eastAsia="Times New Roman" w:hint="cs"/>
                <w:b/>
                <w:bCs/>
                <w:color w:val="000000"/>
                <w:sz w:val="18"/>
                <w:szCs w:val="18"/>
                <w:rtl/>
                <w:lang w:val="en-GB" w:eastAsia="en-GB"/>
              </w:rPr>
              <w:t xml:space="preserve"> الكلي</w:t>
            </w:r>
            <w:r w:rsidRPr="005269E6">
              <w:rPr>
                <w:rFonts w:eastAsia="Times New Roman"/>
                <w:b/>
                <w:bCs/>
                <w:color w:val="000000"/>
                <w:sz w:val="18"/>
                <w:szCs w:val="18"/>
                <w:rtl/>
                <w:lang w:val="en-GB" w:eastAsia="en-GB"/>
              </w:rPr>
              <w:t>- الموردون والدائنون الآخرون</w:t>
            </w:r>
          </w:p>
        </w:tc>
        <w:tc>
          <w:tcPr>
            <w:tcW w:w="1667" w:type="dxa"/>
            <w:tcBorders>
              <w:top w:val="nil"/>
              <w:left w:val="nil"/>
              <w:bottom w:val="nil"/>
              <w:right w:val="nil"/>
            </w:tcBorders>
            <w:shd w:val="clear" w:color="000000" w:fill="538DD5"/>
            <w:noWrap/>
            <w:vAlign w:val="center"/>
            <w:hideMark/>
          </w:tcPr>
          <w:p w14:paraId="6FB31055" w14:textId="3C5DFA78" w:rsidR="00CB00D5" w:rsidRPr="005269E6" w:rsidRDefault="00CB00D5"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10 541 </w:t>
            </w:r>
          </w:p>
        </w:tc>
        <w:tc>
          <w:tcPr>
            <w:tcW w:w="1591" w:type="dxa"/>
            <w:tcBorders>
              <w:top w:val="nil"/>
              <w:left w:val="nil"/>
              <w:bottom w:val="nil"/>
              <w:right w:val="nil"/>
            </w:tcBorders>
            <w:shd w:val="clear" w:color="000000" w:fill="538DD5"/>
            <w:noWrap/>
            <w:vAlign w:val="center"/>
            <w:hideMark/>
          </w:tcPr>
          <w:p w14:paraId="43868A62" w14:textId="58554775" w:rsidR="00CB00D5" w:rsidRPr="005269E6" w:rsidRDefault="00CB00D5" w:rsidP="00CF6D3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7 456 </w:t>
            </w:r>
          </w:p>
        </w:tc>
      </w:tr>
    </w:tbl>
    <w:p w14:paraId="51372689" w14:textId="77777777" w:rsidR="00C543C6" w:rsidRPr="005269E6" w:rsidRDefault="00C543C6" w:rsidP="00C543C6">
      <w:pPr>
        <w:spacing w:before="240"/>
        <w:rPr>
          <w:lang w:bidi="ar-EG"/>
        </w:rPr>
      </w:pPr>
      <w:r w:rsidRPr="005269E6">
        <w:rPr>
          <w:rtl/>
          <w:lang w:bidi="ar-EG"/>
        </w:rPr>
        <w:t>يتناول المبلغ الخاص بالموردين أساساً الفواتير التي ما زالت غير مدفوعة وحسابات الموظفين وكذلك قسائم الدفع </w:t>
      </w:r>
      <w:r w:rsidRPr="005269E6">
        <w:rPr>
          <w:lang w:bidi="ar-EG"/>
        </w:rPr>
        <w:t>(IOV)</w:t>
      </w:r>
      <w:r w:rsidRPr="005269E6">
        <w:rPr>
          <w:rtl/>
          <w:lang w:bidi="ar-EG"/>
        </w:rPr>
        <w:t xml:space="preserve"> رهن السداد مع برنامج الأمم المتحدة الإنمائي.</w:t>
      </w:r>
    </w:p>
    <w:p w14:paraId="528481A4" w14:textId="75E10A6E" w:rsidR="00100E4D" w:rsidRPr="005269E6" w:rsidRDefault="00C543C6" w:rsidP="004A6F5F">
      <w:pPr>
        <w:rPr>
          <w:rtl/>
          <w:lang w:bidi="ar-EG"/>
        </w:rPr>
      </w:pPr>
      <w:r w:rsidRPr="005269E6">
        <w:rPr>
          <w:rtl/>
          <w:lang w:bidi="ar-EG"/>
        </w:rPr>
        <w:t xml:space="preserve">وقد وردت </w:t>
      </w:r>
      <w:r w:rsidR="00100E4D" w:rsidRPr="005269E6">
        <w:rPr>
          <w:rtl/>
          <w:lang w:bidi="ar-EG"/>
        </w:rPr>
        <w:t xml:space="preserve">السِلَف المقدمة من العملاء </w:t>
      </w:r>
      <w:r w:rsidRPr="005269E6">
        <w:rPr>
          <w:rtl/>
          <w:lang w:bidi="ar-EG"/>
        </w:rPr>
        <w:t>لقاء معالجة بطاقات التبليغ عن الشبكات الساتلية وكذلك لقاء المشتريات المقبلة من المنشورات</w:t>
      </w:r>
      <w:r w:rsidRPr="005269E6">
        <w:rPr>
          <w:rFonts w:hint="cs"/>
          <w:rtl/>
          <w:lang w:bidi="ar-EG"/>
        </w:rPr>
        <w:t xml:space="preserve"> أو سداد فواتير</w:t>
      </w:r>
      <w:r w:rsidRPr="005269E6">
        <w:rPr>
          <w:rtl/>
          <w:lang w:bidi="ar-EG"/>
        </w:rPr>
        <w:t xml:space="preserve">. وسوف تعاد هذه المبالغ إلى أصحابها أو تستخدم لسداد فواتير </w:t>
      </w:r>
      <w:r w:rsidRPr="005269E6">
        <w:rPr>
          <w:rFonts w:hint="cs"/>
          <w:rtl/>
          <w:lang w:bidi="ar-EG"/>
        </w:rPr>
        <w:t>مقبلة ل</w:t>
      </w:r>
      <w:r w:rsidRPr="005269E6">
        <w:rPr>
          <w:rtl/>
          <w:lang w:bidi="ar-EG"/>
        </w:rPr>
        <w:t>معالجة بطاقات التبليغ عن الشبكات الساتلية والمنشورات.</w:t>
      </w:r>
      <w:r w:rsidR="00100E4D" w:rsidRPr="005269E6">
        <w:rPr>
          <w:rtl/>
        </w:rPr>
        <w:t xml:space="preserve"> </w:t>
      </w:r>
      <w:r w:rsidR="00100E4D" w:rsidRPr="005269E6">
        <w:rPr>
          <w:rtl/>
          <w:lang w:bidi="ar-EG"/>
        </w:rPr>
        <w:t>وبناء</w:t>
      </w:r>
      <w:r w:rsidR="004A6F5F" w:rsidRPr="005269E6">
        <w:rPr>
          <w:rFonts w:hint="cs"/>
          <w:rtl/>
          <w:lang w:bidi="ar-EG"/>
        </w:rPr>
        <w:t>ً</w:t>
      </w:r>
      <w:r w:rsidR="00100E4D" w:rsidRPr="005269E6">
        <w:rPr>
          <w:rtl/>
          <w:lang w:bidi="ar-EG"/>
        </w:rPr>
        <w:t xml:space="preserve"> على طلب الدول الأعضاء، أعيد تصنيف بعض الأموال الواردة، التي كانت تسجل سابقا</w:t>
      </w:r>
      <w:r w:rsidR="004A6F5F" w:rsidRPr="005269E6">
        <w:rPr>
          <w:rFonts w:hint="cs"/>
          <w:rtl/>
          <w:lang w:bidi="ar-EG"/>
        </w:rPr>
        <w:t>ً</w:t>
      </w:r>
      <w:r w:rsidR="00100E4D" w:rsidRPr="005269E6">
        <w:rPr>
          <w:rtl/>
          <w:lang w:bidi="ar-EG"/>
        </w:rPr>
        <w:t xml:space="preserve"> في إطار الأموال غير المخصصة، تحت بند الودائع الواردة، وهو ما يفسر الزيادة في تلك الفئة.</w:t>
      </w:r>
    </w:p>
    <w:p w14:paraId="3EA0D561" w14:textId="192A897A" w:rsidR="00C543C6" w:rsidRPr="005269E6" w:rsidRDefault="00100E4D" w:rsidP="004A6F5F">
      <w:r w:rsidRPr="005269E6">
        <w:rPr>
          <w:rFonts w:hint="cs"/>
          <w:rtl/>
          <w:lang w:bidi="ar-EG"/>
        </w:rPr>
        <w:t>و</w:t>
      </w:r>
      <w:r w:rsidRPr="005269E6">
        <w:rPr>
          <w:rtl/>
          <w:lang w:bidi="ar-EG"/>
        </w:rPr>
        <w:t xml:space="preserve">السِلَف المقدمة للمؤتمرات </w:t>
      </w:r>
      <w:r w:rsidR="00C543C6" w:rsidRPr="005269E6">
        <w:rPr>
          <w:rtl/>
          <w:lang w:bidi="ar-EG"/>
        </w:rPr>
        <w:t xml:space="preserve">هي مدفوعات لحسابات الاتحاد من قبل البلدان المضيفة لتنظيم </w:t>
      </w:r>
      <w:r w:rsidR="00C543C6" w:rsidRPr="005269E6">
        <w:rPr>
          <w:rFonts w:hint="cs"/>
          <w:rtl/>
          <w:lang w:bidi="ar-EG"/>
        </w:rPr>
        <w:t>أحداث</w:t>
      </w:r>
      <w:r w:rsidR="00C543C6" w:rsidRPr="005269E6">
        <w:rPr>
          <w:rtl/>
          <w:lang w:bidi="ar-EG"/>
        </w:rPr>
        <w:t xml:space="preserve"> </w:t>
      </w:r>
      <w:r w:rsidR="00C543C6" w:rsidRPr="005269E6">
        <w:rPr>
          <w:rFonts w:hint="cs"/>
          <w:rtl/>
          <w:lang w:bidi="ar-EG"/>
        </w:rPr>
        <w:t>مثل المؤتمرات العالمية</w:t>
      </w:r>
      <w:r w:rsidR="00C543C6" w:rsidRPr="005269E6">
        <w:rPr>
          <w:rFonts w:hint="cs"/>
          <w:rtl/>
        </w:rPr>
        <w:t>. وبعد اختتام الحدث، يعاد الرصيد المتبقي إلى البلدان المضيفة طبقاً للاتفاقات الموقعة.</w:t>
      </w:r>
    </w:p>
    <w:p w14:paraId="3B26CFEB" w14:textId="0006888B" w:rsidR="00C543C6" w:rsidRPr="005269E6" w:rsidRDefault="00C543C6" w:rsidP="00696AA6">
      <w:pPr>
        <w:pStyle w:val="Heading5"/>
        <w:rPr>
          <w:rtl/>
        </w:rPr>
      </w:pPr>
      <w:bookmarkStart w:id="484" w:name="_Toc452156634"/>
      <w:bookmarkStart w:id="485" w:name="_Toc482792218"/>
      <w:bookmarkStart w:id="486" w:name="_Toc482793723"/>
      <w:bookmarkStart w:id="487" w:name="_Toc511402239"/>
      <w:bookmarkStart w:id="488" w:name="_Toc511756676"/>
      <w:bookmarkStart w:id="489" w:name="_Toc9614795"/>
      <w:bookmarkStart w:id="490" w:name="_Toc42013550"/>
      <w:bookmarkStart w:id="491" w:name="_Toc42014551"/>
      <w:bookmarkStart w:id="492" w:name="_Toc74061583"/>
      <w:bookmarkStart w:id="493" w:name="_Toc162520634"/>
      <w:r w:rsidRPr="005269E6">
        <w:rPr>
          <w:rtl/>
        </w:rPr>
        <w:t xml:space="preserve">الملاحظة </w:t>
      </w:r>
      <w:r w:rsidR="00692313" w:rsidRPr="005269E6">
        <w:t>16</w:t>
      </w:r>
      <w:r w:rsidRPr="005269E6">
        <w:rPr>
          <w:rtl/>
        </w:rPr>
        <w:tab/>
      </w:r>
      <w:r w:rsidR="00100E4D" w:rsidRPr="005269E6">
        <w:rPr>
          <w:rFonts w:hint="cs"/>
          <w:rtl/>
        </w:rPr>
        <w:t>المساهمات الواردة سلفاً</w:t>
      </w:r>
      <w:r w:rsidR="00692313" w:rsidRPr="005269E6">
        <w:rPr>
          <w:rFonts w:hint="cs"/>
          <w:rtl/>
        </w:rPr>
        <w:t xml:space="preserve"> </w:t>
      </w:r>
      <w:r w:rsidR="00100E4D" w:rsidRPr="005269E6">
        <w:rPr>
          <w:rFonts w:hint="cs"/>
          <w:rtl/>
        </w:rPr>
        <w:t>و</w:t>
      </w:r>
      <w:r w:rsidRPr="005269E6">
        <w:rPr>
          <w:rtl/>
        </w:rPr>
        <w:t>الإيرادات</w:t>
      </w:r>
      <w:bookmarkEnd w:id="484"/>
      <w:bookmarkEnd w:id="485"/>
      <w:bookmarkEnd w:id="486"/>
      <w:bookmarkEnd w:id="487"/>
      <w:bookmarkEnd w:id="488"/>
      <w:bookmarkEnd w:id="489"/>
      <w:bookmarkEnd w:id="490"/>
      <w:bookmarkEnd w:id="491"/>
      <w:bookmarkEnd w:id="492"/>
      <w:r w:rsidR="00100E4D" w:rsidRPr="005269E6">
        <w:rPr>
          <w:rFonts w:hint="cs"/>
          <w:rtl/>
        </w:rPr>
        <w:t xml:space="preserve"> المؤجلة</w:t>
      </w:r>
      <w:bookmarkEnd w:id="493"/>
    </w:p>
    <w:tbl>
      <w:tblPr>
        <w:bidiVisual/>
        <w:tblW w:w="7320" w:type="dxa"/>
        <w:jc w:val="center"/>
        <w:tblLook w:val="04A0" w:firstRow="1" w:lastRow="0" w:firstColumn="1" w:lastColumn="0" w:noHBand="0" w:noVBand="1"/>
      </w:tblPr>
      <w:tblGrid>
        <w:gridCol w:w="4136"/>
        <w:gridCol w:w="1616"/>
        <w:gridCol w:w="1568"/>
      </w:tblGrid>
      <w:tr w:rsidR="00514CC2" w:rsidRPr="005269E6" w14:paraId="14706236" w14:textId="77777777" w:rsidTr="004D0359">
        <w:trPr>
          <w:trHeight w:val="570"/>
          <w:jc w:val="center"/>
        </w:trPr>
        <w:tc>
          <w:tcPr>
            <w:tcW w:w="4136" w:type="dxa"/>
            <w:tcBorders>
              <w:top w:val="nil"/>
              <w:left w:val="nil"/>
              <w:bottom w:val="nil"/>
              <w:right w:val="nil"/>
            </w:tcBorders>
            <w:shd w:val="clear" w:color="000000" w:fill="538DD5"/>
            <w:noWrap/>
            <w:vAlign w:val="center"/>
            <w:hideMark/>
          </w:tcPr>
          <w:p w14:paraId="0E3EA3C5" w14:textId="63C2F419" w:rsidR="00514CC2" w:rsidRPr="005269E6" w:rsidRDefault="00514CC2" w:rsidP="00514CC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616" w:type="dxa"/>
            <w:tcBorders>
              <w:top w:val="nil"/>
              <w:left w:val="nil"/>
              <w:bottom w:val="nil"/>
              <w:right w:val="nil"/>
            </w:tcBorders>
            <w:shd w:val="clear" w:color="000000" w:fill="538DD5"/>
            <w:noWrap/>
            <w:vAlign w:val="center"/>
            <w:hideMark/>
          </w:tcPr>
          <w:p w14:paraId="141D6807" w14:textId="38E82E46" w:rsidR="00514CC2" w:rsidRPr="005269E6" w:rsidRDefault="00514CC2" w:rsidP="004A6F5F">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568" w:type="dxa"/>
            <w:tcBorders>
              <w:top w:val="nil"/>
              <w:left w:val="nil"/>
              <w:bottom w:val="nil"/>
              <w:right w:val="nil"/>
            </w:tcBorders>
            <w:shd w:val="clear" w:color="000000" w:fill="538DD5"/>
            <w:vAlign w:val="center"/>
            <w:hideMark/>
          </w:tcPr>
          <w:p w14:paraId="472C9581" w14:textId="50DB22F9" w:rsidR="00514CC2" w:rsidRPr="005269E6" w:rsidRDefault="00514CC2" w:rsidP="004A6F5F">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4D0359" w:rsidRPr="005269E6" w14:paraId="15C698CC" w14:textId="77777777" w:rsidTr="004D0359">
        <w:trPr>
          <w:trHeight w:val="180"/>
          <w:jc w:val="center"/>
        </w:trPr>
        <w:tc>
          <w:tcPr>
            <w:tcW w:w="4136" w:type="dxa"/>
            <w:tcBorders>
              <w:top w:val="nil"/>
              <w:left w:val="nil"/>
              <w:bottom w:val="nil"/>
              <w:right w:val="nil"/>
            </w:tcBorders>
            <w:shd w:val="clear" w:color="auto" w:fill="auto"/>
            <w:noWrap/>
            <w:vAlign w:val="bottom"/>
            <w:hideMark/>
          </w:tcPr>
          <w:p w14:paraId="36747E1F" w14:textId="77777777" w:rsidR="004D0359" w:rsidRPr="005269E6" w:rsidRDefault="004D0359" w:rsidP="004D0359">
            <w:pPr>
              <w:tabs>
                <w:tab w:val="clear" w:pos="794"/>
              </w:tabs>
              <w:spacing w:before="0" w:line="200" w:lineRule="exact"/>
              <w:jc w:val="center"/>
              <w:rPr>
                <w:rFonts w:eastAsia="Times New Roman"/>
                <w:b/>
                <w:bCs/>
                <w:color w:val="000000"/>
                <w:sz w:val="18"/>
                <w:szCs w:val="18"/>
                <w:lang w:val="en-GB" w:eastAsia="en-GB"/>
              </w:rPr>
            </w:pPr>
          </w:p>
        </w:tc>
        <w:tc>
          <w:tcPr>
            <w:tcW w:w="1616" w:type="dxa"/>
            <w:tcBorders>
              <w:top w:val="nil"/>
              <w:left w:val="nil"/>
              <w:bottom w:val="nil"/>
              <w:right w:val="nil"/>
            </w:tcBorders>
            <w:shd w:val="clear" w:color="auto" w:fill="auto"/>
            <w:noWrap/>
            <w:vAlign w:val="bottom"/>
            <w:hideMark/>
          </w:tcPr>
          <w:p w14:paraId="2E173032" w14:textId="77777777" w:rsidR="004D0359" w:rsidRPr="005269E6" w:rsidRDefault="004D0359" w:rsidP="004D0359">
            <w:pPr>
              <w:tabs>
                <w:tab w:val="clear" w:pos="794"/>
              </w:tabs>
              <w:spacing w:before="0" w:line="200" w:lineRule="exact"/>
              <w:jc w:val="left"/>
              <w:rPr>
                <w:rFonts w:eastAsia="Times New Roman"/>
                <w:b/>
                <w:bCs/>
                <w:color w:val="000000"/>
                <w:sz w:val="18"/>
                <w:szCs w:val="18"/>
                <w:lang w:val="en-GB" w:eastAsia="en-GB"/>
              </w:rPr>
            </w:pPr>
          </w:p>
        </w:tc>
        <w:tc>
          <w:tcPr>
            <w:tcW w:w="1568" w:type="dxa"/>
            <w:tcBorders>
              <w:top w:val="nil"/>
              <w:left w:val="nil"/>
              <w:bottom w:val="nil"/>
              <w:right w:val="nil"/>
            </w:tcBorders>
            <w:shd w:val="clear" w:color="auto" w:fill="auto"/>
            <w:noWrap/>
            <w:vAlign w:val="bottom"/>
            <w:hideMark/>
          </w:tcPr>
          <w:p w14:paraId="4AA0CC33" w14:textId="77777777" w:rsidR="004D0359" w:rsidRPr="005269E6" w:rsidRDefault="004D0359" w:rsidP="004D0359">
            <w:pPr>
              <w:tabs>
                <w:tab w:val="clear" w:pos="794"/>
              </w:tabs>
              <w:spacing w:before="0" w:line="200" w:lineRule="exact"/>
              <w:jc w:val="center"/>
              <w:rPr>
                <w:rFonts w:eastAsia="Times New Roman"/>
                <w:b/>
                <w:bCs/>
                <w:color w:val="000000"/>
                <w:sz w:val="18"/>
                <w:szCs w:val="18"/>
                <w:lang w:val="en-GB" w:eastAsia="en-GB"/>
              </w:rPr>
            </w:pPr>
          </w:p>
        </w:tc>
      </w:tr>
      <w:tr w:rsidR="004D0359" w:rsidRPr="005269E6" w14:paraId="0F227CB2" w14:textId="77777777" w:rsidTr="004D0359">
        <w:trPr>
          <w:trHeight w:val="255"/>
          <w:jc w:val="center"/>
        </w:trPr>
        <w:tc>
          <w:tcPr>
            <w:tcW w:w="4136" w:type="dxa"/>
            <w:tcBorders>
              <w:top w:val="nil"/>
              <w:left w:val="nil"/>
              <w:bottom w:val="nil"/>
              <w:right w:val="nil"/>
            </w:tcBorders>
            <w:shd w:val="clear" w:color="auto" w:fill="auto"/>
            <w:noWrap/>
            <w:vAlign w:val="bottom"/>
            <w:hideMark/>
          </w:tcPr>
          <w:p w14:paraId="7EE07C88" w14:textId="6656109B" w:rsidR="004D0359" w:rsidRPr="005269E6" w:rsidRDefault="00514CC2" w:rsidP="00514CC2">
            <w:pPr>
              <w:jc w:val="left"/>
              <w:rPr>
                <w:rFonts w:eastAsia="Times New Roman"/>
                <w:color w:val="000000"/>
                <w:sz w:val="18"/>
                <w:szCs w:val="18"/>
                <w:lang w:val="en-GB" w:eastAsia="en-GB"/>
              </w:rPr>
            </w:pPr>
            <w:r w:rsidRPr="005269E6">
              <w:rPr>
                <w:rFonts w:eastAsia="Times New Roman"/>
                <w:color w:val="000000"/>
                <w:sz w:val="18"/>
                <w:szCs w:val="18"/>
                <w:rtl/>
                <w:lang w:val="en-GB" w:eastAsia="en-GB"/>
              </w:rPr>
              <w:t>مساهمات - الدول الأعضاء</w:t>
            </w:r>
          </w:p>
        </w:tc>
        <w:tc>
          <w:tcPr>
            <w:tcW w:w="1616" w:type="dxa"/>
            <w:tcBorders>
              <w:top w:val="nil"/>
              <w:left w:val="nil"/>
              <w:bottom w:val="nil"/>
              <w:right w:val="nil"/>
            </w:tcBorders>
            <w:shd w:val="clear" w:color="auto" w:fill="auto"/>
            <w:noWrap/>
            <w:vAlign w:val="bottom"/>
            <w:hideMark/>
          </w:tcPr>
          <w:p w14:paraId="051676FA" w14:textId="6234426B" w:rsidR="004D0359" w:rsidRPr="005269E6" w:rsidRDefault="004D0359"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45 913 </w:t>
            </w:r>
          </w:p>
        </w:tc>
        <w:tc>
          <w:tcPr>
            <w:tcW w:w="1568" w:type="dxa"/>
            <w:tcBorders>
              <w:top w:val="nil"/>
              <w:left w:val="nil"/>
              <w:bottom w:val="nil"/>
              <w:right w:val="nil"/>
            </w:tcBorders>
            <w:shd w:val="clear" w:color="auto" w:fill="auto"/>
            <w:noWrap/>
            <w:vAlign w:val="bottom"/>
            <w:hideMark/>
          </w:tcPr>
          <w:p w14:paraId="49DF1B2D" w14:textId="301B93F1" w:rsidR="004D0359" w:rsidRPr="005269E6" w:rsidRDefault="004D0359"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49 586 </w:t>
            </w:r>
          </w:p>
        </w:tc>
      </w:tr>
      <w:tr w:rsidR="004D0359" w:rsidRPr="005269E6" w14:paraId="3F404FCA" w14:textId="77777777" w:rsidTr="004D0359">
        <w:trPr>
          <w:trHeight w:val="255"/>
          <w:jc w:val="center"/>
        </w:trPr>
        <w:tc>
          <w:tcPr>
            <w:tcW w:w="4136" w:type="dxa"/>
            <w:tcBorders>
              <w:top w:val="nil"/>
              <w:left w:val="nil"/>
              <w:bottom w:val="nil"/>
              <w:right w:val="nil"/>
            </w:tcBorders>
            <w:shd w:val="clear" w:color="auto" w:fill="auto"/>
            <w:noWrap/>
            <w:vAlign w:val="bottom"/>
            <w:hideMark/>
          </w:tcPr>
          <w:p w14:paraId="391668FE" w14:textId="3FF3717D" w:rsidR="004D0359" w:rsidRPr="005269E6" w:rsidRDefault="00514CC2" w:rsidP="00514CC2">
            <w:pPr>
              <w:jc w:val="left"/>
              <w:rPr>
                <w:rFonts w:eastAsia="Times New Roman"/>
                <w:color w:val="000000"/>
                <w:sz w:val="18"/>
                <w:szCs w:val="18"/>
                <w:lang w:val="en-GB" w:eastAsia="en-GB"/>
              </w:rPr>
            </w:pPr>
            <w:r w:rsidRPr="005269E6">
              <w:rPr>
                <w:rFonts w:eastAsia="Times New Roman"/>
                <w:color w:val="000000"/>
                <w:sz w:val="18"/>
                <w:szCs w:val="18"/>
                <w:rtl/>
                <w:lang w:val="en-GB" w:eastAsia="en-GB"/>
              </w:rPr>
              <w:t>مساهمات - أعضاء القطاعات</w:t>
            </w:r>
          </w:p>
        </w:tc>
        <w:tc>
          <w:tcPr>
            <w:tcW w:w="1616" w:type="dxa"/>
            <w:tcBorders>
              <w:top w:val="nil"/>
              <w:left w:val="nil"/>
              <w:bottom w:val="nil"/>
              <w:right w:val="nil"/>
            </w:tcBorders>
            <w:shd w:val="clear" w:color="auto" w:fill="auto"/>
            <w:noWrap/>
            <w:vAlign w:val="bottom"/>
            <w:hideMark/>
          </w:tcPr>
          <w:p w14:paraId="2BC6B82F" w14:textId="0A61A62F" w:rsidR="004D0359" w:rsidRPr="005269E6" w:rsidRDefault="004D0359"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4 121 </w:t>
            </w:r>
          </w:p>
        </w:tc>
        <w:tc>
          <w:tcPr>
            <w:tcW w:w="1568" w:type="dxa"/>
            <w:tcBorders>
              <w:top w:val="nil"/>
              <w:left w:val="nil"/>
              <w:bottom w:val="nil"/>
              <w:right w:val="nil"/>
            </w:tcBorders>
            <w:shd w:val="clear" w:color="auto" w:fill="auto"/>
            <w:noWrap/>
            <w:vAlign w:val="bottom"/>
            <w:hideMark/>
          </w:tcPr>
          <w:p w14:paraId="0194A9BC" w14:textId="75D2A4E0" w:rsidR="004D0359" w:rsidRPr="005269E6" w:rsidRDefault="004D0359"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3 331 </w:t>
            </w:r>
          </w:p>
        </w:tc>
      </w:tr>
      <w:tr w:rsidR="004D0359" w:rsidRPr="005269E6" w14:paraId="61A912DC" w14:textId="77777777" w:rsidTr="004D0359">
        <w:trPr>
          <w:trHeight w:val="255"/>
          <w:jc w:val="center"/>
        </w:trPr>
        <w:tc>
          <w:tcPr>
            <w:tcW w:w="4136" w:type="dxa"/>
            <w:tcBorders>
              <w:top w:val="nil"/>
              <w:left w:val="nil"/>
              <w:bottom w:val="nil"/>
              <w:right w:val="nil"/>
            </w:tcBorders>
            <w:shd w:val="clear" w:color="auto" w:fill="auto"/>
            <w:noWrap/>
            <w:vAlign w:val="bottom"/>
            <w:hideMark/>
          </w:tcPr>
          <w:p w14:paraId="2141BE98" w14:textId="7AFB166B" w:rsidR="004D0359" w:rsidRPr="005269E6" w:rsidRDefault="00514CC2" w:rsidP="00514CC2">
            <w:pPr>
              <w:jc w:val="left"/>
              <w:rPr>
                <w:rFonts w:eastAsia="Times New Roman"/>
                <w:color w:val="000000"/>
                <w:sz w:val="18"/>
                <w:szCs w:val="18"/>
                <w:lang w:val="en-GB" w:eastAsia="en-GB"/>
              </w:rPr>
            </w:pPr>
            <w:r w:rsidRPr="005269E6">
              <w:rPr>
                <w:rFonts w:eastAsia="Times New Roman"/>
                <w:color w:val="000000"/>
                <w:sz w:val="18"/>
                <w:szCs w:val="18"/>
                <w:rtl/>
                <w:lang w:val="en-GB" w:eastAsia="en-GB"/>
              </w:rPr>
              <w:t>مساهمات - المنتسبون</w:t>
            </w:r>
          </w:p>
        </w:tc>
        <w:tc>
          <w:tcPr>
            <w:tcW w:w="1616" w:type="dxa"/>
            <w:tcBorders>
              <w:top w:val="nil"/>
              <w:left w:val="nil"/>
              <w:bottom w:val="nil"/>
              <w:right w:val="nil"/>
            </w:tcBorders>
            <w:shd w:val="clear" w:color="auto" w:fill="auto"/>
            <w:noWrap/>
            <w:vAlign w:val="bottom"/>
            <w:hideMark/>
          </w:tcPr>
          <w:p w14:paraId="723993B9" w14:textId="702EF511" w:rsidR="004D0359" w:rsidRPr="005269E6" w:rsidRDefault="004D0359"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639 </w:t>
            </w:r>
          </w:p>
        </w:tc>
        <w:tc>
          <w:tcPr>
            <w:tcW w:w="1568" w:type="dxa"/>
            <w:tcBorders>
              <w:top w:val="nil"/>
              <w:left w:val="nil"/>
              <w:bottom w:val="nil"/>
              <w:right w:val="nil"/>
            </w:tcBorders>
            <w:shd w:val="clear" w:color="auto" w:fill="auto"/>
            <w:noWrap/>
            <w:vAlign w:val="bottom"/>
            <w:hideMark/>
          </w:tcPr>
          <w:p w14:paraId="25E51D7D" w14:textId="547C7BC5" w:rsidR="004D0359" w:rsidRPr="005269E6" w:rsidRDefault="004D0359"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524 </w:t>
            </w:r>
          </w:p>
        </w:tc>
      </w:tr>
      <w:tr w:rsidR="004D0359" w:rsidRPr="005269E6" w14:paraId="5F11E0DC" w14:textId="77777777" w:rsidTr="004D0359">
        <w:trPr>
          <w:trHeight w:val="255"/>
          <w:jc w:val="center"/>
        </w:trPr>
        <w:tc>
          <w:tcPr>
            <w:tcW w:w="4136" w:type="dxa"/>
            <w:tcBorders>
              <w:top w:val="nil"/>
              <w:left w:val="nil"/>
              <w:bottom w:val="nil"/>
              <w:right w:val="nil"/>
            </w:tcBorders>
            <w:shd w:val="clear" w:color="auto" w:fill="auto"/>
            <w:noWrap/>
            <w:vAlign w:val="bottom"/>
            <w:hideMark/>
          </w:tcPr>
          <w:p w14:paraId="2E456295" w14:textId="50C4E404" w:rsidR="004D0359" w:rsidRPr="005269E6" w:rsidRDefault="00514CC2" w:rsidP="00514CC2">
            <w:pPr>
              <w:jc w:val="left"/>
              <w:rPr>
                <w:rFonts w:eastAsia="Times New Roman"/>
                <w:color w:val="000000"/>
                <w:sz w:val="18"/>
                <w:szCs w:val="18"/>
                <w:lang w:val="en-GB" w:eastAsia="en-GB"/>
              </w:rPr>
            </w:pPr>
            <w:r w:rsidRPr="005269E6">
              <w:rPr>
                <w:rFonts w:eastAsia="Times New Roman"/>
                <w:color w:val="000000"/>
                <w:sz w:val="18"/>
                <w:szCs w:val="18"/>
                <w:rtl/>
                <w:lang w:val="en-GB" w:eastAsia="en-GB"/>
              </w:rPr>
              <w:t xml:space="preserve">مساهمات - </w:t>
            </w:r>
            <w:r w:rsidRPr="005269E6">
              <w:rPr>
                <w:rFonts w:eastAsia="Times New Roman" w:hint="cs"/>
                <w:color w:val="000000"/>
                <w:sz w:val="18"/>
                <w:szCs w:val="18"/>
                <w:rtl/>
                <w:lang w:val="en-GB" w:eastAsia="en-GB"/>
              </w:rPr>
              <w:t>الهيئات</w:t>
            </w:r>
            <w:r w:rsidRPr="005269E6">
              <w:rPr>
                <w:rFonts w:eastAsia="Times New Roman"/>
                <w:color w:val="000000"/>
                <w:sz w:val="18"/>
                <w:szCs w:val="18"/>
                <w:rtl/>
                <w:lang w:val="en-GB" w:eastAsia="en-GB"/>
              </w:rPr>
              <w:t xml:space="preserve"> الأكاديمية</w:t>
            </w:r>
          </w:p>
        </w:tc>
        <w:tc>
          <w:tcPr>
            <w:tcW w:w="1616" w:type="dxa"/>
            <w:tcBorders>
              <w:top w:val="nil"/>
              <w:left w:val="nil"/>
              <w:bottom w:val="nil"/>
              <w:right w:val="nil"/>
            </w:tcBorders>
            <w:shd w:val="clear" w:color="auto" w:fill="auto"/>
            <w:noWrap/>
            <w:vAlign w:val="bottom"/>
            <w:hideMark/>
          </w:tcPr>
          <w:p w14:paraId="36E3ADBE" w14:textId="46A5124D" w:rsidR="004D0359" w:rsidRPr="005269E6" w:rsidRDefault="004D0359"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150 </w:t>
            </w:r>
          </w:p>
        </w:tc>
        <w:tc>
          <w:tcPr>
            <w:tcW w:w="1568" w:type="dxa"/>
            <w:tcBorders>
              <w:top w:val="nil"/>
              <w:left w:val="nil"/>
              <w:bottom w:val="nil"/>
              <w:right w:val="nil"/>
            </w:tcBorders>
            <w:shd w:val="clear" w:color="auto" w:fill="auto"/>
            <w:noWrap/>
            <w:vAlign w:val="bottom"/>
            <w:hideMark/>
          </w:tcPr>
          <w:p w14:paraId="578D3407" w14:textId="45BBF6BA" w:rsidR="004D0359" w:rsidRPr="005269E6" w:rsidRDefault="004D0359"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131 </w:t>
            </w:r>
          </w:p>
        </w:tc>
      </w:tr>
      <w:tr w:rsidR="004D0359" w:rsidRPr="005269E6" w14:paraId="58045967" w14:textId="77777777" w:rsidTr="004D0359">
        <w:trPr>
          <w:trHeight w:val="139"/>
          <w:jc w:val="center"/>
        </w:trPr>
        <w:tc>
          <w:tcPr>
            <w:tcW w:w="4136" w:type="dxa"/>
            <w:tcBorders>
              <w:top w:val="nil"/>
              <w:left w:val="nil"/>
              <w:bottom w:val="nil"/>
              <w:right w:val="nil"/>
            </w:tcBorders>
            <w:shd w:val="clear" w:color="auto" w:fill="auto"/>
            <w:noWrap/>
            <w:vAlign w:val="bottom"/>
            <w:hideMark/>
          </w:tcPr>
          <w:p w14:paraId="4BEC3C7A" w14:textId="77777777" w:rsidR="004D0359" w:rsidRPr="005269E6" w:rsidRDefault="004D0359" w:rsidP="004D0359">
            <w:pPr>
              <w:tabs>
                <w:tab w:val="clear" w:pos="794"/>
              </w:tabs>
              <w:spacing w:before="0" w:line="200" w:lineRule="exact"/>
              <w:jc w:val="center"/>
              <w:rPr>
                <w:rFonts w:eastAsia="Times New Roman"/>
                <w:b/>
                <w:bCs/>
                <w:color w:val="000000"/>
                <w:sz w:val="18"/>
                <w:szCs w:val="18"/>
                <w:lang w:val="en-GB" w:eastAsia="en-GB"/>
              </w:rPr>
            </w:pPr>
          </w:p>
        </w:tc>
        <w:tc>
          <w:tcPr>
            <w:tcW w:w="1616" w:type="dxa"/>
            <w:tcBorders>
              <w:top w:val="nil"/>
              <w:left w:val="nil"/>
              <w:bottom w:val="nil"/>
              <w:right w:val="nil"/>
            </w:tcBorders>
            <w:shd w:val="clear" w:color="auto" w:fill="auto"/>
            <w:noWrap/>
            <w:vAlign w:val="bottom"/>
            <w:hideMark/>
          </w:tcPr>
          <w:p w14:paraId="40D8E505" w14:textId="77777777" w:rsidR="004D0359" w:rsidRPr="005269E6" w:rsidRDefault="004D0359" w:rsidP="006C1283">
            <w:pPr>
              <w:tabs>
                <w:tab w:val="clear" w:pos="794"/>
              </w:tabs>
              <w:spacing w:before="0" w:line="200" w:lineRule="exact"/>
              <w:jc w:val="left"/>
              <w:rPr>
                <w:rFonts w:eastAsia="Times New Roman"/>
                <w:b/>
                <w:bCs/>
                <w:color w:val="000000"/>
                <w:sz w:val="18"/>
                <w:szCs w:val="18"/>
                <w:lang w:val="en-GB" w:eastAsia="en-GB"/>
              </w:rPr>
            </w:pPr>
          </w:p>
        </w:tc>
        <w:tc>
          <w:tcPr>
            <w:tcW w:w="1568" w:type="dxa"/>
            <w:tcBorders>
              <w:top w:val="nil"/>
              <w:left w:val="nil"/>
              <w:bottom w:val="nil"/>
              <w:right w:val="nil"/>
            </w:tcBorders>
            <w:shd w:val="clear" w:color="auto" w:fill="auto"/>
            <w:noWrap/>
            <w:vAlign w:val="bottom"/>
            <w:hideMark/>
          </w:tcPr>
          <w:p w14:paraId="5BD6BC58" w14:textId="77777777" w:rsidR="004D0359" w:rsidRPr="005269E6" w:rsidRDefault="004D0359" w:rsidP="006C1283">
            <w:pPr>
              <w:tabs>
                <w:tab w:val="clear" w:pos="794"/>
              </w:tabs>
              <w:spacing w:before="0" w:line="200" w:lineRule="exact"/>
              <w:jc w:val="left"/>
              <w:rPr>
                <w:rFonts w:eastAsia="Times New Roman"/>
                <w:b/>
                <w:bCs/>
                <w:color w:val="000000"/>
                <w:sz w:val="18"/>
                <w:szCs w:val="18"/>
                <w:lang w:val="en-GB" w:eastAsia="en-GB"/>
              </w:rPr>
            </w:pPr>
          </w:p>
        </w:tc>
      </w:tr>
      <w:tr w:rsidR="004D0359" w:rsidRPr="005269E6" w14:paraId="01ED0769" w14:textId="77777777" w:rsidTr="004D0359">
        <w:trPr>
          <w:trHeight w:val="529"/>
          <w:jc w:val="center"/>
        </w:trPr>
        <w:tc>
          <w:tcPr>
            <w:tcW w:w="4136" w:type="dxa"/>
            <w:tcBorders>
              <w:top w:val="nil"/>
              <w:left w:val="nil"/>
              <w:bottom w:val="nil"/>
              <w:right w:val="nil"/>
            </w:tcBorders>
            <w:shd w:val="clear" w:color="000000" w:fill="538DD5"/>
            <w:noWrap/>
            <w:vAlign w:val="center"/>
            <w:hideMark/>
          </w:tcPr>
          <w:p w14:paraId="39E6B1AA" w14:textId="088A1BE7" w:rsidR="004D0359" w:rsidRPr="005269E6" w:rsidRDefault="00514CC2" w:rsidP="000875E6">
            <w:pPr>
              <w:spacing w:before="0"/>
              <w:jc w:val="left"/>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ال</w:t>
            </w:r>
            <w:r w:rsidRPr="005269E6">
              <w:rPr>
                <w:rFonts w:eastAsia="Times New Roman"/>
                <w:b/>
                <w:bCs/>
                <w:color w:val="000000"/>
                <w:sz w:val="18"/>
                <w:szCs w:val="18"/>
                <w:rtl/>
                <w:lang w:val="en-GB" w:eastAsia="en-GB"/>
              </w:rPr>
              <w:t xml:space="preserve">مساهمات الواردة </w:t>
            </w:r>
            <w:r w:rsidRPr="005269E6">
              <w:rPr>
                <w:rFonts w:eastAsia="Times New Roman" w:hint="cs"/>
                <w:b/>
                <w:bCs/>
                <w:color w:val="000000"/>
                <w:sz w:val="18"/>
                <w:szCs w:val="18"/>
                <w:rtl/>
                <w:lang w:val="en-GB" w:eastAsia="en-GB"/>
              </w:rPr>
              <w:t>سلفاً</w:t>
            </w:r>
          </w:p>
        </w:tc>
        <w:tc>
          <w:tcPr>
            <w:tcW w:w="1616" w:type="dxa"/>
            <w:tcBorders>
              <w:top w:val="nil"/>
              <w:left w:val="nil"/>
              <w:bottom w:val="nil"/>
              <w:right w:val="nil"/>
            </w:tcBorders>
            <w:shd w:val="clear" w:color="000000" w:fill="538DD5"/>
            <w:noWrap/>
            <w:vAlign w:val="center"/>
            <w:hideMark/>
          </w:tcPr>
          <w:p w14:paraId="623A9A27" w14:textId="477A5FF5" w:rsidR="004D0359" w:rsidRPr="005269E6" w:rsidRDefault="004D0359" w:rsidP="006C128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50 823 </w:t>
            </w:r>
          </w:p>
        </w:tc>
        <w:tc>
          <w:tcPr>
            <w:tcW w:w="1568" w:type="dxa"/>
            <w:tcBorders>
              <w:top w:val="nil"/>
              <w:left w:val="nil"/>
              <w:bottom w:val="nil"/>
              <w:right w:val="nil"/>
            </w:tcBorders>
            <w:shd w:val="clear" w:color="000000" w:fill="538DD5"/>
            <w:noWrap/>
            <w:vAlign w:val="center"/>
            <w:hideMark/>
          </w:tcPr>
          <w:p w14:paraId="7D38AA5F" w14:textId="32301B56" w:rsidR="004D0359" w:rsidRPr="005269E6" w:rsidRDefault="004D0359" w:rsidP="006C128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53 572 </w:t>
            </w:r>
          </w:p>
        </w:tc>
      </w:tr>
    </w:tbl>
    <w:p w14:paraId="2CF61393" w14:textId="66A3F469" w:rsidR="00DA1EA5" w:rsidRPr="005269E6" w:rsidRDefault="00DA1EA5" w:rsidP="004A6F5F">
      <w:pPr>
        <w:spacing w:before="240" w:after="120"/>
        <w:rPr>
          <w:rtl/>
          <w:lang w:bidi="ar-SY"/>
        </w:rPr>
      </w:pPr>
      <w:r w:rsidRPr="005269E6">
        <w:rPr>
          <w:rtl/>
          <w:lang w:bidi="ar-SY"/>
        </w:rPr>
        <w:t xml:space="preserve">يتعلق مبلغ المساهمات الواردة </w:t>
      </w:r>
      <w:r w:rsidRPr="005269E6">
        <w:rPr>
          <w:rFonts w:hint="cs"/>
          <w:rtl/>
          <w:lang w:bidi="ar-EG"/>
        </w:rPr>
        <w:t>سلفاً</w:t>
      </w:r>
      <w:r w:rsidRPr="005269E6">
        <w:rPr>
          <w:rtl/>
          <w:lang w:bidi="ar-SY"/>
        </w:rPr>
        <w:t xml:space="preserve"> </w:t>
      </w:r>
      <w:r w:rsidRPr="005269E6">
        <w:rPr>
          <w:rFonts w:hint="cs"/>
          <w:rtl/>
          <w:lang w:bidi="ar-SY"/>
        </w:rPr>
        <w:t>في</w:t>
      </w:r>
      <w:r w:rsidRPr="005269E6">
        <w:rPr>
          <w:rtl/>
          <w:lang w:bidi="ar-SY"/>
        </w:rPr>
        <w:t xml:space="preserve"> </w:t>
      </w:r>
      <w:r w:rsidRPr="005269E6">
        <w:rPr>
          <w:rFonts w:hint="cs"/>
          <w:rtl/>
          <w:lang w:bidi="ar-SY"/>
        </w:rPr>
        <w:t>ال</w:t>
      </w:r>
      <w:r w:rsidRPr="005269E6">
        <w:rPr>
          <w:rtl/>
          <w:lang w:bidi="ar-SY"/>
        </w:rPr>
        <w:t xml:space="preserve">أساس بالمدفوعات الواردة من الدول الأعضاء في عام 2022 </w:t>
      </w:r>
      <w:r w:rsidRPr="005269E6">
        <w:rPr>
          <w:rFonts w:hint="cs"/>
          <w:rtl/>
          <w:lang w:bidi="ar-SY"/>
        </w:rPr>
        <w:t>عن مساهماتها</w:t>
      </w:r>
      <w:r w:rsidRPr="005269E6">
        <w:rPr>
          <w:rtl/>
          <w:lang w:bidi="ar-SY"/>
        </w:rPr>
        <w:t xml:space="preserve"> المقررة لعام 2023.</w:t>
      </w:r>
    </w:p>
    <w:tbl>
      <w:tblPr>
        <w:bidiVisual/>
        <w:tblW w:w="6521" w:type="dxa"/>
        <w:jc w:val="center"/>
        <w:tblLook w:val="04A0" w:firstRow="1" w:lastRow="0" w:firstColumn="1" w:lastColumn="0" w:noHBand="0" w:noVBand="1"/>
      </w:tblPr>
      <w:tblGrid>
        <w:gridCol w:w="3177"/>
        <w:gridCol w:w="1696"/>
        <w:gridCol w:w="1648"/>
      </w:tblGrid>
      <w:tr w:rsidR="00C72878" w:rsidRPr="005269E6" w14:paraId="54E02769" w14:textId="77777777" w:rsidTr="004A6F5F">
        <w:trPr>
          <w:trHeight w:val="529"/>
          <w:jc w:val="center"/>
        </w:trPr>
        <w:tc>
          <w:tcPr>
            <w:tcW w:w="3177" w:type="dxa"/>
            <w:tcBorders>
              <w:top w:val="nil"/>
              <w:left w:val="nil"/>
              <w:bottom w:val="nil"/>
              <w:right w:val="nil"/>
            </w:tcBorders>
            <w:shd w:val="clear" w:color="000000" w:fill="538DD5"/>
            <w:noWrap/>
            <w:vAlign w:val="center"/>
            <w:hideMark/>
          </w:tcPr>
          <w:p w14:paraId="4B4273A1" w14:textId="3EFE6750" w:rsidR="00C72878" w:rsidRPr="005269E6" w:rsidRDefault="00C72878" w:rsidP="00C72878">
            <w:pPr>
              <w:tabs>
                <w:tab w:val="clear" w:pos="794"/>
              </w:tabs>
              <w:spacing w:before="0" w:line="240" w:lineRule="auto"/>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696" w:type="dxa"/>
            <w:tcBorders>
              <w:top w:val="nil"/>
              <w:left w:val="nil"/>
              <w:bottom w:val="nil"/>
              <w:right w:val="nil"/>
            </w:tcBorders>
            <w:shd w:val="clear" w:color="000000" w:fill="538DD5"/>
            <w:noWrap/>
            <w:vAlign w:val="center"/>
            <w:hideMark/>
          </w:tcPr>
          <w:p w14:paraId="4F5AD0B0" w14:textId="419E054B" w:rsidR="00C72878" w:rsidRPr="005269E6" w:rsidRDefault="00C72878" w:rsidP="00C72878">
            <w:pPr>
              <w:tabs>
                <w:tab w:val="clear" w:pos="794"/>
              </w:tabs>
              <w:spacing w:before="0" w:line="240" w:lineRule="auto"/>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648" w:type="dxa"/>
            <w:tcBorders>
              <w:top w:val="nil"/>
              <w:left w:val="nil"/>
              <w:bottom w:val="nil"/>
              <w:right w:val="nil"/>
            </w:tcBorders>
            <w:shd w:val="clear" w:color="000000" w:fill="538DD5"/>
            <w:vAlign w:val="center"/>
            <w:hideMark/>
          </w:tcPr>
          <w:p w14:paraId="6A04CAAC" w14:textId="6D262662" w:rsidR="00C72878" w:rsidRPr="005269E6" w:rsidRDefault="00C72878" w:rsidP="00C72878">
            <w:pPr>
              <w:tabs>
                <w:tab w:val="clear" w:pos="794"/>
              </w:tabs>
              <w:spacing w:before="0" w:line="240" w:lineRule="auto"/>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44330A" w:rsidRPr="005269E6" w14:paraId="19060931" w14:textId="77777777" w:rsidTr="004A6F5F">
        <w:trPr>
          <w:trHeight w:val="162"/>
          <w:jc w:val="center"/>
        </w:trPr>
        <w:tc>
          <w:tcPr>
            <w:tcW w:w="3177" w:type="dxa"/>
            <w:tcBorders>
              <w:top w:val="nil"/>
              <w:left w:val="nil"/>
              <w:bottom w:val="nil"/>
              <w:right w:val="nil"/>
            </w:tcBorders>
            <w:shd w:val="clear" w:color="auto" w:fill="auto"/>
            <w:noWrap/>
            <w:vAlign w:val="center"/>
            <w:hideMark/>
          </w:tcPr>
          <w:p w14:paraId="3654DBCF" w14:textId="77777777" w:rsidR="0044330A" w:rsidRPr="005269E6" w:rsidRDefault="0044330A" w:rsidP="0044330A">
            <w:pPr>
              <w:tabs>
                <w:tab w:val="clear" w:pos="794"/>
              </w:tabs>
              <w:spacing w:before="0" w:line="200" w:lineRule="exact"/>
              <w:jc w:val="center"/>
              <w:rPr>
                <w:rFonts w:eastAsia="Times New Roman"/>
                <w:b/>
                <w:bCs/>
                <w:color w:val="000000"/>
                <w:sz w:val="18"/>
                <w:szCs w:val="18"/>
                <w:lang w:val="en-GB" w:eastAsia="en-GB"/>
              </w:rPr>
            </w:pPr>
          </w:p>
        </w:tc>
        <w:tc>
          <w:tcPr>
            <w:tcW w:w="1696" w:type="dxa"/>
            <w:tcBorders>
              <w:top w:val="nil"/>
              <w:left w:val="nil"/>
              <w:bottom w:val="nil"/>
              <w:right w:val="nil"/>
            </w:tcBorders>
            <w:shd w:val="clear" w:color="auto" w:fill="auto"/>
            <w:noWrap/>
            <w:vAlign w:val="center"/>
            <w:hideMark/>
          </w:tcPr>
          <w:p w14:paraId="708166EB" w14:textId="77777777" w:rsidR="0044330A" w:rsidRPr="005269E6" w:rsidRDefault="0044330A" w:rsidP="0044330A">
            <w:pPr>
              <w:tabs>
                <w:tab w:val="clear" w:pos="794"/>
              </w:tabs>
              <w:spacing w:before="0" w:line="200" w:lineRule="exact"/>
              <w:jc w:val="center"/>
              <w:rPr>
                <w:rFonts w:eastAsia="Times New Roman"/>
                <w:b/>
                <w:bCs/>
                <w:color w:val="000000"/>
                <w:sz w:val="18"/>
                <w:szCs w:val="18"/>
                <w:lang w:val="en-GB" w:eastAsia="en-GB"/>
              </w:rPr>
            </w:pPr>
          </w:p>
        </w:tc>
        <w:tc>
          <w:tcPr>
            <w:tcW w:w="1648" w:type="dxa"/>
            <w:tcBorders>
              <w:top w:val="nil"/>
              <w:left w:val="nil"/>
              <w:bottom w:val="nil"/>
              <w:right w:val="nil"/>
            </w:tcBorders>
            <w:shd w:val="clear" w:color="auto" w:fill="auto"/>
            <w:vAlign w:val="center"/>
            <w:hideMark/>
          </w:tcPr>
          <w:p w14:paraId="2F563398" w14:textId="77777777" w:rsidR="0044330A" w:rsidRPr="005269E6" w:rsidRDefault="0044330A" w:rsidP="0044330A">
            <w:pPr>
              <w:tabs>
                <w:tab w:val="clear" w:pos="794"/>
              </w:tabs>
              <w:spacing w:before="0" w:line="200" w:lineRule="exact"/>
              <w:jc w:val="center"/>
              <w:rPr>
                <w:rFonts w:eastAsia="Times New Roman"/>
                <w:b/>
                <w:bCs/>
                <w:color w:val="000000"/>
                <w:sz w:val="18"/>
                <w:szCs w:val="18"/>
                <w:lang w:val="en-GB" w:eastAsia="en-GB"/>
              </w:rPr>
            </w:pPr>
          </w:p>
        </w:tc>
      </w:tr>
      <w:tr w:rsidR="0044330A" w:rsidRPr="005269E6" w14:paraId="4EFE6FEB" w14:textId="77777777" w:rsidTr="004A6F5F">
        <w:trPr>
          <w:trHeight w:val="255"/>
          <w:jc w:val="center"/>
        </w:trPr>
        <w:tc>
          <w:tcPr>
            <w:tcW w:w="3177" w:type="dxa"/>
            <w:tcBorders>
              <w:top w:val="nil"/>
              <w:left w:val="nil"/>
              <w:bottom w:val="nil"/>
              <w:right w:val="nil"/>
            </w:tcBorders>
            <w:shd w:val="clear" w:color="auto" w:fill="auto"/>
            <w:noWrap/>
            <w:vAlign w:val="bottom"/>
            <w:hideMark/>
          </w:tcPr>
          <w:p w14:paraId="179B4E68" w14:textId="676A6C9A" w:rsidR="0044330A" w:rsidRPr="005269E6" w:rsidRDefault="00C72878" w:rsidP="00C72878">
            <w:pPr>
              <w:jc w:val="left"/>
              <w:rPr>
                <w:rFonts w:eastAsia="Times New Roman"/>
                <w:color w:val="000000"/>
                <w:sz w:val="18"/>
                <w:szCs w:val="18"/>
                <w:lang w:val="en-GB" w:eastAsia="en-GB"/>
              </w:rPr>
            </w:pPr>
            <w:r w:rsidRPr="005269E6">
              <w:rPr>
                <w:rFonts w:eastAsia="Times New Roman"/>
                <w:color w:val="000000"/>
                <w:sz w:val="18"/>
                <w:szCs w:val="18"/>
                <w:rtl/>
                <w:lang w:val="en-GB" w:eastAsia="en-GB"/>
              </w:rPr>
              <w:t>مساهمات - الموارد الخارجة عن الميزانية</w:t>
            </w:r>
          </w:p>
        </w:tc>
        <w:tc>
          <w:tcPr>
            <w:tcW w:w="1696" w:type="dxa"/>
            <w:tcBorders>
              <w:top w:val="nil"/>
              <w:left w:val="nil"/>
              <w:bottom w:val="nil"/>
              <w:right w:val="nil"/>
            </w:tcBorders>
            <w:shd w:val="clear" w:color="auto" w:fill="auto"/>
            <w:noWrap/>
            <w:vAlign w:val="bottom"/>
            <w:hideMark/>
          </w:tcPr>
          <w:p w14:paraId="3C1BA8B3" w14:textId="77777777" w:rsidR="0044330A" w:rsidRPr="005269E6" w:rsidRDefault="0044330A" w:rsidP="006C1283">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798</w:t>
            </w:r>
          </w:p>
        </w:tc>
        <w:tc>
          <w:tcPr>
            <w:tcW w:w="1648" w:type="dxa"/>
            <w:tcBorders>
              <w:top w:val="nil"/>
              <w:left w:val="nil"/>
              <w:bottom w:val="nil"/>
              <w:right w:val="nil"/>
            </w:tcBorders>
            <w:shd w:val="clear" w:color="auto" w:fill="auto"/>
            <w:noWrap/>
            <w:vAlign w:val="bottom"/>
            <w:hideMark/>
          </w:tcPr>
          <w:p w14:paraId="0C23A85B" w14:textId="77777777" w:rsidR="0044330A" w:rsidRPr="005269E6" w:rsidRDefault="0044330A" w:rsidP="006C1283">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922</w:t>
            </w:r>
          </w:p>
        </w:tc>
      </w:tr>
      <w:tr w:rsidR="0044330A" w:rsidRPr="005269E6" w14:paraId="656BC927" w14:textId="77777777" w:rsidTr="004A6F5F">
        <w:trPr>
          <w:trHeight w:val="255"/>
          <w:jc w:val="center"/>
        </w:trPr>
        <w:tc>
          <w:tcPr>
            <w:tcW w:w="3177" w:type="dxa"/>
            <w:tcBorders>
              <w:top w:val="nil"/>
              <w:left w:val="nil"/>
              <w:bottom w:val="nil"/>
              <w:right w:val="nil"/>
            </w:tcBorders>
            <w:shd w:val="clear" w:color="auto" w:fill="auto"/>
            <w:noWrap/>
            <w:vAlign w:val="bottom"/>
            <w:hideMark/>
          </w:tcPr>
          <w:p w14:paraId="12186171" w14:textId="4C3989D8" w:rsidR="0044330A" w:rsidRPr="005269E6" w:rsidRDefault="00C72878" w:rsidP="0044330A">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rtl/>
                <w:lang w:val="en-GB" w:eastAsia="en-GB"/>
              </w:rPr>
              <w:t>بطاقات التبليغ عن الشبكات الساتلية (</w:t>
            </w:r>
            <w:r w:rsidRPr="005269E6">
              <w:rPr>
                <w:rFonts w:eastAsia="Times New Roman"/>
                <w:color w:val="000000"/>
                <w:sz w:val="18"/>
                <w:szCs w:val="18"/>
                <w:lang w:val="en-GB" w:eastAsia="en-GB"/>
              </w:rPr>
              <w:t>SNF</w:t>
            </w:r>
            <w:r w:rsidRPr="005269E6">
              <w:rPr>
                <w:rFonts w:eastAsia="Times New Roman"/>
                <w:color w:val="000000"/>
                <w:sz w:val="18"/>
                <w:szCs w:val="18"/>
                <w:rtl/>
                <w:lang w:val="en-GB" w:eastAsia="en-GB"/>
              </w:rPr>
              <w:t>)</w:t>
            </w:r>
          </w:p>
        </w:tc>
        <w:tc>
          <w:tcPr>
            <w:tcW w:w="1696" w:type="dxa"/>
            <w:tcBorders>
              <w:top w:val="nil"/>
              <w:left w:val="nil"/>
              <w:bottom w:val="nil"/>
              <w:right w:val="nil"/>
            </w:tcBorders>
            <w:shd w:val="clear" w:color="auto" w:fill="auto"/>
            <w:noWrap/>
            <w:vAlign w:val="bottom"/>
            <w:hideMark/>
          </w:tcPr>
          <w:p w14:paraId="4C5EE213" w14:textId="696C57EC" w:rsidR="0044330A" w:rsidRPr="005269E6" w:rsidRDefault="0044330A" w:rsidP="006C1283">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10 011</w:t>
            </w:r>
          </w:p>
        </w:tc>
        <w:tc>
          <w:tcPr>
            <w:tcW w:w="1648" w:type="dxa"/>
            <w:tcBorders>
              <w:top w:val="nil"/>
              <w:left w:val="nil"/>
              <w:bottom w:val="nil"/>
              <w:right w:val="nil"/>
            </w:tcBorders>
            <w:shd w:val="clear" w:color="auto" w:fill="auto"/>
            <w:noWrap/>
            <w:vAlign w:val="bottom"/>
            <w:hideMark/>
          </w:tcPr>
          <w:p w14:paraId="6F13CB51" w14:textId="55155E46" w:rsidR="0044330A" w:rsidRPr="005269E6" w:rsidRDefault="0044330A" w:rsidP="006C1283">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9 493</w:t>
            </w:r>
          </w:p>
        </w:tc>
      </w:tr>
      <w:tr w:rsidR="0044330A" w:rsidRPr="005269E6" w14:paraId="47EB21A0" w14:textId="77777777" w:rsidTr="004A6F5F">
        <w:trPr>
          <w:trHeight w:val="150"/>
          <w:jc w:val="center"/>
        </w:trPr>
        <w:tc>
          <w:tcPr>
            <w:tcW w:w="3177" w:type="dxa"/>
            <w:tcBorders>
              <w:top w:val="nil"/>
              <w:left w:val="nil"/>
              <w:bottom w:val="nil"/>
              <w:right w:val="nil"/>
            </w:tcBorders>
            <w:shd w:val="clear" w:color="auto" w:fill="auto"/>
            <w:noWrap/>
            <w:vAlign w:val="bottom"/>
            <w:hideMark/>
          </w:tcPr>
          <w:p w14:paraId="7310B834" w14:textId="77777777" w:rsidR="0044330A" w:rsidRPr="005269E6" w:rsidRDefault="0044330A" w:rsidP="0044330A">
            <w:pPr>
              <w:tabs>
                <w:tab w:val="clear" w:pos="794"/>
              </w:tabs>
              <w:spacing w:before="0" w:line="200" w:lineRule="exact"/>
              <w:jc w:val="center"/>
              <w:rPr>
                <w:rFonts w:eastAsia="Times New Roman"/>
                <w:b/>
                <w:bCs/>
                <w:color w:val="000000"/>
                <w:sz w:val="18"/>
                <w:szCs w:val="18"/>
                <w:lang w:val="en-GB" w:eastAsia="en-GB"/>
              </w:rPr>
            </w:pPr>
          </w:p>
        </w:tc>
        <w:tc>
          <w:tcPr>
            <w:tcW w:w="1696" w:type="dxa"/>
            <w:tcBorders>
              <w:top w:val="nil"/>
              <w:left w:val="nil"/>
              <w:bottom w:val="nil"/>
              <w:right w:val="nil"/>
            </w:tcBorders>
            <w:shd w:val="clear" w:color="auto" w:fill="auto"/>
            <w:noWrap/>
            <w:vAlign w:val="bottom"/>
            <w:hideMark/>
          </w:tcPr>
          <w:p w14:paraId="63779754" w14:textId="77777777" w:rsidR="0044330A" w:rsidRPr="005269E6" w:rsidRDefault="0044330A" w:rsidP="006C1283">
            <w:pPr>
              <w:tabs>
                <w:tab w:val="clear" w:pos="794"/>
              </w:tabs>
              <w:spacing w:before="0" w:line="200" w:lineRule="exact"/>
              <w:jc w:val="left"/>
              <w:rPr>
                <w:rFonts w:eastAsia="Times New Roman"/>
                <w:b/>
                <w:bCs/>
                <w:color w:val="000000"/>
                <w:sz w:val="18"/>
                <w:szCs w:val="18"/>
                <w:lang w:val="en-GB" w:eastAsia="en-GB"/>
              </w:rPr>
            </w:pPr>
          </w:p>
        </w:tc>
        <w:tc>
          <w:tcPr>
            <w:tcW w:w="1648" w:type="dxa"/>
            <w:tcBorders>
              <w:top w:val="nil"/>
              <w:left w:val="nil"/>
              <w:bottom w:val="nil"/>
              <w:right w:val="nil"/>
            </w:tcBorders>
            <w:shd w:val="clear" w:color="auto" w:fill="auto"/>
            <w:noWrap/>
            <w:vAlign w:val="bottom"/>
            <w:hideMark/>
          </w:tcPr>
          <w:p w14:paraId="7DF555D7" w14:textId="77777777" w:rsidR="0044330A" w:rsidRPr="005269E6" w:rsidRDefault="0044330A" w:rsidP="006C1283">
            <w:pPr>
              <w:tabs>
                <w:tab w:val="clear" w:pos="794"/>
              </w:tabs>
              <w:spacing w:before="0" w:line="200" w:lineRule="exact"/>
              <w:jc w:val="left"/>
              <w:rPr>
                <w:rFonts w:eastAsia="Times New Roman"/>
                <w:b/>
                <w:bCs/>
                <w:color w:val="000000"/>
                <w:sz w:val="18"/>
                <w:szCs w:val="18"/>
                <w:lang w:val="en-GB" w:eastAsia="en-GB"/>
              </w:rPr>
            </w:pPr>
          </w:p>
        </w:tc>
      </w:tr>
      <w:tr w:rsidR="0044330A" w:rsidRPr="005269E6" w14:paraId="0E28C390" w14:textId="77777777" w:rsidTr="006C1283">
        <w:trPr>
          <w:trHeight w:val="522"/>
          <w:jc w:val="center"/>
        </w:trPr>
        <w:tc>
          <w:tcPr>
            <w:tcW w:w="3177" w:type="dxa"/>
            <w:tcBorders>
              <w:top w:val="nil"/>
              <w:left w:val="nil"/>
              <w:bottom w:val="nil"/>
              <w:right w:val="nil"/>
            </w:tcBorders>
            <w:shd w:val="clear" w:color="000000" w:fill="538DD5"/>
            <w:noWrap/>
            <w:vAlign w:val="center"/>
            <w:hideMark/>
          </w:tcPr>
          <w:p w14:paraId="2275CF2B" w14:textId="16640E9E" w:rsidR="0044330A" w:rsidRPr="005269E6" w:rsidRDefault="00C72878" w:rsidP="006C1283">
            <w:pPr>
              <w:spacing w:before="0"/>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lastRenderedPageBreak/>
              <w:t>الإيرادات المؤجلة</w:t>
            </w:r>
          </w:p>
        </w:tc>
        <w:tc>
          <w:tcPr>
            <w:tcW w:w="1696" w:type="dxa"/>
            <w:tcBorders>
              <w:top w:val="nil"/>
              <w:left w:val="nil"/>
              <w:bottom w:val="nil"/>
              <w:right w:val="nil"/>
            </w:tcBorders>
            <w:shd w:val="clear" w:color="000000" w:fill="538DD5"/>
            <w:noWrap/>
            <w:vAlign w:val="center"/>
            <w:hideMark/>
          </w:tcPr>
          <w:p w14:paraId="1C996882" w14:textId="1EC29C16" w:rsidR="0044330A" w:rsidRPr="005269E6" w:rsidRDefault="0044330A" w:rsidP="006C1283">
            <w:pPr>
              <w:tabs>
                <w:tab w:val="clear" w:pos="794"/>
              </w:tabs>
              <w:spacing w:before="0" w:line="240" w:lineRule="auto"/>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10 809 </w:t>
            </w:r>
          </w:p>
        </w:tc>
        <w:tc>
          <w:tcPr>
            <w:tcW w:w="1648" w:type="dxa"/>
            <w:tcBorders>
              <w:top w:val="nil"/>
              <w:left w:val="nil"/>
              <w:bottom w:val="nil"/>
              <w:right w:val="nil"/>
            </w:tcBorders>
            <w:shd w:val="clear" w:color="000000" w:fill="538DD5"/>
            <w:noWrap/>
            <w:vAlign w:val="center"/>
            <w:hideMark/>
          </w:tcPr>
          <w:p w14:paraId="444B0C6E" w14:textId="0B1985BB" w:rsidR="0044330A" w:rsidRPr="005269E6" w:rsidRDefault="0044330A" w:rsidP="006C1283">
            <w:pPr>
              <w:tabs>
                <w:tab w:val="clear" w:pos="794"/>
              </w:tabs>
              <w:spacing w:before="0" w:line="240" w:lineRule="auto"/>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10 415 </w:t>
            </w:r>
          </w:p>
        </w:tc>
      </w:tr>
    </w:tbl>
    <w:p w14:paraId="4560D5C3" w14:textId="547577B8" w:rsidR="00C72878" w:rsidRPr="005269E6" w:rsidRDefault="00C72878" w:rsidP="00C72878">
      <w:pPr>
        <w:spacing w:before="240"/>
      </w:pPr>
      <w:r w:rsidRPr="005269E6">
        <w:rPr>
          <w:rtl/>
        </w:rPr>
        <w:t xml:space="preserve">وفي عام 2022، </w:t>
      </w:r>
      <w:r w:rsidR="0050263E" w:rsidRPr="005269E6">
        <w:rPr>
          <w:rFonts w:hint="cs"/>
          <w:rtl/>
        </w:rPr>
        <w:t xml:space="preserve">كانت </w:t>
      </w:r>
      <w:r w:rsidRPr="005269E6">
        <w:rPr>
          <w:rtl/>
        </w:rPr>
        <w:t>الإيرادات المؤجلة</w:t>
      </w:r>
      <w:r w:rsidR="0050263E" w:rsidRPr="005269E6">
        <w:rPr>
          <w:rtl/>
        </w:rPr>
        <w:t xml:space="preserve"> تتعلق</w:t>
      </w:r>
      <w:r w:rsidRPr="005269E6">
        <w:rPr>
          <w:rtl/>
        </w:rPr>
        <w:t xml:space="preserve"> أساسا</w:t>
      </w:r>
      <w:r w:rsidR="004A6F5F" w:rsidRPr="005269E6">
        <w:rPr>
          <w:rFonts w:hint="cs"/>
          <w:rtl/>
        </w:rPr>
        <w:t>ً</w:t>
      </w:r>
      <w:r w:rsidRPr="005269E6">
        <w:rPr>
          <w:rtl/>
        </w:rPr>
        <w:t xml:space="preserve"> ببطاقات التبليغ عن الشبكات الساتلية المتعلقة بالطلبات المعالجة والمفوترة في عام 2022 والتي لم يتم بعد نشرها النهائي في النشرة الإعلامية الدولية للترددات (IFIC) لمكتب الاتصالات الراديوية. وأرجأت المساهمات الطوعية الإيرادات المتصلة باتفاق ملز</w:t>
      </w:r>
      <w:r w:rsidR="0050263E" w:rsidRPr="005269E6">
        <w:rPr>
          <w:rFonts w:hint="cs"/>
          <w:rtl/>
        </w:rPr>
        <w:t>ِّ</w:t>
      </w:r>
      <w:r w:rsidRPr="005269E6">
        <w:rPr>
          <w:rtl/>
        </w:rPr>
        <w:t>م موق</w:t>
      </w:r>
      <w:r w:rsidR="0050263E" w:rsidRPr="005269E6">
        <w:rPr>
          <w:rFonts w:hint="cs"/>
          <w:rtl/>
        </w:rPr>
        <w:t>َّ</w:t>
      </w:r>
      <w:r w:rsidRPr="005269E6">
        <w:rPr>
          <w:rtl/>
        </w:rPr>
        <w:t xml:space="preserve">ع </w:t>
      </w:r>
      <w:r w:rsidR="006D1E8B" w:rsidRPr="005269E6">
        <w:rPr>
          <w:rFonts w:hint="cs"/>
          <w:rtl/>
        </w:rPr>
        <w:t xml:space="preserve">والتي </w:t>
      </w:r>
      <w:r w:rsidRPr="005269E6">
        <w:rPr>
          <w:rtl/>
        </w:rPr>
        <w:t xml:space="preserve">لم </w:t>
      </w:r>
      <w:r w:rsidR="006D1E8B" w:rsidRPr="005269E6">
        <w:rPr>
          <w:rFonts w:hint="cs"/>
          <w:rtl/>
        </w:rPr>
        <w:t>تُستلم</w:t>
      </w:r>
      <w:r w:rsidRPr="005269E6">
        <w:rPr>
          <w:rtl/>
        </w:rPr>
        <w:t xml:space="preserve"> في عام 2022.</w:t>
      </w:r>
    </w:p>
    <w:p w14:paraId="611E6DE1" w14:textId="60D0017C" w:rsidR="00C543C6" w:rsidRPr="005269E6" w:rsidRDefault="00C543C6" w:rsidP="00696AA6">
      <w:pPr>
        <w:pStyle w:val="Heading5"/>
      </w:pPr>
      <w:bookmarkStart w:id="494" w:name="_Toc452156635"/>
      <w:bookmarkStart w:id="495" w:name="_Toc482792219"/>
      <w:bookmarkStart w:id="496" w:name="_Toc482793724"/>
      <w:bookmarkStart w:id="497" w:name="_Toc511402240"/>
      <w:bookmarkStart w:id="498" w:name="_Toc511756677"/>
      <w:bookmarkStart w:id="499" w:name="_Toc9614796"/>
      <w:bookmarkStart w:id="500" w:name="_Toc42013551"/>
      <w:bookmarkStart w:id="501" w:name="_Toc42014552"/>
      <w:bookmarkStart w:id="502" w:name="_Toc74061584"/>
      <w:bookmarkStart w:id="503" w:name="_Toc162520635"/>
      <w:r w:rsidRPr="005269E6">
        <w:rPr>
          <w:rtl/>
        </w:rPr>
        <w:t xml:space="preserve">الملاحظة </w:t>
      </w:r>
      <w:r w:rsidR="00E765CD" w:rsidRPr="005269E6">
        <w:rPr>
          <w:rFonts w:hint="cs"/>
          <w:rtl/>
        </w:rPr>
        <w:t>17</w:t>
      </w:r>
      <w:r w:rsidRPr="005269E6">
        <w:rPr>
          <w:rtl/>
        </w:rPr>
        <w:tab/>
      </w:r>
      <w:r w:rsidRPr="005269E6">
        <w:rPr>
          <w:rFonts w:hint="cs"/>
          <w:rtl/>
        </w:rPr>
        <w:t>القروض</w:t>
      </w:r>
      <w:r w:rsidRPr="005269E6">
        <w:rPr>
          <w:rtl/>
        </w:rPr>
        <w:t xml:space="preserve"> والديون المالية الأخرى</w:t>
      </w:r>
      <w:bookmarkEnd w:id="494"/>
      <w:bookmarkEnd w:id="495"/>
      <w:bookmarkEnd w:id="496"/>
      <w:bookmarkEnd w:id="497"/>
      <w:bookmarkEnd w:id="498"/>
      <w:bookmarkEnd w:id="499"/>
      <w:bookmarkEnd w:id="500"/>
      <w:bookmarkEnd w:id="501"/>
      <w:bookmarkEnd w:id="502"/>
      <w:bookmarkEnd w:id="503"/>
    </w:p>
    <w:tbl>
      <w:tblPr>
        <w:bidiVisual/>
        <w:tblW w:w="7240" w:type="dxa"/>
        <w:jc w:val="center"/>
        <w:tblLook w:val="04A0" w:firstRow="1" w:lastRow="0" w:firstColumn="1" w:lastColumn="0" w:noHBand="0" w:noVBand="1"/>
      </w:tblPr>
      <w:tblGrid>
        <w:gridCol w:w="3580"/>
        <w:gridCol w:w="1220"/>
        <w:gridCol w:w="1220"/>
        <w:gridCol w:w="1220"/>
      </w:tblGrid>
      <w:tr w:rsidR="00E765CD" w:rsidRPr="005269E6" w14:paraId="00C7C291" w14:textId="77777777" w:rsidTr="00E765CD">
        <w:trPr>
          <w:trHeight w:val="529"/>
          <w:jc w:val="center"/>
        </w:trPr>
        <w:tc>
          <w:tcPr>
            <w:tcW w:w="3580" w:type="dxa"/>
            <w:tcBorders>
              <w:top w:val="nil"/>
              <w:left w:val="nil"/>
              <w:bottom w:val="nil"/>
              <w:right w:val="nil"/>
            </w:tcBorders>
            <w:shd w:val="clear" w:color="000000" w:fill="538DD5"/>
            <w:vAlign w:val="center"/>
            <w:hideMark/>
          </w:tcPr>
          <w:p w14:paraId="40F51924" w14:textId="669165F0" w:rsidR="00E765CD" w:rsidRPr="005269E6" w:rsidRDefault="005446BC" w:rsidP="00E765CD">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220" w:type="dxa"/>
            <w:tcBorders>
              <w:top w:val="nil"/>
              <w:left w:val="nil"/>
              <w:bottom w:val="nil"/>
              <w:right w:val="nil"/>
            </w:tcBorders>
            <w:shd w:val="clear" w:color="000000" w:fill="538DD5"/>
            <w:vAlign w:val="center"/>
            <w:hideMark/>
          </w:tcPr>
          <w:p w14:paraId="15D25E09" w14:textId="3285DF32" w:rsidR="00E765CD" w:rsidRPr="005269E6" w:rsidRDefault="005446BC" w:rsidP="00126F28">
            <w:pPr>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تاريخ الاستحقاق</w:t>
            </w:r>
          </w:p>
        </w:tc>
        <w:tc>
          <w:tcPr>
            <w:tcW w:w="1220" w:type="dxa"/>
            <w:tcBorders>
              <w:top w:val="nil"/>
              <w:left w:val="nil"/>
              <w:bottom w:val="nil"/>
              <w:right w:val="nil"/>
            </w:tcBorders>
            <w:shd w:val="clear" w:color="000000" w:fill="538DD5"/>
            <w:vAlign w:val="center"/>
            <w:hideMark/>
          </w:tcPr>
          <w:p w14:paraId="426E3E96" w14:textId="77777777" w:rsidR="00E765CD" w:rsidRPr="005269E6" w:rsidRDefault="00E765CD" w:rsidP="00126F28">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12/31/2022</w:t>
            </w:r>
          </w:p>
        </w:tc>
        <w:tc>
          <w:tcPr>
            <w:tcW w:w="1220" w:type="dxa"/>
            <w:tcBorders>
              <w:top w:val="nil"/>
              <w:left w:val="nil"/>
              <w:bottom w:val="nil"/>
              <w:right w:val="nil"/>
            </w:tcBorders>
            <w:shd w:val="clear" w:color="000000" w:fill="538DD5"/>
            <w:vAlign w:val="center"/>
            <w:hideMark/>
          </w:tcPr>
          <w:p w14:paraId="1A63C6A1" w14:textId="615D97D0" w:rsidR="00E765CD" w:rsidRPr="005269E6" w:rsidRDefault="00E765CD" w:rsidP="00126F28">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12/31/2021 </w:t>
            </w:r>
            <w:r w:rsidR="005446BC" w:rsidRPr="005269E6">
              <w:rPr>
                <w:rFonts w:eastAsia="Times New Roman"/>
                <w:b/>
                <w:bCs/>
                <w:color w:val="000000"/>
                <w:sz w:val="18"/>
                <w:szCs w:val="18"/>
                <w:rtl/>
                <w:lang w:val="en-GB" w:eastAsia="en-GB"/>
              </w:rPr>
              <w:t>(أعيد بيانه)</w:t>
            </w:r>
          </w:p>
        </w:tc>
      </w:tr>
      <w:tr w:rsidR="00E765CD" w:rsidRPr="005269E6" w14:paraId="3807105B" w14:textId="77777777" w:rsidTr="00E765CD">
        <w:trPr>
          <w:trHeight w:val="150"/>
          <w:jc w:val="center"/>
        </w:trPr>
        <w:tc>
          <w:tcPr>
            <w:tcW w:w="3580" w:type="dxa"/>
            <w:tcBorders>
              <w:top w:val="nil"/>
              <w:left w:val="nil"/>
              <w:bottom w:val="nil"/>
              <w:right w:val="nil"/>
            </w:tcBorders>
            <w:shd w:val="clear" w:color="auto" w:fill="auto"/>
            <w:vAlign w:val="center"/>
            <w:hideMark/>
          </w:tcPr>
          <w:p w14:paraId="0A7FF15F" w14:textId="77777777" w:rsidR="00E765CD" w:rsidRPr="005269E6" w:rsidRDefault="00E765CD" w:rsidP="00E765CD">
            <w:pPr>
              <w:tabs>
                <w:tab w:val="clear" w:pos="794"/>
              </w:tabs>
              <w:spacing w:before="0" w:line="200" w:lineRule="exact"/>
              <w:jc w:val="center"/>
              <w:rPr>
                <w:rFonts w:eastAsia="Times New Roman"/>
                <w:b/>
                <w:bCs/>
                <w:color w:val="000000"/>
                <w:sz w:val="18"/>
                <w:szCs w:val="18"/>
                <w:lang w:val="en-GB" w:eastAsia="en-GB"/>
              </w:rPr>
            </w:pPr>
          </w:p>
        </w:tc>
        <w:tc>
          <w:tcPr>
            <w:tcW w:w="1220" w:type="dxa"/>
            <w:tcBorders>
              <w:top w:val="nil"/>
              <w:left w:val="nil"/>
              <w:bottom w:val="nil"/>
              <w:right w:val="nil"/>
            </w:tcBorders>
            <w:shd w:val="clear" w:color="auto" w:fill="auto"/>
            <w:vAlign w:val="center"/>
            <w:hideMark/>
          </w:tcPr>
          <w:p w14:paraId="695B81EF" w14:textId="77777777" w:rsidR="00E765CD" w:rsidRPr="005269E6" w:rsidRDefault="00E765CD" w:rsidP="00E765CD">
            <w:pPr>
              <w:tabs>
                <w:tab w:val="clear" w:pos="794"/>
              </w:tabs>
              <w:spacing w:before="0" w:line="200" w:lineRule="exact"/>
              <w:jc w:val="left"/>
              <w:rPr>
                <w:rFonts w:eastAsia="Times New Roman"/>
                <w:b/>
                <w:bCs/>
                <w:color w:val="000000"/>
                <w:sz w:val="18"/>
                <w:szCs w:val="18"/>
                <w:lang w:val="en-GB" w:eastAsia="en-GB"/>
              </w:rPr>
            </w:pPr>
          </w:p>
        </w:tc>
        <w:tc>
          <w:tcPr>
            <w:tcW w:w="1220" w:type="dxa"/>
            <w:tcBorders>
              <w:top w:val="nil"/>
              <w:left w:val="nil"/>
              <w:bottom w:val="nil"/>
              <w:right w:val="nil"/>
            </w:tcBorders>
            <w:shd w:val="clear" w:color="auto" w:fill="auto"/>
            <w:vAlign w:val="center"/>
            <w:hideMark/>
          </w:tcPr>
          <w:p w14:paraId="76948A8C" w14:textId="77777777" w:rsidR="00E765CD" w:rsidRPr="005269E6" w:rsidRDefault="00E765CD" w:rsidP="00E765CD">
            <w:pPr>
              <w:tabs>
                <w:tab w:val="clear" w:pos="794"/>
              </w:tabs>
              <w:spacing w:before="0" w:line="200" w:lineRule="exact"/>
              <w:jc w:val="left"/>
              <w:rPr>
                <w:rFonts w:eastAsia="Times New Roman"/>
                <w:b/>
                <w:bCs/>
                <w:color w:val="000000"/>
                <w:sz w:val="18"/>
                <w:szCs w:val="18"/>
                <w:lang w:val="en-GB" w:eastAsia="en-GB"/>
              </w:rPr>
            </w:pPr>
          </w:p>
        </w:tc>
        <w:tc>
          <w:tcPr>
            <w:tcW w:w="1220" w:type="dxa"/>
            <w:tcBorders>
              <w:top w:val="nil"/>
              <w:left w:val="nil"/>
              <w:bottom w:val="nil"/>
              <w:right w:val="nil"/>
            </w:tcBorders>
            <w:shd w:val="clear" w:color="auto" w:fill="auto"/>
            <w:vAlign w:val="center"/>
            <w:hideMark/>
          </w:tcPr>
          <w:p w14:paraId="3B94016A" w14:textId="77777777" w:rsidR="00E765CD" w:rsidRPr="005269E6" w:rsidRDefault="00E765CD" w:rsidP="00E765CD">
            <w:pPr>
              <w:tabs>
                <w:tab w:val="clear" w:pos="794"/>
              </w:tabs>
              <w:spacing w:before="0" w:line="200" w:lineRule="exact"/>
              <w:jc w:val="center"/>
              <w:rPr>
                <w:rFonts w:eastAsia="Times New Roman"/>
                <w:b/>
                <w:bCs/>
                <w:color w:val="000000"/>
                <w:sz w:val="18"/>
                <w:szCs w:val="18"/>
                <w:lang w:val="en-GB" w:eastAsia="en-GB"/>
              </w:rPr>
            </w:pPr>
          </w:p>
        </w:tc>
      </w:tr>
      <w:tr w:rsidR="00E765CD" w:rsidRPr="005269E6" w14:paraId="598C880F" w14:textId="77777777" w:rsidTr="00E765CD">
        <w:trPr>
          <w:trHeight w:val="255"/>
          <w:jc w:val="center"/>
        </w:trPr>
        <w:tc>
          <w:tcPr>
            <w:tcW w:w="3580" w:type="dxa"/>
            <w:tcBorders>
              <w:top w:val="nil"/>
              <w:left w:val="nil"/>
              <w:bottom w:val="nil"/>
              <w:right w:val="nil"/>
            </w:tcBorders>
            <w:shd w:val="clear" w:color="auto" w:fill="auto"/>
            <w:vAlign w:val="center"/>
            <w:hideMark/>
          </w:tcPr>
          <w:p w14:paraId="020B4C87" w14:textId="063F9550" w:rsidR="00E765CD" w:rsidRPr="005269E6" w:rsidRDefault="005446BC" w:rsidP="005446BC">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صافي القيمة الحالية للقروض</w:t>
            </w:r>
          </w:p>
        </w:tc>
        <w:tc>
          <w:tcPr>
            <w:tcW w:w="1220" w:type="dxa"/>
            <w:tcBorders>
              <w:top w:val="nil"/>
              <w:left w:val="nil"/>
              <w:bottom w:val="nil"/>
              <w:right w:val="nil"/>
            </w:tcBorders>
            <w:shd w:val="clear" w:color="auto" w:fill="auto"/>
            <w:vAlign w:val="center"/>
            <w:hideMark/>
          </w:tcPr>
          <w:p w14:paraId="068385E1" w14:textId="77777777" w:rsidR="00E765CD" w:rsidRPr="005269E6" w:rsidRDefault="00E765CD" w:rsidP="006C1283">
            <w:pPr>
              <w:tabs>
                <w:tab w:val="clear" w:pos="794"/>
              </w:tabs>
              <w:spacing w:before="40" w:after="40" w:line="240" w:lineRule="exact"/>
              <w:jc w:val="left"/>
              <w:rPr>
                <w:rFonts w:eastAsia="Times New Roman"/>
                <w:b/>
                <w:bCs/>
                <w:color w:val="000000"/>
                <w:sz w:val="18"/>
                <w:szCs w:val="18"/>
                <w:lang w:val="en-GB" w:eastAsia="en-GB"/>
              </w:rPr>
            </w:pPr>
          </w:p>
        </w:tc>
        <w:tc>
          <w:tcPr>
            <w:tcW w:w="1220" w:type="dxa"/>
            <w:tcBorders>
              <w:top w:val="nil"/>
              <w:left w:val="nil"/>
              <w:bottom w:val="nil"/>
              <w:right w:val="nil"/>
            </w:tcBorders>
            <w:shd w:val="clear" w:color="auto" w:fill="auto"/>
            <w:vAlign w:val="center"/>
            <w:hideMark/>
          </w:tcPr>
          <w:p w14:paraId="7EB3AA01" w14:textId="77777777" w:rsidR="00E765CD" w:rsidRPr="005269E6" w:rsidRDefault="00E765CD" w:rsidP="006C1283">
            <w:pPr>
              <w:tabs>
                <w:tab w:val="clear" w:pos="794"/>
              </w:tabs>
              <w:spacing w:before="40" w:after="40" w:line="240" w:lineRule="exact"/>
              <w:jc w:val="left"/>
              <w:rPr>
                <w:rFonts w:eastAsia="Times New Roman"/>
                <w:sz w:val="18"/>
                <w:szCs w:val="18"/>
                <w:lang w:val="en-GB" w:eastAsia="en-GB"/>
              </w:rPr>
            </w:pPr>
          </w:p>
        </w:tc>
        <w:tc>
          <w:tcPr>
            <w:tcW w:w="1220" w:type="dxa"/>
            <w:tcBorders>
              <w:top w:val="nil"/>
              <w:left w:val="nil"/>
              <w:bottom w:val="nil"/>
              <w:right w:val="nil"/>
            </w:tcBorders>
            <w:shd w:val="clear" w:color="auto" w:fill="auto"/>
            <w:vAlign w:val="center"/>
            <w:hideMark/>
          </w:tcPr>
          <w:p w14:paraId="4D8DF212" w14:textId="77777777" w:rsidR="00E765CD" w:rsidRPr="005269E6" w:rsidRDefault="00E765CD" w:rsidP="006C1283">
            <w:pPr>
              <w:tabs>
                <w:tab w:val="clear" w:pos="794"/>
              </w:tabs>
              <w:spacing w:before="40" w:after="40" w:line="240" w:lineRule="exact"/>
              <w:jc w:val="left"/>
              <w:rPr>
                <w:rFonts w:eastAsia="Times New Roman"/>
                <w:sz w:val="18"/>
                <w:szCs w:val="18"/>
                <w:lang w:val="en-GB" w:eastAsia="en-GB"/>
              </w:rPr>
            </w:pPr>
          </w:p>
        </w:tc>
      </w:tr>
      <w:tr w:rsidR="00E765CD" w:rsidRPr="005269E6" w14:paraId="2ECEE09E" w14:textId="77777777" w:rsidTr="00E765CD">
        <w:trPr>
          <w:trHeight w:val="255"/>
          <w:jc w:val="center"/>
        </w:trPr>
        <w:tc>
          <w:tcPr>
            <w:tcW w:w="3580" w:type="dxa"/>
            <w:tcBorders>
              <w:top w:val="nil"/>
              <w:left w:val="nil"/>
              <w:bottom w:val="nil"/>
              <w:right w:val="nil"/>
            </w:tcBorders>
            <w:shd w:val="clear" w:color="auto" w:fill="auto"/>
            <w:vAlign w:val="center"/>
            <w:hideMark/>
          </w:tcPr>
          <w:p w14:paraId="7F4C9A63" w14:textId="51E9FB59" w:rsidR="00E765CD" w:rsidRPr="005269E6" w:rsidRDefault="00126F28" w:rsidP="005446BC">
            <w:pPr>
              <w:jc w:val="left"/>
              <w:rPr>
                <w:rFonts w:eastAsia="Times New Roman"/>
                <w:color w:val="000000"/>
                <w:spacing w:val="-2"/>
                <w:sz w:val="18"/>
                <w:szCs w:val="18"/>
                <w:lang w:val="en-GB" w:eastAsia="en-GB"/>
              </w:rPr>
            </w:pPr>
            <w:r w:rsidRPr="005269E6">
              <w:rPr>
                <w:rFonts w:eastAsia="Times New Roman"/>
                <w:color w:val="000000"/>
                <w:spacing w:val="-2"/>
                <w:sz w:val="18"/>
                <w:szCs w:val="18"/>
                <w:lang w:val="en-GB" w:eastAsia="en-GB"/>
              </w:rPr>
              <w:t>19 627 590</w:t>
            </w:r>
            <w:r w:rsidR="005446BC" w:rsidRPr="005269E6">
              <w:rPr>
                <w:rFonts w:eastAsia="Times New Roman"/>
                <w:color w:val="000000"/>
                <w:spacing w:val="-2"/>
                <w:sz w:val="18"/>
                <w:szCs w:val="18"/>
                <w:rtl/>
                <w:lang w:val="en-GB" w:eastAsia="en-GB"/>
              </w:rPr>
              <w:t xml:space="preserve"> فرنكاً سويسرياً - من عام 1990 فصاعدا</w:t>
            </w:r>
            <w:r w:rsidRPr="005269E6">
              <w:rPr>
                <w:rFonts w:eastAsia="Times New Roman" w:hint="cs"/>
                <w:color w:val="000000"/>
                <w:spacing w:val="-2"/>
                <w:sz w:val="18"/>
                <w:szCs w:val="18"/>
                <w:rtl/>
                <w:lang w:val="en-GB" w:eastAsia="en-GB"/>
              </w:rPr>
              <w:t>ً</w:t>
            </w:r>
          </w:p>
        </w:tc>
        <w:tc>
          <w:tcPr>
            <w:tcW w:w="1220" w:type="dxa"/>
            <w:tcBorders>
              <w:top w:val="nil"/>
              <w:left w:val="nil"/>
              <w:bottom w:val="nil"/>
              <w:right w:val="nil"/>
            </w:tcBorders>
            <w:shd w:val="clear" w:color="auto" w:fill="auto"/>
            <w:vAlign w:val="center"/>
            <w:hideMark/>
          </w:tcPr>
          <w:p w14:paraId="38CBBA3B" w14:textId="77777777"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2039</w:t>
            </w:r>
          </w:p>
        </w:tc>
        <w:tc>
          <w:tcPr>
            <w:tcW w:w="1220" w:type="dxa"/>
            <w:tcBorders>
              <w:top w:val="nil"/>
              <w:left w:val="nil"/>
              <w:bottom w:val="nil"/>
              <w:right w:val="nil"/>
            </w:tcBorders>
            <w:shd w:val="clear" w:color="auto" w:fill="auto"/>
            <w:noWrap/>
            <w:vAlign w:val="center"/>
            <w:hideMark/>
          </w:tcPr>
          <w:p w14:paraId="7AB4436B" w14:textId="7FB1A577"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6 615 </w:t>
            </w:r>
          </w:p>
        </w:tc>
        <w:tc>
          <w:tcPr>
            <w:tcW w:w="1220" w:type="dxa"/>
            <w:tcBorders>
              <w:top w:val="nil"/>
              <w:left w:val="nil"/>
              <w:bottom w:val="nil"/>
              <w:right w:val="nil"/>
            </w:tcBorders>
            <w:shd w:val="clear" w:color="auto" w:fill="auto"/>
            <w:noWrap/>
            <w:vAlign w:val="center"/>
            <w:hideMark/>
          </w:tcPr>
          <w:p w14:paraId="708B65D7" w14:textId="0BE73156"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7 971 </w:t>
            </w:r>
          </w:p>
        </w:tc>
      </w:tr>
      <w:tr w:rsidR="00E765CD" w:rsidRPr="005269E6" w14:paraId="013F5D3D" w14:textId="77777777" w:rsidTr="00E765CD">
        <w:trPr>
          <w:trHeight w:val="255"/>
          <w:jc w:val="center"/>
        </w:trPr>
        <w:tc>
          <w:tcPr>
            <w:tcW w:w="3580" w:type="dxa"/>
            <w:tcBorders>
              <w:top w:val="nil"/>
              <w:left w:val="nil"/>
              <w:bottom w:val="nil"/>
              <w:right w:val="nil"/>
            </w:tcBorders>
            <w:shd w:val="clear" w:color="auto" w:fill="auto"/>
            <w:vAlign w:val="center"/>
            <w:hideMark/>
          </w:tcPr>
          <w:p w14:paraId="518BDC72" w14:textId="6EC20BD2" w:rsidR="00E765CD" w:rsidRPr="005269E6" w:rsidRDefault="00126F28" w:rsidP="00EB1EE5">
            <w:pPr>
              <w:jc w:val="left"/>
              <w:rPr>
                <w:rFonts w:eastAsia="Times New Roman"/>
                <w:color w:val="000000"/>
                <w:spacing w:val="-2"/>
                <w:sz w:val="18"/>
                <w:szCs w:val="18"/>
                <w:lang w:val="en-GB" w:eastAsia="en-GB" w:bidi="ar-SY"/>
              </w:rPr>
            </w:pPr>
            <w:r w:rsidRPr="005269E6">
              <w:rPr>
                <w:rFonts w:eastAsia="Times New Roman"/>
                <w:color w:val="000000"/>
                <w:spacing w:val="-2"/>
                <w:sz w:val="18"/>
                <w:szCs w:val="18"/>
                <w:lang w:val="en-GB" w:eastAsia="en-GB"/>
              </w:rPr>
              <w:t>45 427 250</w:t>
            </w:r>
            <w:r w:rsidR="00EB1EE5" w:rsidRPr="005269E6">
              <w:rPr>
                <w:rFonts w:eastAsia="Times New Roman"/>
                <w:color w:val="000000"/>
                <w:spacing w:val="-2"/>
                <w:sz w:val="18"/>
                <w:szCs w:val="18"/>
                <w:rtl/>
                <w:lang w:val="en-GB" w:eastAsia="en-GB"/>
              </w:rPr>
              <w:t xml:space="preserve"> فرنكاً سويسرياً - من عام 2002 فصاعدا</w:t>
            </w:r>
            <w:r w:rsidRPr="005269E6">
              <w:rPr>
                <w:rFonts w:eastAsia="Times New Roman" w:hint="cs"/>
                <w:color w:val="000000"/>
                <w:spacing w:val="-2"/>
                <w:sz w:val="18"/>
                <w:szCs w:val="18"/>
                <w:rtl/>
                <w:lang w:val="en-GB" w:eastAsia="en-GB"/>
              </w:rPr>
              <w:t>ً</w:t>
            </w:r>
          </w:p>
        </w:tc>
        <w:tc>
          <w:tcPr>
            <w:tcW w:w="1220" w:type="dxa"/>
            <w:tcBorders>
              <w:top w:val="nil"/>
              <w:left w:val="nil"/>
              <w:bottom w:val="nil"/>
              <w:right w:val="nil"/>
            </w:tcBorders>
            <w:shd w:val="clear" w:color="auto" w:fill="auto"/>
            <w:vAlign w:val="center"/>
            <w:hideMark/>
          </w:tcPr>
          <w:p w14:paraId="7D94F374" w14:textId="77777777"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2051</w:t>
            </w:r>
          </w:p>
        </w:tc>
        <w:tc>
          <w:tcPr>
            <w:tcW w:w="1220" w:type="dxa"/>
            <w:tcBorders>
              <w:top w:val="nil"/>
              <w:left w:val="nil"/>
              <w:bottom w:val="nil"/>
              <w:right w:val="nil"/>
            </w:tcBorders>
            <w:shd w:val="clear" w:color="auto" w:fill="auto"/>
            <w:noWrap/>
            <w:vAlign w:val="center"/>
            <w:hideMark/>
          </w:tcPr>
          <w:p w14:paraId="564C9483" w14:textId="558745BB"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21 307 </w:t>
            </w:r>
          </w:p>
        </w:tc>
        <w:tc>
          <w:tcPr>
            <w:tcW w:w="1220" w:type="dxa"/>
            <w:tcBorders>
              <w:top w:val="nil"/>
              <w:left w:val="nil"/>
              <w:bottom w:val="nil"/>
              <w:right w:val="nil"/>
            </w:tcBorders>
            <w:shd w:val="clear" w:color="auto" w:fill="auto"/>
            <w:noWrap/>
            <w:vAlign w:val="center"/>
            <w:hideMark/>
          </w:tcPr>
          <w:p w14:paraId="52EA4AAB" w14:textId="0CFE2E2E"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27 257 </w:t>
            </w:r>
          </w:p>
        </w:tc>
      </w:tr>
      <w:tr w:rsidR="00E765CD" w:rsidRPr="005269E6" w14:paraId="28E6E452" w14:textId="77777777" w:rsidTr="00E765CD">
        <w:trPr>
          <w:trHeight w:val="255"/>
          <w:jc w:val="center"/>
        </w:trPr>
        <w:tc>
          <w:tcPr>
            <w:tcW w:w="3580" w:type="dxa"/>
            <w:tcBorders>
              <w:top w:val="nil"/>
              <w:left w:val="nil"/>
              <w:bottom w:val="nil"/>
              <w:right w:val="nil"/>
            </w:tcBorders>
            <w:shd w:val="clear" w:color="auto" w:fill="auto"/>
            <w:vAlign w:val="center"/>
            <w:hideMark/>
          </w:tcPr>
          <w:p w14:paraId="76E89BD6" w14:textId="6A95BF9B" w:rsidR="00E765CD" w:rsidRPr="005269E6" w:rsidRDefault="00126F28" w:rsidP="00EB1EE5">
            <w:pPr>
              <w:jc w:val="left"/>
              <w:rPr>
                <w:rFonts w:eastAsia="Times New Roman"/>
                <w:color w:val="000000"/>
                <w:spacing w:val="-2"/>
                <w:sz w:val="18"/>
                <w:szCs w:val="18"/>
                <w:lang w:val="en-GB" w:eastAsia="en-GB"/>
              </w:rPr>
            </w:pPr>
            <w:r w:rsidRPr="005269E6">
              <w:rPr>
                <w:rFonts w:eastAsia="Times New Roman"/>
                <w:color w:val="000000"/>
                <w:spacing w:val="-2"/>
                <w:sz w:val="18"/>
                <w:szCs w:val="18"/>
                <w:lang w:val="en-GB" w:eastAsia="en-GB"/>
              </w:rPr>
              <w:t>2 000 000</w:t>
            </w:r>
            <w:r w:rsidR="00EB1EE5" w:rsidRPr="005269E6">
              <w:rPr>
                <w:rFonts w:eastAsia="Times New Roman"/>
                <w:color w:val="000000"/>
                <w:spacing w:val="-2"/>
                <w:sz w:val="18"/>
                <w:szCs w:val="18"/>
                <w:rtl/>
                <w:lang w:val="en-GB" w:eastAsia="en-GB"/>
              </w:rPr>
              <w:t xml:space="preserve"> فرنك سويسري - من عام 2002 فصاعدا</w:t>
            </w:r>
            <w:r w:rsidRPr="005269E6">
              <w:rPr>
                <w:rFonts w:eastAsia="Times New Roman" w:hint="cs"/>
                <w:color w:val="000000"/>
                <w:spacing w:val="-2"/>
                <w:sz w:val="18"/>
                <w:szCs w:val="18"/>
                <w:rtl/>
                <w:lang w:val="en-GB" w:eastAsia="en-GB"/>
              </w:rPr>
              <w:t>ً</w:t>
            </w:r>
          </w:p>
        </w:tc>
        <w:tc>
          <w:tcPr>
            <w:tcW w:w="1220" w:type="dxa"/>
            <w:tcBorders>
              <w:top w:val="nil"/>
              <w:left w:val="nil"/>
              <w:bottom w:val="nil"/>
              <w:right w:val="nil"/>
            </w:tcBorders>
            <w:shd w:val="clear" w:color="auto" w:fill="auto"/>
            <w:vAlign w:val="center"/>
            <w:hideMark/>
          </w:tcPr>
          <w:p w14:paraId="54AF672A" w14:textId="77777777"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2051</w:t>
            </w:r>
          </w:p>
        </w:tc>
        <w:tc>
          <w:tcPr>
            <w:tcW w:w="1220" w:type="dxa"/>
            <w:tcBorders>
              <w:top w:val="nil"/>
              <w:left w:val="nil"/>
              <w:bottom w:val="nil"/>
              <w:right w:val="nil"/>
            </w:tcBorders>
            <w:shd w:val="clear" w:color="auto" w:fill="auto"/>
            <w:noWrap/>
            <w:vAlign w:val="center"/>
            <w:hideMark/>
          </w:tcPr>
          <w:p w14:paraId="68159664" w14:textId="723DDACF"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938 </w:t>
            </w:r>
          </w:p>
        </w:tc>
        <w:tc>
          <w:tcPr>
            <w:tcW w:w="1220" w:type="dxa"/>
            <w:tcBorders>
              <w:top w:val="nil"/>
              <w:left w:val="nil"/>
              <w:bottom w:val="nil"/>
              <w:right w:val="nil"/>
            </w:tcBorders>
            <w:shd w:val="clear" w:color="auto" w:fill="auto"/>
            <w:noWrap/>
            <w:vAlign w:val="center"/>
            <w:hideMark/>
          </w:tcPr>
          <w:p w14:paraId="1F3755E5" w14:textId="06A0C0BE"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1 200 </w:t>
            </w:r>
          </w:p>
        </w:tc>
      </w:tr>
      <w:tr w:rsidR="00E765CD" w:rsidRPr="005269E6" w14:paraId="39D173FF" w14:textId="77777777" w:rsidTr="00E765CD">
        <w:trPr>
          <w:trHeight w:val="255"/>
          <w:jc w:val="center"/>
        </w:trPr>
        <w:tc>
          <w:tcPr>
            <w:tcW w:w="3580" w:type="dxa"/>
            <w:tcBorders>
              <w:top w:val="nil"/>
              <w:left w:val="nil"/>
              <w:bottom w:val="nil"/>
              <w:right w:val="nil"/>
            </w:tcBorders>
            <w:shd w:val="clear" w:color="auto" w:fill="auto"/>
            <w:vAlign w:val="center"/>
            <w:hideMark/>
          </w:tcPr>
          <w:p w14:paraId="3CD1E51F" w14:textId="45AD340A" w:rsidR="00E765CD" w:rsidRPr="005269E6" w:rsidRDefault="00EB1EE5" w:rsidP="00EB1EE5">
            <w:pPr>
              <w:jc w:val="left"/>
              <w:rPr>
                <w:rFonts w:eastAsia="Times New Roman"/>
                <w:color w:val="000000"/>
                <w:sz w:val="18"/>
                <w:szCs w:val="18"/>
                <w:lang w:val="en-GB" w:eastAsia="en-GB"/>
              </w:rPr>
            </w:pPr>
            <w:r w:rsidRPr="005269E6">
              <w:rPr>
                <w:rFonts w:eastAsia="Times New Roman"/>
                <w:color w:val="000000"/>
                <w:sz w:val="18"/>
                <w:szCs w:val="18"/>
                <w:rtl/>
                <w:lang w:val="en-GB" w:eastAsia="en-GB"/>
              </w:rPr>
              <w:t>مشروع مبنى جديد</w:t>
            </w:r>
          </w:p>
        </w:tc>
        <w:tc>
          <w:tcPr>
            <w:tcW w:w="1220" w:type="dxa"/>
            <w:tcBorders>
              <w:top w:val="nil"/>
              <w:left w:val="nil"/>
              <w:bottom w:val="nil"/>
              <w:right w:val="nil"/>
            </w:tcBorders>
            <w:shd w:val="clear" w:color="auto" w:fill="auto"/>
            <w:vAlign w:val="center"/>
            <w:hideMark/>
          </w:tcPr>
          <w:p w14:paraId="5B4FAD1A" w14:textId="77777777"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p>
        </w:tc>
        <w:tc>
          <w:tcPr>
            <w:tcW w:w="1220" w:type="dxa"/>
            <w:tcBorders>
              <w:top w:val="nil"/>
              <w:left w:val="nil"/>
              <w:bottom w:val="nil"/>
              <w:right w:val="nil"/>
            </w:tcBorders>
            <w:shd w:val="clear" w:color="auto" w:fill="auto"/>
            <w:noWrap/>
            <w:vAlign w:val="center"/>
            <w:hideMark/>
          </w:tcPr>
          <w:p w14:paraId="1AB0AC4B" w14:textId="3973C693"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19 471 </w:t>
            </w:r>
          </w:p>
        </w:tc>
        <w:tc>
          <w:tcPr>
            <w:tcW w:w="1220" w:type="dxa"/>
            <w:tcBorders>
              <w:top w:val="nil"/>
              <w:left w:val="nil"/>
              <w:bottom w:val="nil"/>
              <w:right w:val="nil"/>
            </w:tcBorders>
            <w:shd w:val="clear" w:color="auto" w:fill="auto"/>
            <w:noWrap/>
            <w:vAlign w:val="center"/>
            <w:hideMark/>
          </w:tcPr>
          <w:p w14:paraId="06CE77AA" w14:textId="73842BF6"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16 954 </w:t>
            </w:r>
          </w:p>
        </w:tc>
      </w:tr>
      <w:tr w:rsidR="00E765CD" w:rsidRPr="005269E6" w14:paraId="28448CDD" w14:textId="77777777" w:rsidTr="00E765CD">
        <w:trPr>
          <w:trHeight w:val="255"/>
          <w:jc w:val="center"/>
        </w:trPr>
        <w:tc>
          <w:tcPr>
            <w:tcW w:w="3580" w:type="dxa"/>
            <w:tcBorders>
              <w:top w:val="nil"/>
              <w:left w:val="nil"/>
              <w:bottom w:val="nil"/>
              <w:right w:val="nil"/>
            </w:tcBorders>
            <w:shd w:val="clear" w:color="auto" w:fill="auto"/>
            <w:vAlign w:val="center"/>
            <w:hideMark/>
          </w:tcPr>
          <w:p w14:paraId="335BE32A" w14:textId="77777777" w:rsidR="00E765CD" w:rsidRPr="005269E6" w:rsidRDefault="00E765CD" w:rsidP="00E765CD">
            <w:pPr>
              <w:tabs>
                <w:tab w:val="clear" w:pos="794"/>
              </w:tabs>
              <w:spacing w:before="0" w:line="200" w:lineRule="exact"/>
              <w:jc w:val="center"/>
              <w:rPr>
                <w:rFonts w:eastAsia="Times New Roman"/>
                <w:b/>
                <w:bCs/>
                <w:color w:val="000000"/>
                <w:sz w:val="18"/>
                <w:szCs w:val="18"/>
                <w:lang w:val="en-GB" w:eastAsia="en-GB"/>
              </w:rPr>
            </w:pPr>
          </w:p>
        </w:tc>
        <w:tc>
          <w:tcPr>
            <w:tcW w:w="1220" w:type="dxa"/>
            <w:tcBorders>
              <w:top w:val="nil"/>
              <w:left w:val="nil"/>
              <w:bottom w:val="nil"/>
              <w:right w:val="nil"/>
            </w:tcBorders>
            <w:shd w:val="clear" w:color="auto" w:fill="auto"/>
            <w:vAlign w:val="center"/>
            <w:hideMark/>
          </w:tcPr>
          <w:p w14:paraId="6726A0D1" w14:textId="77777777" w:rsidR="00E765CD" w:rsidRPr="005269E6" w:rsidRDefault="00E765CD" w:rsidP="006C1283">
            <w:pPr>
              <w:tabs>
                <w:tab w:val="clear" w:pos="794"/>
              </w:tabs>
              <w:spacing w:before="0" w:line="200" w:lineRule="exact"/>
              <w:jc w:val="left"/>
              <w:rPr>
                <w:rFonts w:eastAsia="Times New Roman"/>
                <w:b/>
                <w:bCs/>
                <w:color w:val="000000"/>
                <w:sz w:val="18"/>
                <w:szCs w:val="18"/>
                <w:lang w:val="en-GB" w:eastAsia="en-GB"/>
              </w:rPr>
            </w:pPr>
          </w:p>
        </w:tc>
        <w:tc>
          <w:tcPr>
            <w:tcW w:w="1220" w:type="dxa"/>
            <w:tcBorders>
              <w:top w:val="nil"/>
              <w:left w:val="nil"/>
              <w:bottom w:val="nil"/>
              <w:right w:val="nil"/>
            </w:tcBorders>
            <w:shd w:val="clear" w:color="auto" w:fill="auto"/>
            <w:noWrap/>
            <w:vAlign w:val="center"/>
            <w:hideMark/>
          </w:tcPr>
          <w:p w14:paraId="4FF4549B" w14:textId="77777777" w:rsidR="00E765CD" w:rsidRPr="005269E6" w:rsidRDefault="00E765CD" w:rsidP="006C1283">
            <w:pPr>
              <w:tabs>
                <w:tab w:val="clear" w:pos="794"/>
              </w:tabs>
              <w:spacing w:before="0" w:line="200" w:lineRule="exact"/>
              <w:jc w:val="left"/>
              <w:rPr>
                <w:rFonts w:eastAsia="Times New Roman"/>
                <w:b/>
                <w:bCs/>
                <w:color w:val="000000"/>
                <w:sz w:val="18"/>
                <w:szCs w:val="18"/>
                <w:lang w:val="en-GB" w:eastAsia="en-GB"/>
              </w:rPr>
            </w:pPr>
          </w:p>
        </w:tc>
        <w:tc>
          <w:tcPr>
            <w:tcW w:w="1220" w:type="dxa"/>
            <w:tcBorders>
              <w:top w:val="nil"/>
              <w:left w:val="nil"/>
              <w:bottom w:val="nil"/>
              <w:right w:val="nil"/>
            </w:tcBorders>
            <w:shd w:val="clear" w:color="auto" w:fill="auto"/>
            <w:noWrap/>
            <w:vAlign w:val="center"/>
            <w:hideMark/>
          </w:tcPr>
          <w:p w14:paraId="6B5EA09D" w14:textId="77777777" w:rsidR="00E765CD" w:rsidRPr="005269E6" w:rsidRDefault="00E765CD" w:rsidP="006C1283">
            <w:pPr>
              <w:tabs>
                <w:tab w:val="clear" w:pos="794"/>
              </w:tabs>
              <w:spacing w:before="0" w:line="200" w:lineRule="exact"/>
              <w:jc w:val="left"/>
              <w:rPr>
                <w:rFonts w:eastAsia="Times New Roman"/>
                <w:b/>
                <w:bCs/>
                <w:color w:val="000000"/>
                <w:sz w:val="18"/>
                <w:szCs w:val="18"/>
                <w:lang w:val="en-GB" w:eastAsia="en-GB"/>
              </w:rPr>
            </w:pPr>
          </w:p>
        </w:tc>
      </w:tr>
      <w:tr w:rsidR="00E765CD" w:rsidRPr="005269E6" w14:paraId="32394CA7" w14:textId="77777777" w:rsidTr="00E765CD">
        <w:trPr>
          <w:trHeight w:val="255"/>
          <w:jc w:val="center"/>
        </w:trPr>
        <w:tc>
          <w:tcPr>
            <w:tcW w:w="3580" w:type="dxa"/>
            <w:tcBorders>
              <w:top w:val="nil"/>
              <w:left w:val="nil"/>
              <w:bottom w:val="nil"/>
              <w:right w:val="nil"/>
            </w:tcBorders>
            <w:shd w:val="clear" w:color="auto" w:fill="auto"/>
            <w:vAlign w:val="center"/>
            <w:hideMark/>
          </w:tcPr>
          <w:p w14:paraId="68DCCE6D" w14:textId="493C23DF" w:rsidR="00E765CD" w:rsidRPr="005269E6" w:rsidRDefault="005D26CA" w:rsidP="00E765CD">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 xml:space="preserve">القروض قصيرة الأجل </w:t>
            </w:r>
          </w:p>
        </w:tc>
        <w:tc>
          <w:tcPr>
            <w:tcW w:w="1220" w:type="dxa"/>
            <w:tcBorders>
              <w:top w:val="nil"/>
              <w:left w:val="nil"/>
              <w:bottom w:val="nil"/>
              <w:right w:val="nil"/>
            </w:tcBorders>
            <w:shd w:val="clear" w:color="auto" w:fill="auto"/>
            <w:vAlign w:val="center"/>
            <w:hideMark/>
          </w:tcPr>
          <w:p w14:paraId="79E82B1F" w14:textId="77777777"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p>
        </w:tc>
        <w:tc>
          <w:tcPr>
            <w:tcW w:w="1220" w:type="dxa"/>
            <w:tcBorders>
              <w:top w:val="nil"/>
              <w:left w:val="nil"/>
              <w:bottom w:val="nil"/>
              <w:right w:val="nil"/>
            </w:tcBorders>
            <w:shd w:val="clear" w:color="auto" w:fill="auto"/>
            <w:noWrap/>
            <w:vAlign w:val="center"/>
            <w:hideMark/>
          </w:tcPr>
          <w:p w14:paraId="5ACB4A4F" w14:textId="3A908D08"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1 391 </w:t>
            </w:r>
          </w:p>
        </w:tc>
        <w:tc>
          <w:tcPr>
            <w:tcW w:w="1220" w:type="dxa"/>
            <w:tcBorders>
              <w:top w:val="nil"/>
              <w:left w:val="nil"/>
              <w:bottom w:val="nil"/>
              <w:right w:val="nil"/>
            </w:tcBorders>
            <w:shd w:val="clear" w:color="auto" w:fill="auto"/>
            <w:noWrap/>
            <w:vAlign w:val="center"/>
            <w:hideMark/>
          </w:tcPr>
          <w:p w14:paraId="43EE90E4" w14:textId="69EBB5D8"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1 391 </w:t>
            </w:r>
          </w:p>
        </w:tc>
      </w:tr>
      <w:tr w:rsidR="00E765CD" w:rsidRPr="005269E6" w14:paraId="2B18F453" w14:textId="77777777" w:rsidTr="00E765CD">
        <w:trPr>
          <w:trHeight w:val="255"/>
          <w:jc w:val="center"/>
        </w:trPr>
        <w:tc>
          <w:tcPr>
            <w:tcW w:w="3580" w:type="dxa"/>
            <w:tcBorders>
              <w:top w:val="nil"/>
              <w:left w:val="nil"/>
              <w:bottom w:val="nil"/>
              <w:right w:val="nil"/>
            </w:tcBorders>
            <w:shd w:val="clear" w:color="auto" w:fill="auto"/>
            <w:vAlign w:val="center"/>
            <w:hideMark/>
          </w:tcPr>
          <w:p w14:paraId="5B3E63A1" w14:textId="2338F928" w:rsidR="00E765CD" w:rsidRPr="005269E6" w:rsidRDefault="005D26CA" w:rsidP="00E765CD">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 xml:space="preserve">القروض طويلة الأجل </w:t>
            </w:r>
          </w:p>
        </w:tc>
        <w:tc>
          <w:tcPr>
            <w:tcW w:w="1220" w:type="dxa"/>
            <w:tcBorders>
              <w:top w:val="nil"/>
              <w:left w:val="nil"/>
              <w:bottom w:val="nil"/>
              <w:right w:val="nil"/>
            </w:tcBorders>
            <w:shd w:val="clear" w:color="auto" w:fill="auto"/>
            <w:vAlign w:val="center"/>
            <w:hideMark/>
          </w:tcPr>
          <w:p w14:paraId="038103D7" w14:textId="77777777"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p>
        </w:tc>
        <w:tc>
          <w:tcPr>
            <w:tcW w:w="1220" w:type="dxa"/>
            <w:tcBorders>
              <w:top w:val="nil"/>
              <w:left w:val="nil"/>
              <w:bottom w:val="nil"/>
              <w:right w:val="nil"/>
            </w:tcBorders>
            <w:shd w:val="clear" w:color="auto" w:fill="auto"/>
            <w:noWrap/>
            <w:vAlign w:val="center"/>
            <w:hideMark/>
          </w:tcPr>
          <w:p w14:paraId="077CF53F" w14:textId="6CF7E14E"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46 940 </w:t>
            </w:r>
          </w:p>
        </w:tc>
        <w:tc>
          <w:tcPr>
            <w:tcW w:w="1220" w:type="dxa"/>
            <w:tcBorders>
              <w:top w:val="nil"/>
              <w:left w:val="nil"/>
              <w:bottom w:val="nil"/>
              <w:right w:val="nil"/>
            </w:tcBorders>
            <w:shd w:val="clear" w:color="auto" w:fill="auto"/>
            <w:noWrap/>
            <w:vAlign w:val="center"/>
            <w:hideMark/>
          </w:tcPr>
          <w:p w14:paraId="5FD936D2" w14:textId="0A1BCE4C" w:rsidR="00E765CD" w:rsidRPr="005269E6" w:rsidRDefault="00E765CD" w:rsidP="006C12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51 991 </w:t>
            </w:r>
          </w:p>
        </w:tc>
      </w:tr>
      <w:tr w:rsidR="00E765CD" w:rsidRPr="005269E6" w14:paraId="6FDDA335" w14:textId="77777777" w:rsidTr="004C39BB">
        <w:trPr>
          <w:trHeight w:val="265"/>
          <w:jc w:val="center"/>
        </w:trPr>
        <w:tc>
          <w:tcPr>
            <w:tcW w:w="3580" w:type="dxa"/>
            <w:tcBorders>
              <w:top w:val="nil"/>
              <w:left w:val="nil"/>
              <w:bottom w:val="nil"/>
              <w:right w:val="nil"/>
            </w:tcBorders>
            <w:shd w:val="clear" w:color="000000" w:fill="538DD5"/>
            <w:vAlign w:val="center"/>
            <w:hideMark/>
          </w:tcPr>
          <w:p w14:paraId="7761EC6A" w14:textId="6FD493EF" w:rsidR="00E765CD" w:rsidRPr="005269E6" w:rsidRDefault="005D26CA" w:rsidP="000875E6">
            <w:pPr>
              <w:spacing w:after="120"/>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القروض - صافي القيمة الحالية</w:t>
            </w:r>
          </w:p>
        </w:tc>
        <w:tc>
          <w:tcPr>
            <w:tcW w:w="1220" w:type="dxa"/>
            <w:tcBorders>
              <w:top w:val="nil"/>
              <w:left w:val="nil"/>
              <w:bottom w:val="nil"/>
              <w:right w:val="nil"/>
            </w:tcBorders>
            <w:shd w:val="clear" w:color="000000" w:fill="538DD5"/>
            <w:vAlign w:val="center"/>
            <w:hideMark/>
          </w:tcPr>
          <w:p w14:paraId="02B79DAA" w14:textId="77777777" w:rsidR="00E765CD" w:rsidRPr="005269E6" w:rsidRDefault="00E765CD" w:rsidP="000875E6">
            <w:pPr>
              <w:tabs>
                <w:tab w:val="clear" w:pos="794"/>
              </w:tabs>
              <w:spacing w:after="12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w:t>
            </w:r>
          </w:p>
        </w:tc>
        <w:tc>
          <w:tcPr>
            <w:tcW w:w="1220" w:type="dxa"/>
            <w:tcBorders>
              <w:top w:val="nil"/>
              <w:left w:val="nil"/>
              <w:bottom w:val="nil"/>
              <w:right w:val="nil"/>
            </w:tcBorders>
            <w:shd w:val="clear" w:color="000000" w:fill="538DD5"/>
            <w:noWrap/>
            <w:vAlign w:val="center"/>
            <w:hideMark/>
          </w:tcPr>
          <w:p w14:paraId="59283FAC" w14:textId="2F98317E" w:rsidR="00E765CD" w:rsidRPr="005269E6" w:rsidRDefault="00E765CD" w:rsidP="000875E6">
            <w:pPr>
              <w:tabs>
                <w:tab w:val="clear" w:pos="794"/>
              </w:tabs>
              <w:spacing w:after="12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48 332 </w:t>
            </w:r>
          </w:p>
        </w:tc>
        <w:tc>
          <w:tcPr>
            <w:tcW w:w="1220" w:type="dxa"/>
            <w:tcBorders>
              <w:top w:val="nil"/>
              <w:left w:val="nil"/>
              <w:bottom w:val="nil"/>
              <w:right w:val="nil"/>
            </w:tcBorders>
            <w:shd w:val="clear" w:color="000000" w:fill="538DD5"/>
            <w:noWrap/>
            <w:vAlign w:val="center"/>
            <w:hideMark/>
          </w:tcPr>
          <w:p w14:paraId="781F9D2C" w14:textId="73529523" w:rsidR="00E765CD" w:rsidRPr="005269E6" w:rsidRDefault="00E765CD" w:rsidP="000875E6">
            <w:pPr>
              <w:tabs>
                <w:tab w:val="clear" w:pos="794"/>
              </w:tabs>
              <w:spacing w:after="12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53 382 </w:t>
            </w:r>
          </w:p>
        </w:tc>
      </w:tr>
    </w:tbl>
    <w:p w14:paraId="22B0D42A" w14:textId="27A67457" w:rsidR="00E765CD" w:rsidRPr="005269E6" w:rsidRDefault="00230DD1" w:rsidP="00230DD1">
      <w:pPr>
        <w:spacing w:before="240"/>
        <w:rPr>
          <w:rtl/>
          <w:lang w:bidi="ar-SY"/>
        </w:rPr>
      </w:pPr>
      <w:r w:rsidRPr="005269E6">
        <w:rPr>
          <w:rtl/>
        </w:rPr>
        <w:t>وبموجب المع</w:t>
      </w:r>
      <w:r w:rsidRPr="005269E6">
        <w:rPr>
          <w:rFonts w:hint="cs"/>
          <w:rtl/>
        </w:rPr>
        <w:t>ي</w:t>
      </w:r>
      <w:r w:rsidRPr="005269E6">
        <w:rPr>
          <w:rtl/>
        </w:rPr>
        <w:t xml:space="preserve">ار </w:t>
      </w:r>
      <w:r w:rsidRPr="005269E6">
        <w:rPr>
          <w:lang w:bidi="ar-SY"/>
        </w:rPr>
        <w:t>IPSAS 29</w:t>
      </w:r>
      <w:r w:rsidRPr="005269E6">
        <w:rPr>
          <w:rtl/>
        </w:rPr>
        <w:t xml:space="preserve">، تحتسب الصكوك المالية: </w:t>
      </w:r>
      <w:r w:rsidRPr="005269E6">
        <w:rPr>
          <w:rFonts w:hint="cs"/>
          <w:rtl/>
        </w:rPr>
        <w:t>التثبيت</w:t>
      </w:r>
      <w:r w:rsidRPr="005269E6">
        <w:rPr>
          <w:rtl/>
        </w:rPr>
        <w:t xml:space="preserve"> والقياس، والقروض بدون فوائد من مؤسسة مباني المنظمات الدولية المشار إليها في الجدول أعلاه بقيمة عادلة تمثل الفرق بين سعر الفائدة البالغ 1,476 </w:t>
      </w:r>
      <w:r w:rsidRPr="005269E6">
        <w:rPr>
          <w:rFonts w:hint="cs"/>
          <w:rtl/>
        </w:rPr>
        <w:t xml:space="preserve">% </w:t>
      </w:r>
      <w:r w:rsidRPr="005269E6">
        <w:rPr>
          <w:rtl/>
        </w:rPr>
        <w:t xml:space="preserve">والقرض بدون فوائد (6,2 مليون فرنك سويسري). </w:t>
      </w:r>
      <w:r w:rsidRPr="005269E6">
        <w:rPr>
          <w:rFonts w:hint="cs"/>
          <w:rtl/>
        </w:rPr>
        <w:t>و</w:t>
      </w:r>
      <w:r w:rsidRPr="005269E6">
        <w:rPr>
          <w:rtl/>
        </w:rPr>
        <w:t>بلغت القروض غير المسددة حتى 31 ديسمبر 2022 مقدار 48,3 مليون فرنك سويسري (2021: 53,4 مليون فرنك سويسري).</w:t>
      </w:r>
    </w:p>
    <w:p w14:paraId="3FA9456D" w14:textId="5854E643" w:rsidR="000E461F" w:rsidRPr="005269E6" w:rsidRDefault="00230DD1" w:rsidP="00E20476">
      <w:pPr>
        <w:rPr>
          <w:lang w:bidi="ar-SY"/>
        </w:rPr>
      </w:pPr>
      <w:r w:rsidRPr="005269E6">
        <w:rPr>
          <w:rtl/>
          <w:lang w:bidi="ar-SY"/>
        </w:rPr>
        <w:t>ونتيجة لهذا التغيير في السياسات المحاسبية، اقتضت الضرورة إعادة بيان جميع القروض غير المسددة في 31 ديسمبر 2022 على النحو المبين في الجدول أعلاه.</w:t>
      </w:r>
      <w:r w:rsidR="00E20476" w:rsidRPr="005269E6">
        <w:rPr>
          <w:rtl/>
        </w:rPr>
        <w:t xml:space="preserve"> وقد أدى ذلك إلى خفض القروض غير المسددة في البيان الأول عن الوضع المالي حتى 31</w:t>
      </w:r>
      <w:r w:rsidR="00734473" w:rsidRPr="005269E6">
        <w:rPr>
          <w:rFonts w:hint="cs"/>
          <w:rtl/>
        </w:rPr>
        <w:t> </w:t>
      </w:r>
      <w:r w:rsidR="00E20476" w:rsidRPr="005269E6">
        <w:rPr>
          <w:rtl/>
        </w:rPr>
        <w:t xml:space="preserve">ديسمبر 2022 فقط </w:t>
      </w:r>
      <w:r w:rsidR="00E20476" w:rsidRPr="005269E6">
        <w:rPr>
          <w:rFonts w:hint="cs"/>
          <w:rtl/>
        </w:rPr>
        <w:t>لأن</w:t>
      </w:r>
      <w:r w:rsidR="00E20476" w:rsidRPr="005269E6">
        <w:rPr>
          <w:rtl/>
        </w:rPr>
        <w:t xml:space="preserve"> أسعار </w:t>
      </w:r>
      <w:r w:rsidR="00E20476" w:rsidRPr="005269E6">
        <w:rPr>
          <w:rFonts w:hint="cs"/>
          <w:rtl/>
        </w:rPr>
        <w:t>ال</w:t>
      </w:r>
      <w:r w:rsidR="00E20476" w:rsidRPr="005269E6">
        <w:rPr>
          <w:rtl/>
        </w:rPr>
        <w:t xml:space="preserve">فائدة </w:t>
      </w:r>
      <w:r w:rsidR="00E20476" w:rsidRPr="005269E6">
        <w:rPr>
          <w:rFonts w:hint="cs"/>
          <w:rtl/>
        </w:rPr>
        <w:t>ال</w:t>
      </w:r>
      <w:r w:rsidR="00E20476" w:rsidRPr="005269E6">
        <w:rPr>
          <w:rtl/>
        </w:rPr>
        <w:t>س</w:t>
      </w:r>
      <w:r w:rsidR="00E20476" w:rsidRPr="005269E6">
        <w:rPr>
          <w:rFonts w:hint="cs"/>
          <w:rtl/>
        </w:rPr>
        <w:t>ا</w:t>
      </w:r>
      <w:r w:rsidR="00E20476" w:rsidRPr="005269E6">
        <w:rPr>
          <w:rtl/>
        </w:rPr>
        <w:t>لبة ط</w:t>
      </w:r>
      <w:r w:rsidR="00E20476" w:rsidRPr="005269E6">
        <w:rPr>
          <w:rFonts w:hint="cs"/>
          <w:rtl/>
        </w:rPr>
        <w:t>ُ</w:t>
      </w:r>
      <w:r w:rsidR="00E20476" w:rsidRPr="005269E6">
        <w:rPr>
          <w:rtl/>
        </w:rPr>
        <w:t>بقت في 31 ديسمبر 2021.</w:t>
      </w:r>
      <w:r w:rsidR="00AE6518" w:rsidRPr="005269E6">
        <w:rPr>
          <w:rFonts w:hint="cs"/>
          <w:rtl/>
        </w:rPr>
        <w:t xml:space="preserve"> </w:t>
      </w:r>
      <w:r w:rsidR="00E20476" w:rsidRPr="005269E6">
        <w:rPr>
          <w:rtl/>
        </w:rPr>
        <w:t xml:space="preserve">وترد في الملاحظة 30 تفاصيل </w:t>
      </w:r>
      <w:r w:rsidR="00E20476" w:rsidRPr="005269E6">
        <w:rPr>
          <w:rFonts w:hint="cs"/>
          <w:rtl/>
        </w:rPr>
        <w:t>تأثير</w:t>
      </w:r>
      <w:r w:rsidR="00E20476" w:rsidRPr="005269E6">
        <w:rPr>
          <w:rtl/>
        </w:rPr>
        <w:t xml:space="preserve"> التغيير في سياسة المحاسبة.</w:t>
      </w:r>
    </w:p>
    <w:p w14:paraId="2E74FAF6" w14:textId="12C1209A" w:rsidR="000F6DE0" w:rsidRPr="005269E6" w:rsidRDefault="00E20476" w:rsidP="00775832">
      <w:pPr>
        <w:rPr>
          <w:color w:val="000000"/>
          <w:rtl/>
        </w:rPr>
      </w:pPr>
      <w:r w:rsidRPr="005269E6">
        <w:rPr>
          <w:rtl/>
        </w:rPr>
        <w:t xml:space="preserve">وفي عام 2017، منح قرض جديد بدون فوائد بقيمة 150 مليون فرنك سويسري لمشروع المبنى الجديد للاتحاد. وفي 2022.12.31، ورد بالفعل مبلغ </w:t>
      </w:r>
      <w:r w:rsidR="00734473" w:rsidRPr="005269E6">
        <w:t>19 472 000</w:t>
      </w:r>
      <w:r w:rsidRPr="005269E6">
        <w:rPr>
          <w:rtl/>
        </w:rPr>
        <w:t xml:space="preserve"> فرنك سويسري. </w:t>
      </w:r>
      <w:r w:rsidRPr="005269E6">
        <w:rPr>
          <w:rFonts w:hint="cs"/>
          <w:rtl/>
        </w:rPr>
        <w:t>و</w:t>
      </w:r>
      <w:r w:rsidR="00C543C6" w:rsidRPr="005269E6">
        <w:rPr>
          <w:rFonts w:hint="cs"/>
          <w:rtl/>
          <w:lang w:bidi="ar-EG"/>
        </w:rPr>
        <w:t xml:space="preserve">لن يبدأ سداد القرض الممنوح من أجل المبنى الجديد للاتحاد إلا بعد </w:t>
      </w:r>
      <w:r w:rsidRPr="005269E6">
        <w:rPr>
          <w:color w:val="000000"/>
          <w:rtl/>
        </w:rPr>
        <w:t xml:space="preserve">النجاح في تسليم </w:t>
      </w:r>
      <w:r w:rsidR="00C543C6" w:rsidRPr="005269E6">
        <w:rPr>
          <w:color w:val="000000"/>
          <w:rtl/>
        </w:rPr>
        <w:t>المبنى</w:t>
      </w:r>
      <w:r w:rsidRPr="005269E6">
        <w:rPr>
          <w:rFonts w:hint="cs"/>
          <w:color w:val="000000"/>
          <w:rtl/>
        </w:rPr>
        <w:t>.</w:t>
      </w:r>
      <w:r w:rsidR="00C543C6" w:rsidRPr="005269E6">
        <w:rPr>
          <w:color w:val="000000"/>
          <w:rtl/>
        </w:rPr>
        <w:t xml:space="preserve"> </w:t>
      </w:r>
      <w:r w:rsidRPr="005269E6">
        <w:rPr>
          <w:rFonts w:hint="cs"/>
          <w:color w:val="000000"/>
          <w:rtl/>
        </w:rPr>
        <w:t>ويثبَّت</w:t>
      </w:r>
      <w:r w:rsidRPr="005269E6">
        <w:rPr>
          <w:color w:val="000000"/>
          <w:rtl/>
        </w:rPr>
        <w:t xml:space="preserve"> هذا القرض مبدئيا</w:t>
      </w:r>
      <w:r w:rsidR="00734473" w:rsidRPr="005269E6">
        <w:rPr>
          <w:rFonts w:hint="cs"/>
          <w:color w:val="000000"/>
          <w:rtl/>
        </w:rPr>
        <w:t>ً</w:t>
      </w:r>
      <w:r w:rsidRPr="005269E6">
        <w:rPr>
          <w:color w:val="000000"/>
          <w:rtl/>
        </w:rPr>
        <w:t xml:space="preserve"> بقيمة عادلة ثم يقاس لاحقا</w:t>
      </w:r>
      <w:r w:rsidR="00734473" w:rsidRPr="005269E6">
        <w:rPr>
          <w:rFonts w:hint="cs"/>
          <w:color w:val="000000"/>
          <w:rtl/>
        </w:rPr>
        <w:t>ً</w:t>
      </w:r>
      <w:r w:rsidRPr="005269E6">
        <w:rPr>
          <w:color w:val="000000"/>
          <w:rtl/>
        </w:rPr>
        <w:t xml:space="preserve"> بتكاليف م</w:t>
      </w:r>
      <w:r w:rsidRPr="005269E6">
        <w:rPr>
          <w:rFonts w:hint="cs"/>
          <w:color w:val="000000"/>
          <w:rtl/>
        </w:rPr>
        <w:t>ست</w:t>
      </w:r>
      <w:r w:rsidRPr="005269E6">
        <w:rPr>
          <w:color w:val="000000"/>
          <w:rtl/>
        </w:rPr>
        <w:t>هلكة.</w:t>
      </w:r>
      <w:r w:rsidR="00775832" w:rsidRPr="005269E6">
        <w:rPr>
          <w:rtl/>
        </w:rPr>
        <w:t xml:space="preserve"> </w:t>
      </w:r>
      <w:r w:rsidR="00775832" w:rsidRPr="005269E6">
        <w:rPr>
          <w:color w:val="000000"/>
          <w:rtl/>
        </w:rPr>
        <w:t>وستتبع معاملة هذا القرض نهجا</w:t>
      </w:r>
      <w:r w:rsidR="00734473" w:rsidRPr="005269E6">
        <w:rPr>
          <w:rFonts w:hint="cs"/>
          <w:color w:val="000000"/>
          <w:rtl/>
        </w:rPr>
        <w:t>ً</w:t>
      </w:r>
      <w:r w:rsidR="00775832" w:rsidRPr="005269E6">
        <w:rPr>
          <w:color w:val="000000"/>
          <w:rtl/>
        </w:rPr>
        <w:t xml:space="preserve"> مماثلا</w:t>
      </w:r>
      <w:r w:rsidR="00734473" w:rsidRPr="005269E6">
        <w:rPr>
          <w:rFonts w:hint="cs"/>
          <w:color w:val="000000"/>
          <w:rtl/>
        </w:rPr>
        <w:t>ً</w:t>
      </w:r>
      <w:r w:rsidR="00775832" w:rsidRPr="005269E6">
        <w:rPr>
          <w:color w:val="000000"/>
          <w:rtl/>
        </w:rPr>
        <w:t xml:space="preserve"> للقروض التساهلية الأخرى المقدمة من مؤسسة مباني المنظمات الدولية.</w:t>
      </w:r>
      <w:r w:rsidR="00775832" w:rsidRPr="005269E6">
        <w:rPr>
          <w:rFonts w:hint="cs"/>
          <w:color w:val="000000"/>
          <w:rtl/>
        </w:rPr>
        <w:t xml:space="preserve"> </w:t>
      </w:r>
      <w:r w:rsidR="000F6DE0" w:rsidRPr="005269E6">
        <w:rPr>
          <w:rtl/>
        </w:rPr>
        <w:t>ولم يبدأ مشروع بناء الاتحاد بعد ولم ت</w:t>
      </w:r>
      <w:r w:rsidR="00775832" w:rsidRPr="005269E6">
        <w:rPr>
          <w:rFonts w:hint="cs"/>
          <w:rtl/>
        </w:rPr>
        <w:t>ُ</w:t>
      </w:r>
      <w:r w:rsidR="000F6DE0" w:rsidRPr="005269E6">
        <w:rPr>
          <w:rtl/>
        </w:rPr>
        <w:t>رت</w:t>
      </w:r>
      <w:r w:rsidR="00775832" w:rsidRPr="005269E6">
        <w:rPr>
          <w:rFonts w:hint="cs"/>
          <w:rtl/>
        </w:rPr>
        <w:t>َّ</w:t>
      </w:r>
      <w:r w:rsidR="000F6DE0" w:rsidRPr="005269E6">
        <w:rPr>
          <w:rtl/>
        </w:rPr>
        <w:t>ب أي خطة لسداد الديون نتيجة لذلك.</w:t>
      </w:r>
      <w:r w:rsidR="00AE6518" w:rsidRPr="005269E6">
        <w:rPr>
          <w:rFonts w:hint="cs"/>
          <w:rtl/>
        </w:rPr>
        <w:t xml:space="preserve"> </w:t>
      </w:r>
      <w:r w:rsidR="000F6DE0" w:rsidRPr="005269E6">
        <w:rPr>
          <w:rtl/>
        </w:rPr>
        <w:t xml:space="preserve">وبمجرد توفر معلومات جديدة، </w:t>
      </w:r>
      <w:r w:rsidR="00775832" w:rsidRPr="005269E6">
        <w:rPr>
          <w:rFonts w:hint="cs"/>
          <w:rtl/>
        </w:rPr>
        <w:t>سيورد</w:t>
      </w:r>
      <w:r w:rsidR="000F6DE0" w:rsidRPr="005269E6">
        <w:rPr>
          <w:rtl/>
        </w:rPr>
        <w:t xml:space="preserve"> الاتحاد هذه القرارات في بياناته المالية.</w:t>
      </w:r>
    </w:p>
    <w:p w14:paraId="4B3DD9A6" w14:textId="5F2B0315" w:rsidR="00C543C6" w:rsidRPr="005269E6" w:rsidRDefault="00C543C6" w:rsidP="00696AA6">
      <w:pPr>
        <w:pStyle w:val="Heading5"/>
        <w:rPr>
          <w:rtl/>
        </w:rPr>
      </w:pPr>
      <w:bookmarkStart w:id="504" w:name="_Toc452156636"/>
      <w:bookmarkStart w:id="505" w:name="_Toc482792220"/>
      <w:bookmarkStart w:id="506" w:name="_Toc482793725"/>
      <w:bookmarkStart w:id="507" w:name="_Toc511402241"/>
      <w:bookmarkStart w:id="508" w:name="_Toc511756678"/>
      <w:bookmarkStart w:id="509" w:name="_Toc9614797"/>
      <w:bookmarkStart w:id="510" w:name="_Toc42013552"/>
      <w:bookmarkStart w:id="511" w:name="_Toc42014553"/>
      <w:bookmarkStart w:id="512" w:name="_Toc74061585"/>
      <w:bookmarkStart w:id="513" w:name="_Toc162520636"/>
      <w:r w:rsidRPr="005269E6">
        <w:rPr>
          <w:rtl/>
        </w:rPr>
        <w:t xml:space="preserve">الملاحظة </w:t>
      </w:r>
      <w:r w:rsidR="000E461F" w:rsidRPr="005269E6">
        <w:t>18</w:t>
      </w:r>
      <w:r w:rsidRPr="005269E6">
        <w:rPr>
          <w:rtl/>
        </w:rPr>
        <w:tab/>
      </w:r>
      <w:r w:rsidR="00A624A9" w:rsidRPr="005269E6">
        <w:rPr>
          <w:rtl/>
        </w:rPr>
        <w:t xml:space="preserve">استحقاقات </w:t>
      </w:r>
      <w:r w:rsidRPr="005269E6">
        <w:rPr>
          <w:rtl/>
        </w:rPr>
        <w:t>الموظفين</w:t>
      </w:r>
      <w:bookmarkEnd w:id="504"/>
      <w:bookmarkEnd w:id="505"/>
      <w:bookmarkEnd w:id="506"/>
      <w:bookmarkEnd w:id="507"/>
      <w:bookmarkEnd w:id="508"/>
      <w:bookmarkEnd w:id="509"/>
      <w:bookmarkEnd w:id="510"/>
      <w:bookmarkEnd w:id="511"/>
      <w:bookmarkEnd w:id="512"/>
      <w:bookmarkEnd w:id="513"/>
    </w:p>
    <w:p w14:paraId="1ED38435" w14:textId="52A00A8C" w:rsidR="00C543C6" w:rsidRPr="005269E6" w:rsidRDefault="00C543C6" w:rsidP="00734473">
      <w:pPr>
        <w:spacing w:after="120"/>
        <w:rPr>
          <w:rtl/>
          <w:lang w:bidi="ar-EG"/>
        </w:rPr>
      </w:pPr>
      <w:r w:rsidRPr="005269E6">
        <w:rPr>
          <w:rtl/>
          <w:lang w:bidi="ar-EG"/>
        </w:rPr>
        <w:t xml:space="preserve">تشير عبارة </w:t>
      </w:r>
      <w:r w:rsidR="00A624A9" w:rsidRPr="005269E6">
        <w:rPr>
          <w:rtl/>
          <w:lang w:bidi="ar-EG"/>
        </w:rPr>
        <w:t xml:space="preserve">استحقاقات </w:t>
      </w:r>
      <w:r w:rsidRPr="005269E6">
        <w:rPr>
          <w:rtl/>
          <w:lang w:bidi="ar-EG"/>
        </w:rPr>
        <w:t>الموظفين إلى كل أشكال المكافآت التي يقدمها الاتحاد مقابل الخدمات التي يقدمها موظفوه. وهي تدرج في الحسابات حالما تستحق للموظفين.</w:t>
      </w:r>
    </w:p>
    <w:tbl>
      <w:tblPr>
        <w:bidiVisual/>
        <w:tblW w:w="9028" w:type="dxa"/>
        <w:jc w:val="center"/>
        <w:tblLook w:val="04A0" w:firstRow="1" w:lastRow="0" w:firstColumn="1" w:lastColumn="0" w:noHBand="0" w:noVBand="1"/>
      </w:tblPr>
      <w:tblGrid>
        <w:gridCol w:w="5536"/>
        <w:gridCol w:w="1636"/>
        <w:gridCol w:w="1856"/>
      </w:tblGrid>
      <w:tr w:rsidR="00701A14" w:rsidRPr="005269E6" w14:paraId="4C56B2FA" w14:textId="77777777" w:rsidTr="008F22D1">
        <w:trPr>
          <w:trHeight w:val="540"/>
          <w:jc w:val="center"/>
        </w:trPr>
        <w:tc>
          <w:tcPr>
            <w:tcW w:w="5536" w:type="dxa"/>
            <w:tcBorders>
              <w:top w:val="nil"/>
              <w:left w:val="nil"/>
              <w:bottom w:val="nil"/>
              <w:right w:val="nil"/>
            </w:tcBorders>
            <w:shd w:val="clear" w:color="000000" w:fill="538DD5"/>
            <w:noWrap/>
            <w:vAlign w:val="center"/>
            <w:hideMark/>
          </w:tcPr>
          <w:p w14:paraId="381E490B" w14:textId="337DC1C0" w:rsidR="00701A14" w:rsidRPr="005269E6" w:rsidRDefault="00701A14" w:rsidP="00701A1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636" w:type="dxa"/>
            <w:tcBorders>
              <w:top w:val="nil"/>
              <w:left w:val="nil"/>
              <w:bottom w:val="nil"/>
              <w:right w:val="nil"/>
            </w:tcBorders>
            <w:shd w:val="clear" w:color="000000" w:fill="538DD5"/>
            <w:noWrap/>
            <w:vAlign w:val="center"/>
            <w:hideMark/>
          </w:tcPr>
          <w:p w14:paraId="7CE4ED87" w14:textId="68FF1694" w:rsidR="00701A14" w:rsidRPr="005269E6" w:rsidRDefault="00701A14" w:rsidP="00701A1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856" w:type="dxa"/>
            <w:tcBorders>
              <w:top w:val="nil"/>
              <w:left w:val="nil"/>
              <w:bottom w:val="nil"/>
              <w:right w:val="nil"/>
            </w:tcBorders>
            <w:shd w:val="clear" w:color="000000" w:fill="538DD5"/>
            <w:noWrap/>
            <w:vAlign w:val="center"/>
            <w:hideMark/>
          </w:tcPr>
          <w:p w14:paraId="75795FA2" w14:textId="55308C57" w:rsidR="00701A14" w:rsidRPr="005269E6" w:rsidRDefault="00701A14" w:rsidP="00701A1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w:t>
            </w:r>
          </w:p>
        </w:tc>
      </w:tr>
      <w:tr w:rsidR="008F22D1" w:rsidRPr="005269E6" w14:paraId="010418AF" w14:textId="77777777" w:rsidTr="008F22D1">
        <w:trPr>
          <w:trHeight w:val="300"/>
          <w:jc w:val="center"/>
        </w:trPr>
        <w:tc>
          <w:tcPr>
            <w:tcW w:w="5536" w:type="dxa"/>
            <w:tcBorders>
              <w:top w:val="nil"/>
              <w:left w:val="nil"/>
              <w:bottom w:val="nil"/>
              <w:right w:val="nil"/>
            </w:tcBorders>
            <w:shd w:val="clear" w:color="auto" w:fill="auto"/>
            <w:hideMark/>
          </w:tcPr>
          <w:p w14:paraId="351CF4AB" w14:textId="5C2CF789" w:rsidR="008F22D1" w:rsidRPr="005269E6" w:rsidRDefault="005472D7" w:rsidP="008F22D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الإجازات المتراكمة</w:t>
            </w:r>
          </w:p>
        </w:tc>
        <w:tc>
          <w:tcPr>
            <w:tcW w:w="1636" w:type="dxa"/>
            <w:tcBorders>
              <w:top w:val="nil"/>
              <w:left w:val="nil"/>
              <w:bottom w:val="nil"/>
              <w:right w:val="nil"/>
            </w:tcBorders>
            <w:shd w:val="clear" w:color="auto" w:fill="auto"/>
            <w:noWrap/>
            <w:vAlign w:val="bottom"/>
            <w:hideMark/>
          </w:tcPr>
          <w:p w14:paraId="32E3016A" w14:textId="26CC918E" w:rsidR="008F22D1" w:rsidRPr="005269E6" w:rsidRDefault="008F22D1" w:rsidP="006C7B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221 </w:t>
            </w:r>
          </w:p>
        </w:tc>
        <w:tc>
          <w:tcPr>
            <w:tcW w:w="1856" w:type="dxa"/>
            <w:tcBorders>
              <w:top w:val="nil"/>
              <w:left w:val="nil"/>
              <w:bottom w:val="nil"/>
              <w:right w:val="nil"/>
            </w:tcBorders>
            <w:shd w:val="clear" w:color="auto" w:fill="auto"/>
            <w:noWrap/>
            <w:vAlign w:val="bottom"/>
            <w:hideMark/>
          </w:tcPr>
          <w:p w14:paraId="49BA0950" w14:textId="2FFE4208" w:rsidR="008F22D1" w:rsidRPr="005269E6" w:rsidRDefault="008F22D1" w:rsidP="006C7B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390 </w:t>
            </w:r>
          </w:p>
        </w:tc>
      </w:tr>
      <w:tr w:rsidR="008F22D1" w:rsidRPr="005269E6" w14:paraId="18FE16AF" w14:textId="77777777" w:rsidTr="008F22D1">
        <w:trPr>
          <w:trHeight w:val="300"/>
          <w:jc w:val="center"/>
        </w:trPr>
        <w:tc>
          <w:tcPr>
            <w:tcW w:w="5536" w:type="dxa"/>
            <w:tcBorders>
              <w:top w:val="nil"/>
              <w:left w:val="nil"/>
              <w:bottom w:val="nil"/>
              <w:right w:val="nil"/>
            </w:tcBorders>
            <w:shd w:val="clear" w:color="auto" w:fill="auto"/>
            <w:vAlign w:val="bottom"/>
            <w:hideMark/>
          </w:tcPr>
          <w:p w14:paraId="1533A427" w14:textId="1326B033" w:rsidR="008F22D1" w:rsidRPr="005269E6" w:rsidRDefault="005472D7" w:rsidP="008F22D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 xml:space="preserve">ساعات </w:t>
            </w:r>
            <w:r w:rsidRPr="005269E6">
              <w:rPr>
                <w:rFonts w:eastAsia="Times New Roman" w:hint="cs"/>
                <w:color w:val="000000"/>
                <w:sz w:val="18"/>
                <w:szCs w:val="18"/>
                <w:rtl/>
                <w:lang w:val="en-GB" w:eastAsia="en-GB"/>
              </w:rPr>
              <w:t>ال</w:t>
            </w:r>
            <w:r w:rsidRPr="005269E6">
              <w:rPr>
                <w:rFonts w:eastAsia="Times New Roman"/>
                <w:color w:val="000000"/>
                <w:sz w:val="18"/>
                <w:szCs w:val="18"/>
                <w:rtl/>
                <w:lang w:val="en-GB" w:eastAsia="en-GB"/>
              </w:rPr>
              <w:t xml:space="preserve">عمل </w:t>
            </w:r>
            <w:r w:rsidRPr="005269E6">
              <w:rPr>
                <w:rFonts w:eastAsia="Times New Roman" w:hint="cs"/>
                <w:color w:val="000000"/>
                <w:sz w:val="18"/>
                <w:szCs w:val="18"/>
                <w:rtl/>
                <w:lang w:val="en-GB" w:eastAsia="en-GB"/>
              </w:rPr>
              <w:t>ال</w:t>
            </w:r>
            <w:r w:rsidRPr="005269E6">
              <w:rPr>
                <w:rFonts w:eastAsia="Times New Roman"/>
                <w:color w:val="000000"/>
                <w:sz w:val="18"/>
                <w:szCs w:val="18"/>
                <w:rtl/>
                <w:lang w:val="en-GB" w:eastAsia="en-GB"/>
              </w:rPr>
              <w:t>إضافية</w:t>
            </w:r>
          </w:p>
        </w:tc>
        <w:tc>
          <w:tcPr>
            <w:tcW w:w="1636" w:type="dxa"/>
            <w:tcBorders>
              <w:top w:val="nil"/>
              <w:left w:val="nil"/>
              <w:bottom w:val="nil"/>
              <w:right w:val="nil"/>
            </w:tcBorders>
            <w:shd w:val="clear" w:color="auto" w:fill="auto"/>
            <w:noWrap/>
            <w:vAlign w:val="bottom"/>
            <w:hideMark/>
          </w:tcPr>
          <w:p w14:paraId="792D36F2" w14:textId="3056C856" w:rsidR="008F22D1" w:rsidRPr="005269E6" w:rsidRDefault="008F22D1" w:rsidP="006C7B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24 </w:t>
            </w:r>
          </w:p>
        </w:tc>
        <w:tc>
          <w:tcPr>
            <w:tcW w:w="1856" w:type="dxa"/>
            <w:tcBorders>
              <w:top w:val="nil"/>
              <w:left w:val="nil"/>
              <w:bottom w:val="nil"/>
              <w:right w:val="nil"/>
            </w:tcBorders>
            <w:shd w:val="clear" w:color="auto" w:fill="auto"/>
            <w:noWrap/>
            <w:vAlign w:val="bottom"/>
            <w:hideMark/>
          </w:tcPr>
          <w:p w14:paraId="56A1D1E5" w14:textId="01E11836" w:rsidR="008F22D1" w:rsidRPr="005269E6" w:rsidRDefault="008F22D1" w:rsidP="006C7B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34 </w:t>
            </w:r>
          </w:p>
        </w:tc>
      </w:tr>
      <w:tr w:rsidR="008F22D1" w:rsidRPr="005269E6" w14:paraId="11220097" w14:textId="77777777" w:rsidTr="008F22D1">
        <w:trPr>
          <w:trHeight w:val="300"/>
          <w:jc w:val="center"/>
        </w:trPr>
        <w:tc>
          <w:tcPr>
            <w:tcW w:w="5536" w:type="dxa"/>
            <w:tcBorders>
              <w:top w:val="nil"/>
              <w:left w:val="nil"/>
              <w:bottom w:val="nil"/>
              <w:right w:val="nil"/>
            </w:tcBorders>
            <w:shd w:val="clear" w:color="auto" w:fill="auto"/>
            <w:vAlign w:val="center"/>
            <w:hideMark/>
          </w:tcPr>
          <w:p w14:paraId="66B8FEE7" w14:textId="27986EEB" w:rsidR="008F22D1" w:rsidRPr="005269E6" w:rsidRDefault="005472D7" w:rsidP="008F22D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إجمالي ا</w:t>
            </w:r>
            <w:r w:rsidRPr="005269E6">
              <w:rPr>
                <w:rFonts w:eastAsia="Times New Roman" w:hint="cs"/>
                <w:b/>
                <w:bCs/>
                <w:color w:val="000000"/>
                <w:sz w:val="18"/>
                <w:szCs w:val="18"/>
                <w:rtl/>
                <w:lang w:val="en-GB" w:eastAsia="en-GB"/>
              </w:rPr>
              <w:t>لا</w:t>
            </w:r>
            <w:r w:rsidRPr="005269E6">
              <w:rPr>
                <w:rFonts w:eastAsia="Times New Roman"/>
                <w:b/>
                <w:bCs/>
                <w:color w:val="000000"/>
                <w:sz w:val="18"/>
                <w:szCs w:val="18"/>
                <w:rtl/>
                <w:lang w:val="en-GB" w:eastAsia="en-GB"/>
              </w:rPr>
              <w:t xml:space="preserve">لتزامات </w:t>
            </w:r>
            <w:r w:rsidRPr="005269E6">
              <w:rPr>
                <w:rFonts w:eastAsia="Times New Roman" w:hint="cs"/>
                <w:b/>
                <w:bCs/>
                <w:color w:val="000000"/>
                <w:sz w:val="18"/>
                <w:szCs w:val="18"/>
                <w:rtl/>
                <w:lang w:val="en-GB" w:eastAsia="en-GB"/>
              </w:rPr>
              <w:t xml:space="preserve">تجاه </w:t>
            </w:r>
            <w:r w:rsidRPr="005269E6">
              <w:rPr>
                <w:rFonts w:eastAsia="Times New Roman"/>
                <w:b/>
                <w:bCs/>
                <w:color w:val="000000"/>
                <w:sz w:val="18"/>
                <w:szCs w:val="18"/>
                <w:rtl/>
                <w:lang w:val="en-GB" w:eastAsia="en-GB"/>
              </w:rPr>
              <w:t>استحقاقات الموظفين الحاليين</w:t>
            </w:r>
          </w:p>
        </w:tc>
        <w:tc>
          <w:tcPr>
            <w:tcW w:w="1636" w:type="dxa"/>
            <w:tcBorders>
              <w:top w:val="nil"/>
              <w:left w:val="nil"/>
              <w:bottom w:val="nil"/>
              <w:right w:val="nil"/>
            </w:tcBorders>
            <w:shd w:val="clear" w:color="auto" w:fill="auto"/>
            <w:noWrap/>
            <w:vAlign w:val="center"/>
            <w:hideMark/>
          </w:tcPr>
          <w:p w14:paraId="6217E11F" w14:textId="195C1413" w:rsidR="008F22D1" w:rsidRPr="005269E6" w:rsidRDefault="008F22D1" w:rsidP="006C7B2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245 </w:t>
            </w:r>
          </w:p>
        </w:tc>
        <w:tc>
          <w:tcPr>
            <w:tcW w:w="1856" w:type="dxa"/>
            <w:tcBorders>
              <w:top w:val="nil"/>
              <w:left w:val="nil"/>
              <w:bottom w:val="nil"/>
              <w:right w:val="nil"/>
            </w:tcBorders>
            <w:shd w:val="clear" w:color="auto" w:fill="auto"/>
            <w:noWrap/>
            <w:vAlign w:val="center"/>
            <w:hideMark/>
          </w:tcPr>
          <w:p w14:paraId="4924501B" w14:textId="3C7A0428" w:rsidR="008F22D1" w:rsidRPr="005269E6" w:rsidRDefault="008F22D1" w:rsidP="006C7B2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424 </w:t>
            </w:r>
          </w:p>
        </w:tc>
      </w:tr>
      <w:tr w:rsidR="008F22D1" w:rsidRPr="005269E6" w14:paraId="265E7919" w14:textId="77777777" w:rsidTr="008F22D1">
        <w:trPr>
          <w:trHeight w:val="169"/>
          <w:jc w:val="center"/>
        </w:trPr>
        <w:tc>
          <w:tcPr>
            <w:tcW w:w="5536" w:type="dxa"/>
            <w:tcBorders>
              <w:top w:val="nil"/>
              <w:left w:val="nil"/>
              <w:bottom w:val="nil"/>
              <w:right w:val="nil"/>
            </w:tcBorders>
            <w:shd w:val="clear" w:color="auto" w:fill="auto"/>
            <w:noWrap/>
            <w:vAlign w:val="bottom"/>
            <w:hideMark/>
          </w:tcPr>
          <w:p w14:paraId="607D6018" w14:textId="77777777" w:rsidR="008F22D1" w:rsidRPr="005269E6" w:rsidRDefault="008F22D1" w:rsidP="008F22D1">
            <w:pPr>
              <w:tabs>
                <w:tab w:val="clear" w:pos="794"/>
              </w:tabs>
              <w:spacing w:before="40" w:after="40" w:line="240" w:lineRule="exact"/>
              <w:jc w:val="left"/>
              <w:rPr>
                <w:rFonts w:eastAsia="Times New Roman"/>
                <w:b/>
                <w:bCs/>
                <w:color w:val="000000"/>
                <w:sz w:val="18"/>
                <w:szCs w:val="18"/>
                <w:lang w:val="en-GB" w:eastAsia="en-GB"/>
              </w:rPr>
            </w:pPr>
          </w:p>
        </w:tc>
        <w:tc>
          <w:tcPr>
            <w:tcW w:w="1636" w:type="dxa"/>
            <w:tcBorders>
              <w:top w:val="nil"/>
              <w:left w:val="nil"/>
              <w:bottom w:val="nil"/>
              <w:right w:val="nil"/>
            </w:tcBorders>
            <w:shd w:val="clear" w:color="auto" w:fill="auto"/>
            <w:noWrap/>
            <w:vAlign w:val="bottom"/>
            <w:hideMark/>
          </w:tcPr>
          <w:p w14:paraId="44DC5E3F" w14:textId="77777777" w:rsidR="008F22D1" w:rsidRPr="005269E6" w:rsidRDefault="008F22D1" w:rsidP="006C7B22">
            <w:pPr>
              <w:tabs>
                <w:tab w:val="clear" w:pos="794"/>
              </w:tabs>
              <w:spacing w:before="40" w:after="40" w:line="240" w:lineRule="exact"/>
              <w:jc w:val="left"/>
              <w:rPr>
                <w:rFonts w:eastAsia="Times New Roman"/>
                <w:sz w:val="18"/>
                <w:szCs w:val="18"/>
                <w:lang w:val="en-GB" w:eastAsia="en-GB"/>
              </w:rPr>
            </w:pPr>
          </w:p>
        </w:tc>
        <w:tc>
          <w:tcPr>
            <w:tcW w:w="1856" w:type="dxa"/>
            <w:tcBorders>
              <w:top w:val="nil"/>
              <w:left w:val="nil"/>
              <w:bottom w:val="nil"/>
              <w:right w:val="nil"/>
            </w:tcBorders>
            <w:shd w:val="clear" w:color="auto" w:fill="auto"/>
            <w:noWrap/>
            <w:vAlign w:val="bottom"/>
            <w:hideMark/>
          </w:tcPr>
          <w:p w14:paraId="55187572" w14:textId="77777777" w:rsidR="008F22D1" w:rsidRPr="005269E6" w:rsidRDefault="008F22D1" w:rsidP="006C7B22">
            <w:pPr>
              <w:tabs>
                <w:tab w:val="clear" w:pos="794"/>
              </w:tabs>
              <w:spacing w:before="40" w:after="40" w:line="240" w:lineRule="exact"/>
              <w:jc w:val="left"/>
              <w:rPr>
                <w:rFonts w:eastAsia="Times New Roman"/>
                <w:sz w:val="18"/>
                <w:szCs w:val="18"/>
                <w:lang w:val="en-GB" w:eastAsia="en-GB"/>
              </w:rPr>
            </w:pPr>
          </w:p>
        </w:tc>
      </w:tr>
      <w:tr w:rsidR="008F22D1" w:rsidRPr="005269E6" w14:paraId="415B604E" w14:textId="77777777" w:rsidTr="008F22D1">
        <w:trPr>
          <w:trHeight w:val="300"/>
          <w:jc w:val="center"/>
        </w:trPr>
        <w:tc>
          <w:tcPr>
            <w:tcW w:w="5536" w:type="dxa"/>
            <w:tcBorders>
              <w:top w:val="nil"/>
              <w:left w:val="nil"/>
              <w:bottom w:val="nil"/>
              <w:right w:val="nil"/>
            </w:tcBorders>
            <w:shd w:val="clear" w:color="auto" w:fill="auto"/>
            <w:hideMark/>
          </w:tcPr>
          <w:p w14:paraId="11587007" w14:textId="3349CE0F" w:rsidR="008F22D1" w:rsidRPr="005269E6" w:rsidRDefault="005472D7" w:rsidP="008F22D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lastRenderedPageBreak/>
              <w:t>الإجازات المتراكمة</w:t>
            </w:r>
          </w:p>
        </w:tc>
        <w:tc>
          <w:tcPr>
            <w:tcW w:w="1636" w:type="dxa"/>
            <w:tcBorders>
              <w:top w:val="nil"/>
              <w:left w:val="nil"/>
              <w:bottom w:val="nil"/>
              <w:right w:val="nil"/>
            </w:tcBorders>
            <w:shd w:val="clear" w:color="auto" w:fill="auto"/>
            <w:noWrap/>
            <w:vAlign w:val="bottom"/>
            <w:hideMark/>
          </w:tcPr>
          <w:p w14:paraId="08CE7C03" w14:textId="606CC523" w:rsidR="008F22D1" w:rsidRPr="005269E6" w:rsidRDefault="008F22D1" w:rsidP="006C7B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11 745 </w:t>
            </w:r>
          </w:p>
        </w:tc>
        <w:tc>
          <w:tcPr>
            <w:tcW w:w="1856" w:type="dxa"/>
            <w:tcBorders>
              <w:top w:val="nil"/>
              <w:left w:val="nil"/>
              <w:bottom w:val="nil"/>
              <w:right w:val="nil"/>
            </w:tcBorders>
            <w:shd w:val="clear" w:color="auto" w:fill="auto"/>
            <w:noWrap/>
            <w:vAlign w:val="bottom"/>
            <w:hideMark/>
          </w:tcPr>
          <w:p w14:paraId="74782CCB" w14:textId="1EB7B747" w:rsidR="008F22D1" w:rsidRPr="005269E6" w:rsidRDefault="008F22D1" w:rsidP="006C7B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11 063 </w:t>
            </w:r>
          </w:p>
        </w:tc>
      </w:tr>
      <w:tr w:rsidR="008F22D1" w:rsidRPr="005269E6" w14:paraId="61DD71B9" w14:textId="77777777" w:rsidTr="008F22D1">
        <w:trPr>
          <w:trHeight w:val="300"/>
          <w:jc w:val="center"/>
        </w:trPr>
        <w:tc>
          <w:tcPr>
            <w:tcW w:w="5536" w:type="dxa"/>
            <w:tcBorders>
              <w:top w:val="nil"/>
              <w:left w:val="nil"/>
              <w:bottom w:val="nil"/>
              <w:right w:val="nil"/>
            </w:tcBorders>
            <w:shd w:val="clear" w:color="auto" w:fill="auto"/>
            <w:hideMark/>
          </w:tcPr>
          <w:p w14:paraId="698A7437" w14:textId="57F57ABB" w:rsidR="008F22D1" w:rsidRPr="005269E6" w:rsidRDefault="006B32D8" w:rsidP="008F22D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الاستقرار</w:t>
            </w: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الإعادة إلى الوطن</w:t>
            </w:r>
          </w:p>
        </w:tc>
        <w:tc>
          <w:tcPr>
            <w:tcW w:w="1636" w:type="dxa"/>
            <w:tcBorders>
              <w:top w:val="nil"/>
              <w:left w:val="nil"/>
              <w:bottom w:val="nil"/>
              <w:right w:val="nil"/>
            </w:tcBorders>
            <w:shd w:val="clear" w:color="auto" w:fill="auto"/>
            <w:noWrap/>
            <w:vAlign w:val="bottom"/>
            <w:hideMark/>
          </w:tcPr>
          <w:p w14:paraId="7F9940B0" w14:textId="33E96653" w:rsidR="008F22D1" w:rsidRPr="005269E6" w:rsidRDefault="008F22D1" w:rsidP="006C7B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12 571 </w:t>
            </w:r>
          </w:p>
        </w:tc>
        <w:tc>
          <w:tcPr>
            <w:tcW w:w="1856" w:type="dxa"/>
            <w:tcBorders>
              <w:top w:val="nil"/>
              <w:left w:val="nil"/>
              <w:bottom w:val="nil"/>
              <w:right w:val="nil"/>
            </w:tcBorders>
            <w:shd w:val="clear" w:color="auto" w:fill="auto"/>
            <w:noWrap/>
            <w:vAlign w:val="bottom"/>
            <w:hideMark/>
          </w:tcPr>
          <w:p w14:paraId="3553908E" w14:textId="5EEA5269" w:rsidR="008F22D1" w:rsidRPr="005269E6" w:rsidRDefault="008F22D1" w:rsidP="006C7B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13 330 </w:t>
            </w:r>
          </w:p>
        </w:tc>
      </w:tr>
      <w:tr w:rsidR="008F22D1" w:rsidRPr="005269E6" w14:paraId="55642129" w14:textId="77777777" w:rsidTr="008F22D1">
        <w:trPr>
          <w:trHeight w:val="300"/>
          <w:jc w:val="center"/>
        </w:trPr>
        <w:tc>
          <w:tcPr>
            <w:tcW w:w="5536" w:type="dxa"/>
            <w:tcBorders>
              <w:top w:val="nil"/>
              <w:left w:val="nil"/>
              <w:bottom w:val="nil"/>
              <w:right w:val="nil"/>
            </w:tcBorders>
            <w:shd w:val="clear" w:color="auto" w:fill="auto"/>
            <w:hideMark/>
          </w:tcPr>
          <w:p w14:paraId="0760B3C2" w14:textId="78DE4C19" w:rsidR="008F22D1" w:rsidRPr="005269E6" w:rsidRDefault="006B32D8" w:rsidP="008F22D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معاشات التقاعد</w:t>
            </w:r>
          </w:p>
        </w:tc>
        <w:tc>
          <w:tcPr>
            <w:tcW w:w="1636" w:type="dxa"/>
            <w:tcBorders>
              <w:top w:val="nil"/>
              <w:left w:val="nil"/>
              <w:bottom w:val="nil"/>
              <w:right w:val="nil"/>
            </w:tcBorders>
            <w:shd w:val="clear" w:color="auto" w:fill="auto"/>
            <w:noWrap/>
            <w:vAlign w:val="bottom"/>
            <w:hideMark/>
          </w:tcPr>
          <w:p w14:paraId="23DCBC05" w14:textId="67D72F11" w:rsidR="008F22D1" w:rsidRPr="005269E6" w:rsidRDefault="008F22D1" w:rsidP="006C7B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54 </w:t>
            </w:r>
          </w:p>
        </w:tc>
        <w:tc>
          <w:tcPr>
            <w:tcW w:w="1856" w:type="dxa"/>
            <w:tcBorders>
              <w:top w:val="nil"/>
              <w:left w:val="nil"/>
              <w:bottom w:val="nil"/>
              <w:right w:val="nil"/>
            </w:tcBorders>
            <w:shd w:val="clear" w:color="auto" w:fill="auto"/>
            <w:noWrap/>
            <w:vAlign w:val="bottom"/>
            <w:hideMark/>
          </w:tcPr>
          <w:p w14:paraId="6625DB8A" w14:textId="45357A83" w:rsidR="008F22D1" w:rsidRPr="005269E6" w:rsidRDefault="008F22D1" w:rsidP="006C7B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54 </w:t>
            </w:r>
          </w:p>
        </w:tc>
      </w:tr>
      <w:tr w:rsidR="008F22D1" w:rsidRPr="005269E6" w14:paraId="555E8909" w14:textId="77777777" w:rsidTr="008F22D1">
        <w:trPr>
          <w:trHeight w:val="300"/>
          <w:jc w:val="center"/>
        </w:trPr>
        <w:tc>
          <w:tcPr>
            <w:tcW w:w="5536" w:type="dxa"/>
            <w:tcBorders>
              <w:top w:val="nil"/>
              <w:left w:val="nil"/>
              <w:bottom w:val="nil"/>
              <w:right w:val="nil"/>
            </w:tcBorders>
            <w:shd w:val="clear" w:color="auto" w:fill="auto"/>
            <w:hideMark/>
          </w:tcPr>
          <w:p w14:paraId="7D590E8A" w14:textId="1D275068" w:rsidR="008F22D1" w:rsidRPr="005269E6" w:rsidRDefault="00D94006" w:rsidP="008F22D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w:t>
            </w:r>
            <w:r w:rsidRPr="005269E6">
              <w:rPr>
                <w:rFonts w:eastAsia="Times New Roman"/>
                <w:color w:val="000000"/>
                <w:sz w:val="18"/>
                <w:szCs w:val="18"/>
                <w:rtl/>
                <w:lang w:val="en-GB" w:eastAsia="en-GB"/>
              </w:rPr>
              <w:t>لتأمين الصحي بعد نهاية الخدمة (</w:t>
            </w:r>
            <w:r w:rsidRPr="005269E6">
              <w:rPr>
                <w:rFonts w:eastAsia="Times New Roman"/>
                <w:color w:val="000000"/>
                <w:sz w:val="18"/>
                <w:szCs w:val="18"/>
                <w:lang w:val="en-GB" w:eastAsia="en-GB"/>
              </w:rPr>
              <w:t>ASHI</w:t>
            </w:r>
            <w:r w:rsidRPr="005269E6">
              <w:rPr>
                <w:rFonts w:eastAsia="Times New Roman"/>
                <w:color w:val="000000"/>
                <w:sz w:val="18"/>
                <w:szCs w:val="18"/>
                <w:rtl/>
                <w:lang w:val="en-GB" w:eastAsia="en-GB"/>
              </w:rPr>
              <w:t>)</w:t>
            </w:r>
          </w:p>
        </w:tc>
        <w:tc>
          <w:tcPr>
            <w:tcW w:w="1636" w:type="dxa"/>
            <w:tcBorders>
              <w:top w:val="nil"/>
              <w:left w:val="nil"/>
              <w:bottom w:val="nil"/>
              <w:right w:val="nil"/>
            </w:tcBorders>
            <w:shd w:val="clear" w:color="auto" w:fill="auto"/>
            <w:noWrap/>
            <w:vAlign w:val="bottom"/>
            <w:hideMark/>
          </w:tcPr>
          <w:p w14:paraId="5C8FAC82" w14:textId="69EE61E6" w:rsidR="008F22D1" w:rsidRPr="005269E6" w:rsidRDefault="008F22D1" w:rsidP="006C7B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344 102 </w:t>
            </w:r>
          </w:p>
        </w:tc>
        <w:tc>
          <w:tcPr>
            <w:tcW w:w="1856" w:type="dxa"/>
            <w:tcBorders>
              <w:top w:val="nil"/>
              <w:left w:val="nil"/>
              <w:bottom w:val="nil"/>
              <w:right w:val="nil"/>
            </w:tcBorders>
            <w:shd w:val="clear" w:color="auto" w:fill="auto"/>
            <w:noWrap/>
            <w:vAlign w:val="bottom"/>
            <w:hideMark/>
          </w:tcPr>
          <w:p w14:paraId="0ED9D21E" w14:textId="0F1B90B0" w:rsidR="008F22D1" w:rsidRPr="005269E6" w:rsidRDefault="008F22D1" w:rsidP="006C7B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545 636 </w:t>
            </w:r>
          </w:p>
        </w:tc>
      </w:tr>
      <w:tr w:rsidR="008F22D1" w:rsidRPr="005269E6" w14:paraId="72B0A66E" w14:textId="77777777" w:rsidTr="008F22D1">
        <w:trPr>
          <w:trHeight w:val="319"/>
          <w:jc w:val="center"/>
        </w:trPr>
        <w:tc>
          <w:tcPr>
            <w:tcW w:w="5536" w:type="dxa"/>
            <w:tcBorders>
              <w:top w:val="nil"/>
              <w:left w:val="nil"/>
              <w:bottom w:val="nil"/>
              <w:right w:val="nil"/>
            </w:tcBorders>
            <w:shd w:val="clear" w:color="auto" w:fill="auto"/>
            <w:vAlign w:val="center"/>
            <w:hideMark/>
          </w:tcPr>
          <w:p w14:paraId="26BC0AB1" w14:textId="7E9C0948" w:rsidR="008F22D1" w:rsidRPr="005269E6" w:rsidRDefault="00D94006" w:rsidP="008F22D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إجمالي الالتزامات تجاه استحقاقات الموظفين غير</w:t>
            </w:r>
            <w:r w:rsidRPr="005269E6">
              <w:rPr>
                <w:rFonts w:eastAsia="Times New Roman" w:hint="cs"/>
                <w:b/>
                <w:bCs/>
                <w:color w:val="000000"/>
                <w:sz w:val="18"/>
                <w:szCs w:val="18"/>
                <w:rtl/>
                <w:lang w:val="en-GB" w:eastAsia="en-GB"/>
              </w:rPr>
              <w:t xml:space="preserve"> الجارية</w:t>
            </w:r>
          </w:p>
        </w:tc>
        <w:tc>
          <w:tcPr>
            <w:tcW w:w="1636" w:type="dxa"/>
            <w:tcBorders>
              <w:top w:val="nil"/>
              <w:left w:val="nil"/>
              <w:bottom w:val="nil"/>
              <w:right w:val="nil"/>
            </w:tcBorders>
            <w:shd w:val="clear" w:color="auto" w:fill="auto"/>
            <w:noWrap/>
            <w:vAlign w:val="center"/>
            <w:hideMark/>
          </w:tcPr>
          <w:p w14:paraId="16F2FBC6" w14:textId="6B87A601" w:rsidR="008F22D1" w:rsidRPr="005269E6" w:rsidRDefault="008F22D1" w:rsidP="006C7B2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368 472 </w:t>
            </w:r>
          </w:p>
        </w:tc>
        <w:tc>
          <w:tcPr>
            <w:tcW w:w="1856" w:type="dxa"/>
            <w:tcBorders>
              <w:top w:val="nil"/>
              <w:left w:val="nil"/>
              <w:bottom w:val="nil"/>
              <w:right w:val="nil"/>
            </w:tcBorders>
            <w:shd w:val="clear" w:color="auto" w:fill="auto"/>
            <w:noWrap/>
            <w:vAlign w:val="center"/>
            <w:hideMark/>
          </w:tcPr>
          <w:p w14:paraId="02B19BBF" w14:textId="4DD684DB" w:rsidR="008F22D1" w:rsidRPr="005269E6" w:rsidRDefault="008F22D1" w:rsidP="006C7B2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570 083 </w:t>
            </w:r>
          </w:p>
        </w:tc>
      </w:tr>
      <w:tr w:rsidR="008F22D1" w:rsidRPr="005269E6" w14:paraId="088F8CF1" w14:textId="77777777" w:rsidTr="008F22D1">
        <w:trPr>
          <w:trHeight w:val="150"/>
          <w:jc w:val="center"/>
        </w:trPr>
        <w:tc>
          <w:tcPr>
            <w:tcW w:w="5536" w:type="dxa"/>
            <w:tcBorders>
              <w:top w:val="nil"/>
              <w:left w:val="nil"/>
              <w:bottom w:val="nil"/>
              <w:right w:val="nil"/>
            </w:tcBorders>
            <w:shd w:val="clear" w:color="auto" w:fill="auto"/>
            <w:noWrap/>
            <w:vAlign w:val="bottom"/>
            <w:hideMark/>
          </w:tcPr>
          <w:p w14:paraId="7DEDC511" w14:textId="77777777" w:rsidR="008F22D1" w:rsidRPr="005269E6" w:rsidRDefault="008F22D1" w:rsidP="008F22D1">
            <w:pPr>
              <w:tabs>
                <w:tab w:val="clear" w:pos="794"/>
              </w:tabs>
              <w:spacing w:before="0" w:line="200" w:lineRule="exact"/>
              <w:jc w:val="center"/>
              <w:rPr>
                <w:rFonts w:eastAsia="Times New Roman"/>
                <w:b/>
                <w:bCs/>
                <w:color w:val="000000"/>
                <w:sz w:val="18"/>
                <w:szCs w:val="18"/>
                <w:lang w:val="en-GB" w:eastAsia="en-GB"/>
              </w:rPr>
            </w:pPr>
          </w:p>
        </w:tc>
        <w:tc>
          <w:tcPr>
            <w:tcW w:w="1636" w:type="dxa"/>
            <w:tcBorders>
              <w:top w:val="nil"/>
              <w:left w:val="nil"/>
              <w:bottom w:val="nil"/>
              <w:right w:val="nil"/>
            </w:tcBorders>
            <w:shd w:val="clear" w:color="auto" w:fill="auto"/>
            <w:noWrap/>
            <w:vAlign w:val="bottom"/>
            <w:hideMark/>
          </w:tcPr>
          <w:p w14:paraId="25AE1EBB" w14:textId="77777777" w:rsidR="008F22D1" w:rsidRPr="005269E6" w:rsidRDefault="008F22D1" w:rsidP="006C7B22">
            <w:pPr>
              <w:tabs>
                <w:tab w:val="clear" w:pos="794"/>
              </w:tabs>
              <w:spacing w:before="0" w:line="200" w:lineRule="exact"/>
              <w:jc w:val="left"/>
              <w:rPr>
                <w:rFonts w:eastAsia="Times New Roman"/>
                <w:b/>
                <w:bCs/>
                <w:color w:val="000000"/>
                <w:sz w:val="18"/>
                <w:szCs w:val="18"/>
                <w:lang w:val="en-GB" w:eastAsia="en-GB"/>
              </w:rPr>
            </w:pPr>
          </w:p>
        </w:tc>
        <w:tc>
          <w:tcPr>
            <w:tcW w:w="1856" w:type="dxa"/>
            <w:tcBorders>
              <w:top w:val="nil"/>
              <w:left w:val="nil"/>
              <w:bottom w:val="nil"/>
              <w:right w:val="nil"/>
            </w:tcBorders>
            <w:shd w:val="clear" w:color="auto" w:fill="auto"/>
            <w:noWrap/>
            <w:vAlign w:val="bottom"/>
            <w:hideMark/>
          </w:tcPr>
          <w:p w14:paraId="23DDA1A9" w14:textId="77777777" w:rsidR="008F22D1" w:rsidRPr="005269E6" w:rsidRDefault="008F22D1" w:rsidP="006C7B22">
            <w:pPr>
              <w:tabs>
                <w:tab w:val="clear" w:pos="794"/>
              </w:tabs>
              <w:spacing w:before="0" w:line="200" w:lineRule="exact"/>
              <w:jc w:val="left"/>
              <w:rPr>
                <w:rFonts w:eastAsia="Times New Roman"/>
                <w:b/>
                <w:bCs/>
                <w:color w:val="000000"/>
                <w:sz w:val="18"/>
                <w:szCs w:val="18"/>
                <w:lang w:val="en-GB" w:eastAsia="en-GB"/>
              </w:rPr>
            </w:pPr>
          </w:p>
        </w:tc>
      </w:tr>
      <w:tr w:rsidR="008F22D1" w:rsidRPr="005269E6" w14:paraId="50F37C67" w14:textId="77777777" w:rsidTr="004C39BB">
        <w:trPr>
          <w:trHeight w:val="357"/>
          <w:jc w:val="center"/>
        </w:trPr>
        <w:tc>
          <w:tcPr>
            <w:tcW w:w="5536" w:type="dxa"/>
            <w:tcBorders>
              <w:top w:val="nil"/>
              <w:left w:val="nil"/>
              <w:bottom w:val="nil"/>
              <w:right w:val="nil"/>
            </w:tcBorders>
            <w:shd w:val="clear" w:color="000000" w:fill="538DD5"/>
            <w:vAlign w:val="center"/>
            <w:hideMark/>
          </w:tcPr>
          <w:p w14:paraId="061EA40A" w14:textId="25F6A06D" w:rsidR="008F22D1" w:rsidRPr="005269E6" w:rsidRDefault="00D94006" w:rsidP="008F22D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إجمالي الالتزامات تجاه استحقاقات الموظفين</w:t>
            </w:r>
          </w:p>
        </w:tc>
        <w:tc>
          <w:tcPr>
            <w:tcW w:w="1636" w:type="dxa"/>
            <w:tcBorders>
              <w:top w:val="nil"/>
              <w:left w:val="nil"/>
              <w:bottom w:val="nil"/>
              <w:right w:val="nil"/>
            </w:tcBorders>
            <w:shd w:val="clear" w:color="000000" w:fill="538DD5"/>
            <w:noWrap/>
            <w:vAlign w:val="center"/>
            <w:hideMark/>
          </w:tcPr>
          <w:p w14:paraId="6087C6BB" w14:textId="3BC8B449" w:rsidR="008F22D1" w:rsidRPr="005269E6" w:rsidRDefault="008F22D1" w:rsidP="006C7B2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368 717 </w:t>
            </w:r>
          </w:p>
        </w:tc>
        <w:tc>
          <w:tcPr>
            <w:tcW w:w="1856" w:type="dxa"/>
            <w:tcBorders>
              <w:top w:val="nil"/>
              <w:left w:val="nil"/>
              <w:bottom w:val="nil"/>
              <w:right w:val="nil"/>
            </w:tcBorders>
            <w:shd w:val="clear" w:color="000000" w:fill="538DD5"/>
            <w:noWrap/>
            <w:vAlign w:val="center"/>
            <w:hideMark/>
          </w:tcPr>
          <w:p w14:paraId="53DFEF7D" w14:textId="650BE764" w:rsidR="008F22D1" w:rsidRPr="005269E6" w:rsidRDefault="008F22D1" w:rsidP="006C7B2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570 507 </w:t>
            </w:r>
          </w:p>
        </w:tc>
      </w:tr>
    </w:tbl>
    <w:p w14:paraId="2D98648C" w14:textId="472683C4" w:rsidR="000E461F" w:rsidRPr="005269E6" w:rsidRDefault="007F7997" w:rsidP="00D94006">
      <w:pPr>
        <w:pStyle w:val="Heading2"/>
        <w:rPr>
          <w:rtl/>
          <w:lang w:bidi="ar-SY"/>
        </w:rPr>
      </w:pPr>
      <w:r w:rsidRPr="005269E6">
        <w:rPr>
          <w:lang w:bidi="ar-EG"/>
        </w:rPr>
        <w:t>1.18</w:t>
      </w:r>
      <w:r w:rsidRPr="005269E6">
        <w:rPr>
          <w:rtl/>
          <w:lang w:bidi="ar-SY"/>
        </w:rPr>
        <w:tab/>
      </w:r>
      <w:r w:rsidR="00D94006" w:rsidRPr="005269E6">
        <w:rPr>
          <w:rFonts w:hint="cs"/>
          <w:rtl/>
        </w:rPr>
        <w:t>ا</w:t>
      </w:r>
      <w:r w:rsidR="00D94006" w:rsidRPr="005269E6">
        <w:rPr>
          <w:rtl/>
        </w:rPr>
        <w:t>لتأمين الصحي بعد نهاية الخدمة</w:t>
      </w:r>
    </w:p>
    <w:p w14:paraId="56B70D84" w14:textId="50441873" w:rsidR="00C543C6" w:rsidRPr="005269E6" w:rsidRDefault="007F7997" w:rsidP="007F7997">
      <w:pPr>
        <w:pStyle w:val="HeadingI"/>
        <w:rPr>
          <w:rtl/>
          <w:lang w:val="ru-RU" w:bidi="ar-EG"/>
        </w:rPr>
      </w:pPr>
      <w:bookmarkStart w:id="514" w:name="_Toc397499190"/>
      <w:bookmarkStart w:id="515" w:name="_Toc358648556"/>
      <w:bookmarkStart w:id="516" w:name="_Toc358648357"/>
      <w:bookmarkStart w:id="517" w:name="_Toc328494940"/>
      <w:bookmarkStart w:id="518" w:name="_Toc306236964"/>
      <w:r w:rsidRPr="005269E6">
        <w:rPr>
          <w:lang w:val="ru-RU" w:bidi="ar-EG"/>
        </w:rPr>
        <w:t>1.1.18</w:t>
      </w:r>
      <w:r w:rsidR="00C543C6" w:rsidRPr="005269E6">
        <w:rPr>
          <w:rtl/>
        </w:rPr>
        <w:tab/>
        <w:t>التقييم ال</w:t>
      </w:r>
      <w:r w:rsidR="0059394B" w:rsidRPr="005269E6">
        <w:rPr>
          <w:rtl/>
        </w:rPr>
        <w:t>إكتواري</w:t>
      </w:r>
      <w:r w:rsidR="00C543C6" w:rsidRPr="005269E6">
        <w:rPr>
          <w:rtl/>
        </w:rPr>
        <w:t xml:space="preserve"> للتعويضات المستحقة </w:t>
      </w:r>
      <w:r w:rsidR="0016425F" w:rsidRPr="005269E6">
        <w:rPr>
          <w:rtl/>
        </w:rPr>
        <w:t>بعد انتهاء الخدمة</w:t>
      </w:r>
      <w:r w:rsidR="00C543C6" w:rsidRPr="005269E6">
        <w:rPr>
          <w:rtl/>
        </w:rPr>
        <w:t xml:space="preserve"> بموجب خطة التأمين الصحي </w:t>
      </w:r>
      <w:r w:rsidR="00C543C6" w:rsidRPr="005269E6">
        <w:rPr>
          <w:lang w:val="ru-RU" w:bidi="ar-EG"/>
        </w:rPr>
        <w:t>ASHI</w:t>
      </w:r>
      <w:bookmarkEnd w:id="514"/>
      <w:bookmarkEnd w:id="515"/>
      <w:bookmarkEnd w:id="516"/>
      <w:bookmarkEnd w:id="517"/>
      <w:bookmarkEnd w:id="518"/>
    </w:p>
    <w:p w14:paraId="5BAEF28D" w14:textId="5D6A990E" w:rsidR="00404978" w:rsidRPr="005269E6" w:rsidRDefault="00C543C6" w:rsidP="00404978">
      <w:pPr>
        <w:rPr>
          <w:lang w:val="en" w:bidi="ar-EG"/>
        </w:rPr>
      </w:pPr>
      <w:r w:rsidRPr="005269E6">
        <w:rPr>
          <w:rtl/>
          <w:lang w:bidi="ar-EG"/>
        </w:rPr>
        <w:t xml:space="preserve">يتحدد مبلغ الالتزامات على أساس دراسة </w:t>
      </w:r>
      <w:r w:rsidR="0059394B" w:rsidRPr="005269E6">
        <w:rPr>
          <w:rtl/>
          <w:lang w:bidi="ar-EG"/>
        </w:rPr>
        <w:t>إكتواري</w:t>
      </w:r>
      <w:r w:rsidRPr="005269E6">
        <w:rPr>
          <w:rtl/>
          <w:lang w:bidi="ar-EG"/>
        </w:rPr>
        <w:t>ة سنوية يقوم بها مكتب استشاري مستقل. وكان آخر تقييم في يناير</w:t>
      </w:r>
      <w:r w:rsidRPr="005269E6">
        <w:rPr>
          <w:rFonts w:hint="cs"/>
          <w:rtl/>
          <w:lang w:bidi="ar-EG"/>
        </w:rPr>
        <w:t> </w:t>
      </w:r>
      <w:r w:rsidR="00404978" w:rsidRPr="005269E6">
        <w:rPr>
          <w:rFonts w:hint="cs"/>
          <w:rtl/>
          <w:lang w:bidi="ar-EG"/>
        </w:rPr>
        <w:t>2023</w:t>
      </w:r>
      <w:r w:rsidRPr="005269E6">
        <w:rPr>
          <w:rtl/>
          <w:lang w:bidi="ar-EG"/>
        </w:rPr>
        <w:t xml:space="preserve"> قد</w:t>
      </w:r>
      <w:r w:rsidRPr="005269E6">
        <w:rPr>
          <w:rFonts w:hint="cs"/>
          <w:rtl/>
          <w:lang w:bidi="ar-EG"/>
        </w:rPr>
        <w:t> </w:t>
      </w:r>
      <w:r w:rsidRPr="005269E6">
        <w:rPr>
          <w:rtl/>
          <w:lang w:bidi="ar-EG"/>
        </w:rPr>
        <w:t xml:space="preserve">حدد بمقدار </w:t>
      </w:r>
      <w:r w:rsidR="00734473" w:rsidRPr="005269E6">
        <w:t>344,1</w:t>
      </w:r>
      <w:r w:rsidRPr="005269E6">
        <w:rPr>
          <w:rFonts w:hint="cs"/>
          <w:rtl/>
          <w:lang w:bidi="ar-EG"/>
        </w:rPr>
        <w:t xml:space="preserve"> </w:t>
      </w:r>
      <w:r w:rsidRPr="005269E6">
        <w:rPr>
          <w:rtl/>
          <w:lang w:bidi="ar-SY"/>
        </w:rPr>
        <w:t xml:space="preserve">مليون </w:t>
      </w:r>
      <w:r w:rsidRPr="005269E6">
        <w:rPr>
          <w:rFonts w:hint="cs"/>
          <w:rtl/>
          <w:lang w:bidi="ar-EG"/>
        </w:rPr>
        <w:t>فرنك سويسري</w:t>
      </w:r>
      <w:r w:rsidRPr="005269E6">
        <w:rPr>
          <w:rtl/>
          <w:lang w:bidi="ar-EG"/>
        </w:rPr>
        <w:t xml:space="preserve"> التزامات الاتحاد في إطار </w:t>
      </w:r>
      <w:r w:rsidR="006B32D8" w:rsidRPr="005269E6">
        <w:rPr>
          <w:rtl/>
          <w:lang w:bidi="ar-EG"/>
        </w:rPr>
        <w:t>استحقاقات</w:t>
      </w:r>
      <w:r w:rsidRPr="005269E6">
        <w:rPr>
          <w:rtl/>
          <w:lang w:bidi="ar-EG"/>
        </w:rPr>
        <w:t xml:space="preserve"> التأمين الصحي </w:t>
      </w:r>
      <w:r w:rsidR="0016425F" w:rsidRPr="005269E6">
        <w:rPr>
          <w:rtl/>
          <w:lang w:bidi="ar-EG"/>
        </w:rPr>
        <w:t>بعد انتهاء الخدمة</w:t>
      </w:r>
      <w:r w:rsidRPr="005269E6">
        <w:rPr>
          <w:rtl/>
          <w:lang w:bidi="ar-EG"/>
        </w:rPr>
        <w:t xml:space="preserve"> المستحقة للموظفين المستوفين للشروط المطلوبة </w:t>
      </w:r>
      <w:r w:rsidRPr="005269E6">
        <w:rPr>
          <w:rFonts w:hint="cs"/>
          <w:rtl/>
          <w:lang w:bidi="ar-EG"/>
        </w:rPr>
        <w:t>في</w:t>
      </w:r>
      <w:r w:rsidRPr="005269E6">
        <w:rPr>
          <w:rtl/>
          <w:lang w:bidi="ar-EG"/>
        </w:rPr>
        <w:t xml:space="preserve"> </w:t>
      </w:r>
      <w:r w:rsidRPr="005269E6">
        <w:rPr>
          <w:lang w:bidi="ar-EG"/>
        </w:rPr>
        <w:t>31</w:t>
      </w:r>
      <w:r w:rsidRPr="005269E6">
        <w:rPr>
          <w:rtl/>
          <w:lang w:bidi="ar-EG"/>
        </w:rPr>
        <w:t xml:space="preserve"> ديسمبر </w:t>
      </w:r>
      <w:r w:rsidR="007F7997" w:rsidRPr="005269E6">
        <w:rPr>
          <w:lang w:bidi="ar-EG"/>
        </w:rPr>
        <w:t>2022</w:t>
      </w:r>
      <w:r w:rsidR="007F7997" w:rsidRPr="005269E6">
        <w:rPr>
          <w:rFonts w:hint="cs"/>
          <w:rtl/>
          <w:lang w:bidi="ar-SY"/>
        </w:rPr>
        <w:t xml:space="preserve"> (</w:t>
      </w:r>
      <w:r w:rsidR="007F7997" w:rsidRPr="005269E6">
        <w:rPr>
          <w:lang w:bidi="ar-SY"/>
        </w:rPr>
        <w:t>2021</w:t>
      </w:r>
      <w:r w:rsidR="007F7997" w:rsidRPr="005269E6">
        <w:rPr>
          <w:rFonts w:hint="cs"/>
          <w:rtl/>
          <w:lang w:bidi="ar-SY"/>
        </w:rPr>
        <w:t xml:space="preserve">: </w:t>
      </w:r>
      <w:r w:rsidR="007F7997" w:rsidRPr="005269E6">
        <w:rPr>
          <w:lang w:bidi="ar-SY"/>
        </w:rPr>
        <w:t>545,6</w:t>
      </w:r>
      <w:r w:rsidR="007F7997" w:rsidRPr="005269E6">
        <w:rPr>
          <w:rFonts w:hint="cs"/>
          <w:rtl/>
          <w:lang w:bidi="ar-SY"/>
        </w:rPr>
        <w:t xml:space="preserve"> مليون فرنكاً سويسرياً)</w:t>
      </w:r>
      <w:r w:rsidRPr="005269E6">
        <w:rPr>
          <w:rtl/>
          <w:lang w:bidi="ar-EG"/>
        </w:rPr>
        <w:t>. وأجريت الدراسة ال</w:t>
      </w:r>
      <w:r w:rsidR="0059394B" w:rsidRPr="005269E6">
        <w:rPr>
          <w:rtl/>
          <w:lang w:bidi="ar-EG"/>
        </w:rPr>
        <w:t>إكتواري</w:t>
      </w:r>
      <w:r w:rsidRPr="005269E6">
        <w:rPr>
          <w:rtl/>
          <w:lang w:bidi="ar-EG"/>
        </w:rPr>
        <w:t>ة على أساس البيانات المقدمة من</w:t>
      </w:r>
      <w:r w:rsidRPr="005269E6">
        <w:rPr>
          <w:rFonts w:hint="cs"/>
          <w:rtl/>
          <w:lang w:bidi="ar-EG"/>
        </w:rPr>
        <w:t> </w:t>
      </w:r>
      <w:r w:rsidRPr="005269E6">
        <w:rPr>
          <w:rtl/>
          <w:lang w:bidi="ar-EG"/>
        </w:rPr>
        <w:t>الاتحاد</w:t>
      </w:r>
      <w:r w:rsidR="00404978" w:rsidRPr="005269E6">
        <w:rPr>
          <w:rFonts w:hint="cs"/>
          <w:rtl/>
          <w:lang w:bidi="ar-EG"/>
        </w:rPr>
        <w:t xml:space="preserve"> </w:t>
      </w:r>
      <w:r w:rsidR="00404978" w:rsidRPr="005269E6">
        <w:rPr>
          <w:rFonts w:hint="cs"/>
          <w:rtl/>
          <w:lang w:val="en" w:bidi="ar-EG"/>
        </w:rPr>
        <w:t>(</w:t>
      </w:r>
      <w:r w:rsidR="00404978" w:rsidRPr="005269E6">
        <w:rPr>
          <w:rtl/>
          <w:lang w:bidi="ar"/>
        </w:rPr>
        <w:t>تكلفة</w:t>
      </w:r>
      <w:r w:rsidR="00404978" w:rsidRPr="005269E6">
        <w:rPr>
          <w:lang w:val="en" w:bidi="ar-EG"/>
        </w:rPr>
        <w:t xml:space="preserve"> </w:t>
      </w:r>
      <w:r w:rsidR="00404978" w:rsidRPr="005269E6">
        <w:rPr>
          <w:rtl/>
          <w:lang w:bidi="ar"/>
        </w:rPr>
        <w:t>المطالب</w:t>
      </w:r>
      <w:r w:rsidR="00404978" w:rsidRPr="005269E6">
        <w:rPr>
          <w:rFonts w:hint="cs"/>
          <w:rtl/>
          <w:lang w:bidi="ar"/>
        </w:rPr>
        <w:t>ات/</w:t>
      </w:r>
      <w:r w:rsidR="00404978" w:rsidRPr="005269E6">
        <w:rPr>
          <w:rtl/>
          <w:lang w:bidi="ar"/>
        </w:rPr>
        <w:t>المساهم</w:t>
      </w:r>
      <w:r w:rsidR="00404978" w:rsidRPr="005269E6">
        <w:rPr>
          <w:rFonts w:hint="cs"/>
          <w:rtl/>
          <w:lang w:bidi="ar"/>
        </w:rPr>
        <w:t>ات</w:t>
      </w:r>
      <w:r w:rsidR="00404978" w:rsidRPr="005269E6">
        <w:rPr>
          <w:lang w:val="en" w:bidi="ar-EG"/>
        </w:rPr>
        <w:t xml:space="preserve"> </w:t>
      </w:r>
      <w:r w:rsidR="00404978" w:rsidRPr="005269E6">
        <w:rPr>
          <w:rtl/>
          <w:lang w:bidi="ar"/>
        </w:rPr>
        <w:t>المدفوعة</w:t>
      </w:r>
      <w:r w:rsidR="00734473" w:rsidRPr="005269E6">
        <w:rPr>
          <w:rFonts w:hint="cs"/>
          <w:rtl/>
          <w:lang w:bidi="ar"/>
        </w:rPr>
        <w:t>/</w:t>
      </w:r>
      <w:r w:rsidR="00404978" w:rsidRPr="005269E6">
        <w:rPr>
          <w:rFonts w:hint="cs"/>
          <w:rtl/>
          <w:lang w:bidi="ar"/>
        </w:rPr>
        <w:t>مجموعة المستفيدين</w:t>
      </w:r>
      <w:r w:rsidR="00404978" w:rsidRPr="005269E6">
        <w:rPr>
          <w:lang w:val="en" w:bidi="ar-EG"/>
        </w:rPr>
        <w:t xml:space="preserve"> </w:t>
      </w:r>
      <w:r w:rsidR="00404978" w:rsidRPr="005269E6">
        <w:rPr>
          <w:rtl/>
          <w:lang w:bidi="ar"/>
        </w:rPr>
        <w:t>المؤهلين</w:t>
      </w:r>
      <w:r w:rsidR="00404978" w:rsidRPr="005269E6">
        <w:rPr>
          <w:rFonts w:hint="cs"/>
          <w:rtl/>
          <w:lang w:val="en" w:bidi="ar-EG"/>
        </w:rPr>
        <w:t>).</w:t>
      </w:r>
    </w:p>
    <w:p w14:paraId="3EAAA7F9" w14:textId="5E44D1D3" w:rsidR="00C543C6" w:rsidRPr="005269E6" w:rsidRDefault="007F7997" w:rsidP="007F7997">
      <w:pPr>
        <w:pStyle w:val="HeadingI"/>
        <w:rPr>
          <w:rtl/>
        </w:rPr>
      </w:pPr>
      <w:bookmarkStart w:id="519" w:name="_Toc397499191"/>
      <w:bookmarkStart w:id="520" w:name="_Toc358648557"/>
      <w:bookmarkStart w:id="521" w:name="_Toc358648358"/>
      <w:bookmarkStart w:id="522" w:name="_Toc328494941"/>
      <w:bookmarkStart w:id="523" w:name="_Toc306236965"/>
      <w:r w:rsidRPr="005269E6">
        <w:rPr>
          <w:lang w:val="ru-RU" w:bidi="ar-EG"/>
        </w:rPr>
        <w:t>2.1.18</w:t>
      </w:r>
      <w:r w:rsidR="00C543C6" w:rsidRPr="005269E6">
        <w:rPr>
          <w:rtl/>
        </w:rPr>
        <w:tab/>
        <w:t>التقييم ال</w:t>
      </w:r>
      <w:r w:rsidR="0059394B" w:rsidRPr="005269E6">
        <w:rPr>
          <w:rtl/>
        </w:rPr>
        <w:t>إكتواري</w:t>
      </w:r>
      <w:bookmarkEnd w:id="519"/>
      <w:bookmarkEnd w:id="520"/>
      <w:bookmarkEnd w:id="521"/>
      <w:bookmarkEnd w:id="522"/>
      <w:bookmarkEnd w:id="523"/>
      <w:r w:rsidR="00C543C6" w:rsidRPr="005269E6">
        <w:rPr>
          <w:rtl/>
        </w:rPr>
        <w:t xml:space="preserve"> - الافتراضات والطرائق</w:t>
      </w:r>
    </w:p>
    <w:p w14:paraId="33FADDEA" w14:textId="57BAC017" w:rsidR="00C543C6" w:rsidRPr="005269E6" w:rsidRDefault="00C543C6" w:rsidP="00C543C6">
      <w:pPr>
        <w:spacing w:after="120"/>
        <w:rPr>
          <w:lang w:bidi="ar-EG"/>
        </w:rPr>
      </w:pPr>
      <w:r w:rsidRPr="005269E6">
        <w:rPr>
          <w:rtl/>
          <w:lang w:bidi="ar-EG"/>
        </w:rPr>
        <w:t xml:space="preserve">يتحقق الاتحاد، في إطار تقييم الالتزامات المتصلة بخطة التأمين الصحي </w:t>
      </w:r>
      <w:r w:rsidRPr="00F95576">
        <w:rPr>
          <w:lang w:val="en" w:bidi="ar-EG"/>
        </w:rPr>
        <w:t>ASHI</w:t>
      </w:r>
      <w:r w:rsidRPr="005269E6">
        <w:rPr>
          <w:rtl/>
          <w:lang w:bidi="ar-EG"/>
        </w:rPr>
        <w:t xml:space="preserve"> </w:t>
      </w:r>
      <w:r w:rsidRPr="005269E6">
        <w:rPr>
          <w:rFonts w:hint="cs"/>
          <w:rtl/>
          <w:lang w:bidi="ar-EG"/>
        </w:rPr>
        <w:t>في</w:t>
      </w:r>
      <w:r w:rsidRPr="005269E6">
        <w:rPr>
          <w:rtl/>
          <w:lang w:bidi="ar-EG"/>
        </w:rPr>
        <w:t xml:space="preserve"> </w:t>
      </w:r>
      <w:r w:rsidRPr="00F95576">
        <w:rPr>
          <w:lang w:val="en" w:bidi="ar-EG"/>
        </w:rPr>
        <w:t>31</w:t>
      </w:r>
      <w:r w:rsidRPr="005269E6">
        <w:rPr>
          <w:rtl/>
          <w:lang w:bidi="ar-EG"/>
        </w:rPr>
        <w:t xml:space="preserve"> ديسمبر </w:t>
      </w:r>
      <w:r w:rsidR="007F7997" w:rsidRPr="00F95576">
        <w:rPr>
          <w:lang w:val="en" w:bidi="ar-EG"/>
        </w:rPr>
        <w:t>2022</w:t>
      </w:r>
      <w:r w:rsidRPr="005269E6">
        <w:rPr>
          <w:rtl/>
          <w:lang w:bidi="ar-EG"/>
        </w:rPr>
        <w:t xml:space="preserve"> وبالمساهمة في الفترة المالية </w:t>
      </w:r>
      <w:r w:rsidR="006C7B22" w:rsidRPr="00F95576">
        <w:rPr>
          <w:lang w:val="en" w:bidi="ar-EG"/>
        </w:rPr>
        <w:t>2022</w:t>
      </w:r>
      <w:r w:rsidRPr="005269E6">
        <w:rPr>
          <w:rtl/>
          <w:lang w:bidi="ar-EG"/>
        </w:rPr>
        <w:t xml:space="preserve">، من صحة الافتراضات والطرائق التي يستخدمها المكتب </w:t>
      </w:r>
      <w:proofErr w:type="spellStart"/>
      <w:r w:rsidRPr="005269E6">
        <w:rPr>
          <w:rtl/>
          <w:lang w:bidi="ar-EG"/>
        </w:rPr>
        <w:t>ال</w:t>
      </w:r>
      <w:r w:rsidR="0059394B" w:rsidRPr="005269E6">
        <w:rPr>
          <w:rtl/>
          <w:lang w:bidi="ar-EG"/>
        </w:rPr>
        <w:t>إكتواري</w:t>
      </w:r>
      <w:proofErr w:type="spellEnd"/>
      <w:r w:rsidRPr="005269E6">
        <w:rPr>
          <w:rtl/>
          <w:lang w:bidi="ar-EG"/>
        </w:rPr>
        <w:t>. وفيما يلي</w:t>
      </w:r>
      <w:r w:rsidRPr="005269E6">
        <w:rPr>
          <w:rFonts w:hint="cs"/>
          <w:rtl/>
          <w:lang w:bidi="ar-EG"/>
        </w:rPr>
        <w:t xml:space="preserve"> أدناه</w:t>
      </w:r>
      <w:r w:rsidRPr="005269E6">
        <w:rPr>
          <w:rtl/>
          <w:lang w:bidi="ar-EG"/>
        </w:rPr>
        <w:t xml:space="preserve"> الافتراضات والطرائق المستخدمة في التقييم الذي يشمل الفترة المالية </w:t>
      </w:r>
      <w:r w:rsidR="007F7997" w:rsidRPr="005269E6">
        <w:rPr>
          <w:lang w:bidi="ar-EG"/>
        </w:rPr>
        <w:t>2022</w:t>
      </w:r>
      <w:r w:rsidRPr="005269E6">
        <w:rPr>
          <w:rtl/>
          <w:lang w:bidi="ar-EG"/>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825"/>
        <w:gridCol w:w="6804"/>
      </w:tblGrid>
      <w:tr w:rsidR="00C543C6" w:rsidRPr="00F95576" w14:paraId="29A2CD68"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3A202769" w14:textId="77777777" w:rsidR="00C543C6" w:rsidRPr="005269E6" w:rsidRDefault="00C543C6" w:rsidP="006C7B22">
            <w:pPr>
              <w:keepNext/>
              <w:spacing w:before="60" w:after="60" w:line="280" w:lineRule="exact"/>
              <w:jc w:val="left"/>
              <w:rPr>
                <w:rFonts w:eastAsia="Times New Roman"/>
                <w:position w:val="2"/>
                <w:sz w:val="20"/>
                <w:szCs w:val="20"/>
                <w:lang w:val="fr-FR" w:eastAsia="en-US" w:bidi="ar-EG"/>
              </w:rPr>
            </w:pPr>
            <w:r w:rsidRPr="005269E6">
              <w:rPr>
                <w:rFonts w:eastAsia="Times New Roman" w:hint="cs"/>
                <w:position w:val="2"/>
                <w:sz w:val="20"/>
                <w:szCs w:val="20"/>
                <w:rtl/>
                <w:lang w:val="fr-FR" w:eastAsia="en-US" w:bidi="ar-EG"/>
              </w:rPr>
              <w:t>معدل</w:t>
            </w:r>
            <w:r w:rsidRPr="005269E6">
              <w:rPr>
                <w:rFonts w:eastAsia="Times New Roman"/>
                <w:position w:val="2"/>
                <w:sz w:val="20"/>
                <w:szCs w:val="20"/>
                <w:rtl/>
                <w:lang w:val="fr-FR" w:eastAsia="en-US" w:bidi="ar-EG"/>
              </w:rPr>
              <w:t xml:space="preserve"> الخصم</w:t>
            </w:r>
          </w:p>
        </w:tc>
        <w:tc>
          <w:tcPr>
            <w:tcW w:w="3533" w:type="pct"/>
            <w:tcBorders>
              <w:top w:val="single" w:sz="4" w:space="0" w:color="auto"/>
              <w:left w:val="single" w:sz="4" w:space="0" w:color="auto"/>
              <w:bottom w:val="single" w:sz="4" w:space="0" w:color="auto"/>
              <w:right w:val="single" w:sz="4" w:space="0" w:color="auto"/>
            </w:tcBorders>
            <w:hideMark/>
          </w:tcPr>
          <w:p w14:paraId="3E5700A2" w14:textId="77777777" w:rsidR="00C543C6" w:rsidRPr="005269E6" w:rsidRDefault="00C543C6" w:rsidP="006C7B22">
            <w:pPr>
              <w:keepNext/>
              <w:spacing w:before="60" w:after="60" w:line="280" w:lineRule="exact"/>
              <w:jc w:val="left"/>
              <w:rPr>
                <w:rFonts w:eastAsia="Times New Roman"/>
                <w:position w:val="2"/>
                <w:sz w:val="20"/>
                <w:szCs w:val="20"/>
                <w:rtl/>
                <w:lang w:val="fr-FR" w:eastAsia="en-US" w:bidi="ar-EG"/>
              </w:rPr>
            </w:pPr>
            <w:r w:rsidRPr="00F95576">
              <w:rPr>
                <w:rFonts w:eastAsia="Times New Roman"/>
                <w:position w:val="2"/>
                <w:sz w:val="20"/>
                <w:szCs w:val="20"/>
                <w:lang w:val="fr-FR" w:eastAsia="en-US" w:bidi="ar-EG"/>
              </w:rPr>
              <w:t>%</w:t>
            </w:r>
            <w:r w:rsidR="007F7997" w:rsidRPr="00F95576">
              <w:rPr>
                <w:rFonts w:eastAsia="Times New Roman"/>
                <w:position w:val="2"/>
                <w:sz w:val="20"/>
                <w:szCs w:val="20"/>
                <w:lang w:val="fr-FR" w:eastAsia="en-US" w:bidi="ar-EG"/>
              </w:rPr>
              <w:t>2,50</w:t>
            </w:r>
            <w:r w:rsidRPr="005269E6">
              <w:rPr>
                <w:rFonts w:eastAsia="Times New Roman" w:hint="cs"/>
                <w:position w:val="2"/>
                <w:sz w:val="20"/>
                <w:szCs w:val="20"/>
                <w:rtl/>
                <w:lang w:val="en-GB" w:eastAsia="en-US" w:bidi="ar-EG"/>
              </w:rPr>
              <w:t xml:space="preserve"> لعام </w:t>
            </w:r>
            <w:r w:rsidR="007F7997" w:rsidRPr="00F95576">
              <w:rPr>
                <w:rFonts w:eastAsia="Times New Roman"/>
                <w:position w:val="2"/>
                <w:sz w:val="20"/>
                <w:szCs w:val="20"/>
                <w:lang w:val="fr-FR" w:eastAsia="en-US" w:bidi="ar-EG"/>
              </w:rPr>
              <w:t>2022</w:t>
            </w:r>
            <w:r w:rsidRPr="005269E6">
              <w:rPr>
                <w:rFonts w:eastAsia="Times New Roman" w:hint="cs"/>
                <w:position w:val="2"/>
                <w:sz w:val="20"/>
                <w:szCs w:val="20"/>
                <w:rtl/>
                <w:lang w:val="fr-FR" w:eastAsia="en-US" w:bidi="ar-EG"/>
              </w:rPr>
              <w:t xml:space="preserve"> و</w:t>
            </w:r>
            <w:r w:rsidRPr="005269E6">
              <w:rPr>
                <w:rFonts w:eastAsia="Times New Roman"/>
                <w:position w:val="2"/>
                <w:sz w:val="20"/>
                <w:szCs w:val="20"/>
                <w:lang w:val="fr-FR" w:eastAsia="en-US" w:bidi="ar-EG"/>
              </w:rPr>
              <w:t>%0,</w:t>
            </w:r>
            <w:r w:rsidR="007F7997" w:rsidRPr="005269E6">
              <w:rPr>
                <w:rFonts w:eastAsia="Times New Roman"/>
                <w:position w:val="2"/>
                <w:sz w:val="20"/>
                <w:szCs w:val="20"/>
                <w:lang w:val="fr-FR" w:eastAsia="en-US" w:bidi="ar-EG"/>
              </w:rPr>
              <w:t>5</w:t>
            </w:r>
            <w:r w:rsidRPr="005269E6">
              <w:rPr>
                <w:rFonts w:eastAsia="Times New Roman"/>
                <w:position w:val="2"/>
                <w:sz w:val="20"/>
                <w:szCs w:val="20"/>
                <w:lang w:val="fr-FR" w:eastAsia="en-US" w:bidi="ar-EG"/>
              </w:rPr>
              <w:t>0</w:t>
            </w:r>
            <w:r w:rsidRPr="005269E6">
              <w:rPr>
                <w:rFonts w:eastAsia="Times New Roman" w:hint="cs"/>
                <w:position w:val="2"/>
                <w:sz w:val="20"/>
                <w:szCs w:val="20"/>
                <w:rtl/>
                <w:lang w:val="fr-FR" w:eastAsia="en-US" w:bidi="ar-EG"/>
              </w:rPr>
              <w:t xml:space="preserve"> لعام </w:t>
            </w:r>
            <w:r w:rsidR="007F7997" w:rsidRPr="00F95576">
              <w:rPr>
                <w:rFonts w:eastAsia="Times New Roman"/>
                <w:position w:val="2"/>
                <w:sz w:val="20"/>
                <w:szCs w:val="20"/>
                <w:lang w:val="fr-FR" w:eastAsia="en-US" w:bidi="ar-EG"/>
              </w:rPr>
              <w:t>2021</w:t>
            </w:r>
            <w:r w:rsidRPr="005269E6">
              <w:rPr>
                <w:rFonts w:eastAsia="Times New Roman"/>
                <w:position w:val="2"/>
                <w:sz w:val="20"/>
                <w:szCs w:val="20"/>
                <w:rtl/>
                <w:lang w:val="fr-FR" w:eastAsia="en-US" w:bidi="ar-EG"/>
              </w:rPr>
              <w:t>.</w:t>
            </w:r>
          </w:p>
          <w:p w14:paraId="7E94B2F8" w14:textId="4925F123" w:rsidR="007F7997" w:rsidRPr="005269E6" w:rsidRDefault="001266AE" w:rsidP="006C7B22">
            <w:pPr>
              <w:keepNext/>
              <w:spacing w:before="60" w:after="60" w:line="280" w:lineRule="exact"/>
              <w:rPr>
                <w:rFonts w:eastAsia="Times New Roman"/>
                <w:position w:val="2"/>
                <w:sz w:val="20"/>
                <w:szCs w:val="20"/>
                <w:lang w:val="fr-FR" w:eastAsia="en-US" w:bidi="ar-EG"/>
              </w:rPr>
            </w:pPr>
            <w:r w:rsidRPr="005269E6">
              <w:rPr>
                <w:rFonts w:eastAsia="Times New Roman"/>
                <w:position w:val="2"/>
                <w:sz w:val="20"/>
                <w:szCs w:val="20"/>
                <w:rtl/>
                <w:lang w:val="fr-FR" w:eastAsia="en-US" w:bidi="ar-EG"/>
              </w:rPr>
              <w:t>تحدد</w:t>
            </w:r>
            <w:r w:rsidR="00026B13" w:rsidRPr="005269E6">
              <w:rPr>
                <w:rFonts w:eastAsia="Times New Roman" w:hint="cs"/>
                <w:position w:val="2"/>
                <w:sz w:val="20"/>
                <w:szCs w:val="20"/>
                <w:rtl/>
                <w:lang w:val="fr-FR" w:eastAsia="en-US" w:bidi="ar-EG"/>
              </w:rPr>
              <w:t>ت</w:t>
            </w:r>
            <w:r w:rsidRPr="005269E6">
              <w:rPr>
                <w:rFonts w:eastAsia="Times New Roman"/>
                <w:position w:val="2"/>
                <w:sz w:val="20"/>
                <w:szCs w:val="20"/>
                <w:rtl/>
                <w:lang w:val="fr-FR" w:eastAsia="en-US" w:bidi="ar-EG"/>
              </w:rPr>
              <w:t xml:space="preserve"> معدلات الخصم المستخدمة في هذا التقييم أولاً بشكل منفصل لكل من العملات الرئيسية بما في ذلك الفرنك السويسري والدولار الأمريكي واليورو باستخدام منحنى عائد سندات الشركات </w:t>
            </w:r>
            <w:r w:rsidRPr="005269E6">
              <w:rPr>
                <w:rFonts w:eastAsia="Times New Roman"/>
                <w:position w:val="2"/>
                <w:sz w:val="20"/>
                <w:szCs w:val="20"/>
                <w:lang w:val="fr-FR" w:eastAsia="en-US" w:bidi="ar-EG"/>
              </w:rPr>
              <w:t>Aon AA</w:t>
            </w:r>
            <w:r w:rsidRPr="005269E6">
              <w:rPr>
                <w:rFonts w:eastAsia="Times New Roman"/>
                <w:position w:val="2"/>
                <w:sz w:val="20"/>
                <w:szCs w:val="20"/>
                <w:rtl/>
                <w:lang w:val="fr-FR" w:eastAsia="en-US" w:bidi="ar-EG"/>
              </w:rPr>
              <w:t xml:space="preserve"> </w:t>
            </w:r>
            <w:r w:rsidR="00026B13" w:rsidRPr="005269E6">
              <w:rPr>
                <w:rFonts w:eastAsia="Times New Roman" w:hint="cs"/>
                <w:position w:val="2"/>
                <w:sz w:val="20"/>
                <w:szCs w:val="20"/>
                <w:rtl/>
                <w:lang w:val="fr-FR" w:eastAsia="en-US" w:bidi="ar-EG"/>
              </w:rPr>
              <w:t>لغاية</w:t>
            </w:r>
            <w:r w:rsidRPr="005269E6">
              <w:rPr>
                <w:rFonts w:eastAsia="Times New Roman"/>
                <w:position w:val="2"/>
                <w:sz w:val="20"/>
                <w:szCs w:val="20"/>
                <w:rtl/>
                <w:lang w:val="fr-FR" w:eastAsia="en-US" w:bidi="ar-EG"/>
              </w:rPr>
              <w:t xml:space="preserve"> 31 ديسمبر 2022. ثم تحد</w:t>
            </w:r>
            <w:r w:rsidR="00026B13" w:rsidRPr="005269E6">
              <w:rPr>
                <w:rFonts w:eastAsia="Times New Roman" w:hint="cs"/>
                <w:position w:val="2"/>
                <w:sz w:val="20"/>
                <w:szCs w:val="20"/>
                <w:rtl/>
                <w:lang w:val="fr-FR" w:eastAsia="en-US" w:bidi="ar-EG"/>
              </w:rPr>
              <w:t>َ</w:t>
            </w:r>
            <w:r w:rsidRPr="005269E6">
              <w:rPr>
                <w:rFonts w:eastAsia="Times New Roman"/>
                <w:position w:val="2"/>
                <w:sz w:val="20"/>
                <w:szCs w:val="20"/>
                <w:rtl/>
                <w:lang w:val="fr-FR" w:eastAsia="en-US" w:bidi="ar-EG"/>
              </w:rPr>
              <w:t xml:space="preserve">د معدل الخصم النهائي </w:t>
            </w:r>
            <w:r w:rsidR="00026B13" w:rsidRPr="005269E6">
              <w:rPr>
                <w:rFonts w:eastAsia="Times New Roman" w:hint="cs"/>
                <w:position w:val="2"/>
                <w:sz w:val="20"/>
                <w:szCs w:val="20"/>
                <w:rtl/>
                <w:lang w:val="fr-FR" w:eastAsia="en-US" w:bidi="ar-EG"/>
              </w:rPr>
              <w:t xml:space="preserve">بحساب </w:t>
            </w:r>
            <w:r w:rsidRPr="005269E6">
              <w:rPr>
                <w:rFonts w:eastAsia="Times New Roman"/>
                <w:position w:val="2"/>
                <w:sz w:val="20"/>
                <w:szCs w:val="20"/>
                <w:rtl/>
                <w:lang w:val="fr-FR" w:eastAsia="en-US" w:bidi="ar-EG"/>
              </w:rPr>
              <w:t xml:space="preserve">متوسط </w:t>
            </w:r>
            <w:r w:rsidR="00026B13" w:rsidRPr="005269E6">
              <w:rPr>
                <w:rFonts w:eastAsia="Times New Roman"/>
                <w:position w:val="2"/>
                <w:sz w:val="20"/>
                <w:szCs w:val="20"/>
                <w:rtl/>
                <w:lang w:val="fr-FR" w:eastAsia="en-US" w:bidi="ar-EG"/>
              </w:rPr>
              <w:t xml:space="preserve">معدلات خصم </w:t>
            </w:r>
            <w:r w:rsidRPr="005269E6">
              <w:rPr>
                <w:rFonts w:eastAsia="Times New Roman"/>
                <w:position w:val="2"/>
                <w:sz w:val="20"/>
                <w:szCs w:val="20"/>
                <w:rtl/>
                <w:lang w:val="fr-FR" w:eastAsia="en-US" w:bidi="ar-EG"/>
              </w:rPr>
              <w:t>العمل</w:t>
            </w:r>
            <w:r w:rsidR="00026B13" w:rsidRPr="005269E6">
              <w:rPr>
                <w:rFonts w:eastAsia="Times New Roman" w:hint="cs"/>
                <w:position w:val="2"/>
                <w:sz w:val="20"/>
                <w:szCs w:val="20"/>
                <w:rtl/>
                <w:lang w:val="fr-FR" w:eastAsia="en-US" w:bidi="ar-EG"/>
              </w:rPr>
              <w:t>ات</w:t>
            </w:r>
            <w:r w:rsidRPr="005269E6">
              <w:rPr>
                <w:rFonts w:eastAsia="Times New Roman"/>
                <w:position w:val="2"/>
                <w:sz w:val="20"/>
                <w:szCs w:val="20"/>
                <w:rtl/>
                <w:lang w:val="fr-FR" w:eastAsia="en-US" w:bidi="ar-EG"/>
              </w:rPr>
              <w:t xml:space="preserve"> المقومة، مرجح</w:t>
            </w:r>
            <w:r w:rsidR="00026B13" w:rsidRPr="005269E6">
              <w:rPr>
                <w:rFonts w:eastAsia="Times New Roman" w:hint="cs"/>
                <w:position w:val="2"/>
                <w:sz w:val="20"/>
                <w:szCs w:val="20"/>
                <w:rtl/>
                <w:lang w:val="fr-FR" w:eastAsia="en-US" w:bidi="ar-EG"/>
              </w:rPr>
              <w:t>اً</w:t>
            </w:r>
            <w:r w:rsidRPr="005269E6">
              <w:rPr>
                <w:rFonts w:eastAsia="Times New Roman"/>
                <w:position w:val="2"/>
                <w:sz w:val="20"/>
                <w:szCs w:val="20"/>
                <w:rtl/>
                <w:lang w:val="fr-FR" w:eastAsia="en-US" w:bidi="ar-EG"/>
              </w:rPr>
              <w:t xml:space="preserve"> بدفعات </w:t>
            </w:r>
            <w:r w:rsidR="00026B13" w:rsidRPr="005269E6">
              <w:rPr>
                <w:rFonts w:eastAsia="Times New Roman" w:hint="cs"/>
                <w:position w:val="2"/>
                <w:sz w:val="20"/>
                <w:szCs w:val="20"/>
                <w:rtl/>
                <w:lang w:val="fr-FR" w:eastAsia="en-US" w:bidi="ar-EG"/>
              </w:rPr>
              <w:t>الاستحقاقات</w:t>
            </w:r>
            <w:r w:rsidRPr="005269E6">
              <w:rPr>
                <w:rFonts w:eastAsia="Times New Roman"/>
                <w:position w:val="2"/>
                <w:sz w:val="20"/>
                <w:szCs w:val="20"/>
                <w:rtl/>
                <w:lang w:val="fr-FR" w:eastAsia="en-US" w:bidi="ar-EG"/>
              </w:rPr>
              <w:t xml:space="preserve"> المدفوعة إلى </w:t>
            </w:r>
            <w:r w:rsidR="00026B13" w:rsidRPr="005269E6">
              <w:rPr>
                <w:rFonts w:eastAsia="Times New Roman" w:hint="cs"/>
                <w:position w:val="2"/>
                <w:sz w:val="20"/>
                <w:szCs w:val="20"/>
                <w:rtl/>
                <w:lang w:val="fr-FR" w:eastAsia="en-US" w:bidi="ar-EG"/>
              </w:rPr>
              <w:t xml:space="preserve">الموظفين </w:t>
            </w:r>
            <w:r w:rsidRPr="005269E6">
              <w:rPr>
                <w:rFonts w:eastAsia="Times New Roman"/>
                <w:position w:val="2"/>
                <w:sz w:val="20"/>
                <w:szCs w:val="20"/>
                <w:rtl/>
                <w:lang w:val="fr-FR" w:eastAsia="en-US" w:bidi="ar-EG"/>
              </w:rPr>
              <w:t>غير النشطين الحاليين في كل عملة.</w:t>
            </w:r>
          </w:p>
        </w:tc>
      </w:tr>
      <w:tr w:rsidR="00C543C6" w:rsidRPr="005269E6" w14:paraId="25B45853"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65AEC541" w14:textId="77777777"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ارتفاع التكاليف الطبية</w:t>
            </w:r>
          </w:p>
        </w:tc>
        <w:tc>
          <w:tcPr>
            <w:tcW w:w="3533" w:type="pct"/>
            <w:tcBorders>
              <w:top w:val="single" w:sz="4" w:space="0" w:color="auto"/>
              <w:left w:val="single" w:sz="4" w:space="0" w:color="auto"/>
              <w:bottom w:val="single" w:sz="4" w:space="0" w:color="auto"/>
              <w:right w:val="single" w:sz="4" w:space="0" w:color="auto"/>
            </w:tcBorders>
            <w:hideMark/>
          </w:tcPr>
          <w:p w14:paraId="7CD22A79" w14:textId="1072CFDA"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lang w:val="fr-FR" w:eastAsia="en-US" w:bidi="ar-EG"/>
              </w:rPr>
              <w:t>%2,80</w:t>
            </w:r>
            <w:r w:rsidRPr="005269E6">
              <w:rPr>
                <w:rFonts w:eastAsia="Times New Roman" w:hint="cs"/>
                <w:position w:val="2"/>
                <w:sz w:val="20"/>
                <w:szCs w:val="20"/>
                <w:rtl/>
                <w:lang w:val="fr-FR" w:eastAsia="en-US" w:bidi="ar-EG"/>
              </w:rPr>
              <w:t xml:space="preserve"> </w:t>
            </w:r>
            <w:r w:rsidRPr="005269E6">
              <w:rPr>
                <w:rFonts w:eastAsia="Times New Roman"/>
                <w:position w:val="2"/>
                <w:sz w:val="20"/>
                <w:szCs w:val="20"/>
                <w:rtl/>
                <w:lang w:val="fr-FR" w:eastAsia="en-US" w:bidi="ar-EG"/>
              </w:rPr>
              <w:t xml:space="preserve">لعام </w:t>
            </w:r>
            <w:r w:rsidR="007F7997" w:rsidRPr="005269E6">
              <w:rPr>
                <w:rFonts w:eastAsia="Times New Roman"/>
                <w:position w:val="2"/>
                <w:sz w:val="20"/>
                <w:szCs w:val="20"/>
                <w:lang w:val="fr-FR" w:eastAsia="en-US" w:bidi="ar-EG"/>
              </w:rPr>
              <w:t>2022</w:t>
            </w:r>
            <w:r w:rsidRPr="005269E6">
              <w:rPr>
                <w:rFonts w:eastAsia="Times New Roman" w:hint="cs"/>
                <w:position w:val="2"/>
                <w:sz w:val="20"/>
                <w:szCs w:val="20"/>
                <w:rtl/>
                <w:lang w:val="fr-FR" w:eastAsia="en-US" w:bidi="ar-EG"/>
              </w:rPr>
              <w:t xml:space="preserve"> و</w:t>
            </w:r>
            <w:r w:rsidRPr="005269E6">
              <w:rPr>
                <w:rFonts w:eastAsia="Times New Roman"/>
                <w:position w:val="2"/>
                <w:sz w:val="20"/>
                <w:szCs w:val="20"/>
                <w:lang w:val="en-GB" w:eastAsia="en-US" w:bidi="ar-EG"/>
              </w:rPr>
              <w:t>%</w:t>
            </w:r>
            <w:r w:rsidR="007F7997" w:rsidRPr="005269E6">
              <w:rPr>
                <w:rFonts w:eastAsia="Times New Roman"/>
                <w:position w:val="2"/>
                <w:sz w:val="20"/>
                <w:szCs w:val="20"/>
                <w:lang w:val="en-GB" w:eastAsia="en-US" w:bidi="ar-EG"/>
              </w:rPr>
              <w:t>2,5</w:t>
            </w:r>
            <w:r w:rsidR="007F7997" w:rsidRPr="005269E6">
              <w:rPr>
                <w:rFonts w:eastAsia="Times New Roman"/>
                <w:position w:val="2"/>
                <w:sz w:val="20"/>
                <w:szCs w:val="20"/>
                <w:lang w:eastAsia="en-US" w:bidi="ar-EG"/>
              </w:rPr>
              <w:t>0</w:t>
            </w:r>
            <w:r w:rsidRPr="005269E6">
              <w:rPr>
                <w:rFonts w:eastAsia="Times New Roman" w:hint="cs"/>
                <w:position w:val="2"/>
                <w:sz w:val="20"/>
                <w:szCs w:val="20"/>
                <w:rtl/>
                <w:lang w:val="en-GB" w:eastAsia="en-US" w:bidi="ar-EG"/>
              </w:rPr>
              <w:t xml:space="preserve"> في عام </w:t>
            </w:r>
            <w:r w:rsidR="007F7997" w:rsidRPr="005269E6">
              <w:rPr>
                <w:rFonts w:eastAsia="Times New Roman"/>
                <w:position w:val="2"/>
                <w:sz w:val="20"/>
                <w:szCs w:val="20"/>
                <w:lang w:val="en-GB" w:eastAsia="en-US" w:bidi="ar-EG"/>
              </w:rPr>
              <w:t>2021</w:t>
            </w:r>
            <w:r w:rsidRPr="005269E6">
              <w:rPr>
                <w:rFonts w:eastAsia="Times New Roman"/>
                <w:position w:val="2"/>
                <w:sz w:val="20"/>
                <w:szCs w:val="20"/>
                <w:rtl/>
                <w:lang w:val="fr-CH" w:eastAsia="en-US" w:bidi="ar-EG"/>
              </w:rPr>
              <w:t>.</w:t>
            </w:r>
          </w:p>
        </w:tc>
      </w:tr>
      <w:tr w:rsidR="00C543C6" w:rsidRPr="005269E6" w14:paraId="72B6CAC0"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5A8DF712" w14:textId="77777777"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زيادة المرتبات</w:t>
            </w:r>
          </w:p>
        </w:tc>
        <w:tc>
          <w:tcPr>
            <w:tcW w:w="3533" w:type="pct"/>
            <w:tcBorders>
              <w:top w:val="single" w:sz="4" w:space="0" w:color="auto"/>
              <w:left w:val="single" w:sz="4" w:space="0" w:color="auto"/>
              <w:bottom w:val="single" w:sz="4" w:space="0" w:color="auto"/>
              <w:right w:val="single" w:sz="4" w:space="0" w:color="auto"/>
            </w:tcBorders>
            <w:hideMark/>
          </w:tcPr>
          <w:p w14:paraId="134C571E" w14:textId="77777777" w:rsidR="00C543C6" w:rsidRPr="005269E6" w:rsidRDefault="00C543C6" w:rsidP="006C7B22">
            <w:pPr>
              <w:spacing w:before="60" w:after="60" w:line="280" w:lineRule="exact"/>
              <w:jc w:val="left"/>
              <w:rPr>
                <w:rFonts w:eastAsia="Times New Roman"/>
                <w:position w:val="2"/>
                <w:sz w:val="20"/>
                <w:szCs w:val="20"/>
                <w:rtl/>
                <w:lang w:eastAsia="en-US" w:bidi="ar-EG"/>
              </w:rPr>
            </w:pPr>
            <w:r w:rsidRPr="005269E6">
              <w:rPr>
                <w:rFonts w:eastAsia="Times New Roman" w:hint="cs"/>
                <w:position w:val="2"/>
                <w:sz w:val="20"/>
                <w:szCs w:val="20"/>
                <w:rtl/>
                <w:lang w:val="fr-FR" w:eastAsia="en-US" w:bidi="ar-EG"/>
              </w:rPr>
              <w:t>زيادة بنسبة</w:t>
            </w:r>
            <w:r w:rsidRPr="005269E6">
              <w:rPr>
                <w:rFonts w:eastAsia="Times New Roman"/>
                <w:position w:val="2"/>
                <w:sz w:val="20"/>
                <w:szCs w:val="20"/>
                <w:rtl/>
                <w:lang w:val="fr-FR" w:eastAsia="en-US" w:bidi="ar-EG"/>
              </w:rPr>
              <w:t xml:space="preserve"> </w:t>
            </w:r>
            <w:r w:rsidRPr="005269E6">
              <w:rPr>
                <w:rFonts w:eastAsia="Times New Roman"/>
                <w:position w:val="2"/>
                <w:sz w:val="20"/>
                <w:szCs w:val="20"/>
                <w:lang w:val="fr-FR" w:eastAsia="en-US" w:bidi="ar-EG"/>
              </w:rPr>
              <w:t>%3</w:t>
            </w:r>
            <w:r w:rsidRPr="005269E6">
              <w:rPr>
                <w:rFonts w:eastAsia="Times New Roman"/>
                <w:position w:val="2"/>
                <w:sz w:val="20"/>
                <w:szCs w:val="20"/>
                <w:rtl/>
                <w:lang w:val="fr-FR" w:eastAsia="en-US" w:bidi="ar-EG"/>
              </w:rPr>
              <w:t xml:space="preserve"> </w:t>
            </w:r>
            <w:r w:rsidRPr="005269E6">
              <w:rPr>
                <w:rFonts w:eastAsia="Times New Roman" w:hint="cs"/>
                <w:position w:val="2"/>
                <w:sz w:val="20"/>
                <w:szCs w:val="20"/>
                <w:rtl/>
                <w:lang w:val="fr-FR" w:eastAsia="en-US" w:bidi="ar-EG"/>
              </w:rPr>
              <w:t>في جدول المرتبات الثابتة</w:t>
            </w:r>
            <w:r w:rsidRPr="005269E6">
              <w:rPr>
                <w:rFonts w:eastAsia="Times New Roman"/>
                <w:position w:val="2"/>
                <w:sz w:val="20"/>
                <w:szCs w:val="20"/>
                <w:rtl/>
                <w:lang w:val="fr-FR" w:eastAsia="en-US" w:bidi="ar-EG"/>
              </w:rPr>
              <w:t xml:space="preserve"> للصندوق </w:t>
            </w:r>
            <w:r w:rsidRPr="005269E6">
              <w:rPr>
                <w:rFonts w:eastAsia="Times New Roman"/>
                <w:position w:val="2"/>
                <w:sz w:val="20"/>
                <w:szCs w:val="20"/>
                <w:lang w:val="fr-FR" w:eastAsia="en-US" w:bidi="ar-EG"/>
              </w:rPr>
              <w:t>UNJSPF</w:t>
            </w:r>
            <w:r w:rsidRPr="005269E6">
              <w:rPr>
                <w:rFonts w:eastAsia="Times New Roman" w:hint="cs"/>
                <w:position w:val="2"/>
                <w:sz w:val="20"/>
                <w:szCs w:val="20"/>
                <w:rtl/>
                <w:lang w:val="fr-FR" w:eastAsia="en-US" w:bidi="ar-EG"/>
              </w:rPr>
              <w:t xml:space="preserve"> في عام </w:t>
            </w:r>
            <w:r w:rsidRPr="005269E6">
              <w:rPr>
                <w:rFonts w:eastAsia="Times New Roman"/>
                <w:position w:val="2"/>
                <w:sz w:val="20"/>
                <w:szCs w:val="20"/>
                <w:lang w:eastAsia="en-US" w:bidi="ar-EG"/>
              </w:rPr>
              <w:t>2019</w:t>
            </w:r>
            <w:r w:rsidRPr="005269E6">
              <w:rPr>
                <w:rFonts w:eastAsia="Times New Roman" w:hint="cs"/>
                <w:position w:val="2"/>
                <w:sz w:val="20"/>
                <w:szCs w:val="20"/>
                <w:rtl/>
                <w:lang w:eastAsia="en-US" w:bidi="ar-EG"/>
              </w:rPr>
              <w:t>.</w:t>
            </w:r>
          </w:p>
        </w:tc>
      </w:tr>
      <w:tr w:rsidR="00C543C6" w:rsidRPr="005269E6" w14:paraId="36E62740"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698D1212" w14:textId="77777777" w:rsidR="00C543C6" w:rsidRPr="005269E6" w:rsidRDefault="00C543C6" w:rsidP="006C7B22">
            <w:pPr>
              <w:spacing w:before="60" w:after="60" w:line="280" w:lineRule="exact"/>
              <w:jc w:val="left"/>
              <w:rPr>
                <w:rFonts w:eastAsia="Times New Roman"/>
                <w:position w:val="2"/>
                <w:sz w:val="20"/>
                <w:szCs w:val="20"/>
                <w:rtl/>
                <w:lang w:val="fr-CH" w:eastAsia="en-US" w:bidi="ar-EG"/>
              </w:rPr>
            </w:pPr>
            <w:r w:rsidRPr="005269E6">
              <w:rPr>
                <w:rFonts w:eastAsia="Times New Roman"/>
                <w:position w:val="2"/>
                <w:sz w:val="20"/>
                <w:szCs w:val="20"/>
                <w:rtl/>
                <w:lang w:val="fr-FR" w:eastAsia="en-US" w:bidi="ar-EG"/>
              </w:rPr>
              <w:t>زيادة معاشات التقاعد</w:t>
            </w:r>
          </w:p>
        </w:tc>
        <w:tc>
          <w:tcPr>
            <w:tcW w:w="3533" w:type="pct"/>
            <w:tcBorders>
              <w:top w:val="single" w:sz="4" w:space="0" w:color="auto"/>
              <w:left w:val="single" w:sz="4" w:space="0" w:color="auto"/>
              <w:bottom w:val="single" w:sz="4" w:space="0" w:color="auto"/>
              <w:right w:val="single" w:sz="4" w:space="0" w:color="auto"/>
            </w:tcBorders>
            <w:hideMark/>
          </w:tcPr>
          <w:p w14:paraId="63FB3326" w14:textId="080BE2BB" w:rsidR="00C543C6" w:rsidRPr="005269E6" w:rsidRDefault="00C543C6" w:rsidP="006C7B22">
            <w:pPr>
              <w:spacing w:before="60" w:after="60" w:line="280" w:lineRule="exact"/>
              <w:jc w:val="left"/>
              <w:rPr>
                <w:rFonts w:eastAsia="Times New Roman"/>
                <w:position w:val="2"/>
                <w:sz w:val="20"/>
                <w:szCs w:val="20"/>
                <w:lang w:eastAsia="en-US" w:bidi="ar-SY"/>
              </w:rPr>
            </w:pPr>
            <w:r w:rsidRPr="005269E6">
              <w:rPr>
                <w:rFonts w:eastAsia="Times New Roman"/>
                <w:position w:val="2"/>
                <w:sz w:val="20"/>
                <w:szCs w:val="20"/>
                <w:lang w:val="fr-FR" w:eastAsia="en-US" w:bidi="ar-EG"/>
              </w:rPr>
              <w:t>%2,50</w:t>
            </w:r>
            <w:r w:rsidRPr="005269E6">
              <w:rPr>
                <w:rFonts w:eastAsia="Times New Roman"/>
                <w:position w:val="2"/>
                <w:sz w:val="20"/>
                <w:szCs w:val="20"/>
                <w:rtl/>
                <w:lang w:val="fr-FR" w:eastAsia="en-US" w:bidi="ar-EG"/>
              </w:rPr>
              <w:t xml:space="preserve"> لعام</w:t>
            </w:r>
            <w:r w:rsidRPr="005269E6">
              <w:rPr>
                <w:rFonts w:eastAsia="Times New Roman" w:hint="cs"/>
                <w:position w:val="2"/>
                <w:sz w:val="20"/>
                <w:szCs w:val="20"/>
                <w:rtl/>
                <w:lang w:val="fr-FR" w:eastAsia="en-US" w:bidi="ar-EG"/>
              </w:rPr>
              <w:t>يْ</w:t>
            </w:r>
            <w:r w:rsidRPr="005269E6">
              <w:rPr>
                <w:rFonts w:eastAsia="Times New Roman"/>
                <w:position w:val="2"/>
                <w:sz w:val="20"/>
                <w:szCs w:val="20"/>
                <w:rtl/>
                <w:lang w:val="fr-FR" w:eastAsia="en-US" w:bidi="ar-EG"/>
              </w:rPr>
              <w:t xml:space="preserve"> </w:t>
            </w:r>
            <w:r w:rsidR="007F7997" w:rsidRPr="005269E6">
              <w:rPr>
                <w:rFonts w:eastAsia="Times New Roman"/>
                <w:position w:val="2"/>
                <w:sz w:val="20"/>
                <w:szCs w:val="20"/>
                <w:lang w:val="fr-FR" w:eastAsia="en-US" w:bidi="ar-EG"/>
              </w:rPr>
              <w:t>2022</w:t>
            </w:r>
            <w:r w:rsidRPr="005269E6">
              <w:rPr>
                <w:rFonts w:eastAsia="Times New Roman"/>
                <w:position w:val="2"/>
                <w:sz w:val="20"/>
                <w:szCs w:val="20"/>
                <w:rtl/>
                <w:lang w:val="fr-FR" w:eastAsia="en-US" w:bidi="ar-EG"/>
              </w:rPr>
              <w:t xml:space="preserve"> و</w:t>
            </w:r>
            <w:r w:rsidR="007F7997" w:rsidRPr="005269E6">
              <w:rPr>
                <w:rFonts w:eastAsia="Times New Roman"/>
                <w:position w:val="2"/>
                <w:sz w:val="20"/>
                <w:szCs w:val="20"/>
                <w:lang w:val="fr-CH" w:eastAsia="en-US" w:bidi="ar-EG"/>
              </w:rPr>
              <w:t>2021</w:t>
            </w:r>
            <w:r w:rsidRPr="005269E6">
              <w:rPr>
                <w:rFonts w:eastAsia="Times New Roman"/>
                <w:position w:val="2"/>
                <w:sz w:val="20"/>
                <w:szCs w:val="20"/>
                <w:rtl/>
                <w:lang w:val="fr-CH" w:eastAsia="en-US" w:bidi="ar-EG"/>
              </w:rPr>
              <w:t>.</w:t>
            </w:r>
          </w:p>
        </w:tc>
      </w:tr>
      <w:tr w:rsidR="00C543C6" w:rsidRPr="005269E6" w14:paraId="4C35A895"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367C920D" w14:textId="7E69F66B" w:rsidR="00C543C6" w:rsidRPr="005269E6" w:rsidRDefault="00C543C6" w:rsidP="006C7B22">
            <w:pPr>
              <w:spacing w:before="60" w:after="60" w:line="280" w:lineRule="exact"/>
              <w:rPr>
                <w:rFonts w:eastAsia="Times New Roman"/>
                <w:spacing w:val="-6"/>
                <w:position w:val="2"/>
                <w:sz w:val="20"/>
                <w:szCs w:val="20"/>
                <w:rtl/>
                <w:lang w:val="fr-FR" w:eastAsia="en-US" w:bidi="ar-EG"/>
              </w:rPr>
            </w:pPr>
            <w:r w:rsidRPr="005269E6">
              <w:rPr>
                <w:rFonts w:eastAsia="Times New Roman"/>
                <w:spacing w:val="-6"/>
                <w:position w:val="2"/>
                <w:sz w:val="20"/>
                <w:szCs w:val="20"/>
                <w:rtl/>
                <w:lang w:val="fr-FR" w:eastAsia="en-US" w:bidi="ar-EG"/>
              </w:rPr>
              <w:t>متوسط التكلفة السنوية لطلبات استرداد النفقات الطبية في</w:t>
            </w:r>
            <w:r w:rsidR="005C6A19" w:rsidRPr="005269E6">
              <w:rPr>
                <w:rFonts w:eastAsia="Times New Roman" w:hint="cs"/>
                <w:spacing w:val="-6"/>
                <w:position w:val="2"/>
                <w:sz w:val="20"/>
                <w:szCs w:val="20"/>
                <w:rtl/>
                <w:lang w:val="fr-FR" w:eastAsia="en-US" w:bidi="ar-EG"/>
              </w:rPr>
              <w:t xml:space="preserve"> </w:t>
            </w:r>
            <w:r w:rsidR="005C6A19" w:rsidRPr="005269E6">
              <w:rPr>
                <w:rFonts w:eastAsia="Times New Roman"/>
                <w:spacing w:val="-6"/>
                <w:position w:val="2"/>
                <w:sz w:val="20"/>
                <w:szCs w:val="20"/>
                <w:lang w:eastAsia="en-US" w:bidi="ar-EG"/>
              </w:rPr>
              <w:t>2022</w:t>
            </w:r>
            <w:r w:rsidRPr="005269E6">
              <w:rPr>
                <w:rFonts w:eastAsia="Times New Roman"/>
                <w:spacing w:val="-6"/>
                <w:position w:val="2"/>
                <w:sz w:val="20"/>
                <w:szCs w:val="20"/>
                <w:rtl/>
                <w:lang w:val="fr-CH" w:eastAsia="en-US" w:bidi="ar-EG"/>
              </w:rPr>
              <w:t xml:space="preserve"> </w:t>
            </w:r>
            <w:r w:rsidRPr="005269E6">
              <w:rPr>
                <w:rFonts w:eastAsia="Times New Roman"/>
                <w:spacing w:val="-6"/>
                <w:position w:val="2"/>
                <w:sz w:val="20"/>
                <w:szCs w:val="20"/>
                <w:rtl/>
                <w:lang w:val="fr-FR" w:eastAsia="en-US" w:bidi="ar-EG"/>
              </w:rPr>
              <w:t>والاختلاف في النفقات الطبية بحكم السن</w:t>
            </w:r>
          </w:p>
        </w:tc>
        <w:tc>
          <w:tcPr>
            <w:tcW w:w="3533" w:type="pct"/>
            <w:tcBorders>
              <w:top w:val="single" w:sz="4" w:space="0" w:color="auto"/>
              <w:left w:val="single" w:sz="4" w:space="0" w:color="auto"/>
              <w:bottom w:val="single" w:sz="4" w:space="0" w:color="auto"/>
              <w:right w:val="single" w:sz="4" w:space="0" w:color="auto"/>
            </w:tcBorders>
            <w:hideMark/>
          </w:tcPr>
          <w:p w14:paraId="63FBC15B" w14:textId="5F81AC40" w:rsidR="00C543C6" w:rsidRPr="005269E6" w:rsidRDefault="00C543C6" w:rsidP="006C7B22">
            <w:pPr>
              <w:spacing w:before="60" w:after="60" w:line="280" w:lineRule="exact"/>
              <w:rPr>
                <w:rFonts w:eastAsia="Times New Roman"/>
                <w:spacing w:val="-4"/>
                <w:position w:val="2"/>
                <w:sz w:val="20"/>
                <w:szCs w:val="20"/>
                <w:rtl/>
                <w:lang w:val="fr-FR" w:eastAsia="en-US" w:bidi="ar-EG"/>
              </w:rPr>
            </w:pPr>
            <w:r w:rsidRPr="005269E6">
              <w:rPr>
                <w:rFonts w:eastAsia="Times New Roman"/>
                <w:spacing w:val="-4"/>
                <w:position w:val="2"/>
                <w:sz w:val="20"/>
                <w:szCs w:val="20"/>
                <w:rtl/>
                <w:lang w:val="fr-FR" w:eastAsia="en-US" w:bidi="ar-EG"/>
              </w:rPr>
              <w:t>يستند التقرير ال</w:t>
            </w:r>
            <w:r w:rsidR="0059394B" w:rsidRPr="005269E6">
              <w:rPr>
                <w:rFonts w:eastAsia="Times New Roman"/>
                <w:spacing w:val="-4"/>
                <w:position w:val="2"/>
                <w:sz w:val="20"/>
                <w:szCs w:val="20"/>
                <w:rtl/>
                <w:lang w:val="fr-FR" w:eastAsia="en-US" w:bidi="ar-EG"/>
              </w:rPr>
              <w:t>إكتواري</w:t>
            </w:r>
            <w:r w:rsidRPr="005269E6">
              <w:rPr>
                <w:rFonts w:eastAsia="Times New Roman"/>
                <w:spacing w:val="-4"/>
                <w:position w:val="2"/>
                <w:sz w:val="20"/>
                <w:szCs w:val="20"/>
                <w:rtl/>
                <w:lang w:val="fr-FR" w:eastAsia="en-US" w:bidi="ar-EG"/>
              </w:rPr>
              <w:t xml:space="preserve"> لعام </w:t>
            </w:r>
            <w:r w:rsidR="007F7997" w:rsidRPr="005269E6">
              <w:rPr>
                <w:rFonts w:eastAsia="Times New Roman"/>
                <w:spacing w:val="-4"/>
                <w:position w:val="2"/>
                <w:sz w:val="20"/>
                <w:szCs w:val="20"/>
                <w:lang w:val="fr-FR" w:eastAsia="en-US" w:bidi="ar-EG"/>
              </w:rPr>
              <w:t>2022</w:t>
            </w:r>
            <w:r w:rsidRPr="005269E6">
              <w:rPr>
                <w:rFonts w:eastAsia="Times New Roman"/>
                <w:spacing w:val="-4"/>
                <w:position w:val="2"/>
                <w:sz w:val="20"/>
                <w:szCs w:val="20"/>
                <w:rtl/>
                <w:lang w:val="fr-FR" w:eastAsia="en-US" w:bidi="ar-SY"/>
              </w:rPr>
              <w:t xml:space="preserve"> </w:t>
            </w:r>
            <w:r w:rsidRPr="005269E6">
              <w:rPr>
                <w:rFonts w:eastAsia="Times New Roman" w:hint="cs"/>
                <w:spacing w:val="-4"/>
                <w:position w:val="2"/>
                <w:sz w:val="20"/>
                <w:szCs w:val="20"/>
                <w:rtl/>
                <w:lang w:val="fr-FR" w:eastAsia="en-US" w:bidi="ar-SY"/>
              </w:rPr>
              <w:t>إلى</w:t>
            </w:r>
            <w:r w:rsidRPr="005269E6">
              <w:rPr>
                <w:rFonts w:eastAsia="Times New Roman"/>
                <w:spacing w:val="-4"/>
                <w:position w:val="2"/>
                <w:sz w:val="20"/>
                <w:szCs w:val="20"/>
                <w:rtl/>
                <w:lang w:val="fr-FR" w:eastAsia="en-US" w:bidi="ar-SY"/>
              </w:rPr>
              <w:t xml:space="preserve"> </w:t>
            </w:r>
            <w:r w:rsidRPr="005269E6">
              <w:rPr>
                <w:rFonts w:eastAsia="Times New Roman"/>
                <w:spacing w:val="-4"/>
                <w:position w:val="2"/>
                <w:sz w:val="20"/>
                <w:szCs w:val="20"/>
                <w:rtl/>
                <w:lang w:val="fr-FR" w:eastAsia="en-US" w:bidi="ar-EG"/>
              </w:rPr>
              <w:t>متوسط التكلفة لطلبات استرداد النفقات بالفرنك السويسري</w:t>
            </w:r>
            <w:r w:rsidRPr="005269E6">
              <w:rPr>
                <w:rFonts w:eastAsia="Times New Roman" w:hint="cs"/>
                <w:spacing w:val="-4"/>
                <w:position w:val="2"/>
                <w:sz w:val="20"/>
                <w:szCs w:val="20"/>
                <w:rtl/>
                <w:lang w:val="fr-FR" w:eastAsia="en-US" w:bidi="ar-EG"/>
              </w:rPr>
              <w:t xml:space="preserve"> مقدراً</w:t>
            </w:r>
            <w:r w:rsidRPr="005269E6">
              <w:rPr>
                <w:rFonts w:eastAsia="Times New Roman"/>
                <w:spacing w:val="-4"/>
                <w:position w:val="2"/>
                <w:sz w:val="20"/>
                <w:szCs w:val="20"/>
                <w:rtl/>
                <w:lang w:val="fr-FR" w:eastAsia="en-US" w:bidi="ar-EG"/>
              </w:rPr>
              <w:t xml:space="preserve"> بالفرنك السويسري، في نهاية الفترة المالية </w:t>
            </w:r>
            <w:r w:rsidR="007F7997" w:rsidRPr="005269E6">
              <w:rPr>
                <w:rFonts w:eastAsia="Times New Roman"/>
                <w:spacing w:val="-4"/>
                <w:position w:val="2"/>
                <w:sz w:val="20"/>
                <w:szCs w:val="20"/>
                <w:lang w:val="fr-CH" w:eastAsia="en-US" w:bidi="ar-EG"/>
              </w:rPr>
              <w:t>2022</w:t>
            </w:r>
            <w:r w:rsidRPr="005269E6">
              <w:rPr>
                <w:rFonts w:eastAsia="Times New Roman" w:hint="cs"/>
                <w:spacing w:val="-4"/>
                <w:position w:val="2"/>
                <w:sz w:val="20"/>
                <w:szCs w:val="20"/>
                <w:rtl/>
                <w:lang w:val="fr-FR" w:eastAsia="en-US" w:bidi="ar-EG"/>
              </w:rPr>
              <w:t>،</w:t>
            </w:r>
            <w:r w:rsidRPr="005269E6">
              <w:rPr>
                <w:rFonts w:eastAsia="Times New Roman"/>
                <w:spacing w:val="-4"/>
                <w:position w:val="2"/>
                <w:sz w:val="20"/>
                <w:szCs w:val="20"/>
                <w:rtl/>
                <w:lang w:val="fr-FR" w:eastAsia="en-US" w:bidi="ar-EG"/>
              </w:rPr>
              <w:t xml:space="preserve"> بحسب الفئات العمرية </w:t>
            </w:r>
            <w:r w:rsidRPr="005269E6">
              <w:rPr>
                <w:rFonts w:eastAsia="Times New Roman"/>
                <w:spacing w:val="-4"/>
                <w:position w:val="2"/>
                <w:sz w:val="20"/>
                <w:szCs w:val="20"/>
                <w:lang w:val="fr-FR" w:eastAsia="en-US" w:bidi="ar-EG"/>
              </w:rPr>
              <w:t>50</w:t>
            </w:r>
            <w:r w:rsidRPr="005269E6">
              <w:rPr>
                <w:rFonts w:eastAsia="Times New Roman"/>
                <w:spacing w:val="-4"/>
                <w:position w:val="2"/>
                <w:sz w:val="20"/>
                <w:szCs w:val="20"/>
                <w:rtl/>
                <w:lang w:val="fr-FR" w:eastAsia="en-US" w:bidi="ar-EG"/>
              </w:rPr>
              <w:t xml:space="preserve"> </w:t>
            </w:r>
            <w:r w:rsidRPr="005269E6">
              <w:rPr>
                <w:rFonts w:eastAsia="Times New Roman" w:hint="cs"/>
                <w:spacing w:val="-4"/>
                <w:position w:val="2"/>
                <w:sz w:val="20"/>
                <w:szCs w:val="20"/>
                <w:rtl/>
                <w:lang w:val="fr-FR" w:eastAsia="en-US" w:bidi="ar-EG"/>
              </w:rPr>
              <w:t>و</w:t>
            </w:r>
            <w:r w:rsidRPr="005269E6">
              <w:rPr>
                <w:rFonts w:eastAsia="Times New Roman"/>
                <w:spacing w:val="-4"/>
                <w:position w:val="2"/>
                <w:sz w:val="20"/>
                <w:szCs w:val="20"/>
                <w:lang w:val="en-CA" w:eastAsia="en-US" w:bidi="ar-EG"/>
              </w:rPr>
              <w:t>55</w:t>
            </w:r>
            <w:r w:rsidRPr="005269E6">
              <w:rPr>
                <w:rFonts w:eastAsia="Times New Roman"/>
                <w:spacing w:val="-4"/>
                <w:position w:val="2"/>
                <w:sz w:val="20"/>
                <w:szCs w:val="20"/>
                <w:rtl/>
                <w:lang w:val="en-CA" w:eastAsia="en-US" w:bidi="ar-EG"/>
              </w:rPr>
              <w:t xml:space="preserve"> </w:t>
            </w:r>
            <w:r w:rsidRPr="005269E6">
              <w:rPr>
                <w:rFonts w:eastAsia="Times New Roman"/>
                <w:spacing w:val="-4"/>
                <w:position w:val="2"/>
                <w:sz w:val="20"/>
                <w:szCs w:val="20"/>
                <w:rtl/>
                <w:lang w:val="fr-FR" w:eastAsia="en-US" w:bidi="ar-EG"/>
              </w:rPr>
              <w:t>و</w:t>
            </w:r>
            <w:r w:rsidRPr="005269E6">
              <w:rPr>
                <w:rFonts w:eastAsia="Times New Roman"/>
                <w:spacing w:val="-4"/>
                <w:position w:val="2"/>
                <w:sz w:val="20"/>
                <w:szCs w:val="20"/>
                <w:lang w:val="fr-FR" w:eastAsia="en-US" w:bidi="ar-EG"/>
              </w:rPr>
              <w:t>60</w:t>
            </w:r>
            <w:r w:rsidRPr="005269E6">
              <w:rPr>
                <w:rFonts w:eastAsia="Times New Roman"/>
                <w:spacing w:val="-4"/>
                <w:position w:val="2"/>
                <w:sz w:val="20"/>
                <w:szCs w:val="20"/>
                <w:rtl/>
                <w:lang w:val="fr-FR" w:eastAsia="en-US" w:bidi="ar-EG"/>
              </w:rPr>
              <w:t xml:space="preserve"> </w:t>
            </w:r>
            <w:r w:rsidRPr="005269E6">
              <w:rPr>
                <w:rFonts w:eastAsia="Times New Roman" w:hint="cs"/>
                <w:spacing w:val="-4"/>
                <w:position w:val="2"/>
                <w:sz w:val="20"/>
                <w:szCs w:val="20"/>
                <w:rtl/>
                <w:lang w:val="fr-FR" w:eastAsia="en-US" w:bidi="ar-EG"/>
              </w:rPr>
              <w:t>و</w:t>
            </w:r>
            <w:r w:rsidRPr="005269E6">
              <w:rPr>
                <w:rFonts w:eastAsia="Times New Roman"/>
                <w:spacing w:val="-4"/>
                <w:position w:val="2"/>
                <w:sz w:val="20"/>
                <w:szCs w:val="20"/>
                <w:lang w:val="en-CA" w:eastAsia="en-US" w:bidi="ar-EG"/>
              </w:rPr>
              <w:t>65</w:t>
            </w:r>
            <w:r w:rsidRPr="005269E6">
              <w:rPr>
                <w:rFonts w:eastAsia="Times New Roman"/>
                <w:spacing w:val="-4"/>
                <w:position w:val="2"/>
                <w:sz w:val="20"/>
                <w:szCs w:val="20"/>
                <w:rtl/>
                <w:lang w:val="en-CA" w:eastAsia="en-US" w:bidi="ar-EG"/>
              </w:rPr>
              <w:t xml:space="preserve"> </w:t>
            </w:r>
            <w:r w:rsidRPr="005269E6">
              <w:rPr>
                <w:rFonts w:eastAsia="Times New Roman"/>
                <w:spacing w:val="-4"/>
                <w:position w:val="2"/>
                <w:sz w:val="20"/>
                <w:szCs w:val="20"/>
                <w:rtl/>
                <w:lang w:val="fr-FR" w:eastAsia="en-US" w:bidi="ar-EG"/>
              </w:rPr>
              <w:t>و</w:t>
            </w:r>
            <w:r w:rsidRPr="005269E6">
              <w:rPr>
                <w:rFonts w:eastAsia="Times New Roman"/>
                <w:spacing w:val="-4"/>
                <w:position w:val="2"/>
                <w:sz w:val="20"/>
                <w:szCs w:val="20"/>
                <w:lang w:val="fr-FR" w:eastAsia="en-US" w:bidi="ar-EG"/>
              </w:rPr>
              <w:t>70</w:t>
            </w:r>
            <w:r w:rsidRPr="005269E6">
              <w:rPr>
                <w:rFonts w:eastAsia="Times New Roman"/>
                <w:spacing w:val="-4"/>
                <w:position w:val="2"/>
                <w:sz w:val="20"/>
                <w:szCs w:val="20"/>
                <w:rtl/>
                <w:lang w:val="fr-FR" w:eastAsia="en-US" w:bidi="ar-EG"/>
              </w:rPr>
              <w:t xml:space="preserve"> </w:t>
            </w:r>
            <w:r w:rsidRPr="005269E6">
              <w:rPr>
                <w:rFonts w:eastAsia="Times New Roman" w:hint="cs"/>
                <w:spacing w:val="-4"/>
                <w:position w:val="2"/>
                <w:sz w:val="20"/>
                <w:szCs w:val="20"/>
                <w:rtl/>
                <w:lang w:val="fr-FR" w:eastAsia="en-US" w:bidi="ar-EG"/>
              </w:rPr>
              <w:t>و</w:t>
            </w:r>
            <w:r w:rsidRPr="005269E6">
              <w:rPr>
                <w:rFonts w:eastAsia="Times New Roman"/>
                <w:spacing w:val="-4"/>
                <w:position w:val="2"/>
                <w:sz w:val="20"/>
                <w:szCs w:val="20"/>
                <w:lang w:val="en-CA" w:eastAsia="en-US" w:bidi="ar-EG"/>
              </w:rPr>
              <w:t>75</w:t>
            </w:r>
            <w:r w:rsidRPr="005269E6">
              <w:rPr>
                <w:rFonts w:eastAsia="Times New Roman"/>
                <w:spacing w:val="-4"/>
                <w:position w:val="2"/>
                <w:sz w:val="20"/>
                <w:szCs w:val="20"/>
                <w:rtl/>
                <w:lang w:val="en-CA" w:eastAsia="en-US" w:bidi="ar-EG"/>
              </w:rPr>
              <w:t xml:space="preserve"> </w:t>
            </w:r>
            <w:r w:rsidRPr="005269E6">
              <w:rPr>
                <w:rFonts w:eastAsia="Times New Roman"/>
                <w:spacing w:val="-4"/>
                <w:position w:val="2"/>
                <w:sz w:val="20"/>
                <w:szCs w:val="20"/>
                <w:rtl/>
                <w:lang w:val="fr-FR" w:eastAsia="en-US" w:bidi="ar-EG"/>
              </w:rPr>
              <w:t>و</w:t>
            </w:r>
            <w:r w:rsidRPr="005269E6">
              <w:rPr>
                <w:rFonts w:eastAsia="Times New Roman"/>
                <w:spacing w:val="-4"/>
                <w:position w:val="2"/>
                <w:sz w:val="20"/>
                <w:szCs w:val="20"/>
                <w:lang w:val="fr-FR" w:eastAsia="en-US" w:bidi="ar-EG"/>
              </w:rPr>
              <w:t>80</w:t>
            </w:r>
            <w:r w:rsidRPr="005269E6">
              <w:rPr>
                <w:rFonts w:eastAsia="Times New Roman"/>
                <w:spacing w:val="-4"/>
                <w:position w:val="2"/>
                <w:sz w:val="20"/>
                <w:szCs w:val="20"/>
                <w:rtl/>
                <w:lang w:val="fr-FR" w:eastAsia="en-US" w:bidi="ar-EG"/>
              </w:rPr>
              <w:t xml:space="preserve">، </w:t>
            </w:r>
            <w:r w:rsidRPr="005269E6">
              <w:rPr>
                <w:rFonts w:eastAsia="Times New Roman" w:hint="cs"/>
                <w:spacing w:val="-4"/>
                <w:position w:val="2"/>
                <w:sz w:val="20"/>
                <w:szCs w:val="20"/>
                <w:rtl/>
                <w:lang w:val="fr-FR" w:eastAsia="en-US" w:bidi="ar-EG"/>
              </w:rPr>
              <w:t>بمبلغ</w:t>
            </w:r>
            <w:r w:rsidRPr="005269E6">
              <w:rPr>
                <w:rFonts w:eastAsia="Times New Roman"/>
                <w:spacing w:val="-4"/>
                <w:position w:val="2"/>
                <w:sz w:val="20"/>
                <w:szCs w:val="20"/>
                <w:rtl/>
                <w:lang w:val="fr-FR" w:eastAsia="en-US" w:bidi="ar-EG"/>
              </w:rPr>
              <w:t xml:space="preserve"> </w:t>
            </w:r>
            <w:r w:rsidR="007F7997" w:rsidRPr="005269E6">
              <w:rPr>
                <w:rFonts w:eastAsia="Times New Roman"/>
                <w:spacing w:val="-4"/>
                <w:position w:val="2"/>
                <w:sz w:val="20"/>
                <w:szCs w:val="20"/>
                <w:lang w:eastAsia="en-US" w:bidi="ar-EG"/>
              </w:rPr>
              <w:t>3 13</w:t>
            </w:r>
            <w:r w:rsidR="000B128A" w:rsidRPr="005269E6">
              <w:rPr>
                <w:rFonts w:eastAsia="Times New Roman"/>
                <w:spacing w:val="-4"/>
                <w:position w:val="2"/>
                <w:sz w:val="20"/>
                <w:szCs w:val="20"/>
                <w:lang w:eastAsia="en-US" w:bidi="ar-EG"/>
              </w:rPr>
              <w:t>8</w:t>
            </w:r>
            <w:r w:rsidRPr="005269E6">
              <w:rPr>
                <w:rFonts w:eastAsia="Times New Roman" w:hint="cs"/>
                <w:spacing w:val="-4"/>
                <w:position w:val="2"/>
                <w:sz w:val="20"/>
                <w:szCs w:val="20"/>
                <w:rtl/>
                <w:lang w:eastAsia="en-US" w:bidi="ar-EG"/>
              </w:rPr>
              <w:t xml:space="preserve"> و</w:t>
            </w:r>
            <w:r w:rsidR="000B128A" w:rsidRPr="005269E6">
              <w:rPr>
                <w:rFonts w:eastAsia="Times New Roman"/>
                <w:spacing w:val="-4"/>
                <w:position w:val="2"/>
                <w:sz w:val="20"/>
                <w:szCs w:val="20"/>
                <w:lang w:eastAsia="en-US" w:bidi="ar-EG"/>
              </w:rPr>
              <w:t>3 928</w:t>
            </w:r>
            <w:r w:rsidRPr="005269E6">
              <w:rPr>
                <w:rFonts w:eastAsia="Times New Roman" w:hint="cs"/>
                <w:spacing w:val="-4"/>
                <w:position w:val="2"/>
                <w:sz w:val="20"/>
                <w:szCs w:val="20"/>
                <w:rtl/>
                <w:lang w:eastAsia="en-US" w:bidi="ar-EG"/>
              </w:rPr>
              <w:t xml:space="preserve"> و</w:t>
            </w:r>
            <w:r w:rsidR="000B128A" w:rsidRPr="005269E6">
              <w:rPr>
                <w:rFonts w:eastAsia="Times New Roman"/>
                <w:spacing w:val="-4"/>
                <w:position w:val="2"/>
                <w:sz w:val="20"/>
                <w:szCs w:val="20"/>
                <w:lang w:eastAsia="en-US" w:bidi="ar-EG"/>
              </w:rPr>
              <w:t>4 925</w:t>
            </w:r>
            <w:r w:rsidRPr="005269E6">
              <w:rPr>
                <w:rFonts w:eastAsia="Times New Roman"/>
                <w:spacing w:val="-4"/>
                <w:position w:val="2"/>
                <w:sz w:val="20"/>
                <w:szCs w:val="20"/>
                <w:rtl/>
                <w:lang w:eastAsia="en-US" w:bidi="ar-EG"/>
              </w:rPr>
              <w:t xml:space="preserve"> و</w:t>
            </w:r>
            <w:r w:rsidR="000B128A" w:rsidRPr="005269E6">
              <w:rPr>
                <w:rFonts w:eastAsia="Times New Roman"/>
                <w:spacing w:val="-4"/>
                <w:position w:val="2"/>
                <w:sz w:val="20"/>
                <w:szCs w:val="20"/>
                <w:lang w:eastAsia="en-US" w:bidi="ar-EG"/>
              </w:rPr>
              <w:t>6 184</w:t>
            </w:r>
            <w:r w:rsidRPr="005269E6">
              <w:rPr>
                <w:rFonts w:eastAsia="Times New Roman"/>
                <w:spacing w:val="-4"/>
                <w:position w:val="2"/>
                <w:sz w:val="20"/>
                <w:szCs w:val="20"/>
                <w:rtl/>
                <w:lang w:eastAsia="en-US" w:bidi="ar-EG"/>
              </w:rPr>
              <w:t xml:space="preserve"> و</w:t>
            </w:r>
            <w:r w:rsidR="000B128A" w:rsidRPr="005269E6">
              <w:rPr>
                <w:rFonts w:eastAsia="Times New Roman"/>
                <w:spacing w:val="-4"/>
                <w:position w:val="2"/>
                <w:sz w:val="20"/>
                <w:szCs w:val="20"/>
                <w:lang w:eastAsia="en-US" w:bidi="ar-EG"/>
              </w:rPr>
              <w:t>7 777</w:t>
            </w:r>
            <w:r w:rsidRPr="005269E6">
              <w:rPr>
                <w:rFonts w:eastAsia="Times New Roman"/>
                <w:spacing w:val="-4"/>
                <w:position w:val="2"/>
                <w:sz w:val="20"/>
                <w:szCs w:val="20"/>
                <w:rtl/>
                <w:lang w:eastAsia="en-US" w:bidi="ar-EG"/>
              </w:rPr>
              <w:t xml:space="preserve"> و</w:t>
            </w:r>
            <w:r w:rsidR="0038757D" w:rsidRPr="005269E6">
              <w:rPr>
                <w:rFonts w:eastAsia="Times New Roman"/>
                <w:spacing w:val="-4"/>
                <w:position w:val="2"/>
                <w:sz w:val="20"/>
                <w:szCs w:val="20"/>
                <w:lang w:eastAsia="en-US" w:bidi="ar-EG"/>
              </w:rPr>
              <w:t>9 800</w:t>
            </w:r>
            <w:r w:rsidR="0038757D" w:rsidRPr="005269E6">
              <w:rPr>
                <w:rFonts w:eastAsia="Times New Roman" w:hint="cs"/>
                <w:spacing w:val="-4"/>
                <w:position w:val="2"/>
                <w:sz w:val="20"/>
                <w:szCs w:val="20"/>
                <w:rtl/>
                <w:lang w:eastAsia="en-US" w:bidi="ar-SY"/>
              </w:rPr>
              <w:t xml:space="preserve"> و</w:t>
            </w:r>
            <w:r w:rsidR="0038757D" w:rsidRPr="005269E6">
              <w:rPr>
                <w:rFonts w:eastAsia="Times New Roman"/>
                <w:spacing w:val="-4"/>
                <w:position w:val="2"/>
                <w:sz w:val="20"/>
                <w:szCs w:val="20"/>
                <w:lang w:eastAsia="en-US" w:bidi="ar-SY"/>
              </w:rPr>
              <w:t>12 369</w:t>
            </w:r>
            <w:r w:rsidRPr="005269E6">
              <w:rPr>
                <w:rFonts w:eastAsia="Times New Roman" w:hint="cs"/>
                <w:spacing w:val="-4"/>
                <w:position w:val="2"/>
                <w:sz w:val="20"/>
                <w:szCs w:val="20"/>
                <w:rtl/>
                <w:lang w:eastAsia="en-US" w:bidi="ar-EG"/>
              </w:rPr>
              <w:t>.</w:t>
            </w:r>
          </w:p>
        </w:tc>
      </w:tr>
      <w:tr w:rsidR="00C543C6" w:rsidRPr="005269E6" w14:paraId="5A7454D5"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419144E1" w14:textId="77777777"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مصاريف إدارية</w:t>
            </w:r>
          </w:p>
        </w:tc>
        <w:tc>
          <w:tcPr>
            <w:tcW w:w="3533" w:type="pct"/>
            <w:tcBorders>
              <w:top w:val="single" w:sz="4" w:space="0" w:color="auto"/>
              <w:left w:val="single" w:sz="4" w:space="0" w:color="auto"/>
              <w:bottom w:val="single" w:sz="4" w:space="0" w:color="auto"/>
              <w:right w:val="single" w:sz="4" w:space="0" w:color="auto"/>
            </w:tcBorders>
            <w:hideMark/>
          </w:tcPr>
          <w:p w14:paraId="7D0C4307" w14:textId="450DB8C8"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 xml:space="preserve">تم تقدير متوسط التكلفة الإدارية السنوية لكل فرد بنحو </w:t>
            </w:r>
            <w:r w:rsidRPr="005269E6">
              <w:rPr>
                <w:rFonts w:eastAsia="Times New Roman"/>
                <w:position w:val="2"/>
                <w:sz w:val="20"/>
                <w:szCs w:val="20"/>
                <w:lang w:eastAsia="en-US" w:bidi="ar-EG"/>
              </w:rPr>
              <w:t>16</w:t>
            </w:r>
            <w:r w:rsidR="005000B6" w:rsidRPr="005269E6">
              <w:rPr>
                <w:rFonts w:eastAsia="Times New Roman"/>
                <w:position w:val="2"/>
                <w:sz w:val="20"/>
                <w:szCs w:val="20"/>
                <w:lang w:eastAsia="en-US" w:bidi="ar-EG"/>
              </w:rPr>
              <w:t>2</w:t>
            </w:r>
            <w:r w:rsidRPr="005269E6">
              <w:rPr>
                <w:rFonts w:eastAsia="Times New Roman"/>
                <w:position w:val="2"/>
                <w:sz w:val="20"/>
                <w:szCs w:val="20"/>
                <w:rtl/>
                <w:lang w:val="fr-FR" w:eastAsia="en-US" w:bidi="ar-EG"/>
              </w:rPr>
              <w:t xml:space="preserve"> فرنكا</w:t>
            </w:r>
            <w:r w:rsidRPr="005269E6">
              <w:rPr>
                <w:rFonts w:eastAsia="Times New Roman" w:hint="cs"/>
                <w:position w:val="2"/>
                <w:sz w:val="20"/>
                <w:szCs w:val="20"/>
                <w:rtl/>
                <w:lang w:val="fr-FR" w:eastAsia="en-US" w:bidi="ar-EG"/>
              </w:rPr>
              <w:t>ً</w:t>
            </w:r>
            <w:r w:rsidRPr="005269E6">
              <w:rPr>
                <w:rFonts w:eastAsia="Times New Roman"/>
                <w:position w:val="2"/>
                <w:sz w:val="20"/>
                <w:szCs w:val="20"/>
                <w:rtl/>
                <w:lang w:val="fr-FR" w:eastAsia="en-US" w:bidi="ar-EG"/>
              </w:rPr>
              <w:t xml:space="preserve"> سويسري</w:t>
            </w:r>
            <w:r w:rsidRPr="005269E6">
              <w:rPr>
                <w:rFonts w:eastAsia="Times New Roman" w:hint="cs"/>
                <w:position w:val="2"/>
                <w:sz w:val="20"/>
                <w:szCs w:val="20"/>
                <w:rtl/>
                <w:lang w:val="fr-FR" w:eastAsia="en-US" w:bidi="ar-EG"/>
              </w:rPr>
              <w:t>اً</w:t>
            </w:r>
            <w:r w:rsidRPr="005269E6">
              <w:rPr>
                <w:rFonts w:eastAsia="Times New Roman"/>
                <w:position w:val="2"/>
                <w:sz w:val="20"/>
                <w:szCs w:val="20"/>
                <w:rtl/>
                <w:lang w:val="fr-FR" w:eastAsia="en-US" w:bidi="ar-EG"/>
              </w:rPr>
              <w:t>.</w:t>
            </w:r>
            <w:r w:rsidRPr="005269E6">
              <w:rPr>
                <w:rFonts w:eastAsia="Times New Roman" w:hint="cs"/>
                <w:position w:val="2"/>
                <w:sz w:val="20"/>
                <w:szCs w:val="20"/>
                <w:rtl/>
                <w:lang w:val="fr-FR" w:eastAsia="en-US" w:bidi="ar-EG"/>
              </w:rPr>
              <w:t xml:space="preserve"> </w:t>
            </w:r>
          </w:p>
        </w:tc>
      </w:tr>
      <w:tr w:rsidR="00C543C6" w:rsidRPr="005269E6" w14:paraId="227B0DFB"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3BE761CC" w14:textId="77777777"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معدل الوفيات</w:t>
            </w:r>
          </w:p>
        </w:tc>
        <w:tc>
          <w:tcPr>
            <w:tcW w:w="3533" w:type="pct"/>
            <w:tcBorders>
              <w:top w:val="single" w:sz="4" w:space="0" w:color="auto"/>
              <w:left w:val="single" w:sz="4" w:space="0" w:color="auto"/>
              <w:bottom w:val="single" w:sz="4" w:space="0" w:color="auto"/>
              <w:right w:val="single" w:sz="4" w:space="0" w:color="auto"/>
            </w:tcBorders>
            <w:hideMark/>
          </w:tcPr>
          <w:p w14:paraId="369F9099" w14:textId="6B8BCDE3" w:rsidR="00C543C6" w:rsidRPr="005269E6" w:rsidRDefault="00C543C6" w:rsidP="006C7B22">
            <w:pPr>
              <w:spacing w:before="60" w:after="60" w:line="280" w:lineRule="exact"/>
              <w:rPr>
                <w:rFonts w:eastAsia="Times New Roman"/>
                <w:spacing w:val="-4"/>
                <w:position w:val="2"/>
                <w:sz w:val="20"/>
                <w:szCs w:val="20"/>
                <w:rtl/>
                <w:lang w:val="fr-FR" w:eastAsia="en-US" w:bidi="ar-SY"/>
              </w:rPr>
            </w:pPr>
            <w:r w:rsidRPr="005269E6">
              <w:rPr>
                <w:rFonts w:eastAsia="Times New Roman" w:hint="cs"/>
                <w:spacing w:val="-4"/>
                <w:position w:val="2"/>
                <w:sz w:val="20"/>
                <w:szCs w:val="20"/>
                <w:rtl/>
                <w:lang w:val="fr-FR" w:eastAsia="en-US" w:bidi="ar-EG"/>
              </w:rPr>
              <w:t>يستند</w:t>
            </w:r>
            <w:r w:rsidRPr="005269E6">
              <w:rPr>
                <w:rFonts w:eastAsia="Times New Roman"/>
                <w:spacing w:val="-4"/>
                <w:position w:val="2"/>
                <w:sz w:val="20"/>
                <w:szCs w:val="20"/>
                <w:rtl/>
                <w:lang w:val="fr-FR" w:eastAsia="en-US" w:bidi="ar-EG"/>
              </w:rPr>
              <w:t xml:space="preserve"> معدل الوفيات إلى </w:t>
            </w:r>
            <w:r w:rsidRPr="005269E6">
              <w:rPr>
                <w:rFonts w:eastAsia="Times New Roman" w:hint="cs"/>
                <w:spacing w:val="-4"/>
                <w:position w:val="2"/>
                <w:sz w:val="20"/>
                <w:szCs w:val="20"/>
                <w:rtl/>
                <w:lang w:val="fr-FR" w:eastAsia="en-US" w:bidi="ar-EG"/>
              </w:rPr>
              <w:t xml:space="preserve">أحدث </w:t>
            </w:r>
            <w:r w:rsidRPr="005269E6">
              <w:rPr>
                <w:rFonts w:eastAsia="Times New Roman"/>
                <w:spacing w:val="-4"/>
                <w:position w:val="2"/>
                <w:sz w:val="20"/>
                <w:szCs w:val="20"/>
                <w:rtl/>
                <w:lang w:val="fr-FR" w:eastAsia="en-US" w:bidi="ar-EG"/>
              </w:rPr>
              <w:t>جداول الأمم المتحدة</w:t>
            </w:r>
            <w:r w:rsidRPr="005269E6">
              <w:rPr>
                <w:rFonts w:eastAsia="Times New Roman" w:hint="cs"/>
                <w:spacing w:val="-4"/>
                <w:position w:val="2"/>
                <w:sz w:val="20"/>
                <w:szCs w:val="20"/>
                <w:rtl/>
                <w:lang w:val="fr-FR" w:eastAsia="en-US" w:bidi="ar-EG"/>
              </w:rPr>
              <w:t xml:space="preserve"> لمعدل الوفيات المراعية للاختلافات القائمة على نوع الجنس (يناير </w:t>
            </w:r>
            <w:r w:rsidR="00D51740" w:rsidRPr="005269E6">
              <w:rPr>
                <w:rFonts w:eastAsia="Times New Roman"/>
                <w:spacing w:val="-4"/>
                <w:position w:val="2"/>
                <w:sz w:val="20"/>
                <w:szCs w:val="20"/>
                <w:lang w:eastAsia="en-US" w:bidi="ar-EG"/>
              </w:rPr>
              <w:t>2023</w:t>
            </w:r>
            <w:r w:rsidRPr="005269E6">
              <w:rPr>
                <w:rFonts w:eastAsia="Times New Roman" w:hint="cs"/>
                <w:spacing w:val="-4"/>
                <w:position w:val="2"/>
                <w:sz w:val="20"/>
                <w:szCs w:val="20"/>
                <w:rtl/>
                <w:lang w:val="fr-FR" w:eastAsia="en-US" w:bidi="ar-EG"/>
              </w:rPr>
              <w:t>) مع عدم تطبيق تحسن في أمد الحياة فيما يتعلق با</w:t>
            </w:r>
            <w:r w:rsidRPr="005269E6">
              <w:rPr>
                <w:rFonts w:eastAsia="Times New Roman"/>
                <w:spacing w:val="-4"/>
                <w:position w:val="2"/>
                <w:sz w:val="20"/>
                <w:szCs w:val="20"/>
                <w:rtl/>
                <w:lang w:val="fr-FR" w:eastAsia="en-US" w:bidi="ar-EG"/>
              </w:rPr>
              <w:t>لموظفين والمتقاعدين</w:t>
            </w:r>
            <w:r w:rsidRPr="005269E6">
              <w:rPr>
                <w:rFonts w:eastAsia="Times New Roman" w:hint="cs"/>
                <w:spacing w:val="-4"/>
                <w:position w:val="2"/>
                <w:sz w:val="20"/>
                <w:szCs w:val="20"/>
                <w:rtl/>
                <w:lang w:val="fr-FR" w:eastAsia="en-US" w:bidi="ar-EG"/>
              </w:rPr>
              <w:t xml:space="preserve"> بسبب الإعاقة، ومع تطبيق تحسن عبر الأجيال في أمد الحياة حتى </w:t>
            </w:r>
            <w:r w:rsidR="00D51740" w:rsidRPr="005269E6">
              <w:rPr>
                <w:rFonts w:eastAsia="Times New Roman"/>
                <w:spacing w:val="-4"/>
                <w:position w:val="2"/>
                <w:sz w:val="20"/>
                <w:szCs w:val="20"/>
                <w:lang w:val="fr-FR" w:eastAsia="en-US" w:bidi="ar-EG"/>
              </w:rPr>
              <w:t>2042</w:t>
            </w:r>
            <w:r w:rsidRPr="005269E6">
              <w:rPr>
                <w:rFonts w:eastAsia="Times New Roman"/>
                <w:spacing w:val="-4"/>
                <w:position w:val="2"/>
                <w:sz w:val="20"/>
                <w:szCs w:val="20"/>
                <w:rtl/>
                <w:lang w:val="fr-FR" w:eastAsia="en-US" w:bidi="ar-SY"/>
              </w:rPr>
              <w:t xml:space="preserve"> </w:t>
            </w:r>
            <w:r w:rsidRPr="005269E6">
              <w:rPr>
                <w:rFonts w:eastAsia="Times New Roman" w:hint="cs"/>
                <w:spacing w:val="-4"/>
                <w:position w:val="2"/>
                <w:sz w:val="20"/>
                <w:szCs w:val="20"/>
                <w:rtl/>
                <w:lang w:val="fr-FR" w:eastAsia="en-US" w:bidi="ar-EG"/>
              </w:rPr>
              <w:t xml:space="preserve">فيما يتعلق بالمتقاعدين من الخدمة </w:t>
            </w:r>
            <w:r w:rsidRPr="005269E6">
              <w:rPr>
                <w:rFonts w:eastAsia="Times New Roman"/>
                <w:spacing w:val="-4"/>
                <w:position w:val="2"/>
                <w:sz w:val="20"/>
                <w:szCs w:val="20"/>
                <w:rtl/>
                <w:lang w:val="fr-FR" w:eastAsia="en-US" w:bidi="ar-EG"/>
              </w:rPr>
              <w:t xml:space="preserve">والأرامل. والسنة الأساس هي </w:t>
            </w:r>
            <w:r w:rsidRPr="005269E6">
              <w:rPr>
                <w:rFonts w:eastAsia="Times New Roman"/>
                <w:spacing w:val="-4"/>
                <w:position w:val="2"/>
                <w:sz w:val="20"/>
                <w:szCs w:val="20"/>
                <w:lang w:val="fr-FR" w:eastAsia="en-US" w:bidi="ar-EG"/>
              </w:rPr>
              <w:t>2017</w:t>
            </w:r>
            <w:r w:rsidRPr="005269E6">
              <w:rPr>
                <w:rFonts w:eastAsia="Times New Roman"/>
                <w:spacing w:val="-4"/>
                <w:position w:val="2"/>
                <w:sz w:val="20"/>
                <w:szCs w:val="20"/>
                <w:rtl/>
                <w:lang w:val="fr-FR" w:eastAsia="en-US" w:bidi="ar-SY"/>
              </w:rPr>
              <w:t xml:space="preserve"> مع تطبيق تحسن</w:t>
            </w:r>
            <w:r w:rsidRPr="005269E6">
              <w:rPr>
                <w:rFonts w:eastAsia="Times New Roman" w:hint="cs"/>
                <w:spacing w:val="-4"/>
                <w:position w:val="2"/>
                <w:sz w:val="20"/>
                <w:szCs w:val="20"/>
                <w:rtl/>
                <w:lang w:val="fr-FR" w:eastAsia="en-US" w:bidi="ar-SY"/>
              </w:rPr>
              <w:t xml:space="preserve"> عبر</w:t>
            </w:r>
            <w:r w:rsidRPr="005269E6">
              <w:rPr>
                <w:rFonts w:eastAsia="Times New Roman"/>
                <w:spacing w:val="-4"/>
                <w:position w:val="2"/>
                <w:sz w:val="20"/>
                <w:szCs w:val="20"/>
                <w:rtl/>
                <w:lang w:val="fr-FR" w:eastAsia="en-US" w:bidi="ar-SY"/>
              </w:rPr>
              <w:t xml:space="preserve"> الأجيال</w:t>
            </w:r>
            <w:r w:rsidR="00692BA8" w:rsidRPr="005269E6">
              <w:rPr>
                <w:rFonts w:eastAsia="Times New Roman" w:hint="cs"/>
                <w:spacing w:val="-4"/>
                <w:position w:val="2"/>
                <w:sz w:val="20"/>
                <w:szCs w:val="20"/>
                <w:rtl/>
                <w:lang w:val="fr-FR" w:eastAsia="en-US" w:bidi="ar-SY"/>
              </w:rPr>
              <w:t>.</w:t>
            </w:r>
          </w:p>
        </w:tc>
      </w:tr>
      <w:tr w:rsidR="00C543C6" w:rsidRPr="005269E6" w14:paraId="6B559729"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65D42C33" w14:textId="77777777"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تقدير قيمة الأصول</w:t>
            </w:r>
          </w:p>
        </w:tc>
        <w:tc>
          <w:tcPr>
            <w:tcW w:w="3533" w:type="pct"/>
            <w:tcBorders>
              <w:top w:val="single" w:sz="4" w:space="0" w:color="auto"/>
              <w:left w:val="single" w:sz="4" w:space="0" w:color="auto"/>
              <w:bottom w:val="single" w:sz="4" w:space="0" w:color="auto"/>
              <w:right w:val="single" w:sz="4" w:space="0" w:color="auto"/>
            </w:tcBorders>
            <w:hideMark/>
          </w:tcPr>
          <w:p w14:paraId="17B08E73" w14:textId="492759BD"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CH" w:eastAsia="en-US" w:bidi="ar-EG"/>
              </w:rPr>
              <w:t xml:space="preserve">لم يعد للاتحاد أي أصول في إطار صناديق </w:t>
            </w:r>
            <w:r w:rsidRPr="005269E6">
              <w:rPr>
                <w:rFonts w:eastAsia="Times New Roman" w:hint="cs"/>
                <w:position w:val="2"/>
                <w:sz w:val="20"/>
                <w:szCs w:val="20"/>
                <w:rtl/>
                <w:lang w:val="fr-CH" w:eastAsia="en-US"/>
              </w:rPr>
              <w:t>ا</w:t>
            </w:r>
            <w:r w:rsidRPr="005269E6">
              <w:rPr>
                <w:rFonts w:eastAsia="Times New Roman"/>
                <w:position w:val="2"/>
                <w:sz w:val="20"/>
                <w:szCs w:val="20"/>
                <w:rtl/>
                <w:lang w:val="fr-CH" w:eastAsia="en-US" w:bidi="ar-EG"/>
              </w:rPr>
              <w:t>لضمان في </w:t>
            </w:r>
            <w:r w:rsidRPr="005269E6">
              <w:rPr>
                <w:rFonts w:eastAsia="Times New Roman"/>
                <w:position w:val="2"/>
                <w:sz w:val="20"/>
                <w:szCs w:val="20"/>
                <w:lang w:val="fr-FR" w:eastAsia="en-US" w:bidi="ar-EG"/>
              </w:rPr>
              <w:t>31</w:t>
            </w:r>
            <w:r w:rsidRPr="005269E6">
              <w:rPr>
                <w:rFonts w:eastAsia="Times New Roman"/>
                <w:position w:val="2"/>
                <w:sz w:val="20"/>
                <w:szCs w:val="20"/>
                <w:rtl/>
                <w:lang w:val="fr-FR" w:eastAsia="en-US" w:bidi="ar-EG"/>
              </w:rPr>
              <w:t xml:space="preserve"> ديسمبر </w:t>
            </w:r>
            <w:r w:rsidR="007F7792" w:rsidRPr="005269E6">
              <w:rPr>
                <w:rFonts w:eastAsia="Times New Roman"/>
                <w:position w:val="2"/>
                <w:sz w:val="20"/>
                <w:szCs w:val="20"/>
                <w:lang w:val="fr-FR" w:eastAsia="en-US" w:bidi="ar-EG"/>
              </w:rPr>
              <w:t>2022</w:t>
            </w:r>
            <w:r w:rsidRPr="005269E6">
              <w:rPr>
                <w:rFonts w:eastAsia="Times New Roman"/>
                <w:position w:val="2"/>
                <w:sz w:val="20"/>
                <w:szCs w:val="20"/>
                <w:rtl/>
                <w:lang w:val="fr-FR" w:eastAsia="en-US" w:bidi="ar-EG"/>
              </w:rPr>
              <w:t>.</w:t>
            </w:r>
          </w:p>
        </w:tc>
      </w:tr>
      <w:tr w:rsidR="00C543C6" w:rsidRPr="005269E6" w14:paraId="33C85E34"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4D94E160" w14:textId="77777777" w:rsidR="00C543C6" w:rsidRPr="005269E6" w:rsidRDefault="00C543C6" w:rsidP="006C7B22">
            <w:pPr>
              <w:spacing w:before="60" w:after="60" w:line="280" w:lineRule="exact"/>
              <w:jc w:val="left"/>
              <w:rPr>
                <w:rFonts w:eastAsia="Times New Roman"/>
                <w:position w:val="2"/>
                <w:sz w:val="20"/>
                <w:szCs w:val="20"/>
                <w:rtl/>
                <w:lang w:val="fr-FR" w:eastAsia="en-US" w:bidi="ar-SY"/>
              </w:rPr>
            </w:pPr>
            <w:r w:rsidRPr="005269E6">
              <w:rPr>
                <w:rFonts w:eastAsia="Times New Roman"/>
                <w:position w:val="2"/>
                <w:sz w:val="20"/>
                <w:szCs w:val="20"/>
                <w:rtl/>
                <w:lang w:val="fr-FR" w:eastAsia="en-US" w:bidi="ar-SY"/>
              </w:rPr>
              <w:t>معدل الإعاقة</w:t>
            </w:r>
          </w:p>
        </w:tc>
        <w:tc>
          <w:tcPr>
            <w:tcW w:w="3533" w:type="pct"/>
            <w:tcBorders>
              <w:top w:val="single" w:sz="4" w:space="0" w:color="auto"/>
              <w:left w:val="single" w:sz="4" w:space="0" w:color="auto"/>
              <w:bottom w:val="single" w:sz="4" w:space="0" w:color="auto"/>
              <w:right w:val="single" w:sz="4" w:space="0" w:color="auto"/>
            </w:tcBorders>
            <w:hideMark/>
          </w:tcPr>
          <w:p w14:paraId="639705DA" w14:textId="17F51926" w:rsidR="00C543C6" w:rsidRPr="005269E6" w:rsidRDefault="00C543C6" w:rsidP="006C7B22">
            <w:pPr>
              <w:spacing w:before="60" w:after="60" w:line="280" w:lineRule="exac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يتفاوت بحسب العمر والجنس والفئة الفنية وفئة الخدمة العامة ويزداد مع العمر. ويستند المعدل إلى جدول الأمم المتحدة للإعاقة</w:t>
            </w:r>
            <w:r w:rsidRPr="005269E6">
              <w:rPr>
                <w:rFonts w:eastAsia="Times New Roman" w:hint="cs"/>
                <w:position w:val="2"/>
                <w:sz w:val="20"/>
                <w:szCs w:val="20"/>
                <w:rtl/>
                <w:lang w:val="fr-FR" w:eastAsia="en-US" w:bidi="ar-EG"/>
              </w:rPr>
              <w:t xml:space="preserve"> الصادر في </w:t>
            </w:r>
            <w:r w:rsidR="00026B13" w:rsidRPr="005269E6">
              <w:rPr>
                <w:rFonts w:eastAsia="Times New Roman" w:hint="cs"/>
                <w:position w:val="2"/>
                <w:sz w:val="20"/>
                <w:szCs w:val="20"/>
                <w:rtl/>
                <w:lang w:val="fr-FR" w:eastAsia="en-US" w:bidi="ar-EG"/>
              </w:rPr>
              <w:t>يناير</w:t>
            </w:r>
            <w:r w:rsidRPr="005269E6">
              <w:rPr>
                <w:rFonts w:eastAsia="Times New Roman" w:hint="cs"/>
                <w:position w:val="2"/>
                <w:sz w:val="20"/>
                <w:szCs w:val="20"/>
                <w:rtl/>
                <w:lang w:val="fr-FR" w:eastAsia="en-US" w:bidi="ar-EG"/>
              </w:rPr>
              <w:t xml:space="preserve"> 20</w:t>
            </w:r>
            <w:r w:rsidR="00026B13" w:rsidRPr="005269E6">
              <w:rPr>
                <w:rFonts w:eastAsia="Times New Roman" w:hint="cs"/>
                <w:position w:val="2"/>
                <w:sz w:val="20"/>
                <w:szCs w:val="20"/>
                <w:rtl/>
                <w:lang w:val="fr-FR" w:eastAsia="en-US" w:bidi="ar-EG"/>
              </w:rPr>
              <w:t>23</w:t>
            </w:r>
            <w:r w:rsidRPr="005269E6">
              <w:rPr>
                <w:rFonts w:eastAsia="Times New Roman" w:hint="cs"/>
                <w:position w:val="2"/>
                <w:sz w:val="20"/>
                <w:szCs w:val="20"/>
                <w:rtl/>
                <w:lang w:val="fr-FR" w:eastAsia="en-US" w:bidi="ar-EG"/>
              </w:rPr>
              <w:t>.</w:t>
            </w:r>
          </w:p>
        </w:tc>
      </w:tr>
      <w:tr w:rsidR="00C543C6" w:rsidRPr="005269E6" w14:paraId="193717E1"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28D2BAD9" w14:textId="2A24DD34"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معدل تحويل الحقوق في ال</w:t>
            </w:r>
            <w:r w:rsidR="006B32D8" w:rsidRPr="005269E6">
              <w:rPr>
                <w:rFonts w:eastAsia="Times New Roman"/>
                <w:position w:val="2"/>
                <w:sz w:val="20"/>
                <w:szCs w:val="20"/>
                <w:rtl/>
                <w:lang w:val="fr-FR" w:eastAsia="en-US" w:bidi="ar-EG"/>
              </w:rPr>
              <w:t>استحقاقات</w:t>
            </w:r>
          </w:p>
        </w:tc>
        <w:tc>
          <w:tcPr>
            <w:tcW w:w="3533" w:type="pct"/>
            <w:tcBorders>
              <w:top w:val="single" w:sz="4" w:space="0" w:color="auto"/>
              <w:left w:val="single" w:sz="4" w:space="0" w:color="auto"/>
              <w:bottom w:val="single" w:sz="4" w:space="0" w:color="auto"/>
              <w:right w:val="single" w:sz="4" w:space="0" w:color="auto"/>
            </w:tcBorders>
            <w:hideMark/>
          </w:tcPr>
          <w:p w14:paraId="3756D506" w14:textId="77777777"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يتفاوت بحسب العمر وسنوات الخدمة، حيث تكثر طلبات التحويل في السنة الأولى.</w:t>
            </w:r>
          </w:p>
        </w:tc>
      </w:tr>
      <w:tr w:rsidR="00C543C6" w:rsidRPr="005269E6" w14:paraId="46CD9009"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719BDE43" w14:textId="77777777"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lastRenderedPageBreak/>
              <w:t>تعاقب الموظفين</w:t>
            </w:r>
          </w:p>
        </w:tc>
        <w:tc>
          <w:tcPr>
            <w:tcW w:w="3533" w:type="pct"/>
            <w:tcBorders>
              <w:top w:val="single" w:sz="4" w:space="0" w:color="auto"/>
              <w:left w:val="single" w:sz="4" w:space="0" w:color="auto"/>
              <w:bottom w:val="single" w:sz="4" w:space="0" w:color="auto"/>
              <w:right w:val="single" w:sz="4" w:space="0" w:color="auto"/>
            </w:tcBorders>
            <w:hideMark/>
          </w:tcPr>
          <w:p w14:paraId="03AAB425" w14:textId="77777777"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يتفاوت معدل مغادرة الموظفين للمنظمات التي شملها التقييم بحسب العمر والجنس.</w:t>
            </w:r>
          </w:p>
        </w:tc>
      </w:tr>
      <w:tr w:rsidR="00C543C6" w:rsidRPr="005269E6" w14:paraId="6C0B0F17"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571B83A2" w14:textId="77777777"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 xml:space="preserve">معدل الإحالة </w:t>
            </w:r>
            <w:r w:rsidRPr="005269E6">
              <w:rPr>
                <w:rFonts w:eastAsia="Times New Roman" w:hint="cs"/>
                <w:position w:val="2"/>
                <w:sz w:val="20"/>
                <w:szCs w:val="20"/>
                <w:rtl/>
                <w:lang w:val="fr-FR" w:eastAsia="en-US" w:bidi="ar-EG"/>
              </w:rPr>
              <w:t>إلى</w:t>
            </w:r>
            <w:r w:rsidRPr="005269E6">
              <w:rPr>
                <w:rFonts w:eastAsia="Times New Roman"/>
                <w:position w:val="2"/>
                <w:sz w:val="20"/>
                <w:szCs w:val="20"/>
                <w:rtl/>
                <w:lang w:val="fr-FR" w:eastAsia="en-US" w:bidi="ar-EG"/>
              </w:rPr>
              <w:t xml:space="preserve"> التقاعد</w:t>
            </w:r>
          </w:p>
        </w:tc>
        <w:tc>
          <w:tcPr>
            <w:tcW w:w="3533" w:type="pct"/>
            <w:tcBorders>
              <w:top w:val="single" w:sz="4" w:space="0" w:color="auto"/>
              <w:left w:val="single" w:sz="4" w:space="0" w:color="auto"/>
              <w:bottom w:val="single" w:sz="4" w:space="0" w:color="auto"/>
              <w:right w:val="single" w:sz="4" w:space="0" w:color="auto"/>
            </w:tcBorders>
            <w:hideMark/>
          </w:tcPr>
          <w:p w14:paraId="5595B9F0" w14:textId="29C80B24" w:rsidR="00C543C6" w:rsidRPr="005269E6" w:rsidRDefault="00C543C6" w:rsidP="006C7B22">
            <w:pPr>
              <w:spacing w:before="60" w:after="60" w:line="280" w:lineRule="exact"/>
              <w:rPr>
                <w:rFonts w:eastAsia="Times New Roman"/>
                <w:spacing w:val="-6"/>
                <w:position w:val="2"/>
                <w:sz w:val="20"/>
                <w:szCs w:val="20"/>
                <w:lang w:eastAsia="en-US" w:bidi="ar-EG"/>
              </w:rPr>
            </w:pPr>
            <w:r w:rsidRPr="005269E6">
              <w:rPr>
                <w:rFonts w:eastAsia="Times New Roman" w:hint="cs"/>
                <w:spacing w:val="-6"/>
                <w:position w:val="2"/>
                <w:sz w:val="20"/>
                <w:szCs w:val="20"/>
                <w:rtl/>
                <w:lang w:val="fr-FR" w:eastAsia="en-US" w:bidi="ar-EG"/>
              </w:rPr>
              <w:t xml:space="preserve">تُحدد معدلات التقاعد فيما يخص جميع الموظفين بما يساوي المعدلات الواردة في رسالة فرقة العمل التابعة للأمم المتحدة في </w:t>
            </w:r>
            <w:r w:rsidR="0096180D" w:rsidRPr="005269E6">
              <w:rPr>
                <w:rFonts w:eastAsia="Times New Roman" w:hint="cs"/>
                <w:spacing w:val="-6"/>
                <w:position w:val="2"/>
                <w:sz w:val="20"/>
                <w:szCs w:val="20"/>
                <w:rtl/>
                <w:lang w:val="fr-FR" w:eastAsia="en-US" w:bidi="ar-EG"/>
              </w:rPr>
              <w:t xml:space="preserve">يناير </w:t>
            </w:r>
            <w:r w:rsidR="0096180D" w:rsidRPr="005269E6">
              <w:rPr>
                <w:rFonts w:eastAsia="Times New Roman"/>
                <w:spacing w:val="-6"/>
                <w:position w:val="2"/>
                <w:sz w:val="20"/>
                <w:szCs w:val="20"/>
                <w:lang w:eastAsia="en-US" w:bidi="ar-EG"/>
              </w:rPr>
              <w:t>2023</w:t>
            </w:r>
            <w:r w:rsidRPr="005269E6">
              <w:rPr>
                <w:rFonts w:eastAsia="Times New Roman" w:hint="cs"/>
                <w:spacing w:val="-6"/>
                <w:position w:val="2"/>
                <w:sz w:val="20"/>
                <w:szCs w:val="20"/>
                <w:rtl/>
                <w:lang w:val="fr-FR" w:eastAsia="en-US" w:bidi="ar-EG"/>
              </w:rPr>
              <w:t>. وت</w:t>
            </w:r>
            <w:r w:rsidRPr="005269E6">
              <w:rPr>
                <w:rFonts w:eastAsia="Times New Roman"/>
                <w:spacing w:val="-6"/>
                <w:position w:val="2"/>
                <w:sz w:val="20"/>
                <w:szCs w:val="20"/>
                <w:rtl/>
                <w:lang w:val="fr-FR" w:eastAsia="en-US" w:bidi="ar-EG"/>
              </w:rPr>
              <w:t>تفاوت</w:t>
            </w:r>
            <w:r w:rsidRPr="005269E6">
              <w:rPr>
                <w:rFonts w:eastAsia="Times New Roman" w:hint="cs"/>
                <w:spacing w:val="-6"/>
                <w:position w:val="2"/>
                <w:sz w:val="20"/>
                <w:szCs w:val="20"/>
                <w:rtl/>
                <w:lang w:val="fr-FR" w:eastAsia="en-US" w:bidi="ar-EG"/>
              </w:rPr>
              <w:t xml:space="preserve"> المعدلات</w:t>
            </w:r>
            <w:r w:rsidRPr="005269E6">
              <w:rPr>
                <w:rFonts w:eastAsia="Times New Roman"/>
                <w:spacing w:val="-6"/>
                <w:position w:val="2"/>
                <w:sz w:val="20"/>
                <w:szCs w:val="20"/>
                <w:rtl/>
                <w:lang w:val="fr-FR" w:eastAsia="en-US" w:bidi="ar-EG"/>
              </w:rPr>
              <w:t xml:space="preserve"> بحسب العمر </w:t>
            </w:r>
            <w:r w:rsidRPr="005269E6">
              <w:rPr>
                <w:rFonts w:eastAsia="Times New Roman" w:hint="cs"/>
                <w:spacing w:val="-6"/>
                <w:position w:val="2"/>
                <w:sz w:val="20"/>
                <w:szCs w:val="20"/>
                <w:rtl/>
                <w:lang w:val="fr-FR" w:eastAsia="en-US" w:bidi="ar-EG"/>
              </w:rPr>
              <w:t>وسنوات الخدمة والفئة الفنية.</w:t>
            </w:r>
          </w:p>
        </w:tc>
      </w:tr>
      <w:tr w:rsidR="00C543C6" w:rsidRPr="005269E6" w14:paraId="69F39A37"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7F4EDC90" w14:textId="77777777"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المشاركة</w:t>
            </w:r>
          </w:p>
        </w:tc>
        <w:tc>
          <w:tcPr>
            <w:tcW w:w="3533" w:type="pct"/>
            <w:tcBorders>
              <w:top w:val="single" w:sz="4" w:space="0" w:color="auto"/>
              <w:left w:val="single" w:sz="4" w:space="0" w:color="auto"/>
              <w:bottom w:val="single" w:sz="4" w:space="0" w:color="auto"/>
              <w:right w:val="single" w:sz="4" w:space="0" w:color="auto"/>
            </w:tcBorders>
            <w:hideMark/>
          </w:tcPr>
          <w:p w14:paraId="0F708038" w14:textId="77777777"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 xml:space="preserve">يختار </w:t>
            </w:r>
            <w:r w:rsidRPr="005269E6">
              <w:rPr>
                <w:rFonts w:eastAsia="Times New Roman"/>
                <w:position w:val="2"/>
                <w:sz w:val="20"/>
                <w:szCs w:val="20"/>
                <w:lang w:val="fr-FR" w:eastAsia="en-US" w:bidi="ar-EG"/>
              </w:rPr>
              <w:t>%97,5</w:t>
            </w:r>
            <w:r w:rsidRPr="005269E6">
              <w:rPr>
                <w:rFonts w:eastAsia="Times New Roman"/>
                <w:position w:val="2"/>
                <w:sz w:val="20"/>
                <w:szCs w:val="20"/>
                <w:rtl/>
                <w:lang w:val="fr-FR" w:eastAsia="en-US" w:bidi="ar-EG"/>
              </w:rPr>
              <w:t xml:space="preserve"> ممن هم على أبواب التقاعد </w:t>
            </w:r>
            <w:r w:rsidRPr="005269E6">
              <w:rPr>
                <w:rFonts w:eastAsia="Times New Roman" w:hint="cs"/>
                <w:position w:val="2"/>
                <w:sz w:val="20"/>
                <w:szCs w:val="20"/>
                <w:rtl/>
                <w:lang w:val="fr-FR" w:eastAsia="en-US" w:bidi="ar-EG"/>
              </w:rPr>
              <w:t>تغطية</w:t>
            </w:r>
            <w:r w:rsidRPr="005269E6">
              <w:rPr>
                <w:rFonts w:eastAsia="Times New Roman"/>
                <w:position w:val="2"/>
                <w:sz w:val="20"/>
                <w:szCs w:val="20"/>
                <w:rtl/>
                <w:lang w:val="fr-FR" w:eastAsia="en-US" w:bidi="ar-EG"/>
              </w:rPr>
              <w:t xml:space="preserve"> </w:t>
            </w:r>
            <w:r w:rsidRPr="005269E6">
              <w:rPr>
                <w:rFonts w:eastAsia="Times New Roman" w:hint="cs"/>
                <w:position w:val="2"/>
                <w:sz w:val="20"/>
                <w:szCs w:val="20"/>
                <w:rtl/>
                <w:lang w:val="fr-FR" w:eastAsia="en-US" w:bidi="ar-EG"/>
              </w:rPr>
              <w:t>الخطة</w:t>
            </w:r>
            <w:r w:rsidRPr="005269E6">
              <w:rPr>
                <w:rFonts w:eastAsia="Times New Roman"/>
                <w:position w:val="2"/>
                <w:sz w:val="20"/>
                <w:szCs w:val="20"/>
                <w:rtl/>
                <w:lang w:val="fr-FR" w:eastAsia="en-US" w:bidi="ar-EG"/>
              </w:rPr>
              <w:t xml:space="preserve"> </w:t>
            </w:r>
            <w:r w:rsidRPr="005269E6">
              <w:rPr>
                <w:rFonts w:eastAsia="Times New Roman"/>
                <w:position w:val="2"/>
                <w:sz w:val="20"/>
                <w:szCs w:val="20"/>
                <w:lang w:val="fr-FR" w:eastAsia="en-US" w:bidi="ar-EG"/>
              </w:rPr>
              <w:t>ASHI</w:t>
            </w:r>
            <w:r w:rsidRPr="005269E6">
              <w:rPr>
                <w:rFonts w:eastAsia="Times New Roman"/>
                <w:position w:val="2"/>
                <w:sz w:val="20"/>
                <w:szCs w:val="20"/>
                <w:rtl/>
                <w:lang w:val="fr-FR" w:eastAsia="en-US" w:bidi="ar-EG"/>
              </w:rPr>
              <w:t>.</w:t>
            </w:r>
          </w:p>
        </w:tc>
      </w:tr>
      <w:tr w:rsidR="00C543C6" w:rsidRPr="005269E6" w14:paraId="1A2B4931"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417020D3" w14:textId="77777777"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تغطية الأزواج</w:t>
            </w:r>
          </w:p>
        </w:tc>
        <w:tc>
          <w:tcPr>
            <w:tcW w:w="3533" w:type="pct"/>
            <w:tcBorders>
              <w:top w:val="single" w:sz="4" w:space="0" w:color="auto"/>
              <w:left w:val="single" w:sz="4" w:space="0" w:color="auto"/>
              <w:bottom w:val="single" w:sz="4" w:space="0" w:color="auto"/>
              <w:right w:val="single" w:sz="4" w:space="0" w:color="auto"/>
            </w:tcBorders>
            <w:hideMark/>
          </w:tcPr>
          <w:p w14:paraId="05A80743" w14:textId="77777777" w:rsidR="00C543C6" w:rsidRPr="005269E6" w:rsidRDefault="00C543C6" w:rsidP="006C7B22">
            <w:pPr>
              <w:spacing w:before="60" w:after="60" w:line="280" w:lineRule="exact"/>
              <w:rPr>
                <w:rFonts w:eastAsia="Times New Roman"/>
                <w:position w:val="2"/>
                <w:sz w:val="20"/>
                <w:szCs w:val="20"/>
                <w:rtl/>
                <w:lang w:val="fr-FR" w:eastAsia="en-US" w:bidi="ar-EG"/>
              </w:rPr>
            </w:pPr>
            <w:r w:rsidRPr="005269E6">
              <w:rPr>
                <w:rFonts w:eastAsia="Times New Roman"/>
                <w:position w:val="2"/>
                <w:sz w:val="20"/>
                <w:szCs w:val="20"/>
                <w:lang w:val="fr-FR" w:eastAsia="en-US" w:bidi="ar-EG"/>
              </w:rPr>
              <w:t>%75</w:t>
            </w:r>
            <w:r w:rsidRPr="005269E6">
              <w:rPr>
                <w:rFonts w:eastAsia="Times New Roman"/>
                <w:position w:val="2"/>
                <w:sz w:val="20"/>
                <w:szCs w:val="20"/>
                <w:rtl/>
                <w:lang w:val="fr-FR" w:eastAsia="en-US" w:bidi="ar-EG"/>
              </w:rPr>
              <w:t xml:space="preserve"> و</w:t>
            </w:r>
            <w:r w:rsidRPr="005269E6">
              <w:rPr>
                <w:rFonts w:eastAsia="Times New Roman"/>
                <w:position w:val="2"/>
                <w:sz w:val="20"/>
                <w:szCs w:val="20"/>
                <w:lang w:val="fr-FR" w:eastAsia="en-US" w:bidi="ar-EG"/>
              </w:rPr>
              <w:t>%25</w:t>
            </w:r>
            <w:r w:rsidRPr="005269E6">
              <w:rPr>
                <w:rFonts w:eastAsia="Times New Roman"/>
                <w:position w:val="2"/>
                <w:sz w:val="20"/>
                <w:szCs w:val="20"/>
                <w:rtl/>
                <w:lang w:val="fr-FR" w:eastAsia="en-US" w:bidi="ar-EG"/>
              </w:rPr>
              <w:t xml:space="preserve"> من المتقاعدين من الرجال والنساء </w:t>
            </w:r>
            <w:r w:rsidRPr="005269E6">
              <w:rPr>
                <w:rFonts w:eastAsia="Times New Roman" w:hint="cs"/>
                <w:position w:val="2"/>
                <w:sz w:val="20"/>
                <w:szCs w:val="20"/>
                <w:rtl/>
                <w:lang w:val="fr-FR" w:eastAsia="en-US" w:bidi="ar-EG"/>
              </w:rPr>
              <w:t>سيختار</w:t>
            </w:r>
            <w:r w:rsidRPr="005269E6">
              <w:rPr>
                <w:rFonts w:eastAsia="Times New Roman"/>
                <w:position w:val="2"/>
                <w:sz w:val="20"/>
                <w:szCs w:val="20"/>
                <w:rtl/>
                <w:lang w:val="fr-FR" w:eastAsia="en-US" w:bidi="ar-EG"/>
              </w:rPr>
              <w:t xml:space="preserve"> أزواجهم </w:t>
            </w:r>
            <w:r w:rsidRPr="005269E6">
              <w:rPr>
                <w:rFonts w:eastAsia="Times New Roman" w:hint="cs"/>
                <w:position w:val="2"/>
                <w:sz w:val="20"/>
                <w:szCs w:val="20"/>
                <w:rtl/>
                <w:lang w:val="fr-FR" w:eastAsia="en-US" w:bidi="ar-EG"/>
              </w:rPr>
              <w:t>تغطية الخطة</w:t>
            </w:r>
            <w:r w:rsidRPr="005269E6">
              <w:rPr>
                <w:rFonts w:eastAsia="Times New Roman"/>
                <w:position w:val="2"/>
                <w:sz w:val="20"/>
                <w:szCs w:val="20"/>
                <w:rtl/>
                <w:lang w:val="fr-FR" w:eastAsia="en-US" w:bidi="ar-EG"/>
              </w:rPr>
              <w:t xml:space="preserve"> </w:t>
            </w:r>
            <w:r w:rsidRPr="005269E6">
              <w:rPr>
                <w:rFonts w:eastAsia="Times New Roman"/>
                <w:position w:val="2"/>
                <w:sz w:val="20"/>
                <w:szCs w:val="20"/>
                <w:lang w:val="fr-FR" w:eastAsia="en-US" w:bidi="ar-EG"/>
              </w:rPr>
              <w:t>ASHI</w:t>
            </w:r>
            <w:r w:rsidRPr="005269E6">
              <w:rPr>
                <w:rFonts w:eastAsia="Times New Roman"/>
                <w:position w:val="2"/>
                <w:sz w:val="20"/>
                <w:szCs w:val="20"/>
                <w:rtl/>
                <w:lang w:val="fr-FR" w:eastAsia="en-US" w:bidi="ar-EG"/>
              </w:rPr>
              <w:t xml:space="preserve">. </w:t>
            </w:r>
            <w:r w:rsidRPr="005269E6">
              <w:rPr>
                <w:rFonts w:eastAsia="Times New Roman" w:hint="cs"/>
                <w:position w:val="2"/>
                <w:sz w:val="20"/>
                <w:szCs w:val="20"/>
                <w:rtl/>
                <w:lang w:val="fr-FR" w:eastAsia="en-US" w:bidi="ar-EG"/>
              </w:rPr>
              <w:t>و</w:t>
            </w:r>
            <w:r w:rsidRPr="005269E6">
              <w:rPr>
                <w:rFonts w:eastAsia="Times New Roman"/>
                <w:position w:val="2"/>
                <w:sz w:val="20"/>
                <w:szCs w:val="20"/>
                <w:rtl/>
                <w:lang w:val="fr-FR" w:eastAsia="en-US" w:bidi="ar-EG"/>
              </w:rPr>
              <w:t>يفترض أن عمر الرجال يزيد بمقدار خمس سنوات عن عمر زوجاتهم.</w:t>
            </w:r>
          </w:p>
        </w:tc>
      </w:tr>
      <w:tr w:rsidR="00C543C6" w:rsidRPr="005269E6" w14:paraId="0AA980B3"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09A3AAF4" w14:textId="5402DA71" w:rsidR="00C543C6" w:rsidRPr="005269E6" w:rsidRDefault="00C543C6" w:rsidP="006C7B22">
            <w:pPr>
              <w:spacing w:before="60" w:after="60" w:line="280" w:lineRule="exact"/>
              <w:jc w:val="left"/>
              <w:rPr>
                <w:rFonts w:eastAsia="Times New Roman"/>
                <w:position w:val="2"/>
                <w:sz w:val="20"/>
                <w:szCs w:val="20"/>
                <w:rtl/>
                <w:lang w:val="fr-FR" w:eastAsia="en-US" w:bidi="ar-EG"/>
              </w:rPr>
            </w:pPr>
            <w:r w:rsidRPr="005269E6">
              <w:rPr>
                <w:rFonts w:eastAsia="Times New Roman"/>
                <w:position w:val="2"/>
                <w:sz w:val="20"/>
                <w:szCs w:val="20"/>
                <w:rtl/>
                <w:lang w:val="fr-FR" w:eastAsia="en-US" w:bidi="ar-EG"/>
              </w:rPr>
              <w:t>الطريقة ال</w:t>
            </w:r>
            <w:r w:rsidR="0059394B" w:rsidRPr="005269E6">
              <w:rPr>
                <w:rFonts w:eastAsia="Times New Roman"/>
                <w:position w:val="2"/>
                <w:sz w:val="20"/>
                <w:szCs w:val="20"/>
                <w:rtl/>
                <w:lang w:val="fr-FR" w:eastAsia="en-US" w:bidi="ar-EG"/>
              </w:rPr>
              <w:t>إكتواري</w:t>
            </w:r>
            <w:r w:rsidRPr="005269E6">
              <w:rPr>
                <w:rFonts w:eastAsia="Times New Roman"/>
                <w:position w:val="2"/>
                <w:sz w:val="20"/>
                <w:szCs w:val="20"/>
                <w:rtl/>
                <w:lang w:val="fr-FR" w:eastAsia="en-US" w:bidi="ar-EG"/>
              </w:rPr>
              <w:t>ة</w:t>
            </w:r>
          </w:p>
        </w:tc>
        <w:tc>
          <w:tcPr>
            <w:tcW w:w="3533" w:type="pct"/>
            <w:tcBorders>
              <w:top w:val="single" w:sz="4" w:space="0" w:color="auto"/>
              <w:left w:val="single" w:sz="4" w:space="0" w:color="auto"/>
              <w:bottom w:val="single" w:sz="4" w:space="0" w:color="auto"/>
              <w:right w:val="single" w:sz="4" w:space="0" w:color="auto"/>
            </w:tcBorders>
            <w:hideMark/>
          </w:tcPr>
          <w:p w14:paraId="66E2176C" w14:textId="77777777" w:rsidR="00C543C6" w:rsidRPr="005269E6" w:rsidRDefault="00C543C6" w:rsidP="006C7B22">
            <w:pPr>
              <w:spacing w:before="60" w:after="60" w:line="280" w:lineRule="exact"/>
              <w:rPr>
                <w:rFonts w:eastAsia="Times New Roman"/>
                <w:spacing w:val="-2"/>
                <w:position w:val="2"/>
                <w:sz w:val="20"/>
                <w:szCs w:val="20"/>
                <w:rtl/>
                <w:lang w:val="fr-FR" w:eastAsia="en-US" w:bidi="ar-EG"/>
              </w:rPr>
            </w:pPr>
            <w:r w:rsidRPr="005269E6">
              <w:rPr>
                <w:rFonts w:eastAsia="Times New Roman"/>
                <w:spacing w:val="-2"/>
                <w:position w:val="2"/>
                <w:sz w:val="20"/>
                <w:szCs w:val="20"/>
                <w:rtl/>
                <w:lang w:val="fr-FR" w:eastAsia="en-US" w:bidi="ar-EG"/>
              </w:rPr>
              <w:t xml:space="preserve">طريقة وحدات القيمة المتنبأ بها </w:t>
            </w:r>
            <w:r w:rsidRPr="005269E6">
              <w:rPr>
                <w:rFonts w:eastAsia="Times New Roman" w:hint="cs"/>
                <w:spacing w:val="-2"/>
                <w:position w:val="2"/>
                <w:sz w:val="20"/>
                <w:szCs w:val="20"/>
                <w:rtl/>
                <w:lang w:val="fr-FR" w:eastAsia="en-US" w:bidi="ar-EG"/>
              </w:rPr>
              <w:t xml:space="preserve">مع توزيع تناسبي لمدة الخدمة. وتبدأ </w:t>
            </w:r>
            <w:r w:rsidRPr="005269E6">
              <w:rPr>
                <w:rFonts w:eastAsia="Times New Roman"/>
                <w:spacing w:val="-2"/>
                <w:position w:val="2"/>
                <w:sz w:val="20"/>
                <w:szCs w:val="20"/>
                <w:rtl/>
                <w:lang w:val="fr-FR" w:eastAsia="en-US" w:bidi="ar-EG"/>
              </w:rPr>
              <w:t xml:space="preserve">فترة </w:t>
            </w:r>
            <w:r w:rsidRPr="005269E6">
              <w:rPr>
                <w:rFonts w:eastAsia="Times New Roman" w:hint="cs"/>
                <w:spacing w:val="-2"/>
                <w:position w:val="2"/>
                <w:sz w:val="20"/>
                <w:szCs w:val="20"/>
                <w:rtl/>
                <w:lang w:val="fr-FR" w:eastAsia="en-US" w:bidi="ar-EG"/>
              </w:rPr>
              <w:t>ال</w:t>
            </w:r>
            <w:r w:rsidRPr="005269E6">
              <w:rPr>
                <w:rFonts w:eastAsia="Times New Roman"/>
                <w:spacing w:val="-2"/>
                <w:position w:val="2"/>
                <w:sz w:val="20"/>
                <w:szCs w:val="20"/>
                <w:rtl/>
                <w:lang w:val="fr-FR" w:eastAsia="en-US" w:bidi="ar-EG"/>
              </w:rPr>
              <w:t xml:space="preserve">منح في سن </w:t>
            </w:r>
            <w:r w:rsidRPr="005269E6">
              <w:rPr>
                <w:rFonts w:eastAsia="Times New Roman"/>
                <w:spacing w:val="-2"/>
                <w:position w:val="2"/>
                <w:sz w:val="20"/>
                <w:szCs w:val="20"/>
                <w:lang w:val="fr-FR" w:eastAsia="en-US" w:bidi="ar-EG"/>
              </w:rPr>
              <w:t>45</w:t>
            </w:r>
            <w:r w:rsidRPr="005269E6">
              <w:rPr>
                <w:rFonts w:eastAsia="Times New Roman"/>
                <w:spacing w:val="-2"/>
                <w:position w:val="2"/>
                <w:sz w:val="20"/>
                <w:szCs w:val="20"/>
                <w:rtl/>
                <w:lang w:val="fr-FR" w:eastAsia="en-US" w:bidi="ar-EG"/>
              </w:rPr>
              <w:t xml:space="preserve"> لكن يؤخذ في الحسبان ضرورة أن</w:t>
            </w:r>
            <w:r w:rsidRPr="005269E6">
              <w:rPr>
                <w:rFonts w:eastAsia="Times New Roman" w:hint="cs"/>
                <w:spacing w:val="-2"/>
                <w:position w:val="2"/>
                <w:sz w:val="20"/>
                <w:szCs w:val="20"/>
                <w:rtl/>
                <w:lang w:val="fr-FR" w:eastAsia="en-US" w:bidi="ar-EG"/>
              </w:rPr>
              <w:t> </w:t>
            </w:r>
            <w:r w:rsidRPr="005269E6">
              <w:rPr>
                <w:rFonts w:eastAsia="Times New Roman"/>
                <w:spacing w:val="-2"/>
                <w:position w:val="2"/>
                <w:sz w:val="20"/>
                <w:szCs w:val="20"/>
                <w:rtl/>
                <w:lang w:val="fr-FR" w:eastAsia="en-US" w:bidi="ar-EG"/>
              </w:rPr>
              <w:t xml:space="preserve">يبلغ عمر الموظف ما لا يقل عن </w:t>
            </w:r>
            <w:r w:rsidRPr="005269E6">
              <w:rPr>
                <w:rFonts w:eastAsia="Times New Roman"/>
                <w:spacing w:val="-2"/>
                <w:position w:val="2"/>
                <w:sz w:val="20"/>
                <w:szCs w:val="20"/>
                <w:lang w:val="fr-FR" w:eastAsia="en-US" w:bidi="ar-EG"/>
              </w:rPr>
              <w:t>55</w:t>
            </w:r>
            <w:r w:rsidRPr="005269E6">
              <w:rPr>
                <w:rFonts w:eastAsia="Times New Roman"/>
                <w:spacing w:val="-2"/>
                <w:position w:val="2"/>
                <w:sz w:val="20"/>
                <w:szCs w:val="20"/>
                <w:rtl/>
                <w:lang w:val="fr-FR" w:eastAsia="en-US" w:bidi="ar-EG"/>
              </w:rPr>
              <w:t xml:space="preserve"> سنة و</w:t>
            </w:r>
            <w:r w:rsidRPr="005269E6">
              <w:rPr>
                <w:rFonts w:eastAsia="Times New Roman"/>
                <w:spacing w:val="-2"/>
                <w:position w:val="2"/>
                <w:sz w:val="20"/>
                <w:szCs w:val="20"/>
                <w:lang w:val="fr-FR" w:eastAsia="en-US" w:bidi="ar-EG"/>
              </w:rPr>
              <w:t>10</w:t>
            </w:r>
            <w:r w:rsidRPr="005269E6">
              <w:rPr>
                <w:rFonts w:eastAsia="Times New Roman"/>
                <w:spacing w:val="-2"/>
                <w:position w:val="2"/>
                <w:sz w:val="20"/>
                <w:szCs w:val="20"/>
                <w:rtl/>
                <w:lang w:val="fr-FR" w:eastAsia="en-US" w:bidi="ar-EG"/>
              </w:rPr>
              <w:t xml:space="preserve"> سنوات من الخدمة ليكون مؤهلاً للخطة.</w:t>
            </w:r>
          </w:p>
        </w:tc>
      </w:tr>
      <w:tr w:rsidR="00C543C6" w:rsidRPr="005269E6" w14:paraId="2D33B56E" w14:textId="77777777" w:rsidTr="00734473">
        <w:tc>
          <w:tcPr>
            <w:tcW w:w="1467" w:type="pct"/>
            <w:tcBorders>
              <w:top w:val="single" w:sz="4" w:space="0" w:color="auto"/>
              <w:left w:val="single" w:sz="4" w:space="0" w:color="auto"/>
              <w:bottom w:val="single" w:sz="4" w:space="0" w:color="auto"/>
              <w:right w:val="single" w:sz="4" w:space="0" w:color="auto"/>
            </w:tcBorders>
            <w:hideMark/>
          </w:tcPr>
          <w:p w14:paraId="23BB0D2C" w14:textId="1A0A9371" w:rsidR="00C543C6" w:rsidRPr="005269E6" w:rsidRDefault="00026B13" w:rsidP="006C7B22">
            <w:pPr>
              <w:spacing w:before="60" w:after="60" w:line="280" w:lineRule="exact"/>
              <w:jc w:val="left"/>
              <w:rPr>
                <w:rFonts w:eastAsia="Times New Roman"/>
                <w:spacing w:val="-4"/>
                <w:position w:val="2"/>
                <w:sz w:val="20"/>
                <w:szCs w:val="20"/>
                <w:rtl/>
                <w:lang w:val="fr-FR" w:eastAsia="en-US" w:bidi="ar-EG"/>
              </w:rPr>
            </w:pPr>
            <w:r w:rsidRPr="005269E6">
              <w:rPr>
                <w:rFonts w:eastAsia="Times New Roman" w:hint="cs"/>
                <w:spacing w:val="-4"/>
                <w:position w:val="2"/>
                <w:sz w:val="20"/>
                <w:szCs w:val="20"/>
                <w:rtl/>
                <w:lang w:val="fr-FR" w:eastAsia="en-US" w:bidi="ar-EG"/>
              </w:rPr>
              <w:t>نهج صافي الأصول</w:t>
            </w:r>
          </w:p>
        </w:tc>
        <w:tc>
          <w:tcPr>
            <w:tcW w:w="3533" w:type="pct"/>
            <w:tcBorders>
              <w:top w:val="single" w:sz="4" w:space="0" w:color="auto"/>
              <w:left w:val="single" w:sz="4" w:space="0" w:color="auto"/>
              <w:bottom w:val="single" w:sz="4" w:space="0" w:color="auto"/>
              <w:right w:val="single" w:sz="4" w:space="0" w:color="auto"/>
            </w:tcBorders>
          </w:tcPr>
          <w:p w14:paraId="59F52906" w14:textId="44022D9F" w:rsidR="00C543C6" w:rsidRPr="005269E6" w:rsidRDefault="00C543C6" w:rsidP="006C7B22">
            <w:pPr>
              <w:spacing w:before="60" w:after="60" w:line="280" w:lineRule="exact"/>
              <w:rPr>
                <w:rFonts w:eastAsia="Times New Roman"/>
                <w:spacing w:val="-4"/>
                <w:position w:val="2"/>
                <w:sz w:val="20"/>
                <w:szCs w:val="20"/>
                <w:rtl/>
                <w:lang w:eastAsia="en-US"/>
              </w:rPr>
            </w:pPr>
            <w:r w:rsidRPr="005269E6">
              <w:rPr>
                <w:rFonts w:eastAsia="Times New Roman" w:hint="cs"/>
                <w:spacing w:val="-4"/>
                <w:position w:val="2"/>
                <w:sz w:val="20"/>
                <w:szCs w:val="20"/>
                <w:rtl/>
                <w:lang w:val="fr-FR" w:eastAsia="en-US"/>
              </w:rPr>
              <w:t xml:space="preserve">تُقيد المكاسب/الخسائر بالكامل خلال السنة التي تنشأ فيها مباشرة، ولكن خارج </w:t>
            </w:r>
            <w:r w:rsidR="00026B13" w:rsidRPr="005269E6">
              <w:rPr>
                <w:rFonts w:eastAsia="Times New Roman" w:hint="cs"/>
                <w:spacing w:val="-4"/>
                <w:position w:val="2"/>
                <w:sz w:val="20"/>
                <w:szCs w:val="20"/>
                <w:rtl/>
                <w:lang w:val="fr-FR" w:eastAsia="en-US"/>
              </w:rPr>
              <w:t>الفائض أو العجز</w:t>
            </w:r>
            <w:r w:rsidRPr="005269E6">
              <w:rPr>
                <w:rFonts w:eastAsia="Times New Roman" w:hint="cs"/>
                <w:spacing w:val="-4"/>
                <w:position w:val="2"/>
                <w:sz w:val="20"/>
                <w:szCs w:val="20"/>
                <w:rtl/>
                <w:lang w:val="fr-FR" w:eastAsia="en-US"/>
              </w:rPr>
              <w:t xml:space="preserve">، من خلال بيان </w:t>
            </w:r>
            <w:r w:rsidR="00964B5B" w:rsidRPr="005269E6">
              <w:rPr>
                <w:rFonts w:eastAsia="Times New Roman" w:hint="cs"/>
                <w:spacing w:val="-4"/>
                <w:position w:val="2"/>
                <w:sz w:val="20"/>
                <w:szCs w:val="20"/>
                <w:rtl/>
                <w:lang w:val="fr-FR" w:eastAsia="en-US"/>
              </w:rPr>
              <w:t>التغيرات</w:t>
            </w:r>
            <w:r w:rsidRPr="005269E6">
              <w:rPr>
                <w:rFonts w:eastAsia="Times New Roman" w:hint="cs"/>
                <w:spacing w:val="-4"/>
                <w:position w:val="2"/>
                <w:sz w:val="20"/>
                <w:szCs w:val="20"/>
                <w:rtl/>
                <w:lang w:val="fr-FR" w:eastAsia="en-US"/>
              </w:rPr>
              <w:t xml:space="preserve"> </w:t>
            </w:r>
            <w:r w:rsidR="00964B5B" w:rsidRPr="005269E6">
              <w:rPr>
                <w:rFonts w:eastAsia="Times New Roman" w:hint="cs"/>
                <w:spacing w:val="-4"/>
                <w:position w:val="2"/>
                <w:sz w:val="20"/>
                <w:szCs w:val="20"/>
                <w:rtl/>
                <w:lang w:eastAsia="en-US"/>
              </w:rPr>
              <w:t>في</w:t>
            </w:r>
            <w:r w:rsidR="00964B5B" w:rsidRPr="005269E6">
              <w:rPr>
                <w:rtl/>
              </w:rPr>
              <w:t xml:space="preserve"> </w:t>
            </w:r>
            <w:r w:rsidR="00964B5B" w:rsidRPr="005269E6">
              <w:rPr>
                <w:rFonts w:eastAsia="Times New Roman"/>
                <w:spacing w:val="-4"/>
                <w:position w:val="2"/>
                <w:sz w:val="20"/>
                <w:szCs w:val="20"/>
                <w:rtl/>
                <w:lang w:eastAsia="en-US"/>
              </w:rPr>
              <w:t>صافي الأصول</w:t>
            </w:r>
            <w:r w:rsidR="00964B5B" w:rsidRPr="005269E6">
              <w:rPr>
                <w:rFonts w:eastAsia="Times New Roman" w:hint="cs"/>
                <w:spacing w:val="-4"/>
                <w:position w:val="2"/>
                <w:sz w:val="20"/>
                <w:szCs w:val="20"/>
                <w:rtl/>
                <w:lang w:eastAsia="en-US"/>
              </w:rPr>
              <w:t>.</w:t>
            </w:r>
          </w:p>
        </w:tc>
      </w:tr>
    </w:tbl>
    <w:p w14:paraId="33C4062B" w14:textId="473F54D1" w:rsidR="00C543C6" w:rsidRPr="005269E6" w:rsidRDefault="00C543C6" w:rsidP="00C543C6">
      <w:pPr>
        <w:spacing w:before="240"/>
        <w:rPr>
          <w:spacing w:val="-2"/>
          <w:lang w:bidi="ar-EG"/>
        </w:rPr>
      </w:pPr>
      <w:r w:rsidRPr="005269E6">
        <w:rPr>
          <w:spacing w:val="-2"/>
          <w:rtl/>
          <w:lang w:bidi="ar-EG"/>
        </w:rPr>
        <w:t xml:space="preserve">يحق للموظفين (وأزواجهم وأطفالهم المعالين وأراملهم) الذين يغادرون الخدمة في سن </w:t>
      </w:r>
      <w:r w:rsidRPr="005269E6">
        <w:rPr>
          <w:spacing w:val="-2"/>
          <w:lang w:bidi="ar-EG"/>
        </w:rPr>
        <w:t>55</w:t>
      </w:r>
      <w:r w:rsidRPr="005269E6">
        <w:rPr>
          <w:spacing w:val="-2"/>
          <w:rtl/>
          <w:lang w:bidi="ar-EG"/>
        </w:rPr>
        <w:t xml:space="preserve"> سنة أو أكثر الحصول على التأمين الصحي </w:t>
      </w:r>
      <w:r w:rsidR="0016425F" w:rsidRPr="005269E6">
        <w:rPr>
          <w:spacing w:val="-2"/>
          <w:rtl/>
          <w:lang w:bidi="ar-EG"/>
        </w:rPr>
        <w:t>بعد انتهاء الخدمة</w:t>
      </w:r>
      <w:r w:rsidRPr="005269E6">
        <w:rPr>
          <w:spacing w:val="-2"/>
          <w:rtl/>
          <w:lang w:bidi="ar-EG"/>
        </w:rPr>
        <w:t xml:space="preserve"> إذا كانوا قد عملوا ما لا يقل عن عشر سنوات في منظمة الأمم المتحدة أو في وكالة متخصصة وإذا كان</w:t>
      </w:r>
      <w:r w:rsidRPr="005269E6">
        <w:rPr>
          <w:rFonts w:hint="cs"/>
          <w:spacing w:val="-2"/>
          <w:rtl/>
          <w:lang w:bidi="ar-EG"/>
        </w:rPr>
        <w:t>ت</w:t>
      </w:r>
      <w:r w:rsidRPr="005269E6">
        <w:rPr>
          <w:spacing w:val="-2"/>
          <w:rtl/>
          <w:lang w:bidi="ar-EG"/>
        </w:rPr>
        <w:t xml:space="preserve"> </w:t>
      </w:r>
      <w:r w:rsidRPr="005269E6">
        <w:rPr>
          <w:rFonts w:hint="cs"/>
          <w:spacing w:val="-2"/>
          <w:rtl/>
          <w:lang w:bidi="ar-EG"/>
        </w:rPr>
        <w:t>ت</w:t>
      </w:r>
      <w:r w:rsidRPr="005269E6">
        <w:rPr>
          <w:spacing w:val="-2"/>
          <w:rtl/>
          <w:lang w:bidi="ar-EG"/>
        </w:rPr>
        <w:t xml:space="preserve">شملهم </w:t>
      </w:r>
      <w:r w:rsidRPr="005269E6">
        <w:rPr>
          <w:rFonts w:hint="cs"/>
          <w:spacing w:val="-2"/>
          <w:rtl/>
          <w:lang w:bidi="ar-EG"/>
        </w:rPr>
        <w:t>خطة</w:t>
      </w:r>
      <w:r w:rsidRPr="005269E6">
        <w:rPr>
          <w:spacing w:val="-2"/>
          <w:rtl/>
          <w:lang w:bidi="ar-EG"/>
        </w:rPr>
        <w:t xml:space="preserve"> التأمين</w:t>
      </w:r>
      <w:r w:rsidRPr="005269E6">
        <w:rPr>
          <w:rFonts w:hint="cs"/>
          <w:spacing w:val="-2"/>
          <w:rtl/>
          <w:lang w:bidi="ar-EG"/>
        </w:rPr>
        <w:t xml:space="preserve"> الصحي</w:t>
      </w:r>
      <w:r w:rsidRPr="005269E6">
        <w:rPr>
          <w:spacing w:val="-2"/>
          <w:rtl/>
          <w:lang w:bidi="ar-EG"/>
        </w:rPr>
        <w:t xml:space="preserve"> </w:t>
      </w:r>
      <w:r w:rsidRPr="005269E6">
        <w:rPr>
          <w:spacing w:val="-2"/>
          <w:lang w:bidi="ar-EG"/>
        </w:rPr>
        <w:t>UNSMIS</w:t>
      </w:r>
      <w:r w:rsidRPr="005269E6">
        <w:rPr>
          <w:spacing w:val="-2"/>
          <w:rtl/>
          <w:lang w:bidi="ar-EG"/>
        </w:rPr>
        <w:t xml:space="preserve"> أثناء السنوات الخمس التي تسبق مباشرة</w:t>
      </w:r>
      <w:r w:rsidRPr="005269E6">
        <w:rPr>
          <w:rFonts w:hint="cs"/>
          <w:spacing w:val="-2"/>
          <w:rtl/>
          <w:lang w:bidi="ar-EG"/>
        </w:rPr>
        <w:t>ً</w:t>
      </w:r>
      <w:r w:rsidRPr="005269E6">
        <w:rPr>
          <w:spacing w:val="-2"/>
          <w:rtl/>
          <w:lang w:bidi="ar-EG"/>
        </w:rPr>
        <w:t xml:space="preserve"> انتهاء مدة خدمتهم. وتنطبق نفس ال</w:t>
      </w:r>
      <w:r w:rsidR="006B32D8" w:rsidRPr="005269E6">
        <w:rPr>
          <w:spacing w:val="-2"/>
          <w:rtl/>
          <w:lang w:bidi="ar-EG"/>
        </w:rPr>
        <w:t>استحقاقات</w:t>
      </w:r>
      <w:r w:rsidRPr="005269E6">
        <w:rPr>
          <w:spacing w:val="-2"/>
          <w:rtl/>
          <w:lang w:bidi="ar-EG"/>
        </w:rPr>
        <w:t xml:space="preserve"> على الموظفين المستفيدين من معاش عجز من الصندوق المشترك للمعاشات التقاعدية لموظفي الأمم المتحدة. ويتم تمويل هذا</w:t>
      </w:r>
      <w:r w:rsidRPr="005269E6">
        <w:rPr>
          <w:rFonts w:hint="cs"/>
          <w:spacing w:val="-2"/>
          <w:rtl/>
          <w:lang w:bidi="ar-EG"/>
        </w:rPr>
        <w:t> </w:t>
      </w:r>
      <w:r w:rsidRPr="005269E6">
        <w:rPr>
          <w:spacing w:val="-2"/>
          <w:rtl/>
          <w:lang w:bidi="ar-EG"/>
        </w:rPr>
        <w:t xml:space="preserve">النظام على أساس مساهمات يشارك فيها الاتحاد بمعدل </w:t>
      </w:r>
      <w:r w:rsidRPr="005269E6">
        <w:rPr>
          <w:spacing w:val="-2"/>
          <w:lang w:bidi="ar-EG"/>
        </w:rPr>
        <w:t>2/3</w:t>
      </w:r>
      <w:r w:rsidRPr="005269E6">
        <w:rPr>
          <w:spacing w:val="-2"/>
          <w:rtl/>
          <w:lang w:bidi="ar-EG"/>
        </w:rPr>
        <w:t xml:space="preserve"> والمستفيدون من التأمين بمعدل </w:t>
      </w:r>
      <w:r w:rsidRPr="005269E6">
        <w:rPr>
          <w:spacing w:val="-2"/>
          <w:lang w:bidi="ar-EG"/>
        </w:rPr>
        <w:t>1/3</w:t>
      </w:r>
      <w:r w:rsidRPr="005269E6">
        <w:rPr>
          <w:spacing w:val="-2"/>
          <w:rtl/>
          <w:lang w:bidi="ar-EG"/>
        </w:rPr>
        <w:t>.</w:t>
      </w:r>
    </w:p>
    <w:p w14:paraId="022D64DC" w14:textId="16F4191C" w:rsidR="00C543C6" w:rsidRPr="005269E6" w:rsidRDefault="00C543C6" w:rsidP="00C543C6">
      <w:pPr>
        <w:spacing w:after="120"/>
        <w:rPr>
          <w:rtl/>
          <w:lang w:bidi="ar-EG"/>
        </w:rPr>
      </w:pPr>
      <w:r w:rsidRPr="005269E6">
        <w:rPr>
          <w:rtl/>
          <w:lang w:bidi="ar-EG"/>
        </w:rPr>
        <w:t>و</w:t>
      </w:r>
      <w:r w:rsidR="00964B5B" w:rsidRPr="005269E6">
        <w:rPr>
          <w:rFonts w:hint="cs"/>
          <w:rtl/>
          <w:lang w:bidi="ar-EG"/>
        </w:rPr>
        <w:t>ي</w:t>
      </w:r>
      <w:r w:rsidRPr="005269E6">
        <w:rPr>
          <w:rtl/>
          <w:lang w:bidi="ar-EG"/>
        </w:rPr>
        <w:t xml:space="preserve">حتوي الجدول التالي على معلومات وتحليلات </w:t>
      </w:r>
      <w:r w:rsidRPr="005269E6">
        <w:rPr>
          <w:rFonts w:hint="cs"/>
          <w:rtl/>
          <w:lang w:bidi="ar-EG"/>
        </w:rPr>
        <w:t>إضافية</w:t>
      </w:r>
      <w:r w:rsidRPr="005269E6">
        <w:rPr>
          <w:rtl/>
          <w:lang w:bidi="ar-EG"/>
        </w:rPr>
        <w:t xml:space="preserve"> بشأن خصوم </w:t>
      </w:r>
      <w:r w:rsidR="00964B5B" w:rsidRPr="005269E6">
        <w:rPr>
          <w:rtl/>
          <w:lang w:bidi="ar-EG"/>
        </w:rPr>
        <w:t xml:space="preserve">التأمين الصحي بعد انتهاء الخدمة الناشئة عن علاوات الموظفين </w:t>
      </w:r>
      <w:r w:rsidRPr="005269E6">
        <w:rPr>
          <w:rFonts w:hint="cs"/>
          <w:rtl/>
          <w:lang w:bidi="ar-EG"/>
        </w:rPr>
        <w:t>وفقاً</w:t>
      </w:r>
      <w:r w:rsidRPr="005269E6">
        <w:rPr>
          <w:rtl/>
          <w:lang w:bidi="ar-EG"/>
        </w:rPr>
        <w:t xml:space="preserve"> </w:t>
      </w:r>
      <w:r w:rsidRPr="005269E6">
        <w:rPr>
          <w:rFonts w:hint="cs"/>
          <w:rtl/>
          <w:lang w:bidi="ar-EG"/>
        </w:rPr>
        <w:t>ل</w:t>
      </w:r>
      <w:r w:rsidRPr="005269E6">
        <w:rPr>
          <w:rtl/>
          <w:lang w:bidi="ar-EG"/>
        </w:rPr>
        <w:t xml:space="preserve">دراسة </w:t>
      </w:r>
      <w:r w:rsidR="0059394B" w:rsidRPr="005269E6">
        <w:rPr>
          <w:rtl/>
          <w:lang w:bidi="ar-EG"/>
        </w:rPr>
        <w:t>إكتواري</w:t>
      </w:r>
      <w:r w:rsidRPr="005269E6">
        <w:rPr>
          <w:rtl/>
          <w:lang w:bidi="ar-EG"/>
        </w:rPr>
        <w:t xml:space="preserve">ة </w:t>
      </w:r>
      <w:r w:rsidRPr="005269E6">
        <w:rPr>
          <w:rFonts w:hint="cs"/>
          <w:rtl/>
          <w:lang w:bidi="ar-EG"/>
        </w:rPr>
        <w:t xml:space="preserve">أجريت </w:t>
      </w:r>
      <w:r w:rsidRPr="005269E6">
        <w:rPr>
          <w:rtl/>
          <w:lang w:bidi="ar-EG"/>
        </w:rPr>
        <w:t>بغية التوصل إلى المبالغ ذات الصلة في </w:t>
      </w:r>
      <w:r w:rsidRPr="005269E6">
        <w:rPr>
          <w:lang w:bidi="ar-EG"/>
        </w:rPr>
        <w:t>31</w:t>
      </w:r>
      <w:r w:rsidRPr="005269E6">
        <w:rPr>
          <w:rtl/>
          <w:lang w:bidi="ar-EG"/>
        </w:rPr>
        <w:t xml:space="preserve"> ديسمبر </w:t>
      </w:r>
      <w:r w:rsidR="0096180D" w:rsidRPr="005269E6">
        <w:rPr>
          <w:lang w:bidi="ar-EG"/>
        </w:rPr>
        <w:t>2022</w:t>
      </w:r>
      <w:r w:rsidRPr="005269E6">
        <w:rPr>
          <w:rtl/>
          <w:lang w:bidi="ar-EG"/>
        </w:rPr>
        <w:t>.</w:t>
      </w:r>
    </w:p>
    <w:tbl>
      <w:tblPr>
        <w:bidiVisual/>
        <w:tblW w:w="9400" w:type="dxa"/>
        <w:jc w:val="center"/>
        <w:tblLook w:val="04A0" w:firstRow="1" w:lastRow="0" w:firstColumn="1" w:lastColumn="0" w:noHBand="0" w:noVBand="1"/>
      </w:tblPr>
      <w:tblGrid>
        <w:gridCol w:w="5520"/>
        <w:gridCol w:w="1840"/>
        <w:gridCol w:w="2040"/>
      </w:tblGrid>
      <w:tr w:rsidR="00BC5C33" w:rsidRPr="005269E6" w14:paraId="0F644143" w14:textId="77777777" w:rsidTr="008732AD">
        <w:trPr>
          <w:trHeight w:val="702"/>
          <w:jc w:val="center"/>
        </w:trPr>
        <w:tc>
          <w:tcPr>
            <w:tcW w:w="5520" w:type="dxa"/>
            <w:tcBorders>
              <w:top w:val="nil"/>
              <w:left w:val="nil"/>
              <w:bottom w:val="nil"/>
              <w:right w:val="nil"/>
            </w:tcBorders>
            <w:shd w:val="clear" w:color="000000" w:fill="538DD5"/>
            <w:vAlign w:val="center"/>
            <w:hideMark/>
          </w:tcPr>
          <w:p w14:paraId="5FC43118" w14:textId="5BA8266F" w:rsidR="00BC5C33" w:rsidRPr="005269E6" w:rsidRDefault="00BC5C33" w:rsidP="00734473">
            <w:pPr>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 xml:space="preserve">مبالغ الالتزامات بموجب خطة التأمين الصحي بعد انتهاء الخدمة </w:t>
            </w:r>
            <w:r w:rsidR="00FC38D4" w:rsidRPr="005269E6">
              <w:rPr>
                <w:rFonts w:eastAsia="Times New Roman"/>
                <w:b/>
                <w:bCs/>
                <w:color w:val="000000"/>
                <w:sz w:val="18"/>
                <w:szCs w:val="18"/>
                <w:rtl/>
                <w:lang w:val="en-GB" w:eastAsia="en-GB"/>
              </w:rPr>
              <w:br/>
            </w:r>
            <w:r w:rsidRPr="005269E6">
              <w:rPr>
                <w:rFonts w:eastAsia="Times New Roman"/>
                <w:b/>
                <w:bCs/>
                <w:color w:val="000000"/>
                <w:sz w:val="18"/>
                <w:szCs w:val="18"/>
                <w:rtl/>
                <w:lang w:val="en-GB" w:eastAsia="en-GB"/>
              </w:rPr>
              <w:t>(بآلاف الفرنكات السويسرية)</w:t>
            </w:r>
          </w:p>
        </w:tc>
        <w:tc>
          <w:tcPr>
            <w:tcW w:w="1840" w:type="dxa"/>
            <w:tcBorders>
              <w:top w:val="nil"/>
              <w:left w:val="nil"/>
              <w:bottom w:val="nil"/>
              <w:right w:val="nil"/>
            </w:tcBorders>
            <w:shd w:val="clear" w:color="000000" w:fill="538DD5"/>
            <w:vAlign w:val="center"/>
            <w:hideMark/>
          </w:tcPr>
          <w:p w14:paraId="049C56CA" w14:textId="7A28D507" w:rsidR="00BC5C33" w:rsidRPr="005269E6" w:rsidRDefault="00BC5C33" w:rsidP="00BC5C3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2040" w:type="dxa"/>
            <w:tcBorders>
              <w:top w:val="nil"/>
              <w:left w:val="nil"/>
              <w:bottom w:val="nil"/>
              <w:right w:val="nil"/>
            </w:tcBorders>
            <w:shd w:val="clear" w:color="000000" w:fill="538DD5"/>
            <w:vAlign w:val="center"/>
            <w:hideMark/>
          </w:tcPr>
          <w:p w14:paraId="7CBA3A87" w14:textId="00E2F88D" w:rsidR="00BC5C33" w:rsidRPr="005269E6" w:rsidRDefault="00BC5C33" w:rsidP="00BC5C3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w:t>
            </w:r>
          </w:p>
        </w:tc>
      </w:tr>
      <w:tr w:rsidR="008732AD" w:rsidRPr="005269E6" w14:paraId="1A716D4C"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14285054" w14:textId="65939651" w:rsidR="008732AD" w:rsidRPr="005269E6" w:rsidRDefault="00EC7880" w:rsidP="00EC7880">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الرصيد كما</w:t>
            </w:r>
            <w:r w:rsidRPr="005269E6">
              <w:rPr>
                <w:rFonts w:eastAsia="Times New Roman" w:hint="cs"/>
                <w:color w:val="000000"/>
                <w:sz w:val="18"/>
                <w:szCs w:val="18"/>
                <w:rtl/>
                <w:lang w:val="en-GB" w:eastAsia="en-GB"/>
              </w:rPr>
              <w:t xml:space="preserve"> كان</w:t>
            </w:r>
            <w:r w:rsidRPr="005269E6">
              <w:rPr>
                <w:rFonts w:eastAsia="Times New Roman"/>
                <w:color w:val="000000"/>
                <w:sz w:val="18"/>
                <w:szCs w:val="18"/>
                <w:rtl/>
                <w:lang w:val="en-GB" w:eastAsia="en-GB"/>
              </w:rPr>
              <w:t xml:space="preserve"> في 01 يناير 202</w:t>
            </w:r>
            <w:r w:rsidRPr="005269E6">
              <w:rPr>
                <w:rFonts w:eastAsia="Times New Roman" w:hint="cs"/>
                <w:color w:val="000000"/>
                <w:sz w:val="18"/>
                <w:szCs w:val="18"/>
                <w:rtl/>
                <w:lang w:val="en-GB" w:eastAsia="en-GB"/>
              </w:rPr>
              <w:t>2</w:t>
            </w:r>
            <w:r w:rsidRPr="005269E6">
              <w:rPr>
                <w:rFonts w:eastAsia="Times New Roman"/>
                <w:color w:val="000000"/>
                <w:sz w:val="18"/>
                <w:szCs w:val="18"/>
                <w:rtl/>
                <w:lang w:val="en-GB" w:eastAsia="en-GB"/>
              </w:rPr>
              <w:t>-202</w:t>
            </w:r>
            <w:r w:rsidRPr="005269E6">
              <w:rPr>
                <w:rFonts w:eastAsia="Times New Roman" w:hint="cs"/>
                <w:color w:val="000000"/>
                <w:sz w:val="18"/>
                <w:szCs w:val="18"/>
                <w:rtl/>
                <w:lang w:val="en-GB" w:eastAsia="en-GB"/>
              </w:rPr>
              <w:t>1</w:t>
            </w:r>
          </w:p>
        </w:tc>
        <w:tc>
          <w:tcPr>
            <w:tcW w:w="1840" w:type="dxa"/>
            <w:tcBorders>
              <w:top w:val="nil"/>
              <w:left w:val="nil"/>
              <w:bottom w:val="nil"/>
              <w:right w:val="nil"/>
            </w:tcBorders>
            <w:shd w:val="clear" w:color="auto" w:fill="auto"/>
            <w:noWrap/>
            <w:vAlign w:val="bottom"/>
            <w:hideMark/>
          </w:tcPr>
          <w:p w14:paraId="699E67B3" w14:textId="282C480B" w:rsidR="008732AD" w:rsidRPr="005269E6" w:rsidRDefault="008732AD" w:rsidP="00FC38D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545 636 </w:t>
            </w:r>
          </w:p>
        </w:tc>
        <w:tc>
          <w:tcPr>
            <w:tcW w:w="2040" w:type="dxa"/>
            <w:tcBorders>
              <w:top w:val="nil"/>
              <w:left w:val="nil"/>
              <w:bottom w:val="nil"/>
              <w:right w:val="nil"/>
            </w:tcBorders>
            <w:shd w:val="clear" w:color="auto" w:fill="auto"/>
            <w:noWrap/>
            <w:vAlign w:val="bottom"/>
            <w:hideMark/>
          </w:tcPr>
          <w:p w14:paraId="7CFD3F46" w14:textId="09F57164" w:rsidR="008732AD" w:rsidRPr="005269E6" w:rsidRDefault="008732AD" w:rsidP="00FC38D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631 870 </w:t>
            </w:r>
          </w:p>
        </w:tc>
      </w:tr>
      <w:tr w:rsidR="008732AD" w:rsidRPr="005269E6" w14:paraId="4A338E51"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0C7AC2AC" w14:textId="77777777" w:rsidR="008732AD" w:rsidRPr="005269E6" w:rsidRDefault="008732AD" w:rsidP="008732AD">
            <w:pPr>
              <w:tabs>
                <w:tab w:val="clear" w:pos="794"/>
              </w:tabs>
              <w:spacing w:before="0" w:line="200" w:lineRule="exact"/>
              <w:jc w:val="center"/>
              <w:rPr>
                <w:rFonts w:eastAsia="Times New Roman"/>
                <w:b/>
                <w:bCs/>
                <w:color w:val="000000"/>
                <w:sz w:val="18"/>
                <w:szCs w:val="18"/>
                <w:lang w:val="en-GB" w:eastAsia="en-GB"/>
              </w:rPr>
            </w:pPr>
          </w:p>
        </w:tc>
        <w:tc>
          <w:tcPr>
            <w:tcW w:w="1840" w:type="dxa"/>
            <w:tcBorders>
              <w:top w:val="nil"/>
              <w:left w:val="nil"/>
              <w:bottom w:val="nil"/>
              <w:right w:val="nil"/>
            </w:tcBorders>
            <w:shd w:val="clear" w:color="auto" w:fill="auto"/>
            <w:noWrap/>
            <w:vAlign w:val="bottom"/>
            <w:hideMark/>
          </w:tcPr>
          <w:p w14:paraId="5C8AED97" w14:textId="77777777" w:rsidR="008732AD" w:rsidRPr="005269E6" w:rsidRDefault="008732AD" w:rsidP="00FC38D4">
            <w:pPr>
              <w:tabs>
                <w:tab w:val="clear" w:pos="794"/>
              </w:tabs>
              <w:spacing w:before="0" w:line="200" w:lineRule="exact"/>
              <w:jc w:val="left"/>
              <w:rPr>
                <w:rFonts w:eastAsia="Times New Roman"/>
                <w:b/>
                <w:bCs/>
                <w:color w:val="000000"/>
                <w:sz w:val="18"/>
                <w:szCs w:val="18"/>
                <w:lang w:val="en-GB" w:eastAsia="en-GB"/>
              </w:rPr>
            </w:pPr>
          </w:p>
        </w:tc>
        <w:tc>
          <w:tcPr>
            <w:tcW w:w="2040" w:type="dxa"/>
            <w:tcBorders>
              <w:top w:val="nil"/>
              <w:left w:val="nil"/>
              <w:bottom w:val="nil"/>
              <w:right w:val="nil"/>
            </w:tcBorders>
            <w:shd w:val="clear" w:color="auto" w:fill="auto"/>
            <w:noWrap/>
            <w:vAlign w:val="bottom"/>
            <w:hideMark/>
          </w:tcPr>
          <w:p w14:paraId="58C9A108" w14:textId="77777777" w:rsidR="008732AD" w:rsidRPr="005269E6" w:rsidRDefault="008732AD" w:rsidP="00FC38D4">
            <w:pPr>
              <w:tabs>
                <w:tab w:val="clear" w:pos="794"/>
              </w:tabs>
              <w:spacing w:before="0" w:line="200" w:lineRule="exact"/>
              <w:jc w:val="left"/>
              <w:rPr>
                <w:rFonts w:eastAsia="Times New Roman"/>
                <w:b/>
                <w:bCs/>
                <w:color w:val="000000"/>
                <w:sz w:val="18"/>
                <w:szCs w:val="18"/>
                <w:lang w:val="en-GB" w:eastAsia="en-GB"/>
              </w:rPr>
            </w:pPr>
          </w:p>
        </w:tc>
      </w:tr>
      <w:tr w:rsidR="008732AD" w:rsidRPr="005269E6" w14:paraId="0486EE38"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36E78E2C" w14:textId="09E00DFE" w:rsidR="008732AD" w:rsidRPr="005269E6" w:rsidRDefault="00EC7880" w:rsidP="004719AC">
            <w:pPr>
              <w:tabs>
                <w:tab w:val="clear" w:pos="794"/>
                <w:tab w:val="left" w:pos="269"/>
              </w:tabs>
              <w:spacing w:before="40" w:after="40" w:line="240" w:lineRule="exact"/>
              <w:rPr>
                <w:rFonts w:eastAsia="Times New Roman"/>
                <w:i/>
                <w:iCs/>
                <w:color w:val="000000"/>
                <w:sz w:val="18"/>
                <w:szCs w:val="18"/>
                <w:lang w:val="en-GB" w:eastAsia="en-GB"/>
              </w:rPr>
            </w:pPr>
            <w:r w:rsidRPr="005269E6">
              <w:rPr>
                <w:rFonts w:eastAsia="Times New Roman" w:hint="cs"/>
                <w:i/>
                <w:iCs/>
                <w:color w:val="000000"/>
                <w:sz w:val="18"/>
                <w:szCs w:val="18"/>
                <w:rtl/>
                <w:lang w:val="en-GB" w:eastAsia="en-GB"/>
              </w:rPr>
              <w:t>-</w:t>
            </w:r>
            <w:r w:rsidR="004719AC" w:rsidRPr="005269E6">
              <w:rPr>
                <w:rFonts w:eastAsia="Times New Roman"/>
                <w:i/>
                <w:iCs/>
                <w:color w:val="000000"/>
                <w:sz w:val="18"/>
                <w:szCs w:val="18"/>
                <w:rtl/>
                <w:lang w:val="en-GB" w:eastAsia="en-GB"/>
              </w:rPr>
              <w:tab/>
            </w:r>
            <w:r w:rsidRPr="005269E6">
              <w:rPr>
                <w:rFonts w:eastAsia="Times New Roman"/>
                <w:i/>
                <w:iCs/>
                <w:color w:val="000000"/>
                <w:sz w:val="18"/>
                <w:szCs w:val="18"/>
                <w:rtl/>
                <w:lang w:val="en-GB" w:eastAsia="en-GB"/>
              </w:rPr>
              <w:t xml:space="preserve">صافي </w:t>
            </w:r>
            <w:r w:rsidRPr="005269E6">
              <w:rPr>
                <w:rFonts w:eastAsia="Times New Roman" w:hint="cs"/>
                <w:i/>
                <w:iCs/>
                <w:color w:val="000000"/>
                <w:sz w:val="18"/>
                <w:szCs w:val="18"/>
                <w:rtl/>
                <w:lang w:val="en-GB" w:eastAsia="en-GB"/>
              </w:rPr>
              <w:t>ال</w:t>
            </w:r>
            <w:r w:rsidRPr="005269E6">
              <w:rPr>
                <w:rFonts w:eastAsia="Times New Roman"/>
                <w:i/>
                <w:iCs/>
                <w:color w:val="000000"/>
                <w:sz w:val="18"/>
                <w:szCs w:val="18"/>
                <w:rtl/>
                <w:lang w:val="en-GB" w:eastAsia="en-GB"/>
              </w:rPr>
              <w:t xml:space="preserve">تكلفة </w:t>
            </w:r>
            <w:r w:rsidRPr="005269E6">
              <w:rPr>
                <w:rFonts w:eastAsia="Times New Roman" w:hint="cs"/>
                <w:i/>
                <w:iCs/>
                <w:color w:val="000000"/>
                <w:sz w:val="18"/>
                <w:szCs w:val="18"/>
                <w:rtl/>
                <w:lang w:val="en-GB" w:eastAsia="en-GB"/>
              </w:rPr>
              <w:t>الجارية</w:t>
            </w:r>
            <w:r w:rsidRPr="005269E6">
              <w:rPr>
                <w:rtl/>
              </w:rPr>
              <w:t xml:space="preserve"> </w:t>
            </w:r>
            <w:r w:rsidRPr="005269E6">
              <w:rPr>
                <w:rFonts w:hint="cs"/>
                <w:i/>
                <w:iCs/>
                <w:sz w:val="18"/>
                <w:szCs w:val="18"/>
                <w:rtl/>
              </w:rPr>
              <w:t>ل</w:t>
            </w:r>
            <w:r w:rsidRPr="005269E6">
              <w:rPr>
                <w:i/>
                <w:iCs/>
                <w:sz w:val="18"/>
                <w:szCs w:val="18"/>
                <w:rtl/>
                <w:lang w:val="en-GB" w:eastAsia="en-GB"/>
              </w:rPr>
              <w:t>لخدمة</w:t>
            </w:r>
          </w:p>
        </w:tc>
        <w:tc>
          <w:tcPr>
            <w:tcW w:w="1840" w:type="dxa"/>
            <w:tcBorders>
              <w:top w:val="nil"/>
              <w:left w:val="nil"/>
              <w:bottom w:val="nil"/>
              <w:right w:val="nil"/>
            </w:tcBorders>
            <w:shd w:val="clear" w:color="auto" w:fill="auto"/>
            <w:noWrap/>
            <w:vAlign w:val="bottom"/>
            <w:hideMark/>
          </w:tcPr>
          <w:p w14:paraId="6C45F22B" w14:textId="67FA7E1D" w:rsidR="008732AD" w:rsidRPr="005269E6" w:rsidRDefault="008732AD" w:rsidP="00FC38D4">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 19 685 </w:t>
            </w:r>
          </w:p>
        </w:tc>
        <w:tc>
          <w:tcPr>
            <w:tcW w:w="2040" w:type="dxa"/>
            <w:tcBorders>
              <w:top w:val="nil"/>
              <w:left w:val="nil"/>
              <w:bottom w:val="nil"/>
              <w:right w:val="nil"/>
            </w:tcBorders>
            <w:shd w:val="clear" w:color="auto" w:fill="auto"/>
            <w:noWrap/>
            <w:vAlign w:val="bottom"/>
            <w:hideMark/>
          </w:tcPr>
          <w:p w14:paraId="526840B3" w14:textId="16C07B47" w:rsidR="008732AD" w:rsidRPr="005269E6" w:rsidRDefault="008732AD" w:rsidP="00FC38D4">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25 171 </w:t>
            </w:r>
          </w:p>
        </w:tc>
      </w:tr>
      <w:tr w:rsidR="008732AD" w:rsidRPr="005269E6" w14:paraId="6DD82694"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476D8FFE" w14:textId="21AC783A" w:rsidR="008732AD" w:rsidRPr="005269E6" w:rsidRDefault="00EC7880" w:rsidP="004719AC">
            <w:pPr>
              <w:tabs>
                <w:tab w:val="clear" w:pos="794"/>
                <w:tab w:val="left" w:pos="269"/>
              </w:tabs>
              <w:spacing w:before="40" w:after="40" w:line="240" w:lineRule="exact"/>
              <w:rPr>
                <w:rFonts w:eastAsia="Times New Roman"/>
                <w:i/>
                <w:iCs/>
                <w:color w:val="000000"/>
                <w:sz w:val="18"/>
                <w:szCs w:val="18"/>
                <w:lang w:val="en-GB" w:eastAsia="en-GB"/>
              </w:rPr>
            </w:pPr>
            <w:r w:rsidRPr="005269E6">
              <w:rPr>
                <w:rFonts w:eastAsia="Times New Roman"/>
                <w:i/>
                <w:iCs/>
                <w:color w:val="000000"/>
                <w:sz w:val="18"/>
                <w:szCs w:val="18"/>
                <w:rtl/>
                <w:lang w:val="en-GB" w:eastAsia="en-GB"/>
              </w:rPr>
              <w:t>-</w:t>
            </w:r>
            <w:r w:rsidR="004719AC" w:rsidRPr="005269E6">
              <w:rPr>
                <w:rFonts w:eastAsia="Times New Roman"/>
                <w:i/>
                <w:iCs/>
                <w:color w:val="000000"/>
                <w:sz w:val="18"/>
                <w:szCs w:val="18"/>
                <w:rtl/>
                <w:lang w:val="en-GB" w:eastAsia="en-GB"/>
              </w:rPr>
              <w:tab/>
            </w:r>
            <w:r w:rsidRPr="005269E6">
              <w:rPr>
                <w:rFonts w:eastAsia="Times New Roman"/>
                <w:i/>
                <w:iCs/>
                <w:color w:val="000000"/>
                <w:sz w:val="18"/>
                <w:szCs w:val="18"/>
                <w:rtl/>
                <w:lang w:val="en-GB" w:eastAsia="en-GB"/>
              </w:rPr>
              <w:t>رسوم مالية</w:t>
            </w:r>
          </w:p>
        </w:tc>
        <w:tc>
          <w:tcPr>
            <w:tcW w:w="1840" w:type="dxa"/>
            <w:tcBorders>
              <w:top w:val="nil"/>
              <w:left w:val="nil"/>
              <w:bottom w:val="nil"/>
              <w:right w:val="nil"/>
            </w:tcBorders>
            <w:shd w:val="clear" w:color="auto" w:fill="auto"/>
            <w:noWrap/>
            <w:vAlign w:val="bottom"/>
            <w:hideMark/>
          </w:tcPr>
          <w:p w14:paraId="5139DF36" w14:textId="26C472BB" w:rsidR="008732AD" w:rsidRPr="005269E6" w:rsidRDefault="008732AD" w:rsidP="00FC38D4">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2 703 </w:t>
            </w:r>
          </w:p>
        </w:tc>
        <w:tc>
          <w:tcPr>
            <w:tcW w:w="2040" w:type="dxa"/>
            <w:tcBorders>
              <w:top w:val="nil"/>
              <w:left w:val="nil"/>
              <w:bottom w:val="nil"/>
              <w:right w:val="nil"/>
            </w:tcBorders>
            <w:shd w:val="clear" w:color="auto" w:fill="auto"/>
            <w:noWrap/>
            <w:vAlign w:val="bottom"/>
            <w:hideMark/>
          </w:tcPr>
          <w:p w14:paraId="3434EF96" w14:textId="0E90D91C" w:rsidR="008732AD" w:rsidRPr="005269E6" w:rsidRDefault="008732AD" w:rsidP="00FC38D4">
            <w:pPr>
              <w:tabs>
                <w:tab w:val="clear" w:pos="794"/>
              </w:tabs>
              <w:spacing w:before="40" w:after="40" w:line="240" w:lineRule="exact"/>
              <w:jc w:val="left"/>
              <w:rPr>
                <w:rFonts w:eastAsia="Times New Roman"/>
                <w:i/>
                <w:iCs/>
                <w:color w:val="000000"/>
                <w:sz w:val="18"/>
                <w:szCs w:val="18"/>
                <w:lang w:val="en-GB" w:eastAsia="en-GB"/>
              </w:rPr>
            </w:pPr>
            <w:r w:rsidRPr="005269E6">
              <w:rPr>
                <w:rFonts w:eastAsia="Times New Roman"/>
                <w:i/>
                <w:iCs/>
                <w:color w:val="000000"/>
                <w:sz w:val="18"/>
                <w:szCs w:val="18"/>
                <w:lang w:val="en-GB" w:eastAsia="en-GB"/>
              </w:rPr>
              <w:t xml:space="preserve">1 254 </w:t>
            </w:r>
          </w:p>
        </w:tc>
      </w:tr>
      <w:tr w:rsidR="008732AD" w:rsidRPr="005269E6" w14:paraId="10773468"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184CFAD9" w14:textId="3EE84ACB" w:rsidR="008732AD" w:rsidRPr="005269E6" w:rsidRDefault="00EC7880" w:rsidP="008732AD">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 xml:space="preserve">مجموع النفقات </w:t>
            </w:r>
            <w:r w:rsidRPr="005269E6">
              <w:rPr>
                <w:rFonts w:eastAsia="Times New Roman" w:hint="cs"/>
                <w:b/>
                <w:bCs/>
                <w:color w:val="000000"/>
                <w:sz w:val="18"/>
                <w:szCs w:val="18"/>
                <w:rtl/>
                <w:lang w:val="en-GB" w:eastAsia="en-GB"/>
              </w:rPr>
              <w:t>المثبَّتة</w:t>
            </w:r>
            <w:r w:rsidRPr="005269E6">
              <w:rPr>
                <w:rFonts w:eastAsia="Times New Roman"/>
                <w:b/>
                <w:bCs/>
                <w:color w:val="000000"/>
                <w:sz w:val="18"/>
                <w:szCs w:val="18"/>
                <w:rtl/>
                <w:lang w:val="en-GB" w:eastAsia="en-GB"/>
              </w:rPr>
              <w:t xml:space="preserve"> في بيان الأداء المالي</w:t>
            </w:r>
          </w:p>
        </w:tc>
        <w:tc>
          <w:tcPr>
            <w:tcW w:w="1840" w:type="dxa"/>
            <w:tcBorders>
              <w:top w:val="nil"/>
              <w:left w:val="nil"/>
              <w:bottom w:val="nil"/>
              <w:right w:val="nil"/>
            </w:tcBorders>
            <w:shd w:val="clear" w:color="auto" w:fill="auto"/>
            <w:noWrap/>
            <w:vAlign w:val="bottom"/>
            <w:hideMark/>
          </w:tcPr>
          <w:p w14:paraId="5C400CB4" w14:textId="375ED930" w:rsidR="008732AD" w:rsidRPr="005269E6" w:rsidRDefault="008732AD" w:rsidP="00FC38D4">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 xml:space="preserve">22 388 </w:t>
            </w:r>
          </w:p>
        </w:tc>
        <w:tc>
          <w:tcPr>
            <w:tcW w:w="2040" w:type="dxa"/>
            <w:tcBorders>
              <w:top w:val="nil"/>
              <w:left w:val="nil"/>
              <w:bottom w:val="nil"/>
              <w:right w:val="nil"/>
            </w:tcBorders>
            <w:shd w:val="clear" w:color="auto" w:fill="auto"/>
            <w:noWrap/>
            <w:vAlign w:val="bottom"/>
            <w:hideMark/>
          </w:tcPr>
          <w:p w14:paraId="2034463C" w14:textId="4F6A2F97" w:rsidR="008732AD" w:rsidRPr="005269E6" w:rsidRDefault="008732AD" w:rsidP="00FC38D4">
            <w:pPr>
              <w:tabs>
                <w:tab w:val="clear" w:pos="794"/>
              </w:tabs>
              <w:spacing w:before="40" w:after="40" w:line="240" w:lineRule="exact"/>
              <w:jc w:val="left"/>
              <w:rPr>
                <w:rFonts w:eastAsia="Times New Roman"/>
                <w:b/>
                <w:bCs/>
                <w:i/>
                <w:iCs/>
                <w:color w:val="000000"/>
                <w:sz w:val="18"/>
                <w:szCs w:val="18"/>
                <w:lang w:val="en-GB" w:eastAsia="en-GB"/>
              </w:rPr>
            </w:pPr>
            <w:r w:rsidRPr="005269E6">
              <w:rPr>
                <w:rFonts w:eastAsia="Times New Roman"/>
                <w:b/>
                <w:bCs/>
                <w:i/>
                <w:iCs/>
                <w:color w:val="000000"/>
                <w:sz w:val="18"/>
                <w:szCs w:val="18"/>
                <w:lang w:val="en-GB" w:eastAsia="en-GB"/>
              </w:rPr>
              <w:t xml:space="preserve">26 425 </w:t>
            </w:r>
          </w:p>
        </w:tc>
      </w:tr>
      <w:tr w:rsidR="008732AD" w:rsidRPr="005269E6" w14:paraId="68173EE7"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48222DA2" w14:textId="77777777" w:rsidR="008732AD" w:rsidRPr="005269E6" w:rsidRDefault="008732AD" w:rsidP="008732AD">
            <w:pPr>
              <w:tabs>
                <w:tab w:val="clear" w:pos="794"/>
              </w:tabs>
              <w:spacing w:before="0" w:line="200" w:lineRule="exact"/>
              <w:jc w:val="center"/>
              <w:rPr>
                <w:rFonts w:eastAsia="Times New Roman"/>
                <w:b/>
                <w:bCs/>
                <w:color w:val="000000"/>
                <w:sz w:val="18"/>
                <w:szCs w:val="18"/>
                <w:lang w:val="en-GB" w:eastAsia="en-GB"/>
              </w:rPr>
            </w:pPr>
          </w:p>
        </w:tc>
        <w:tc>
          <w:tcPr>
            <w:tcW w:w="1840" w:type="dxa"/>
            <w:tcBorders>
              <w:top w:val="nil"/>
              <w:left w:val="nil"/>
              <w:bottom w:val="nil"/>
              <w:right w:val="nil"/>
            </w:tcBorders>
            <w:shd w:val="clear" w:color="auto" w:fill="auto"/>
            <w:noWrap/>
            <w:vAlign w:val="bottom"/>
            <w:hideMark/>
          </w:tcPr>
          <w:p w14:paraId="623D6E00" w14:textId="77777777" w:rsidR="008732AD" w:rsidRPr="005269E6" w:rsidRDefault="008732AD" w:rsidP="00FC38D4">
            <w:pPr>
              <w:tabs>
                <w:tab w:val="clear" w:pos="794"/>
              </w:tabs>
              <w:spacing w:before="0" w:line="200" w:lineRule="exact"/>
              <w:jc w:val="left"/>
              <w:rPr>
                <w:rFonts w:eastAsia="Times New Roman"/>
                <w:b/>
                <w:bCs/>
                <w:color w:val="000000"/>
                <w:sz w:val="18"/>
                <w:szCs w:val="18"/>
                <w:lang w:val="en-GB" w:eastAsia="en-GB"/>
              </w:rPr>
            </w:pPr>
          </w:p>
        </w:tc>
        <w:tc>
          <w:tcPr>
            <w:tcW w:w="2040" w:type="dxa"/>
            <w:tcBorders>
              <w:top w:val="nil"/>
              <w:left w:val="nil"/>
              <w:bottom w:val="nil"/>
              <w:right w:val="nil"/>
            </w:tcBorders>
            <w:shd w:val="clear" w:color="auto" w:fill="auto"/>
            <w:noWrap/>
            <w:vAlign w:val="bottom"/>
            <w:hideMark/>
          </w:tcPr>
          <w:p w14:paraId="69B1E125" w14:textId="77777777" w:rsidR="008732AD" w:rsidRPr="005269E6" w:rsidRDefault="008732AD" w:rsidP="00FC38D4">
            <w:pPr>
              <w:tabs>
                <w:tab w:val="clear" w:pos="794"/>
              </w:tabs>
              <w:spacing w:before="0" w:line="200" w:lineRule="exact"/>
              <w:jc w:val="left"/>
              <w:rPr>
                <w:rFonts w:eastAsia="Times New Roman"/>
                <w:b/>
                <w:bCs/>
                <w:color w:val="000000"/>
                <w:sz w:val="18"/>
                <w:szCs w:val="18"/>
                <w:lang w:val="en-GB" w:eastAsia="en-GB"/>
              </w:rPr>
            </w:pPr>
          </w:p>
        </w:tc>
      </w:tr>
      <w:tr w:rsidR="008732AD" w:rsidRPr="005269E6" w14:paraId="7B03A26F"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5ED5046D" w14:textId="54311137" w:rsidR="008732AD" w:rsidRPr="005269E6" w:rsidRDefault="001C6290" w:rsidP="004719AC">
            <w:pPr>
              <w:tabs>
                <w:tab w:val="clear" w:pos="794"/>
                <w:tab w:val="left" w:pos="269"/>
              </w:tabs>
              <w:spacing w:before="40" w:after="40" w:line="240" w:lineRule="exact"/>
              <w:rPr>
                <w:rFonts w:eastAsia="Times New Roman"/>
                <w:color w:val="000000"/>
                <w:sz w:val="18"/>
                <w:szCs w:val="18"/>
                <w:lang w:val="en-GB" w:eastAsia="en-GB"/>
              </w:rPr>
            </w:pPr>
            <w:r w:rsidRPr="005269E6">
              <w:rPr>
                <w:rFonts w:eastAsia="Times New Roman"/>
                <w:color w:val="000000"/>
                <w:sz w:val="18"/>
                <w:szCs w:val="18"/>
                <w:rtl/>
                <w:lang w:val="en-GB" w:eastAsia="en-GB"/>
              </w:rPr>
              <w:t>-</w:t>
            </w:r>
            <w:r w:rsidR="004719AC" w:rsidRPr="005269E6">
              <w:rPr>
                <w:rFonts w:eastAsia="Times New Roman"/>
                <w:color w:val="000000"/>
                <w:sz w:val="18"/>
                <w:szCs w:val="18"/>
                <w:rtl/>
                <w:lang w:val="en-GB" w:eastAsia="en-GB"/>
              </w:rPr>
              <w:tab/>
            </w:r>
            <w:r w:rsidRPr="005269E6">
              <w:rPr>
                <w:rFonts w:eastAsia="Times New Roman"/>
                <w:color w:val="000000"/>
                <w:sz w:val="18"/>
                <w:szCs w:val="18"/>
                <w:rtl/>
                <w:lang w:val="en-GB" w:eastAsia="en-GB"/>
              </w:rPr>
              <w:t xml:space="preserve">الالتزام </w:t>
            </w:r>
            <w:r w:rsidR="008B71AE" w:rsidRPr="005269E6">
              <w:rPr>
                <w:rFonts w:eastAsia="Times New Roman"/>
                <w:color w:val="000000"/>
                <w:sz w:val="18"/>
                <w:szCs w:val="18"/>
                <w:rtl/>
                <w:lang w:val="en-GB" w:eastAsia="en-GB"/>
              </w:rPr>
              <w:t xml:space="preserve">الناجم عن </w:t>
            </w:r>
            <w:r w:rsidRPr="005269E6">
              <w:rPr>
                <w:rFonts w:eastAsia="Times New Roman"/>
                <w:color w:val="000000"/>
                <w:sz w:val="18"/>
                <w:szCs w:val="18"/>
                <w:rtl/>
                <w:lang w:val="en-GB" w:eastAsia="en-GB"/>
              </w:rPr>
              <w:t>التغيرات في الافتراضات الديموغرافية</w:t>
            </w:r>
          </w:p>
        </w:tc>
        <w:tc>
          <w:tcPr>
            <w:tcW w:w="1840" w:type="dxa"/>
            <w:tcBorders>
              <w:top w:val="nil"/>
              <w:left w:val="nil"/>
              <w:bottom w:val="nil"/>
              <w:right w:val="nil"/>
            </w:tcBorders>
            <w:shd w:val="clear" w:color="auto" w:fill="auto"/>
            <w:noWrap/>
            <w:vAlign w:val="bottom"/>
            <w:hideMark/>
          </w:tcPr>
          <w:p w14:paraId="2D17A1A4" w14:textId="096CCC08" w:rsidR="008732AD" w:rsidRPr="005269E6" w:rsidRDefault="008732AD" w:rsidP="00FC38D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(80 067)</w:t>
            </w:r>
          </w:p>
        </w:tc>
        <w:tc>
          <w:tcPr>
            <w:tcW w:w="2040" w:type="dxa"/>
            <w:tcBorders>
              <w:top w:val="nil"/>
              <w:left w:val="nil"/>
              <w:bottom w:val="nil"/>
              <w:right w:val="nil"/>
            </w:tcBorders>
            <w:shd w:val="clear" w:color="auto" w:fill="auto"/>
            <w:noWrap/>
            <w:vAlign w:val="bottom"/>
            <w:hideMark/>
          </w:tcPr>
          <w:p w14:paraId="7EA0D476" w14:textId="6D56EFA2" w:rsidR="008732AD" w:rsidRPr="005269E6" w:rsidRDefault="008732AD" w:rsidP="00FC38D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(20 208)</w:t>
            </w:r>
          </w:p>
        </w:tc>
      </w:tr>
      <w:tr w:rsidR="008732AD" w:rsidRPr="005269E6" w14:paraId="58BDB491"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557B67FF" w14:textId="6288EB8A" w:rsidR="008732AD" w:rsidRPr="005269E6" w:rsidRDefault="008B71AE" w:rsidP="004719AC">
            <w:pPr>
              <w:tabs>
                <w:tab w:val="clear" w:pos="794"/>
                <w:tab w:val="left" w:pos="269"/>
              </w:tabs>
              <w:spacing w:before="40" w:after="40" w:line="240" w:lineRule="exact"/>
              <w:rPr>
                <w:rFonts w:eastAsia="Times New Roman"/>
                <w:color w:val="000000"/>
                <w:sz w:val="18"/>
                <w:szCs w:val="18"/>
                <w:lang w:val="en-GB" w:eastAsia="en-GB"/>
              </w:rPr>
            </w:pPr>
            <w:r w:rsidRPr="005269E6">
              <w:rPr>
                <w:rFonts w:eastAsia="Times New Roman"/>
                <w:color w:val="000000"/>
                <w:sz w:val="18"/>
                <w:szCs w:val="18"/>
                <w:rtl/>
                <w:lang w:val="en-GB" w:eastAsia="en-GB"/>
              </w:rPr>
              <w:t>-</w:t>
            </w:r>
            <w:r w:rsidR="004719AC" w:rsidRPr="005269E6">
              <w:rPr>
                <w:rFonts w:eastAsia="Times New Roman"/>
                <w:color w:val="000000"/>
                <w:sz w:val="18"/>
                <w:szCs w:val="18"/>
                <w:rtl/>
                <w:lang w:val="en-GB" w:eastAsia="en-GB"/>
              </w:rPr>
              <w:tab/>
            </w:r>
            <w:r w:rsidRPr="005269E6">
              <w:rPr>
                <w:rFonts w:eastAsia="Times New Roman"/>
                <w:color w:val="000000"/>
                <w:sz w:val="18"/>
                <w:szCs w:val="18"/>
                <w:rtl/>
                <w:lang w:val="en-GB" w:eastAsia="en-GB"/>
              </w:rPr>
              <w:t>الالتزام الناجم عن التغيرات في الافتراضات المالية</w:t>
            </w:r>
          </w:p>
        </w:tc>
        <w:tc>
          <w:tcPr>
            <w:tcW w:w="1840" w:type="dxa"/>
            <w:tcBorders>
              <w:top w:val="nil"/>
              <w:left w:val="nil"/>
              <w:bottom w:val="nil"/>
              <w:right w:val="nil"/>
            </w:tcBorders>
            <w:shd w:val="clear" w:color="auto" w:fill="auto"/>
            <w:noWrap/>
            <w:vAlign w:val="bottom"/>
            <w:hideMark/>
          </w:tcPr>
          <w:p w14:paraId="7A517C39" w14:textId="54F009D6" w:rsidR="008732AD" w:rsidRPr="005269E6" w:rsidRDefault="008732AD" w:rsidP="00FC38D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(133 642)</w:t>
            </w:r>
          </w:p>
        </w:tc>
        <w:tc>
          <w:tcPr>
            <w:tcW w:w="2040" w:type="dxa"/>
            <w:tcBorders>
              <w:top w:val="nil"/>
              <w:left w:val="nil"/>
              <w:bottom w:val="nil"/>
              <w:right w:val="nil"/>
            </w:tcBorders>
            <w:shd w:val="clear" w:color="auto" w:fill="auto"/>
            <w:noWrap/>
            <w:vAlign w:val="bottom"/>
            <w:hideMark/>
          </w:tcPr>
          <w:p w14:paraId="231787B3" w14:textId="46A01134" w:rsidR="008732AD" w:rsidRPr="005269E6" w:rsidRDefault="008732AD" w:rsidP="00FC38D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(81 282)</w:t>
            </w:r>
          </w:p>
        </w:tc>
      </w:tr>
      <w:tr w:rsidR="008732AD" w:rsidRPr="005269E6" w14:paraId="7F4CC434"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00C51704" w14:textId="56AE1B9D" w:rsidR="008732AD" w:rsidRPr="005269E6" w:rsidRDefault="008B71AE" w:rsidP="004719AC">
            <w:pPr>
              <w:tabs>
                <w:tab w:val="clear" w:pos="794"/>
                <w:tab w:val="left" w:pos="269"/>
              </w:tabs>
              <w:spacing w:before="40" w:after="40" w:line="240" w:lineRule="exact"/>
              <w:rPr>
                <w:rFonts w:eastAsia="Times New Roman"/>
                <w:color w:val="000000"/>
                <w:sz w:val="18"/>
                <w:szCs w:val="18"/>
                <w:lang w:val="en-GB" w:eastAsia="en-GB"/>
              </w:rPr>
            </w:pPr>
            <w:r w:rsidRPr="005269E6">
              <w:rPr>
                <w:rFonts w:eastAsia="Times New Roman"/>
                <w:color w:val="000000"/>
                <w:sz w:val="18"/>
                <w:szCs w:val="18"/>
                <w:rtl/>
                <w:lang w:val="en-GB" w:eastAsia="en-GB"/>
              </w:rPr>
              <w:t>-</w:t>
            </w:r>
            <w:r w:rsidR="004719AC" w:rsidRPr="005269E6">
              <w:rPr>
                <w:rFonts w:eastAsia="Times New Roman"/>
                <w:color w:val="000000"/>
                <w:sz w:val="18"/>
                <w:szCs w:val="18"/>
                <w:rtl/>
                <w:lang w:val="en-GB" w:eastAsia="en-GB"/>
              </w:rPr>
              <w:tab/>
            </w:r>
            <w:r w:rsidRPr="005269E6">
              <w:rPr>
                <w:rFonts w:eastAsia="Times New Roman"/>
                <w:color w:val="000000"/>
                <w:sz w:val="18"/>
                <w:szCs w:val="18"/>
                <w:rtl/>
                <w:lang w:val="en-GB" w:eastAsia="en-GB"/>
              </w:rPr>
              <w:t>الالتزام الناجم عن خبرة خلال الفترة</w:t>
            </w:r>
          </w:p>
        </w:tc>
        <w:tc>
          <w:tcPr>
            <w:tcW w:w="1840" w:type="dxa"/>
            <w:tcBorders>
              <w:top w:val="nil"/>
              <w:left w:val="nil"/>
              <w:bottom w:val="nil"/>
              <w:right w:val="nil"/>
            </w:tcBorders>
            <w:shd w:val="clear" w:color="auto" w:fill="auto"/>
            <w:noWrap/>
            <w:vAlign w:val="bottom"/>
            <w:hideMark/>
          </w:tcPr>
          <w:p w14:paraId="24109CFE" w14:textId="4EDC3FE5" w:rsidR="008732AD" w:rsidRPr="005269E6" w:rsidRDefault="008732AD" w:rsidP="00FC38D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(1 801)</w:t>
            </w:r>
          </w:p>
        </w:tc>
        <w:tc>
          <w:tcPr>
            <w:tcW w:w="2040" w:type="dxa"/>
            <w:tcBorders>
              <w:top w:val="nil"/>
              <w:left w:val="nil"/>
              <w:bottom w:val="nil"/>
              <w:right w:val="nil"/>
            </w:tcBorders>
            <w:shd w:val="clear" w:color="auto" w:fill="auto"/>
            <w:noWrap/>
            <w:vAlign w:val="bottom"/>
            <w:hideMark/>
          </w:tcPr>
          <w:p w14:paraId="2C637A04" w14:textId="00065179" w:rsidR="008732AD" w:rsidRPr="005269E6" w:rsidRDefault="008732AD" w:rsidP="00FC38D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(2 009)</w:t>
            </w:r>
          </w:p>
        </w:tc>
      </w:tr>
      <w:tr w:rsidR="008732AD" w:rsidRPr="005269E6" w14:paraId="1F499007"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3F0FF1CB" w14:textId="5438916D" w:rsidR="008732AD" w:rsidRPr="005269E6" w:rsidRDefault="008B71AE" w:rsidP="008B71AE">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إجمالي الخسائر ال</w:t>
            </w:r>
            <w:r w:rsidR="0059394B" w:rsidRPr="005269E6">
              <w:rPr>
                <w:rFonts w:eastAsia="Times New Roman"/>
                <w:b/>
                <w:bCs/>
                <w:color w:val="000000"/>
                <w:sz w:val="18"/>
                <w:szCs w:val="18"/>
                <w:rtl/>
                <w:lang w:val="en-GB" w:eastAsia="en-GB"/>
              </w:rPr>
              <w:t>إكتواري</w:t>
            </w:r>
            <w:r w:rsidRPr="005269E6">
              <w:rPr>
                <w:rFonts w:eastAsia="Times New Roman"/>
                <w:b/>
                <w:bCs/>
                <w:color w:val="000000"/>
                <w:sz w:val="18"/>
                <w:szCs w:val="18"/>
                <w:rtl/>
                <w:lang w:val="en-GB" w:eastAsia="en-GB"/>
              </w:rPr>
              <w:t xml:space="preserve">ة </w:t>
            </w:r>
            <w:r w:rsidRPr="005269E6">
              <w:rPr>
                <w:rFonts w:eastAsia="Times New Roman" w:hint="cs"/>
                <w:b/>
                <w:bCs/>
                <w:color w:val="000000"/>
                <w:sz w:val="18"/>
                <w:szCs w:val="18"/>
                <w:rtl/>
                <w:lang w:val="en-GB" w:eastAsia="en-GB"/>
              </w:rPr>
              <w:t>المثبَّتة</w:t>
            </w:r>
            <w:r w:rsidRPr="005269E6">
              <w:rPr>
                <w:rFonts w:eastAsia="Times New Roman"/>
                <w:b/>
                <w:bCs/>
                <w:color w:val="000000"/>
                <w:sz w:val="18"/>
                <w:szCs w:val="18"/>
                <w:rtl/>
                <w:lang w:val="en-GB" w:eastAsia="en-GB"/>
              </w:rPr>
              <w:t xml:space="preserve"> في صافي الأصول</w:t>
            </w:r>
          </w:p>
        </w:tc>
        <w:tc>
          <w:tcPr>
            <w:tcW w:w="1840" w:type="dxa"/>
            <w:tcBorders>
              <w:top w:val="nil"/>
              <w:left w:val="nil"/>
              <w:bottom w:val="nil"/>
              <w:right w:val="nil"/>
            </w:tcBorders>
            <w:shd w:val="clear" w:color="auto" w:fill="auto"/>
            <w:noWrap/>
            <w:vAlign w:val="bottom"/>
            <w:hideMark/>
          </w:tcPr>
          <w:p w14:paraId="61BBD462" w14:textId="26B72DBE" w:rsidR="008732AD" w:rsidRPr="005269E6" w:rsidRDefault="008732AD" w:rsidP="00FC38D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(215 510)</w:t>
            </w:r>
          </w:p>
        </w:tc>
        <w:tc>
          <w:tcPr>
            <w:tcW w:w="2040" w:type="dxa"/>
            <w:tcBorders>
              <w:top w:val="nil"/>
              <w:left w:val="nil"/>
              <w:bottom w:val="nil"/>
              <w:right w:val="nil"/>
            </w:tcBorders>
            <w:shd w:val="clear" w:color="auto" w:fill="auto"/>
            <w:noWrap/>
            <w:vAlign w:val="bottom"/>
            <w:hideMark/>
          </w:tcPr>
          <w:p w14:paraId="7DCF930F" w14:textId="4B66C096" w:rsidR="008732AD" w:rsidRPr="005269E6" w:rsidRDefault="008732AD" w:rsidP="00FC38D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(103 499)</w:t>
            </w:r>
          </w:p>
        </w:tc>
      </w:tr>
      <w:tr w:rsidR="008732AD" w:rsidRPr="005269E6" w14:paraId="4F70CCCE"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64270D78" w14:textId="77777777" w:rsidR="008732AD" w:rsidRPr="005269E6" w:rsidRDefault="008732AD" w:rsidP="008732AD">
            <w:pPr>
              <w:tabs>
                <w:tab w:val="clear" w:pos="794"/>
              </w:tabs>
              <w:spacing w:before="0" w:line="200" w:lineRule="exact"/>
              <w:jc w:val="center"/>
              <w:rPr>
                <w:rFonts w:eastAsia="Times New Roman"/>
                <w:b/>
                <w:bCs/>
                <w:color w:val="000000"/>
                <w:sz w:val="18"/>
                <w:szCs w:val="18"/>
                <w:lang w:val="en-GB" w:eastAsia="en-GB"/>
              </w:rPr>
            </w:pPr>
          </w:p>
        </w:tc>
        <w:tc>
          <w:tcPr>
            <w:tcW w:w="1840" w:type="dxa"/>
            <w:tcBorders>
              <w:top w:val="nil"/>
              <w:left w:val="nil"/>
              <w:bottom w:val="nil"/>
              <w:right w:val="nil"/>
            </w:tcBorders>
            <w:shd w:val="clear" w:color="auto" w:fill="auto"/>
            <w:noWrap/>
            <w:vAlign w:val="bottom"/>
            <w:hideMark/>
          </w:tcPr>
          <w:p w14:paraId="493CA5E3" w14:textId="77777777" w:rsidR="008732AD" w:rsidRPr="005269E6" w:rsidRDefault="008732AD" w:rsidP="00FC38D4">
            <w:pPr>
              <w:tabs>
                <w:tab w:val="clear" w:pos="794"/>
              </w:tabs>
              <w:spacing w:before="0" w:line="200" w:lineRule="exact"/>
              <w:jc w:val="left"/>
              <w:rPr>
                <w:rFonts w:eastAsia="Times New Roman"/>
                <w:b/>
                <w:bCs/>
                <w:color w:val="000000"/>
                <w:sz w:val="18"/>
                <w:szCs w:val="18"/>
                <w:lang w:val="en-GB" w:eastAsia="en-GB"/>
              </w:rPr>
            </w:pPr>
          </w:p>
        </w:tc>
        <w:tc>
          <w:tcPr>
            <w:tcW w:w="2040" w:type="dxa"/>
            <w:tcBorders>
              <w:top w:val="nil"/>
              <w:left w:val="nil"/>
              <w:bottom w:val="nil"/>
              <w:right w:val="nil"/>
            </w:tcBorders>
            <w:shd w:val="clear" w:color="auto" w:fill="auto"/>
            <w:noWrap/>
            <w:vAlign w:val="bottom"/>
            <w:hideMark/>
          </w:tcPr>
          <w:p w14:paraId="36B4C185" w14:textId="77777777" w:rsidR="008732AD" w:rsidRPr="005269E6" w:rsidRDefault="008732AD" w:rsidP="00FC38D4">
            <w:pPr>
              <w:tabs>
                <w:tab w:val="clear" w:pos="794"/>
              </w:tabs>
              <w:spacing w:before="0" w:line="200" w:lineRule="exact"/>
              <w:jc w:val="left"/>
              <w:rPr>
                <w:rFonts w:eastAsia="Times New Roman"/>
                <w:b/>
                <w:bCs/>
                <w:color w:val="000000"/>
                <w:sz w:val="18"/>
                <w:szCs w:val="18"/>
                <w:lang w:val="en-GB" w:eastAsia="en-GB"/>
              </w:rPr>
            </w:pPr>
          </w:p>
        </w:tc>
      </w:tr>
      <w:tr w:rsidR="008732AD" w:rsidRPr="005269E6" w14:paraId="7681116D"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356DCB3C" w14:textId="74F7BA0F" w:rsidR="008732AD" w:rsidRPr="005269E6" w:rsidRDefault="008B71AE" w:rsidP="008B71AE">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المساهمات خلال الفترة</w:t>
            </w:r>
          </w:p>
        </w:tc>
        <w:tc>
          <w:tcPr>
            <w:tcW w:w="1840" w:type="dxa"/>
            <w:tcBorders>
              <w:top w:val="nil"/>
              <w:left w:val="nil"/>
              <w:bottom w:val="nil"/>
              <w:right w:val="nil"/>
            </w:tcBorders>
            <w:shd w:val="clear" w:color="auto" w:fill="auto"/>
            <w:noWrap/>
            <w:vAlign w:val="bottom"/>
            <w:hideMark/>
          </w:tcPr>
          <w:p w14:paraId="501A92D0" w14:textId="03D3FE11" w:rsidR="008732AD" w:rsidRPr="005269E6" w:rsidRDefault="008732AD" w:rsidP="00FC38D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(8 412)</w:t>
            </w:r>
          </w:p>
        </w:tc>
        <w:tc>
          <w:tcPr>
            <w:tcW w:w="2040" w:type="dxa"/>
            <w:tcBorders>
              <w:top w:val="nil"/>
              <w:left w:val="nil"/>
              <w:bottom w:val="nil"/>
              <w:right w:val="nil"/>
            </w:tcBorders>
            <w:shd w:val="clear" w:color="auto" w:fill="auto"/>
            <w:noWrap/>
            <w:vAlign w:val="bottom"/>
            <w:hideMark/>
          </w:tcPr>
          <w:p w14:paraId="267F237C" w14:textId="366A2737" w:rsidR="008732AD" w:rsidRPr="005269E6" w:rsidRDefault="008732AD" w:rsidP="00FC38D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(9 160)</w:t>
            </w:r>
          </w:p>
        </w:tc>
      </w:tr>
      <w:tr w:rsidR="008732AD" w:rsidRPr="005269E6" w14:paraId="28A3502E" w14:textId="77777777" w:rsidTr="008732AD">
        <w:trPr>
          <w:trHeight w:val="240"/>
          <w:jc w:val="center"/>
        </w:trPr>
        <w:tc>
          <w:tcPr>
            <w:tcW w:w="5520" w:type="dxa"/>
            <w:tcBorders>
              <w:top w:val="nil"/>
              <w:left w:val="nil"/>
              <w:bottom w:val="nil"/>
              <w:right w:val="nil"/>
            </w:tcBorders>
            <w:shd w:val="clear" w:color="auto" w:fill="auto"/>
            <w:noWrap/>
            <w:vAlign w:val="bottom"/>
            <w:hideMark/>
          </w:tcPr>
          <w:p w14:paraId="50868A71" w14:textId="77777777" w:rsidR="008732AD" w:rsidRPr="005269E6" w:rsidRDefault="008732AD" w:rsidP="008732AD">
            <w:pPr>
              <w:tabs>
                <w:tab w:val="clear" w:pos="794"/>
              </w:tabs>
              <w:spacing w:before="0" w:line="200" w:lineRule="exact"/>
              <w:jc w:val="center"/>
              <w:rPr>
                <w:rFonts w:eastAsia="Times New Roman"/>
                <w:b/>
                <w:bCs/>
                <w:color w:val="000000"/>
                <w:sz w:val="18"/>
                <w:szCs w:val="18"/>
                <w:lang w:val="en-GB" w:eastAsia="en-GB"/>
              </w:rPr>
            </w:pPr>
          </w:p>
        </w:tc>
        <w:tc>
          <w:tcPr>
            <w:tcW w:w="1840" w:type="dxa"/>
            <w:tcBorders>
              <w:top w:val="nil"/>
              <w:left w:val="nil"/>
              <w:bottom w:val="nil"/>
              <w:right w:val="nil"/>
            </w:tcBorders>
            <w:shd w:val="clear" w:color="auto" w:fill="auto"/>
            <w:noWrap/>
            <w:vAlign w:val="bottom"/>
            <w:hideMark/>
          </w:tcPr>
          <w:p w14:paraId="5479F707" w14:textId="77777777" w:rsidR="008732AD" w:rsidRPr="005269E6" w:rsidRDefault="008732AD" w:rsidP="00FC38D4">
            <w:pPr>
              <w:tabs>
                <w:tab w:val="clear" w:pos="794"/>
              </w:tabs>
              <w:spacing w:before="0" w:line="200" w:lineRule="exact"/>
              <w:jc w:val="left"/>
              <w:rPr>
                <w:rFonts w:eastAsia="Times New Roman"/>
                <w:b/>
                <w:bCs/>
                <w:color w:val="000000"/>
                <w:sz w:val="18"/>
                <w:szCs w:val="18"/>
                <w:lang w:val="en-GB" w:eastAsia="en-GB"/>
              </w:rPr>
            </w:pPr>
          </w:p>
        </w:tc>
        <w:tc>
          <w:tcPr>
            <w:tcW w:w="2040" w:type="dxa"/>
            <w:tcBorders>
              <w:top w:val="nil"/>
              <w:left w:val="nil"/>
              <w:bottom w:val="nil"/>
              <w:right w:val="nil"/>
            </w:tcBorders>
            <w:shd w:val="clear" w:color="auto" w:fill="auto"/>
            <w:noWrap/>
            <w:vAlign w:val="bottom"/>
            <w:hideMark/>
          </w:tcPr>
          <w:p w14:paraId="6606A98C" w14:textId="77777777" w:rsidR="008732AD" w:rsidRPr="005269E6" w:rsidRDefault="008732AD" w:rsidP="00FC38D4">
            <w:pPr>
              <w:tabs>
                <w:tab w:val="clear" w:pos="794"/>
              </w:tabs>
              <w:spacing w:before="0" w:line="200" w:lineRule="exact"/>
              <w:jc w:val="left"/>
              <w:rPr>
                <w:rFonts w:eastAsia="Times New Roman"/>
                <w:b/>
                <w:bCs/>
                <w:color w:val="000000"/>
                <w:sz w:val="18"/>
                <w:szCs w:val="18"/>
                <w:lang w:val="en-GB" w:eastAsia="en-GB"/>
              </w:rPr>
            </w:pPr>
          </w:p>
        </w:tc>
      </w:tr>
      <w:tr w:rsidR="008732AD" w:rsidRPr="005269E6" w14:paraId="1629D189" w14:textId="77777777" w:rsidTr="004C39BB">
        <w:trPr>
          <w:trHeight w:val="430"/>
          <w:jc w:val="center"/>
        </w:trPr>
        <w:tc>
          <w:tcPr>
            <w:tcW w:w="5520" w:type="dxa"/>
            <w:tcBorders>
              <w:top w:val="nil"/>
              <w:left w:val="nil"/>
              <w:bottom w:val="nil"/>
              <w:right w:val="nil"/>
            </w:tcBorders>
            <w:shd w:val="clear" w:color="000000" w:fill="538DD5"/>
            <w:vAlign w:val="center"/>
            <w:hideMark/>
          </w:tcPr>
          <w:p w14:paraId="1C47B2E7" w14:textId="4FA0A268" w:rsidR="008732AD" w:rsidRPr="005269E6" w:rsidRDefault="008B71AE" w:rsidP="00D51861">
            <w:pPr>
              <w:spacing w:after="120"/>
              <w:rPr>
                <w:rFonts w:eastAsia="Times New Roman"/>
                <w:b/>
                <w:bCs/>
                <w:color w:val="000000"/>
                <w:spacing w:val="-6"/>
                <w:sz w:val="18"/>
                <w:szCs w:val="18"/>
                <w:lang w:val="en-GB" w:eastAsia="en-GB"/>
              </w:rPr>
            </w:pPr>
            <w:r w:rsidRPr="005269E6">
              <w:rPr>
                <w:rFonts w:eastAsia="Times New Roman" w:hint="cs"/>
                <w:b/>
                <w:bCs/>
                <w:color w:val="000000"/>
                <w:spacing w:val="-6"/>
                <w:sz w:val="18"/>
                <w:szCs w:val="18"/>
                <w:rtl/>
                <w:lang w:val="en-GB" w:eastAsia="en-GB"/>
              </w:rPr>
              <w:t>مبلغ</w:t>
            </w:r>
            <w:r w:rsidRPr="005269E6">
              <w:rPr>
                <w:rFonts w:eastAsia="Times New Roman"/>
                <w:b/>
                <w:bCs/>
                <w:color w:val="000000"/>
                <w:spacing w:val="-6"/>
                <w:sz w:val="18"/>
                <w:szCs w:val="18"/>
                <w:rtl/>
                <w:lang w:val="en-GB" w:eastAsia="en-GB"/>
              </w:rPr>
              <w:t xml:space="preserve"> الالتزامات بموجب خطة التأمين الصحي بعد انتهاء الخدمة في ديسمبر 2022-2021</w:t>
            </w:r>
          </w:p>
        </w:tc>
        <w:tc>
          <w:tcPr>
            <w:tcW w:w="1840" w:type="dxa"/>
            <w:tcBorders>
              <w:top w:val="nil"/>
              <w:left w:val="nil"/>
              <w:bottom w:val="nil"/>
              <w:right w:val="nil"/>
            </w:tcBorders>
            <w:shd w:val="clear" w:color="000000" w:fill="538DD5"/>
            <w:noWrap/>
            <w:vAlign w:val="center"/>
            <w:hideMark/>
          </w:tcPr>
          <w:p w14:paraId="05A7189F" w14:textId="4343D0E5" w:rsidR="008732AD" w:rsidRPr="005269E6" w:rsidRDefault="008732AD" w:rsidP="00D51861">
            <w:pPr>
              <w:tabs>
                <w:tab w:val="clear" w:pos="794"/>
              </w:tabs>
              <w:spacing w:after="12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344 102 </w:t>
            </w:r>
          </w:p>
        </w:tc>
        <w:tc>
          <w:tcPr>
            <w:tcW w:w="2040" w:type="dxa"/>
            <w:tcBorders>
              <w:top w:val="nil"/>
              <w:left w:val="nil"/>
              <w:bottom w:val="nil"/>
              <w:right w:val="nil"/>
            </w:tcBorders>
            <w:shd w:val="clear" w:color="000000" w:fill="538DD5"/>
            <w:noWrap/>
            <w:vAlign w:val="center"/>
            <w:hideMark/>
          </w:tcPr>
          <w:p w14:paraId="766830EC" w14:textId="0AD4456E" w:rsidR="008732AD" w:rsidRPr="005269E6" w:rsidRDefault="008732AD" w:rsidP="00D51861">
            <w:pPr>
              <w:tabs>
                <w:tab w:val="clear" w:pos="794"/>
              </w:tabs>
              <w:spacing w:after="12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545 636 </w:t>
            </w:r>
          </w:p>
        </w:tc>
      </w:tr>
    </w:tbl>
    <w:p w14:paraId="3CAD42F5" w14:textId="5D143BC1" w:rsidR="0056595F" w:rsidRPr="005269E6" w:rsidRDefault="0056595F" w:rsidP="00FC38D4">
      <w:pPr>
        <w:spacing w:before="240"/>
        <w:rPr>
          <w:rtl/>
          <w:lang w:bidi="ar-EG"/>
        </w:rPr>
      </w:pPr>
      <w:r w:rsidRPr="005269E6">
        <w:rPr>
          <w:rtl/>
          <w:lang w:bidi="ar-EG"/>
        </w:rPr>
        <w:t xml:space="preserve">يفسر السبب الرئيسي لهذا الانخفاض في السنة الثانية من </w:t>
      </w:r>
      <w:r w:rsidR="00971B80" w:rsidRPr="005269E6">
        <w:rPr>
          <w:lang w:bidi="ar-EG"/>
        </w:rPr>
        <w:t>545,6</w:t>
      </w:r>
      <w:r w:rsidRPr="005269E6">
        <w:rPr>
          <w:rtl/>
          <w:lang w:bidi="ar-EG"/>
        </w:rPr>
        <w:t xml:space="preserve"> مليون فرنك سويسري في نهاية عام 2021 إلى </w:t>
      </w:r>
      <w:r w:rsidR="00971B80" w:rsidRPr="005269E6">
        <w:rPr>
          <w:lang w:bidi="ar-EG"/>
        </w:rPr>
        <w:t>344,1</w:t>
      </w:r>
      <w:r w:rsidRPr="005269E6">
        <w:rPr>
          <w:rtl/>
          <w:lang w:bidi="ar-EG"/>
        </w:rPr>
        <w:t xml:space="preserve"> مليون فرنك سويسري في عام 2022 بالتغيير في الافتراضات المالية والديموغرافية لعام 2022.</w:t>
      </w:r>
      <w:r w:rsidRPr="005269E6">
        <w:rPr>
          <w:rFonts w:hint="cs"/>
          <w:rtl/>
          <w:lang w:bidi="ar-EG"/>
        </w:rPr>
        <w:t xml:space="preserve"> </w:t>
      </w:r>
      <w:r w:rsidR="00C543C6" w:rsidRPr="005269E6">
        <w:rPr>
          <w:rFonts w:hint="cs"/>
          <w:rtl/>
          <w:lang w:bidi="ar-SY"/>
        </w:rPr>
        <w:t>و</w:t>
      </w:r>
      <w:r w:rsidR="00C543C6" w:rsidRPr="005269E6">
        <w:rPr>
          <w:rtl/>
          <w:lang w:bidi="ar-SY"/>
        </w:rPr>
        <w:t xml:space="preserve">العنصر الرئيسي الذي يؤثر على تقييم التأمين الصحي </w:t>
      </w:r>
      <w:r w:rsidR="0016425F" w:rsidRPr="005269E6">
        <w:rPr>
          <w:rtl/>
          <w:lang w:bidi="ar-SY"/>
        </w:rPr>
        <w:t>بعد انتهاء الخدمة</w:t>
      </w:r>
      <w:r w:rsidR="00C543C6" w:rsidRPr="005269E6">
        <w:rPr>
          <w:rtl/>
          <w:lang w:bidi="ar-SY"/>
        </w:rPr>
        <w:t xml:space="preserve"> هو معدل الخصم </w:t>
      </w:r>
      <w:r w:rsidR="00C543C6" w:rsidRPr="005269E6">
        <w:rPr>
          <w:rFonts w:hint="cs"/>
          <w:rtl/>
          <w:lang w:bidi="ar-SY"/>
        </w:rPr>
        <w:t>الم</w:t>
      </w:r>
      <w:r w:rsidR="00C543C6" w:rsidRPr="005269E6">
        <w:rPr>
          <w:rtl/>
          <w:lang w:bidi="ar-SY"/>
        </w:rPr>
        <w:t xml:space="preserve">ستخدم لحساب القيمة الحالية للمطالبات المتراكمة </w:t>
      </w:r>
      <w:r w:rsidR="00C543C6" w:rsidRPr="005269E6">
        <w:rPr>
          <w:rFonts w:hint="cs"/>
          <w:rtl/>
          <w:lang w:bidi="ar-SY"/>
        </w:rPr>
        <w:t xml:space="preserve">في </w:t>
      </w:r>
      <w:r w:rsidR="00C543C6" w:rsidRPr="005269E6">
        <w:rPr>
          <w:rtl/>
          <w:lang w:bidi="ar-SY"/>
        </w:rPr>
        <w:t xml:space="preserve">المستقبل. </w:t>
      </w:r>
      <w:r w:rsidR="00C543C6" w:rsidRPr="005269E6">
        <w:rPr>
          <w:rFonts w:hint="cs"/>
          <w:rtl/>
          <w:lang w:bidi="ar-SY"/>
        </w:rPr>
        <w:t>و</w:t>
      </w:r>
      <w:r w:rsidR="00C543C6" w:rsidRPr="005269E6">
        <w:rPr>
          <w:rtl/>
          <w:lang w:bidi="ar-SY"/>
        </w:rPr>
        <w:t>في عام 202</w:t>
      </w:r>
      <w:r w:rsidRPr="005269E6">
        <w:rPr>
          <w:rFonts w:hint="cs"/>
          <w:rtl/>
          <w:lang w:bidi="ar-SY"/>
        </w:rPr>
        <w:t>2</w:t>
      </w:r>
      <w:r w:rsidR="00C543C6" w:rsidRPr="005269E6">
        <w:rPr>
          <w:rtl/>
          <w:lang w:bidi="ar-SY"/>
        </w:rPr>
        <w:t xml:space="preserve">، </w:t>
      </w:r>
      <w:r w:rsidRPr="005269E6">
        <w:rPr>
          <w:rFonts w:hint="cs"/>
          <w:rtl/>
          <w:lang w:bidi="ar-SY"/>
        </w:rPr>
        <w:t>زاد</w:t>
      </w:r>
      <w:r w:rsidR="00C543C6" w:rsidRPr="005269E6">
        <w:rPr>
          <w:rtl/>
          <w:lang w:bidi="ar-SY"/>
        </w:rPr>
        <w:t xml:space="preserve"> معدل الخصم من </w:t>
      </w:r>
      <w:r w:rsidR="00C543C6" w:rsidRPr="005269E6">
        <w:rPr>
          <w:lang w:bidi="ar-SY"/>
        </w:rPr>
        <w:t>0,</w:t>
      </w:r>
      <w:r w:rsidR="000A7DF9" w:rsidRPr="005269E6">
        <w:rPr>
          <w:lang w:bidi="ar-SY"/>
        </w:rPr>
        <w:t>5</w:t>
      </w:r>
      <w:r w:rsidR="00C543C6" w:rsidRPr="005269E6">
        <w:rPr>
          <w:rtl/>
          <w:lang w:bidi="ar-SY"/>
        </w:rPr>
        <w:t xml:space="preserve"> في المائة إلى</w:t>
      </w:r>
      <w:r w:rsidR="00C543C6" w:rsidRPr="005269E6">
        <w:rPr>
          <w:rFonts w:hint="cs"/>
          <w:rtl/>
          <w:lang w:bidi="ar-EG"/>
        </w:rPr>
        <w:t xml:space="preserve"> </w:t>
      </w:r>
      <w:r w:rsidR="000A7DF9" w:rsidRPr="005269E6">
        <w:rPr>
          <w:lang w:bidi="ar-EG"/>
        </w:rPr>
        <w:t>2</w:t>
      </w:r>
      <w:r w:rsidR="00C543C6" w:rsidRPr="005269E6">
        <w:rPr>
          <w:lang w:bidi="ar-EG"/>
        </w:rPr>
        <w:t>,</w:t>
      </w:r>
      <w:r w:rsidR="000A7DF9" w:rsidRPr="005269E6">
        <w:rPr>
          <w:lang w:bidi="ar-EG"/>
        </w:rPr>
        <w:t>5</w:t>
      </w:r>
      <w:r w:rsidR="00C543C6" w:rsidRPr="005269E6">
        <w:rPr>
          <w:rtl/>
          <w:lang w:bidi="ar-SY"/>
        </w:rPr>
        <w:t xml:space="preserve"> في المائة</w:t>
      </w:r>
      <w:r w:rsidR="00C543C6" w:rsidRPr="005269E6">
        <w:rPr>
          <w:rFonts w:hint="cs"/>
          <w:rtl/>
          <w:lang w:bidi="ar-SY"/>
        </w:rPr>
        <w:t>.</w:t>
      </w:r>
      <w:r w:rsidR="00C543C6" w:rsidRPr="005269E6">
        <w:rPr>
          <w:rFonts w:hint="cs"/>
          <w:rtl/>
          <w:lang w:bidi="ar-EG"/>
        </w:rPr>
        <w:t xml:space="preserve"> </w:t>
      </w:r>
      <w:r w:rsidRPr="005269E6">
        <w:rPr>
          <w:rFonts w:hint="cs"/>
          <w:rtl/>
          <w:lang w:bidi="ar-EG"/>
        </w:rPr>
        <w:t>و</w:t>
      </w:r>
      <w:r w:rsidRPr="005269E6">
        <w:rPr>
          <w:rtl/>
          <w:lang w:bidi="ar-EG"/>
        </w:rPr>
        <w:t xml:space="preserve">أدت هذه الزيادة في معدل الخصم إلى تحقيق مكاسب </w:t>
      </w:r>
      <w:r w:rsidR="0059394B" w:rsidRPr="005269E6">
        <w:rPr>
          <w:rFonts w:hint="cs"/>
          <w:rtl/>
          <w:lang w:bidi="ar-EG"/>
        </w:rPr>
        <w:t>إكتواري</w:t>
      </w:r>
      <w:r w:rsidRPr="005269E6">
        <w:rPr>
          <w:rtl/>
          <w:lang w:bidi="ar-EG"/>
        </w:rPr>
        <w:t xml:space="preserve">ة </w:t>
      </w:r>
      <w:r w:rsidRPr="005269E6">
        <w:rPr>
          <w:rFonts w:hint="cs"/>
          <w:rtl/>
          <w:lang w:bidi="ar-EG"/>
        </w:rPr>
        <w:t>في</w:t>
      </w:r>
      <w:r w:rsidRPr="005269E6">
        <w:rPr>
          <w:rFonts w:eastAsia="Times New Roman"/>
          <w:b/>
          <w:bCs/>
          <w:color w:val="000000"/>
          <w:sz w:val="18"/>
          <w:szCs w:val="18"/>
          <w:rtl/>
          <w:lang w:val="en-GB" w:eastAsia="en-GB"/>
        </w:rPr>
        <w:t xml:space="preserve"> </w:t>
      </w:r>
      <w:r w:rsidRPr="005269E6">
        <w:rPr>
          <w:rtl/>
        </w:rPr>
        <w:t>التأمين الصحي بعد انتهاء الخدمة</w:t>
      </w:r>
      <w:r w:rsidRPr="005269E6">
        <w:rPr>
          <w:rtl/>
          <w:lang w:bidi="ar-EG"/>
        </w:rPr>
        <w:t xml:space="preserve"> </w:t>
      </w:r>
      <w:r w:rsidRPr="005269E6">
        <w:rPr>
          <w:rFonts w:hint="cs"/>
          <w:rtl/>
          <w:lang w:bidi="ar-EG"/>
        </w:rPr>
        <w:t>(</w:t>
      </w:r>
      <w:r w:rsidRPr="005269E6">
        <w:rPr>
          <w:lang w:bidi="ar-EG"/>
        </w:rPr>
        <w:t>ASHI</w:t>
      </w:r>
      <w:r w:rsidRPr="005269E6">
        <w:rPr>
          <w:rFonts w:hint="cs"/>
          <w:rtl/>
          <w:lang w:bidi="ar-EG"/>
        </w:rPr>
        <w:t>)</w:t>
      </w:r>
      <w:r w:rsidRPr="005269E6">
        <w:rPr>
          <w:rtl/>
          <w:lang w:bidi="ar-EG"/>
        </w:rPr>
        <w:t xml:space="preserve"> بلغت </w:t>
      </w:r>
      <w:r w:rsidR="00971B80" w:rsidRPr="005269E6">
        <w:rPr>
          <w:lang w:bidi="ar-EG"/>
        </w:rPr>
        <w:t>170,3</w:t>
      </w:r>
      <w:r w:rsidRPr="005269E6">
        <w:rPr>
          <w:rtl/>
          <w:lang w:bidi="ar-EG"/>
        </w:rPr>
        <w:t xml:space="preserve"> مليون فرنك سويسري</w:t>
      </w:r>
      <w:r w:rsidRPr="005269E6">
        <w:rPr>
          <w:rFonts w:hint="cs"/>
          <w:rtl/>
          <w:lang w:bidi="ar-EG"/>
        </w:rPr>
        <w:t>.</w:t>
      </w:r>
    </w:p>
    <w:p w14:paraId="33BFDA47" w14:textId="3715BA6A" w:rsidR="007A0104" w:rsidRPr="005269E6" w:rsidRDefault="007A0104" w:rsidP="007A0104">
      <w:pPr>
        <w:rPr>
          <w:rtl/>
          <w:lang w:bidi="ar-EG"/>
        </w:rPr>
      </w:pPr>
      <w:r w:rsidRPr="005269E6">
        <w:rPr>
          <w:rtl/>
          <w:lang w:bidi="ar-EG"/>
        </w:rPr>
        <w:lastRenderedPageBreak/>
        <w:t>والعنصر الثاني الذي أثر إيجابا</w:t>
      </w:r>
      <w:r w:rsidR="00971B80" w:rsidRPr="005269E6">
        <w:rPr>
          <w:rFonts w:hint="cs"/>
          <w:rtl/>
          <w:lang w:bidi="ar-EG"/>
        </w:rPr>
        <w:t>ً</w:t>
      </w:r>
      <w:r w:rsidRPr="005269E6">
        <w:rPr>
          <w:rtl/>
          <w:lang w:bidi="ar-EG"/>
        </w:rPr>
        <w:t xml:space="preserve"> على التزامات التأمين الصحي </w:t>
      </w:r>
      <w:r w:rsidR="0016425F" w:rsidRPr="005269E6">
        <w:rPr>
          <w:rtl/>
          <w:lang w:bidi="ar-EG"/>
        </w:rPr>
        <w:t>بعد انتهاء الخدمة</w:t>
      </w:r>
      <w:r w:rsidRPr="005269E6">
        <w:rPr>
          <w:rtl/>
          <w:lang w:bidi="ar-EG"/>
        </w:rPr>
        <w:t xml:space="preserve"> في عام 2022، هو </w:t>
      </w:r>
      <w:r w:rsidRPr="005269E6">
        <w:rPr>
          <w:rFonts w:hint="cs"/>
          <w:rtl/>
          <w:lang w:bidi="ar-EG"/>
        </w:rPr>
        <w:t>انخفاض</w:t>
      </w:r>
      <w:r w:rsidRPr="005269E6">
        <w:rPr>
          <w:rtl/>
          <w:lang w:bidi="ar-EG"/>
        </w:rPr>
        <w:t xml:space="preserve"> المطالبات الطبية. ويظهر التحليل الذي </w:t>
      </w:r>
      <w:r w:rsidRPr="005269E6">
        <w:rPr>
          <w:rFonts w:hint="cs"/>
          <w:rtl/>
          <w:lang w:bidi="ar-EG"/>
        </w:rPr>
        <w:t>أجري</w:t>
      </w:r>
      <w:r w:rsidRPr="005269E6">
        <w:rPr>
          <w:rtl/>
          <w:lang w:bidi="ar-EG"/>
        </w:rPr>
        <w:t xml:space="preserve"> استنادا</w:t>
      </w:r>
      <w:r w:rsidR="00971B80" w:rsidRPr="005269E6">
        <w:rPr>
          <w:rFonts w:hint="cs"/>
          <w:rtl/>
          <w:lang w:bidi="ar-EG"/>
        </w:rPr>
        <w:t>ً</w:t>
      </w:r>
      <w:r w:rsidRPr="005269E6">
        <w:rPr>
          <w:rtl/>
          <w:lang w:bidi="ar-EG"/>
        </w:rPr>
        <w:t xml:space="preserve"> إلى البيانات المقدمة من جمعية التأمين التعاوني لموظفي الأمم المتحدة (</w:t>
      </w:r>
      <w:r w:rsidRPr="005269E6">
        <w:rPr>
          <w:lang w:bidi="ar-EG"/>
        </w:rPr>
        <w:t>UNSMIS</w:t>
      </w:r>
      <w:r w:rsidRPr="005269E6">
        <w:rPr>
          <w:rtl/>
          <w:lang w:bidi="ar-EG"/>
        </w:rPr>
        <w:t>)</w:t>
      </w:r>
      <w:r w:rsidRPr="005269E6">
        <w:rPr>
          <w:rFonts w:hint="cs"/>
          <w:rtl/>
          <w:lang w:bidi="ar-EG"/>
        </w:rPr>
        <w:t xml:space="preserve"> </w:t>
      </w:r>
      <w:r w:rsidRPr="005269E6">
        <w:rPr>
          <w:rtl/>
          <w:lang w:bidi="ar-EG"/>
        </w:rPr>
        <w:t>انخفاضا</w:t>
      </w:r>
      <w:r w:rsidR="00971B80" w:rsidRPr="005269E6">
        <w:rPr>
          <w:rFonts w:hint="cs"/>
          <w:rtl/>
          <w:lang w:bidi="ar-EG"/>
        </w:rPr>
        <w:t>ً</w:t>
      </w:r>
      <w:r w:rsidRPr="005269E6">
        <w:rPr>
          <w:rtl/>
          <w:lang w:bidi="ar-EG"/>
        </w:rPr>
        <w:t xml:space="preserve"> بنسبة 10 في المائة مما </w:t>
      </w:r>
      <w:r w:rsidRPr="005269E6">
        <w:rPr>
          <w:rFonts w:hint="cs"/>
          <w:rtl/>
          <w:lang w:bidi="ar-EG"/>
        </w:rPr>
        <w:t>يحقق</w:t>
      </w:r>
      <w:r w:rsidRPr="005269E6">
        <w:rPr>
          <w:rtl/>
          <w:lang w:bidi="ar-EG"/>
        </w:rPr>
        <w:t xml:space="preserve"> مكاسب </w:t>
      </w:r>
      <w:r w:rsidR="0059394B" w:rsidRPr="005269E6">
        <w:rPr>
          <w:rtl/>
          <w:lang w:bidi="ar-EG"/>
        </w:rPr>
        <w:t>إكتواري</w:t>
      </w:r>
      <w:r w:rsidRPr="005269E6">
        <w:rPr>
          <w:rtl/>
          <w:lang w:bidi="ar-EG"/>
        </w:rPr>
        <w:t xml:space="preserve">ة أخرى </w:t>
      </w:r>
      <w:r w:rsidRPr="005269E6">
        <w:rPr>
          <w:rFonts w:hint="cs"/>
          <w:rtl/>
          <w:lang w:bidi="ar-EG"/>
        </w:rPr>
        <w:t>بشأن</w:t>
      </w:r>
      <w:r w:rsidRPr="005269E6">
        <w:rPr>
          <w:rtl/>
          <w:lang w:bidi="ar-EG"/>
        </w:rPr>
        <w:t xml:space="preserve"> الالتزامات بمبلغ 80,8 مليون فرنك سويسري.</w:t>
      </w:r>
    </w:p>
    <w:p w14:paraId="2068C32F" w14:textId="5F3E662D" w:rsidR="00C543C6" w:rsidRPr="005269E6" w:rsidRDefault="007A0104" w:rsidP="007A0104">
      <w:pPr>
        <w:rPr>
          <w:rtl/>
          <w:lang w:bidi="ar-EG"/>
        </w:rPr>
      </w:pPr>
      <w:r w:rsidRPr="005269E6">
        <w:rPr>
          <w:rtl/>
          <w:lang w:bidi="ar-EG"/>
        </w:rPr>
        <w:t xml:space="preserve">وبلغت المساهمات التي دفعتها المنظمة مقابل التأمين الصحي </w:t>
      </w:r>
      <w:r w:rsidR="0016425F" w:rsidRPr="005269E6">
        <w:rPr>
          <w:rtl/>
          <w:lang w:bidi="ar-EG"/>
        </w:rPr>
        <w:t>بعد انتهاء الخدمة</w:t>
      </w:r>
      <w:r w:rsidRPr="005269E6">
        <w:rPr>
          <w:rtl/>
          <w:lang w:bidi="ar-EG"/>
        </w:rPr>
        <w:t xml:space="preserve"> 8,4 مليون فرنك سويسري في 2022. ويتوقع </w:t>
      </w:r>
      <w:r w:rsidRPr="005269E6">
        <w:rPr>
          <w:rFonts w:hint="cs"/>
          <w:rtl/>
        </w:rPr>
        <w:t>رب</w:t>
      </w:r>
      <w:r w:rsidRPr="005269E6">
        <w:rPr>
          <w:rtl/>
          <w:lang w:bidi="ar-EG"/>
        </w:rPr>
        <w:t xml:space="preserve"> العمل أن تصل المساهمة لعام 2023 إلى حوالي 9,1 مليون فرنك سويسري.</w:t>
      </w:r>
    </w:p>
    <w:p w14:paraId="53C2E610" w14:textId="2E9F45FF" w:rsidR="00C543C6" w:rsidRPr="005269E6" w:rsidRDefault="007A0104" w:rsidP="000A7DF9">
      <w:pPr>
        <w:rPr>
          <w:rtl/>
          <w:lang w:bidi="ar-EG"/>
        </w:rPr>
      </w:pPr>
      <w:bookmarkStart w:id="524" w:name="_Toc397499192"/>
      <w:bookmarkStart w:id="525" w:name="_Toc358648558"/>
      <w:bookmarkStart w:id="526" w:name="_Toc358648359"/>
      <w:bookmarkStart w:id="527" w:name="_Toc328494942"/>
      <w:bookmarkStart w:id="528" w:name="_Toc306236966"/>
      <w:r w:rsidRPr="005269E6">
        <w:rPr>
          <w:rFonts w:hint="cs"/>
          <w:rtl/>
          <w:lang w:bidi="ar-EG"/>
        </w:rPr>
        <w:t>ومنذ</w:t>
      </w:r>
      <w:r w:rsidR="00C543C6" w:rsidRPr="005269E6">
        <w:rPr>
          <w:rtl/>
          <w:lang w:bidi="ar-EG"/>
        </w:rPr>
        <w:t xml:space="preserve"> يناير 2020، </w:t>
      </w:r>
      <w:r w:rsidR="00C543C6" w:rsidRPr="005269E6">
        <w:rPr>
          <w:rFonts w:hint="cs"/>
          <w:rtl/>
          <w:lang w:bidi="ar-EG"/>
        </w:rPr>
        <w:t>انضم</w:t>
      </w:r>
      <w:r w:rsidR="00C543C6" w:rsidRPr="005269E6">
        <w:rPr>
          <w:rtl/>
          <w:lang w:bidi="ar-EG"/>
        </w:rPr>
        <w:t xml:space="preserve"> الاتحاد </w:t>
      </w:r>
      <w:r w:rsidR="00C543C6" w:rsidRPr="005269E6">
        <w:rPr>
          <w:rFonts w:hint="cs"/>
          <w:rtl/>
          <w:lang w:bidi="ar-EG"/>
        </w:rPr>
        <w:t>إلى</w:t>
      </w:r>
      <w:r w:rsidR="00C543C6" w:rsidRPr="005269E6">
        <w:rPr>
          <w:rtl/>
          <w:lang w:bidi="ar-EG"/>
        </w:rPr>
        <w:t xml:space="preserve"> </w:t>
      </w:r>
      <w:bookmarkStart w:id="529" w:name="_Hlk160973166"/>
      <w:r w:rsidR="00C543C6" w:rsidRPr="005269E6">
        <w:rPr>
          <w:rtl/>
          <w:lang w:bidi="ar-EG"/>
        </w:rPr>
        <w:t xml:space="preserve">جمعية التأمين </w:t>
      </w:r>
      <w:r w:rsidR="00C543C6" w:rsidRPr="005269E6">
        <w:rPr>
          <w:rFonts w:hint="cs"/>
          <w:rtl/>
          <w:lang w:bidi="ar-EG"/>
        </w:rPr>
        <w:t>التعاوني</w:t>
      </w:r>
      <w:r w:rsidR="00C543C6" w:rsidRPr="005269E6">
        <w:rPr>
          <w:rtl/>
          <w:lang w:bidi="ar-EG"/>
        </w:rPr>
        <w:t xml:space="preserve"> لموظفي الأمم المتحدة</w:t>
      </w:r>
      <w:r w:rsidR="00C543C6" w:rsidRPr="005269E6">
        <w:rPr>
          <w:rFonts w:hint="cs"/>
          <w:rtl/>
          <w:lang w:bidi="ar-EG"/>
        </w:rPr>
        <w:t xml:space="preserve"> (</w:t>
      </w:r>
      <w:r w:rsidR="00C543C6" w:rsidRPr="005269E6">
        <w:rPr>
          <w:lang w:bidi="ar-EG"/>
        </w:rPr>
        <w:t>UNSMIS</w:t>
      </w:r>
      <w:r w:rsidR="00C543C6" w:rsidRPr="005269E6">
        <w:rPr>
          <w:rtl/>
          <w:lang w:bidi="ar-EG"/>
        </w:rPr>
        <w:t>)</w:t>
      </w:r>
      <w:bookmarkEnd w:id="529"/>
      <w:r w:rsidR="00C543C6" w:rsidRPr="005269E6">
        <w:rPr>
          <w:rtl/>
          <w:lang w:bidi="ar-EG"/>
        </w:rPr>
        <w:t xml:space="preserve">. </w:t>
      </w:r>
      <w:r w:rsidR="00C543C6" w:rsidRPr="005269E6">
        <w:rPr>
          <w:rFonts w:hint="cs"/>
          <w:rtl/>
          <w:lang w:bidi="ar-EG"/>
        </w:rPr>
        <w:t>و</w:t>
      </w:r>
      <w:r w:rsidR="00C543C6" w:rsidRPr="005269E6">
        <w:rPr>
          <w:rtl/>
          <w:lang w:bidi="ar-EG"/>
        </w:rPr>
        <w:t xml:space="preserve">يمثل الانضمام إلى هذه الخطة الطبية للأمم المتحدة </w:t>
      </w:r>
      <w:r w:rsidR="006B32D8" w:rsidRPr="005269E6">
        <w:rPr>
          <w:rtl/>
          <w:lang w:bidi="ar-EG"/>
        </w:rPr>
        <w:t>استحقاقات</w:t>
      </w:r>
      <w:r w:rsidR="00C543C6" w:rsidRPr="005269E6">
        <w:rPr>
          <w:rtl/>
          <w:lang w:bidi="ar-EG"/>
        </w:rPr>
        <w:t xml:space="preserve"> للموظفين</w:t>
      </w:r>
      <w:r w:rsidR="00C543C6" w:rsidRPr="005269E6">
        <w:rPr>
          <w:rFonts w:hint="cs"/>
          <w:rtl/>
          <w:lang w:bidi="ar-EG"/>
        </w:rPr>
        <w:t>،</w:t>
      </w:r>
      <w:r w:rsidR="00C543C6" w:rsidRPr="005269E6">
        <w:rPr>
          <w:rtl/>
          <w:lang w:bidi="ar-EG"/>
        </w:rPr>
        <w:t xml:space="preserve"> </w:t>
      </w:r>
      <w:r w:rsidR="00C543C6" w:rsidRPr="005269E6">
        <w:rPr>
          <w:rFonts w:hint="cs"/>
          <w:rtl/>
          <w:lang w:bidi="ar-EG"/>
        </w:rPr>
        <w:t>نظراً</w:t>
      </w:r>
      <w:r w:rsidR="00C543C6" w:rsidRPr="005269E6">
        <w:rPr>
          <w:rtl/>
          <w:lang w:bidi="ar-EG"/>
        </w:rPr>
        <w:t xml:space="preserve"> </w:t>
      </w:r>
      <w:r w:rsidR="00C543C6" w:rsidRPr="005269E6">
        <w:rPr>
          <w:rFonts w:hint="cs"/>
          <w:rtl/>
          <w:lang w:bidi="ar-EG"/>
        </w:rPr>
        <w:t>ل</w:t>
      </w:r>
      <w:r w:rsidR="00C543C6" w:rsidRPr="005269E6">
        <w:rPr>
          <w:rtl/>
          <w:lang w:bidi="ar-EG"/>
        </w:rPr>
        <w:t>تخفيض معدل المساهمة وإزالة المبلغ المقتطع</w:t>
      </w:r>
      <w:r w:rsidR="00C543C6" w:rsidRPr="005269E6">
        <w:rPr>
          <w:rFonts w:hint="cs"/>
          <w:rtl/>
          <w:lang w:bidi="ar-EG"/>
        </w:rPr>
        <w:t>،</w:t>
      </w:r>
      <w:r w:rsidR="00C543C6" w:rsidRPr="005269E6">
        <w:rPr>
          <w:rtl/>
          <w:lang w:bidi="ar-EG"/>
        </w:rPr>
        <w:t xml:space="preserve"> وكذلك بالنسبة للاتحاد على </w:t>
      </w:r>
      <w:r w:rsidR="00C543C6" w:rsidRPr="005269E6">
        <w:rPr>
          <w:rFonts w:hint="cs"/>
          <w:rtl/>
          <w:lang w:bidi="ar-EG"/>
        </w:rPr>
        <w:t>المدى</w:t>
      </w:r>
      <w:r w:rsidR="00C543C6" w:rsidRPr="005269E6">
        <w:rPr>
          <w:rtl/>
          <w:lang w:bidi="ar-EG"/>
        </w:rPr>
        <w:t xml:space="preserve"> </w:t>
      </w:r>
      <w:r w:rsidR="00C543C6" w:rsidRPr="005269E6">
        <w:rPr>
          <w:rFonts w:hint="cs"/>
          <w:rtl/>
          <w:lang w:bidi="ar-EG"/>
        </w:rPr>
        <w:t>ال</w:t>
      </w:r>
      <w:r w:rsidR="00C543C6" w:rsidRPr="005269E6">
        <w:rPr>
          <w:rtl/>
          <w:lang w:bidi="ar-EG"/>
        </w:rPr>
        <w:t xml:space="preserve">طويل </w:t>
      </w:r>
      <w:r w:rsidR="00C543C6" w:rsidRPr="005269E6">
        <w:rPr>
          <w:rFonts w:hint="cs"/>
          <w:rtl/>
          <w:lang w:bidi="ar-EG"/>
        </w:rPr>
        <w:t>نظراً</w:t>
      </w:r>
      <w:r w:rsidR="00C543C6" w:rsidRPr="005269E6">
        <w:rPr>
          <w:rtl/>
          <w:lang w:bidi="ar-EG"/>
        </w:rPr>
        <w:t xml:space="preserve"> </w:t>
      </w:r>
      <w:r w:rsidR="00C543C6" w:rsidRPr="005269E6">
        <w:rPr>
          <w:rFonts w:hint="cs"/>
          <w:rtl/>
          <w:lang w:bidi="ar-EG"/>
        </w:rPr>
        <w:t>ل</w:t>
      </w:r>
      <w:r w:rsidR="00C543C6" w:rsidRPr="005269E6">
        <w:rPr>
          <w:rtl/>
          <w:lang w:bidi="ar-EG"/>
        </w:rPr>
        <w:t xml:space="preserve">حجم هذه الخطة. </w:t>
      </w:r>
      <w:r w:rsidR="00C543C6" w:rsidRPr="005269E6">
        <w:rPr>
          <w:rFonts w:hint="cs"/>
          <w:rtl/>
          <w:lang w:bidi="ar-EG"/>
        </w:rPr>
        <w:t>وتضم</w:t>
      </w:r>
      <w:r w:rsidR="00C543C6" w:rsidRPr="005269E6">
        <w:rPr>
          <w:rtl/>
          <w:lang w:bidi="ar-EG"/>
        </w:rPr>
        <w:t xml:space="preserve"> هذه الخطة العديد من المنظمات والوكالات المتخصصة التابعة للأمم المتحدة التي مقرها في جنيف. </w:t>
      </w:r>
      <w:r w:rsidR="00C543C6" w:rsidRPr="005269E6">
        <w:rPr>
          <w:rFonts w:hint="cs"/>
          <w:rtl/>
          <w:lang w:bidi="ar-EG"/>
        </w:rPr>
        <w:t>و</w:t>
      </w:r>
      <w:r w:rsidR="00C543C6" w:rsidRPr="005269E6">
        <w:rPr>
          <w:rtl/>
          <w:lang w:bidi="ar-EG"/>
        </w:rPr>
        <w:t xml:space="preserve">تشمل خطة التأمين الصحي هذه موظفي مكتب الأمم المتحدة في جنيف </w:t>
      </w:r>
      <w:r w:rsidR="00C543C6" w:rsidRPr="005269E6">
        <w:rPr>
          <w:rFonts w:hint="cs"/>
          <w:rtl/>
          <w:lang w:bidi="ar-EG"/>
        </w:rPr>
        <w:t>و</w:t>
      </w:r>
      <w:r w:rsidR="00C543C6" w:rsidRPr="005269E6">
        <w:rPr>
          <w:rtl/>
          <w:lang w:bidi="ar-EG"/>
        </w:rPr>
        <w:t>مفوضية الأمم المتحدة لشؤون اللاجئين والمنظمة العالمية للأرصاد الجوية.</w:t>
      </w:r>
    </w:p>
    <w:p w14:paraId="77EF0E08" w14:textId="1141CF8E" w:rsidR="00C543C6" w:rsidRPr="005269E6" w:rsidRDefault="007A0104" w:rsidP="007B53A0">
      <w:pPr>
        <w:rPr>
          <w:rtl/>
          <w:lang w:val="en" w:bidi="ar-EG"/>
        </w:rPr>
      </w:pPr>
      <w:r w:rsidRPr="005269E6">
        <w:rPr>
          <w:rFonts w:hint="cs"/>
          <w:rtl/>
        </w:rPr>
        <w:t>ولكي يلتحق</w:t>
      </w:r>
      <w:r w:rsidR="00C543C6" w:rsidRPr="005269E6">
        <w:rPr>
          <w:rFonts w:hint="cs"/>
          <w:rtl/>
          <w:lang w:bidi="ar-EG"/>
        </w:rPr>
        <w:t xml:space="preserve"> </w:t>
      </w:r>
      <w:r w:rsidRPr="005269E6">
        <w:rPr>
          <w:rFonts w:hint="cs"/>
          <w:rtl/>
          <w:lang w:bidi="ar-EG"/>
        </w:rPr>
        <w:t>ب</w:t>
      </w:r>
      <w:r w:rsidR="00C543C6" w:rsidRPr="005269E6">
        <w:rPr>
          <w:rFonts w:hint="cs"/>
          <w:rtl/>
          <w:lang w:bidi="ar-EG"/>
        </w:rPr>
        <w:t xml:space="preserve">خطة التأمين الطبي </w:t>
      </w:r>
      <w:r w:rsidR="00C543C6" w:rsidRPr="005269E6">
        <w:t>UNSMIS</w:t>
      </w:r>
      <w:r w:rsidR="00C543C6" w:rsidRPr="005269E6">
        <w:rPr>
          <w:rFonts w:hint="cs"/>
          <w:rtl/>
          <w:lang w:bidi="ar-EG"/>
        </w:rPr>
        <w:t xml:space="preserve"> في يناير </w:t>
      </w:r>
      <w:r w:rsidR="00C543C6" w:rsidRPr="005269E6">
        <w:rPr>
          <w:lang w:bidi="ar-EG"/>
        </w:rPr>
        <w:t>2020</w:t>
      </w:r>
      <w:r w:rsidR="00C543C6" w:rsidRPr="005269E6">
        <w:rPr>
          <w:rFonts w:hint="cs"/>
          <w:rtl/>
          <w:lang w:bidi="ar-EG"/>
        </w:rPr>
        <w:t xml:space="preserve">، كان على الاتحاد </w:t>
      </w:r>
      <w:r w:rsidRPr="005269E6">
        <w:rPr>
          <w:rFonts w:hint="cs"/>
          <w:rtl/>
          <w:lang w:bidi="ar-EG"/>
        </w:rPr>
        <w:t>المساهمة</w:t>
      </w:r>
      <w:r w:rsidR="00C543C6" w:rsidRPr="005269E6">
        <w:rPr>
          <w:rFonts w:hint="cs"/>
          <w:rtl/>
          <w:lang w:bidi="ar-EG"/>
        </w:rPr>
        <w:t xml:space="preserve"> في الصندوق الاحتياطي لهذه الخطة لأغراض التسوية. </w:t>
      </w:r>
      <w:r w:rsidR="00C543C6" w:rsidRPr="005269E6">
        <w:rPr>
          <w:rFonts w:hint="cs"/>
          <w:rtl/>
        </w:rPr>
        <w:t xml:space="preserve">وقد اتفق على مقدار </w:t>
      </w:r>
      <w:r w:rsidRPr="005269E6">
        <w:rPr>
          <w:rtl/>
        </w:rPr>
        <w:t xml:space="preserve">المساهمة </w:t>
      </w:r>
      <w:r w:rsidR="00C543C6" w:rsidRPr="005269E6">
        <w:rPr>
          <w:rFonts w:hint="cs"/>
          <w:rtl/>
          <w:lang w:bidi="ar-EG"/>
        </w:rPr>
        <w:t xml:space="preserve">بمبلغ </w:t>
      </w:r>
      <w:r w:rsidR="00C543C6" w:rsidRPr="005269E6">
        <w:rPr>
          <w:lang w:bidi="ar-EG"/>
        </w:rPr>
        <w:t>19,5</w:t>
      </w:r>
      <w:r w:rsidR="00C543C6" w:rsidRPr="005269E6">
        <w:rPr>
          <w:rFonts w:hint="cs"/>
          <w:rtl/>
          <w:lang w:bidi="ar-EG"/>
        </w:rPr>
        <w:t xml:space="preserve"> مليون دولار أمريكي</w:t>
      </w:r>
      <w:r w:rsidRPr="005269E6">
        <w:rPr>
          <w:rFonts w:hint="cs"/>
          <w:rtl/>
          <w:lang w:bidi="ar-EG"/>
        </w:rPr>
        <w:t xml:space="preserve"> </w:t>
      </w:r>
      <w:r w:rsidRPr="005269E6">
        <w:rPr>
          <w:rFonts w:hint="cs"/>
          <w:rtl/>
          <w:lang w:val="en" w:bidi="ar-EG"/>
        </w:rPr>
        <w:t>(</w:t>
      </w:r>
      <w:r w:rsidR="00971B80" w:rsidRPr="005269E6">
        <w:rPr>
          <w:lang w:val="en" w:bidi="ar-EG"/>
        </w:rPr>
        <w:t>19,5</w:t>
      </w:r>
      <w:r w:rsidRPr="005269E6">
        <w:rPr>
          <w:rFonts w:hint="cs"/>
          <w:rtl/>
          <w:lang w:val="en" w:bidi="ar-EG"/>
        </w:rPr>
        <w:t xml:space="preserve"> </w:t>
      </w:r>
      <w:r w:rsidRPr="005269E6">
        <w:rPr>
          <w:rtl/>
          <w:lang w:bidi="ar"/>
        </w:rPr>
        <w:t>مليون</w:t>
      </w:r>
      <w:r w:rsidRPr="005269E6">
        <w:rPr>
          <w:lang w:val="en" w:bidi="ar-EG"/>
        </w:rPr>
        <w:t xml:space="preserve"> </w:t>
      </w:r>
      <w:r w:rsidRPr="005269E6">
        <w:rPr>
          <w:rtl/>
          <w:lang w:bidi="ar"/>
        </w:rPr>
        <w:t>فرنك</w:t>
      </w:r>
      <w:r w:rsidRPr="005269E6">
        <w:rPr>
          <w:lang w:val="en" w:bidi="ar-EG"/>
        </w:rPr>
        <w:t xml:space="preserve"> </w:t>
      </w:r>
      <w:r w:rsidRPr="005269E6">
        <w:rPr>
          <w:rtl/>
          <w:lang w:bidi="ar"/>
        </w:rPr>
        <w:t>سويسري</w:t>
      </w:r>
      <w:r w:rsidRPr="005269E6">
        <w:rPr>
          <w:rFonts w:hint="cs"/>
          <w:rtl/>
          <w:lang w:val="en" w:bidi="ar-EG"/>
        </w:rPr>
        <w:t>)</w:t>
      </w:r>
      <w:r w:rsidR="00C543C6" w:rsidRPr="005269E6">
        <w:rPr>
          <w:rFonts w:hint="cs"/>
          <w:rtl/>
          <w:lang w:bidi="ar-EG"/>
        </w:rPr>
        <w:t xml:space="preserve">، دُفعت من </w:t>
      </w:r>
      <w:r w:rsidR="00C543C6" w:rsidRPr="005269E6">
        <w:rPr>
          <w:rFonts w:hint="cs"/>
          <w:color w:val="000000"/>
          <w:rtl/>
        </w:rPr>
        <w:t>صندوق ضمان الخطة</w:t>
      </w:r>
      <w:r w:rsidR="00C543C6" w:rsidRPr="005269E6">
        <w:rPr>
          <w:rFonts w:hint="cs"/>
          <w:color w:val="000000"/>
          <w:rtl/>
          <w:lang w:bidi="ar-EG"/>
        </w:rPr>
        <w:t xml:space="preserve"> </w:t>
      </w:r>
      <w:r w:rsidR="00C543C6" w:rsidRPr="005269E6">
        <w:rPr>
          <w:color w:val="000000"/>
        </w:rPr>
        <w:t>CMIP</w:t>
      </w:r>
      <w:r w:rsidR="00C543C6" w:rsidRPr="005269E6">
        <w:rPr>
          <w:rFonts w:hint="cs"/>
          <w:rtl/>
          <w:lang w:bidi="ar-EG"/>
        </w:rPr>
        <w:t xml:space="preserve"> في</w:t>
      </w:r>
      <w:r w:rsidR="00C543C6" w:rsidRPr="005269E6">
        <w:rPr>
          <w:rFonts w:hint="eastAsia"/>
          <w:rtl/>
          <w:lang w:bidi="ar-EG"/>
        </w:rPr>
        <w:t> </w:t>
      </w:r>
      <w:r w:rsidR="00C543C6" w:rsidRPr="005269E6">
        <w:rPr>
          <w:rFonts w:hint="cs"/>
          <w:rtl/>
          <w:lang w:bidi="ar-EG"/>
        </w:rPr>
        <w:t xml:space="preserve">أوائل </w:t>
      </w:r>
      <w:r w:rsidR="00C543C6" w:rsidRPr="005269E6">
        <w:rPr>
          <w:lang w:bidi="ar-EG"/>
        </w:rPr>
        <w:t>2020</w:t>
      </w:r>
      <w:r w:rsidR="00C543C6" w:rsidRPr="005269E6">
        <w:rPr>
          <w:rFonts w:hint="cs"/>
          <w:rtl/>
          <w:lang w:bidi="ar-EG"/>
        </w:rPr>
        <w:t>.</w:t>
      </w:r>
      <w:r w:rsidR="007B53A0" w:rsidRPr="005269E6">
        <w:rPr>
          <w:rFonts w:hint="cs"/>
          <w:rtl/>
          <w:lang w:bidi="ar-EG"/>
        </w:rPr>
        <w:t xml:space="preserve"> </w:t>
      </w:r>
      <w:r w:rsidR="00C543C6" w:rsidRPr="005269E6">
        <w:rPr>
          <w:rFonts w:hint="cs"/>
          <w:rtl/>
          <w:lang w:bidi="ar-EG"/>
        </w:rPr>
        <w:t xml:space="preserve">وبالإضافة إلى ذلك، سوف تُدفع، اعتباراً من </w:t>
      </w:r>
      <w:r w:rsidR="00C543C6" w:rsidRPr="005269E6">
        <w:rPr>
          <w:lang w:bidi="ar-EG"/>
        </w:rPr>
        <w:t>2020</w:t>
      </w:r>
      <w:r w:rsidR="00C543C6" w:rsidRPr="005269E6">
        <w:rPr>
          <w:rFonts w:hint="cs"/>
          <w:rtl/>
          <w:lang w:bidi="ar-EG"/>
        </w:rPr>
        <w:t xml:space="preserve">، مساهمة استثنائية سنوياً لمدة </w:t>
      </w:r>
      <w:r w:rsidR="00C543C6" w:rsidRPr="005269E6">
        <w:rPr>
          <w:lang w:bidi="ar-EG"/>
        </w:rPr>
        <w:t>13</w:t>
      </w:r>
      <w:r w:rsidR="00C543C6" w:rsidRPr="005269E6">
        <w:rPr>
          <w:rFonts w:hint="cs"/>
          <w:rtl/>
          <w:lang w:bidi="ar-EG"/>
        </w:rPr>
        <w:t xml:space="preserve"> عاماً. وتهدف هذه المساهمة الإضافية إلى </w:t>
      </w:r>
      <w:r w:rsidRPr="005269E6">
        <w:rPr>
          <w:rFonts w:hint="cs"/>
          <w:rtl/>
          <w:lang w:bidi="ar-EG"/>
        </w:rPr>
        <w:t>تنظيم</w:t>
      </w:r>
      <w:r w:rsidR="00C543C6" w:rsidRPr="005269E6">
        <w:rPr>
          <w:rFonts w:hint="cs"/>
          <w:rtl/>
          <w:lang w:bidi="ar-EG"/>
        </w:rPr>
        <w:t xml:space="preserve"> تأثير </w:t>
      </w:r>
      <w:r w:rsidRPr="005269E6">
        <w:rPr>
          <w:rFonts w:hint="cs"/>
          <w:rtl/>
          <w:lang w:bidi="ar-EG"/>
        </w:rPr>
        <w:t>انضمام</w:t>
      </w:r>
      <w:r w:rsidR="00C543C6" w:rsidRPr="005269E6">
        <w:rPr>
          <w:rFonts w:hint="cs"/>
          <w:rtl/>
          <w:lang w:bidi="ar-EG"/>
        </w:rPr>
        <w:t xml:space="preserve"> الاتحاد </w:t>
      </w:r>
      <w:r w:rsidRPr="005269E6">
        <w:rPr>
          <w:rFonts w:hint="cs"/>
          <w:rtl/>
          <w:lang w:bidi="ar-EG"/>
        </w:rPr>
        <w:t>إ</w:t>
      </w:r>
      <w:r w:rsidR="00C543C6" w:rsidRPr="005269E6">
        <w:rPr>
          <w:rFonts w:hint="cs"/>
          <w:rtl/>
          <w:lang w:bidi="ar-EG"/>
        </w:rPr>
        <w:t xml:space="preserve">لى </w:t>
      </w:r>
      <w:r w:rsidRPr="005269E6">
        <w:rPr>
          <w:rFonts w:hint="cs"/>
          <w:rtl/>
          <w:lang w:bidi="ar-EG"/>
        </w:rPr>
        <w:t xml:space="preserve">هذه </w:t>
      </w:r>
      <w:r w:rsidR="00C543C6" w:rsidRPr="005269E6">
        <w:rPr>
          <w:rFonts w:hint="cs"/>
          <w:rtl/>
          <w:lang w:bidi="ar-EG"/>
        </w:rPr>
        <w:t xml:space="preserve">الخطة </w:t>
      </w:r>
      <w:r w:rsidRPr="005269E6">
        <w:rPr>
          <w:rFonts w:hint="cs"/>
          <w:rtl/>
          <w:lang w:bidi="ar-EG"/>
        </w:rPr>
        <w:t>الطبية</w:t>
      </w:r>
      <w:r w:rsidRPr="005269E6">
        <w:rPr>
          <w:rFonts w:ascii="Segoe UI" w:eastAsia="Times New Roman" w:hAnsi="Segoe UI" w:cs="Segoe UI"/>
          <w:sz w:val="21"/>
          <w:szCs w:val="21"/>
          <w:rtl/>
          <w:lang w:val="en" w:eastAsia="en-GB" w:bidi="ar"/>
        </w:rPr>
        <w:t xml:space="preserve"> </w:t>
      </w:r>
      <w:r w:rsidRPr="005269E6">
        <w:rPr>
          <w:rtl/>
          <w:lang w:bidi="ar"/>
        </w:rPr>
        <w:t>بناء</w:t>
      </w:r>
      <w:r w:rsidRPr="005269E6">
        <w:rPr>
          <w:lang w:val="en" w:bidi="ar-EG"/>
        </w:rPr>
        <w:t xml:space="preserve"> </w:t>
      </w:r>
      <w:r w:rsidRPr="005269E6">
        <w:rPr>
          <w:rtl/>
          <w:lang w:bidi="ar"/>
        </w:rPr>
        <w:t>على</w:t>
      </w:r>
      <w:r w:rsidRPr="005269E6">
        <w:rPr>
          <w:lang w:val="en" w:bidi="ar-EG"/>
        </w:rPr>
        <w:t xml:space="preserve"> </w:t>
      </w:r>
      <w:r w:rsidRPr="005269E6">
        <w:rPr>
          <w:rtl/>
          <w:lang w:bidi="ar"/>
        </w:rPr>
        <w:t>عمر</w:t>
      </w:r>
      <w:r w:rsidRPr="005269E6">
        <w:rPr>
          <w:lang w:val="en" w:bidi="ar-EG"/>
        </w:rPr>
        <w:t xml:space="preserve"> </w:t>
      </w:r>
      <w:r w:rsidRPr="005269E6">
        <w:rPr>
          <w:rtl/>
          <w:lang w:bidi="ar"/>
        </w:rPr>
        <w:t>الموظفين</w:t>
      </w:r>
      <w:r w:rsidRPr="005269E6">
        <w:rPr>
          <w:lang w:val="en" w:bidi="ar-EG"/>
        </w:rPr>
        <w:t xml:space="preserve"> </w:t>
      </w:r>
      <w:r w:rsidRPr="005269E6">
        <w:rPr>
          <w:rtl/>
          <w:lang w:bidi="ar"/>
        </w:rPr>
        <w:t>والمتقاعدين</w:t>
      </w:r>
      <w:r w:rsidRPr="005269E6">
        <w:rPr>
          <w:lang w:val="en" w:bidi="ar-EG"/>
        </w:rPr>
        <w:t xml:space="preserve"> </w:t>
      </w:r>
      <w:r w:rsidRPr="005269E6">
        <w:rPr>
          <w:rtl/>
          <w:lang w:bidi="ar"/>
        </w:rPr>
        <w:t>والتركيبة</w:t>
      </w:r>
      <w:r w:rsidRPr="005269E6">
        <w:rPr>
          <w:lang w:val="en" w:bidi="ar-EG"/>
        </w:rPr>
        <w:t xml:space="preserve"> </w:t>
      </w:r>
      <w:r w:rsidRPr="005269E6">
        <w:rPr>
          <w:rtl/>
          <w:lang w:bidi="ar"/>
        </w:rPr>
        <w:t>السكانية</w:t>
      </w:r>
      <w:r w:rsidRPr="005269E6">
        <w:rPr>
          <w:lang w:val="en" w:bidi="ar-EG"/>
        </w:rPr>
        <w:t xml:space="preserve"> </w:t>
      </w:r>
      <w:r w:rsidRPr="005269E6">
        <w:rPr>
          <w:rtl/>
          <w:lang w:bidi="ar"/>
        </w:rPr>
        <w:t>وعوامل</w:t>
      </w:r>
      <w:r w:rsidRPr="005269E6">
        <w:rPr>
          <w:lang w:val="en" w:bidi="ar-EG"/>
        </w:rPr>
        <w:t xml:space="preserve"> </w:t>
      </w:r>
      <w:r w:rsidRPr="005269E6">
        <w:rPr>
          <w:rtl/>
          <w:lang w:bidi="ar"/>
        </w:rPr>
        <w:t>أخرى</w:t>
      </w:r>
      <w:r w:rsidRPr="005269E6">
        <w:rPr>
          <w:lang w:val="en" w:bidi="ar-EG"/>
        </w:rPr>
        <w:t xml:space="preserve"> </w:t>
      </w:r>
      <w:r w:rsidRPr="005269E6">
        <w:rPr>
          <w:rtl/>
          <w:lang w:bidi="ar"/>
        </w:rPr>
        <w:t>متفق</w:t>
      </w:r>
      <w:r w:rsidRPr="005269E6">
        <w:rPr>
          <w:lang w:val="en" w:bidi="ar-EG"/>
        </w:rPr>
        <w:t xml:space="preserve"> </w:t>
      </w:r>
      <w:r w:rsidRPr="005269E6">
        <w:rPr>
          <w:rtl/>
          <w:lang w:bidi="ar"/>
        </w:rPr>
        <w:t>عليها</w:t>
      </w:r>
      <w:r w:rsidR="00C543C6" w:rsidRPr="005269E6">
        <w:rPr>
          <w:rFonts w:hint="cs"/>
          <w:rtl/>
          <w:lang w:bidi="ar-EG"/>
        </w:rPr>
        <w:t xml:space="preserve">. وتمثل هذه المساهمة الإضافية مبلغاً إجمالياً قدره </w:t>
      </w:r>
      <w:r w:rsidR="00C543C6" w:rsidRPr="005269E6">
        <w:rPr>
          <w:lang w:bidi="ar-EG"/>
        </w:rPr>
        <w:t>22,5</w:t>
      </w:r>
      <w:r w:rsidR="00C543C6" w:rsidRPr="005269E6">
        <w:rPr>
          <w:rFonts w:hint="cs"/>
          <w:rtl/>
          <w:lang w:bidi="ar-EG"/>
        </w:rPr>
        <w:t> مليون دولار أمريكي مقسمة</w:t>
      </w:r>
      <w:r w:rsidRPr="005269E6">
        <w:rPr>
          <w:rFonts w:hint="cs"/>
          <w:rtl/>
          <w:lang w:bidi="ar-EG"/>
        </w:rPr>
        <w:t xml:space="preserve"> للسداد</w:t>
      </w:r>
      <w:r w:rsidR="00C543C6" w:rsidRPr="005269E6">
        <w:rPr>
          <w:rFonts w:hint="cs"/>
          <w:rtl/>
          <w:lang w:bidi="ar-EG"/>
        </w:rPr>
        <w:t xml:space="preserve"> على</w:t>
      </w:r>
      <w:r w:rsidRPr="005269E6">
        <w:rPr>
          <w:rFonts w:hint="cs"/>
          <w:rtl/>
          <w:lang w:bidi="ar-EG"/>
        </w:rPr>
        <w:t xml:space="preserve"> مدى</w:t>
      </w:r>
      <w:r w:rsidR="00C543C6" w:rsidRPr="005269E6">
        <w:rPr>
          <w:rFonts w:hint="cs"/>
          <w:rtl/>
          <w:lang w:bidi="ar-EG"/>
        </w:rPr>
        <w:t xml:space="preserve"> </w:t>
      </w:r>
      <w:r w:rsidR="00C543C6" w:rsidRPr="005269E6">
        <w:rPr>
          <w:lang w:bidi="ar-EG"/>
        </w:rPr>
        <w:t>13</w:t>
      </w:r>
      <w:r w:rsidR="00C543C6" w:rsidRPr="005269E6">
        <w:rPr>
          <w:rFonts w:hint="cs"/>
          <w:rtl/>
          <w:lang w:bidi="ar-EG"/>
        </w:rPr>
        <w:t xml:space="preserve"> سنة.</w:t>
      </w:r>
      <w:r w:rsidR="00971B80" w:rsidRPr="005269E6">
        <w:rPr>
          <w:rFonts w:hint="cs"/>
          <w:rtl/>
          <w:lang w:bidi="ar-EG"/>
        </w:rPr>
        <w:t xml:space="preserve"> </w:t>
      </w:r>
      <w:r w:rsidR="007B53A0" w:rsidRPr="005269E6">
        <w:rPr>
          <w:rFonts w:hint="cs"/>
          <w:rtl/>
          <w:lang w:bidi="ar-EG"/>
        </w:rPr>
        <w:t>و</w:t>
      </w:r>
      <w:r w:rsidR="007B53A0" w:rsidRPr="005269E6">
        <w:rPr>
          <w:rtl/>
          <w:lang w:bidi="ar-EG"/>
        </w:rPr>
        <w:t xml:space="preserve">يظهر تأثير هذا التغيير في </w:t>
      </w:r>
      <w:r w:rsidR="007B53A0" w:rsidRPr="005269E6">
        <w:rPr>
          <w:rFonts w:hint="cs"/>
          <w:rtl/>
          <w:lang w:bidi="ar-EG"/>
        </w:rPr>
        <w:t>القضايا</w:t>
      </w:r>
      <w:r w:rsidR="007B53A0" w:rsidRPr="005269E6">
        <w:rPr>
          <w:rtl/>
          <w:lang w:bidi="ar-EG"/>
        </w:rPr>
        <w:t xml:space="preserve"> المحاسبية في </w:t>
      </w:r>
      <w:r w:rsidR="007B53A0" w:rsidRPr="005269E6">
        <w:rPr>
          <w:rFonts w:hint="cs"/>
          <w:rtl/>
          <w:lang w:bidi="ar-EG"/>
        </w:rPr>
        <w:t xml:space="preserve">الملاحظة </w:t>
      </w:r>
      <w:r w:rsidR="007B53A0" w:rsidRPr="005269E6">
        <w:rPr>
          <w:rtl/>
          <w:lang w:bidi="ar-EG"/>
        </w:rPr>
        <w:t>30</w:t>
      </w:r>
      <w:r w:rsidR="007B53A0" w:rsidRPr="005269E6">
        <w:rPr>
          <w:rFonts w:hint="cs"/>
          <w:rtl/>
          <w:lang w:bidi="ar-EG"/>
        </w:rPr>
        <w:t>.</w:t>
      </w:r>
    </w:p>
    <w:p w14:paraId="22E51F2A" w14:textId="72D3D552" w:rsidR="00C543C6" w:rsidRPr="005269E6" w:rsidRDefault="00C543C6" w:rsidP="00C7693D">
      <w:pPr>
        <w:rPr>
          <w:rtl/>
          <w:lang w:val="en-GB" w:bidi="ar-EG"/>
        </w:rPr>
      </w:pPr>
      <w:r w:rsidRPr="005269E6">
        <w:rPr>
          <w:rFonts w:hint="cs"/>
          <w:rtl/>
          <w:lang w:bidi="ar-EG"/>
        </w:rPr>
        <w:t>و</w:t>
      </w:r>
      <w:r w:rsidRPr="005269E6">
        <w:rPr>
          <w:rtl/>
          <w:lang w:bidi="ar-EG"/>
        </w:rPr>
        <w:t>تستند خطة</w:t>
      </w:r>
      <w:r w:rsidR="007B53A0" w:rsidRPr="005269E6">
        <w:rPr>
          <w:rFonts w:hint="cs"/>
          <w:rtl/>
          <w:lang w:bidi="ar-EG"/>
        </w:rPr>
        <w:t xml:space="preserve"> الجمعية </w:t>
      </w:r>
      <w:r w:rsidRPr="005269E6">
        <w:rPr>
          <w:lang w:bidi="ar-EG"/>
        </w:rPr>
        <w:t>UNSMIS</w:t>
      </w:r>
      <w:r w:rsidR="00FA376E" w:rsidRPr="005269E6">
        <w:rPr>
          <w:rFonts w:hint="cs"/>
          <w:rtl/>
          <w:lang w:bidi="ar-EG"/>
        </w:rPr>
        <w:t>، التي التُحق بها</w:t>
      </w:r>
      <w:r w:rsidR="007B53A0" w:rsidRPr="005269E6">
        <w:rPr>
          <w:rFonts w:hint="cs"/>
          <w:rtl/>
          <w:lang w:bidi="ar-EG"/>
        </w:rPr>
        <w:t xml:space="preserve"> في عام 2020</w:t>
      </w:r>
      <w:r w:rsidR="00FA376E" w:rsidRPr="005269E6">
        <w:rPr>
          <w:rFonts w:hint="cs"/>
          <w:rtl/>
          <w:lang w:bidi="ar-EG"/>
        </w:rPr>
        <w:t>،</w:t>
      </w:r>
      <w:r w:rsidRPr="005269E6">
        <w:rPr>
          <w:rtl/>
          <w:lang w:bidi="ar-EG"/>
        </w:rPr>
        <w:t xml:space="preserve"> إلى مساهمة على أساس الراتب بنسبة </w:t>
      </w:r>
      <w:r w:rsidRPr="005269E6">
        <w:rPr>
          <w:lang w:bidi="ar-EG"/>
        </w:rPr>
        <w:t>3,4</w:t>
      </w:r>
      <w:r w:rsidRPr="005269E6">
        <w:rPr>
          <w:rtl/>
          <w:lang w:bidi="ar-EG"/>
        </w:rPr>
        <w:t xml:space="preserve"> في المائة. وتتولى لجنة </w:t>
      </w:r>
      <w:r w:rsidRPr="005269E6">
        <w:rPr>
          <w:lang w:bidi="ar-EG"/>
        </w:rPr>
        <w:t>UNSMIS</w:t>
      </w:r>
      <w:r w:rsidRPr="005269E6">
        <w:rPr>
          <w:rtl/>
          <w:lang w:bidi="ar-EG"/>
        </w:rPr>
        <w:t xml:space="preserve"> </w:t>
      </w:r>
      <w:r w:rsidRPr="005269E6">
        <w:rPr>
          <w:rFonts w:hint="cs"/>
          <w:rtl/>
          <w:lang w:bidi="ar-EG"/>
        </w:rPr>
        <w:t xml:space="preserve">إدارة </w:t>
      </w:r>
      <w:r w:rsidRPr="005269E6">
        <w:rPr>
          <w:rtl/>
          <w:lang w:bidi="ar-EG"/>
        </w:rPr>
        <w:t>متابعة احتواء التكاليف حيث يشغل الاتحاد مقعداً كعضو جديد.</w:t>
      </w:r>
      <w:r w:rsidR="00C7693D" w:rsidRPr="005269E6">
        <w:rPr>
          <w:rFonts w:hint="cs"/>
          <w:rtl/>
          <w:lang w:bidi="ar-EG"/>
        </w:rPr>
        <w:t xml:space="preserve"> </w:t>
      </w:r>
      <w:r w:rsidR="00FA376E" w:rsidRPr="005269E6">
        <w:rPr>
          <w:rFonts w:hint="cs"/>
          <w:rtl/>
          <w:lang w:bidi="ar-EG"/>
        </w:rPr>
        <w:t>وترد تفاصيل أوفى في</w:t>
      </w:r>
      <w:r w:rsidRPr="005269E6">
        <w:rPr>
          <w:rtl/>
          <w:lang w:bidi="ar-EG"/>
        </w:rPr>
        <w:t xml:space="preserve"> </w:t>
      </w:r>
      <w:hyperlink r:id="rId27" w:history="1">
        <w:r w:rsidRPr="005269E6">
          <w:rPr>
            <w:rStyle w:val="Hyperlink"/>
            <w:rtl/>
            <w:lang w:bidi="ar-EG"/>
          </w:rPr>
          <w:t xml:space="preserve">الوثيقة </w:t>
        </w:r>
        <w:r w:rsidR="00E42324" w:rsidRPr="005269E6">
          <w:rPr>
            <w:rStyle w:val="Hyperlink"/>
            <w:lang w:bidi="ar-EG"/>
          </w:rPr>
          <w:t>C23</w:t>
        </w:r>
        <w:r w:rsidRPr="005269E6">
          <w:rPr>
            <w:rStyle w:val="Hyperlink"/>
            <w:lang w:bidi="ar-EG"/>
          </w:rPr>
          <w:t>/46</w:t>
        </w:r>
      </w:hyperlink>
      <w:r w:rsidRPr="005269E6">
        <w:rPr>
          <w:rtl/>
          <w:lang w:bidi="ar-EG"/>
        </w:rPr>
        <w:t xml:space="preserve"> بشأن التقرير السنوي للتأمين الصحي </w:t>
      </w:r>
      <w:r w:rsidR="0016425F" w:rsidRPr="005269E6">
        <w:rPr>
          <w:rtl/>
          <w:lang w:bidi="ar-EG"/>
        </w:rPr>
        <w:t>بعد انتهاء الخدمة</w:t>
      </w:r>
      <w:r w:rsidRPr="005269E6">
        <w:rPr>
          <w:rFonts w:hint="cs"/>
          <w:rtl/>
          <w:lang w:bidi="ar-EG"/>
        </w:rPr>
        <w:t xml:space="preserve"> (</w:t>
      </w:r>
      <w:r w:rsidRPr="005269E6">
        <w:rPr>
          <w:lang w:val="en-GB" w:bidi="ar-EG"/>
        </w:rPr>
        <w:t>ASHI</w:t>
      </w:r>
      <w:r w:rsidRPr="005269E6">
        <w:rPr>
          <w:rFonts w:hint="cs"/>
          <w:rtl/>
          <w:lang w:bidi="ar-EG"/>
        </w:rPr>
        <w:t>)</w:t>
      </w:r>
      <w:r w:rsidRPr="005269E6">
        <w:rPr>
          <w:rtl/>
          <w:lang w:bidi="ar-EG"/>
        </w:rPr>
        <w:t>.</w:t>
      </w:r>
    </w:p>
    <w:p w14:paraId="61B8A69F" w14:textId="77777777" w:rsidR="0053660E" w:rsidRPr="005269E6" w:rsidRDefault="00A51DA6" w:rsidP="0053660E">
      <w:pPr>
        <w:pStyle w:val="HeadingI"/>
        <w:rPr>
          <w:lang w:val="en"/>
        </w:rPr>
      </w:pPr>
      <w:r w:rsidRPr="005269E6">
        <w:rPr>
          <w:lang w:val="ru-RU" w:bidi="ar-EG"/>
        </w:rPr>
        <w:t>3.1.18</w:t>
      </w:r>
      <w:r w:rsidR="00C543C6" w:rsidRPr="005269E6">
        <w:rPr>
          <w:rtl/>
        </w:rPr>
        <w:tab/>
      </w:r>
      <w:bookmarkEnd w:id="524"/>
      <w:bookmarkEnd w:id="525"/>
      <w:bookmarkEnd w:id="526"/>
      <w:bookmarkEnd w:id="527"/>
      <w:bookmarkEnd w:id="528"/>
      <w:r w:rsidR="0053660E" w:rsidRPr="005269E6">
        <w:rPr>
          <w:rtl/>
          <w:lang w:bidi="ar"/>
        </w:rPr>
        <w:t>معلومات</w:t>
      </w:r>
      <w:r w:rsidR="0053660E" w:rsidRPr="005269E6">
        <w:rPr>
          <w:lang w:val="en"/>
        </w:rPr>
        <w:t xml:space="preserve"> </w:t>
      </w:r>
      <w:r w:rsidR="0053660E" w:rsidRPr="005269E6">
        <w:rPr>
          <w:rtl/>
          <w:lang w:bidi="ar"/>
        </w:rPr>
        <w:t>الحساسية</w:t>
      </w:r>
      <w:r w:rsidR="0053660E" w:rsidRPr="005269E6">
        <w:rPr>
          <w:lang w:val="en"/>
        </w:rPr>
        <w:t xml:space="preserve"> </w:t>
      </w:r>
      <w:r w:rsidR="0053660E" w:rsidRPr="005269E6">
        <w:rPr>
          <w:rtl/>
          <w:lang w:bidi="ar"/>
        </w:rPr>
        <w:t>لخطة</w:t>
      </w:r>
      <w:r w:rsidR="0053660E" w:rsidRPr="005269E6">
        <w:rPr>
          <w:lang w:val="en"/>
        </w:rPr>
        <w:t xml:space="preserve"> </w:t>
      </w:r>
      <w:r w:rsidR="0053660E" w:rsidRPr="005269E6">
        <w:rPr>
          <w:rtl/>
          <w:lang w:bidi="ar"/>
        </w:rPr>
        <w:t>الرعاية</w:t>
      </w:r>
      <w:r w:rsidR="0053660E" w:rsidRPr="005269E6">
        <w:rPr>
          <w:lang w:val="en"/>
        </w:rPr>
        <w:t xml:space="preserve"> </w:t>
      </w:r>
      <w:r w:rsidR="0053660E" w:rsidRPr="005269E6">
        <w:rPr>
          <w:rtl/>
          <w:lang w:bidi="ar"/>
        </w:rPr>
        <w:t>الصحية</w:t>
      </w:r>
    </w:p>
    <w:p w14:paraId="21934B32" w14:textId="71235E4D" w:rsidR="0053660E" w:rsidRPr="005269E6" w:rsidRDefault="0053660E" w:rsidP="0053660E">
      <w:pPr>
        <w:rPr>
          <w:rtl/>
          <w:lang w:bidi="ar-EG"/>
        </w:rPr>
      </w:pPr>
      <w:r w:rsidRPr="005269E6">
        <w:rPr>
          <w:rFonts w:hint="cs"/>
          <w:rtl/>
          <w:lang w:bidi="ar-EG"/>
        </w:rPr>
        <w:t>ترد أدناه</w:t>
      </w:r>
      <w:r w:rsidR="00A51DA6" w:rsidRPr="005269E6">
        <w:rPr>
          <w:rFonts w:hint="cs"/>
          <w:rtl/>
          <w:lang w:bidi="ar-EG"/>
        </w:rPr>
        <w:t xml:space="preserve"> </w:t>
      </w:r>
      <w:r w:rsidRPr="005269E6">
        <w:rPr>
          <w:rtl/>
          <w:lang w:bidi="ar-EG"/>
        </w:rPr>
        <w:t>حساسية ا</w:t>
      </w:r>
      <w:r w:rsidRPr="005269E6">
        <w:rPr>
          <w:rFonts w:hint="cs"/>
          <w:rtl/>
          <w:lang w:bidi="ar-EG"/>
        </w:rPr>
        <w:t>لا</w:t>
      </w:r>
      <w:r w:rsidRPr="005269E6">
        <w:rPr>
          <w:rtl/>
          <w:lang w:bidi="ar-EG"/>
        </w:rPr>
        <w:t xml:space="preserve">لتزام </w:t>
      </w:r>
      <w:r w:rsidRPr="005269E6">
        <w:rPr>
          <w:rFonts w:hint="cs"/>
          <w:rtl/>
          <w:lang w:bidi="ar-EG"/>
        </w:rPr>
        <w:t>تجاه الاستحقاقات</w:t>
      </w:r>
      <w:r w:rsidRPr="005269E6">
        <w:rPr>
          <w:rtl/>
          <w:lang w:bidi="ar-EG"/>
        </w:rPr>
        <w:t xml:space="preserve"> المحددة في 31 ديسمبر 2022 وتكلفة الخدمة وتكلفة الفائدة للسنة المالية 2023 المتعلقة بالتغيرات في اتجاه الرعاية الصحية المفترض</w:t>
      </w:r>
      <w:r w:rsidRPr="005269E6">
        <w:rPr>
          <w:rFonts w:hint="cs"/>
          <w:rtl/>
          <w:lang w:bidi="ar-EG"/>
        </w:rPr>
        <w:t>.</w:t>
      </w:r>
    </w:p>
    <w:p w14:paraId="75431029" w14:textId="74E5A336" w:rsidR="00C543C6" w:rsidRPr="005269E6" w:rsidRDefault="0053660E" w:rsidP="00A51DA6">
      <w:pPr>
        <w:rPr>
          <w:rtl/>
          <w:lang w:bidi="ar-EG"/>
        </w:rPr>
      </w:pPr>
      <w:r w:rsidRPr="005269E6">
        <w:rPr>
          <w:rFonts w:hint="cs"/>
          <w:rtl/>
          <w:lang w:bidi="ar-EG"/>
        </w:rPr>
        <w:t>و</w:t>
      </w:r>
      <w:r w:rsidR="00C543C6" w:rsidRPr="005269E6">
        <w:rPr>
          <w:rtl/>
          <w:lang w:bidi="ar-EG"/>
        </w:rPr>
        <w:t xml:space="preserve">تؤدي زيادة بنسبة </w:t>
      </w:r>
      <w:r w:rsidR="00C543C6" w:rsidRPr="005269E6">
        <w:rPr>
          <w:rFonts w:hint="cs"/>
          <w:rtl/>
          <w:lang w:bidi="ar-EG"/>
        </w:rPr>
        <w:t>واحد في المائة</w:t>
      </w:r>
      <w:r w:rsidR="00C543C6" w:rsidRPr="005269E6">
        <w:rPr>
          <w:rtl/>
          <w:lang w:bidi="ar-EG"/>
        </w:rPr>
        <w:t xml:space="preserve"> في معدل الرعاية الصحية إلى ارتفاع في</w:t>
      </w:r>
      <w:r w:rsidR="00C543C6" w:rsidRPr="005269E6">
        <w:rPr>
          <w:rFonts w:hint="cs"/>
          <w:rtl/>
          <w:lang w:bidi="ar-SY"/>
        </w:rPr>
        <w:t xml:space="preserve"> مجموع</w:t>
      </w:r>
      <w:r w:rsidR="00C543C6" w:rsidRPr="005269E6">
        <w:rPr>
          <w:rtl/>
          <w:lang w:bidi="ar-EG"/>
        </w:rPr>
        <w:t> تكاليف</w:t>
      </w:r>
      <w:r w:rsidR="00C543C6" w:rsidRPr="005269E6">
        <w:rPr>
          <w:rFonts w:hint="cs"/>
          <w:rtl/>
          <w:lang w:bidi="ar-EG"/>
        </w:rPr>
        <w:t xml:space="preserve"> الخدمة</w:t>
      </w:r>
      <w:r w:rsidR="00C543C6" w:rsidRPr="005269E6">
        <w:rPr>
          <w:rtl/>
          <w:lang w:bidi="ar-EG"/>
        </w:rPr>
        <w:t xml:space="preserve"> والفوائد بمقدار </w:t>
      </w:r>
      <w:r w:rsidR="00A51DA6" w:rsidRPr="005269E6">
        <w:t>6,7</w:t>
      </w:r>
      <w:r w:rsidR="00C543C6" w:rsidRPr="005269E6">
        <w:rPr>
          <w:rtl/>
          <w:lang w:bidi="ar-EG"/>
        </w:rPr>
        <w:t> مل</w:t>
      </w:r>
      <w:r w:rsidR="00C543C6" w:rsidRPr="005269E6">
        <w:rPr>
          <w:rFonts w:hint="cs"/>
          <w:rtl/>
          <w:lang w:bidi="ar-EG"/>
        </w:rPr>
        <w:t>يون</w:t>
      </w:r>
      <w:r w:rsidR="00C543C6" w:rsidRPr="005269E6">
        <w:rPr>
          <w:rtl/>
          <w:lang w:bidi="ar-EG"/>
        </w:rPr>
        <w:t xml:space="preserve"> فرنك سويسري وتؤثر على الالتزامات من حيث ال</w:t>
      </w:r>
      <w:r w:rsidR="006B32D8" w:rsidRPr="005269E6">
        <w:rPr>
          <w:rtl/>
          <w:lang w:bidi="ar-EG"/>
        </w:rPr>
        <w:t>استحقاقات</w:t>
      </w:r>
      <w:r w:rsidR="00C543C6" w:rsidRPr="005269E6">
        <w:rPr>
          <w:rtl/>
          <w:lang w:bidi="ar-EG"/>
        </w:rPr>
        <w:t xml:space="preserve"> المحددة بمقدار </w:t>
      </w:r>
      <w:r w:rsidR="00A51DA6" w:rsidRPr="005269E6">
        <w:t>87,4</w:t>
      </w:r>
      <w:r w:rsidR="00C543C6" w:rsidRPr="005269E6">
        <w:rPr>
          <w:rtl/>
          <w:lang w:bidi="ar-EG"/>
        </w:rPr>
        <w:t> مليون فرنك سويسري. ومن شأن تخفيض بنسبة </w:t>
      </w:r>
      <w:r w:rsidR="00C543C6" w:rsidRPr="005269E6">
        <w:rPr>
          <w:rFonts w:hint="cs"/>
          <w:rtl/>
          <w:lang w:bidi="ar-EG"/>
        </w:rPr>
        <w:t>واحد في المائة</w:t>
      </w:r>
      <w:r w:rsidR="00C543C6" w:rsidRPr="005269E6">
        <w:rPr>
          <w:rtl/>
          <w:lang w:bidi="ar-EG"/>
        </w:rPr>
        <w:t xml:space="preserve"> أن يؤدي إلى انخفاض بمقدار </w:t>
      </w:r>
      <w:r w:rsidR="00A51DA6" w:rsidRPr="005269E6">
        <w:t>4,9</w:t>
      </w:r>
      <w:r w:rsidR="00C543C6" w:rsidRPr="005269E6">
        <w:rPr>
          <w:rtl/>
          <w:lang w:bidi="ar-SY"/>
        </w:rPr>
        <w:t> ملايين فرنك سويسري في تكاليف الخدمة وتكاليف الفوائد و</w:t>
      </w:r>
      <w:r w:rsidR="00C543C6" w:rsidRPr="005269E6">
        <w:rPr>
          <w:rtl/>
          <w:lang w:bidi="ar-EG"/>
        </w:rPr>
        <w:t xml:space="preserve">بمقدار </w:t>
      </w:r>
      <w:r w:rsidR="00A51DA6" w:rsidRPr="005269E6">
        <w:t>68</w:t>
      </w:r>
      <w:r w:rsidR="00C543C6" w:rsidRPr="005269E6">
        <w:rPr>
          <w:rtl/>
          <w:lang w:bidi="ar-EG"/>
        </w:rPr>
        <w:t> مليون فرنك سويسري في الالتزامات، من حيث ال</w:t>
      </w:r>
      <w:r w:rsidR="006B32D8" w:rsidRPr="005269E6">
        <w:rPr>
          <w:rtl/>
          <w:lang w:bidi="ar-EG"/>
        </w:rPr>
        <w:t>استحقاقات</w:t>
      </w:r>
      <w:r w:rsidR="00C543C6" w:rsidRPr="005269E6">
        <w:rPr>
          <w:rtl/>
          <w:lang w:bidi="ar-EG"/>
        </w:rPr>
        <w:t> المحددة.</w:t>
      </w:r>
      <w:bookmarkStart w:id="530" w:name="_Toc397499193"/>
      <w:bookmarkStart w:id="531" w:name="_Toc358648559"/>
      <w:bookmarkStart w:id="532" w:name="_Toc358648360"/>
      <w:bookmarkStart w:id="533" w:name="_Toc328494943"/>
      <w:bookmarkStart w:id="534" w:name="_Toc306236967"/>
    </w:p>
    <w:p w14:paraId="3A7315CB" w14:textId="47D7D46B" w:rsidR="00AD44D6" w:rsidRPr="005269E6" w:rsidRDefault="00AD44D6" w:rsidP="004A2C87">
      <w:pPr>
        <w:rPr>
          <w:rtl/>
          <w:lang w:bidi="ar-EG"/>
        </w:rPr>
      </w:pPr>
      <w:r w:rsidRPr="005269E6">
        <w:rPr>
          <w:rtl/>
          <w:lang w:bidi="ar-EG"/>
        </w:rPr>
        <w:t>وقد تحدد</w:t>
      </w:r>
      <w:r w:rsidRPr="005269E6">
        <w:rPr>
          <w:rFonts w:hint="cs"/>
          <w:rtl/>
          <w:lang w:bidi="ar-EG"/>
        </w:rPr>
        <w:t>ت</w:t>
      </w:r>
      <w:r w:rsidRPr="005269E6">
        <w:rPr>
          <w:rtl/>
          <w:lang w:bidi="ar-EG"/>
        </w:rPr>
        <w:t xml:space="preserve"> أسعار الخصم المستخدمة لهذا التقييم باستخدام منحنيات عائد السندات </w:t>
      </w:r>
      <w:r w:rsidRPr="005269E6">
        <w:rPr>
          <w:rFonts w:hint="cs"/>
          <w:rtl/>
          <w:lang w:bidi="ar-EG"/>
        </w:rPr>
        <w:t>ا</w:t>
      </w:r>
      <w:r w:rsidRPr="005269E6">
        <w:rPr>
          <w:rtl/>
          <w:lang w:bidi="ar-EG"/>
        </w:rPr>
        <w:t xml:space="preserve">لشركات </w:t>
      </w:r>
      <w:r w:rsidRPr="005269E6">
        <w:rPr>
          <w:lang w:bidi="ar-EG"/>
        </w:rPr>
        <w:t>Aon AA</w:t>
      </w:r>
      <w:r w:rsidRPr="005269E6">
        <w:rPr>
          <w:rtl/>
          <w:lang w:bidi="ar-EG"/>
        </w:rPr>
        <w:t xml:space="preserve"> في 31 ديسمبر 2022. ومن شأن تخفيض معدل الخصم بمقدار 100 نقطة أساس</w:t>
      </w:r>
      <w:r w:rsidRPr="005269E6">
        <w:rPr>
          <w:rFonts w:hint="cs"/>
          <w:rtl/>
          <w:lang w:bidi="ar-EG"/>
        </w:rPr>
        <w:t xml:space="preserve"> (</w:t>
      </w:r>
      <w:r w:rsidRPr="005269E6">
        <w:rPr>
          <w:lang w:bidi="ar-EG"/>
        </w:rPr>
        <w:t>bps</w:t>
      </w:r>
      <w:r w:rsidRPr="005269E6">
        <w:rPr>
          <w:rFonts w:hint="cs"/>
          <w:rtl/>
          <w:lang w:bidi="ar-EG"/>
        </w:rPr>
        <w:t>)</w:t>
      </w:r>
      <w:r w:rsidRPr="005269E6">
        <w:rPr>
          <w:rtl/>
          <w:lang w:bidi="ar-EG"/>
        </w:rPr>
        <w:t xml:space="preserve"> أن يزيد </w:t>
      </w:r>
      <w:r w:rsidRPr="005269E6">
        <w:rPr>
          <w:rFonts w:hint="cs"/>
          <w:rtl/>
          <w:lang w:bidi="ar-EG"/>
        </w:rPr>
        <w:t>+</w:t>
      </w:r>
      <w:r w:rsidRPr="005269E6">
        <w:rPr>
          <w:lang w:bidi="ar-EG"/>
        </w:rPr>
        <w:t>%21</w:t>
      </w:r>
      <w:r w:rsidRPr="005269E6">
        <w:rPr>
          <w:rFonts w:hint="cs"/>
          <w:rtl/>
          <w:lang w:bidi="ar-EG"/>
        </w:rPr>
        <w:t xml:space="preserve">من </w:t>
      </w:r>
      <w:r w:rsidRPr="005269E6">
        <w:rPr>
          <w:rtl/>
          <w:lang w:bidi="ar-EG"/>
        </w:rPr>
        <w:t>ا</w:t>
      </w:r>
      <w:r w:rsidRPr="005269E6">
        <w:rPr>
          <w:rFonts w:hint="cs"/>
          <w:rtl/>
          <w:lang w:bidi="ar-EG"/>
        </w:rPr>
        <w:t>لا</w:t>
      </w:r>
      <w:r w:rsidRPr="005269E6">
        <w:rPr>
          <w:rtl/>
          <w:lang w:bidi="ar-EG"/>
        </w:rPr>
        <w:t xml:space="preserve">لتزام </w:t>
      </w:r>
      <w:r w:rsidRPr="005269E6">
        <w:rPr>
          <w:rFonts w:hint="cs"/>
          <w:rtl/>
          <w:lang w:bidi="ar-EG"/>
        </w:rPr>
        <w:t>بالاستحقاقات</w:t>
      </w:r>
      <w:r w:rsidRPr="005269E6">
        <w:rPr>
          <w:rtl/>
          <w:lang w:bidi="ar-EG"/>
        </w:rPr>
        <w:t xml:space="preserve"> المحددة</w:t>
      </w:r>
      <w:r w:rsidRPr="005269E6">
        <w:rPr>
          <w:rFonts w:hint="cs"/>
          <w:rtl/>
          <w:lang w:bidi="ar-EG"/>
        </w:rPr>
        <w:t xml:space="preserve"> (</w:t>
      </w:r>
      <w:r w:rsidRPr="005269E6">
        <w:rPr>
          <w:lang w:bidi="ar-EG"/>
        </w:rPr>
        <w:t>DBO</w:t>
      </w:r>
      <w:r w:rsidRPr="005269E6">
        <w:rPr>
          <w:rFonts w:hint="cs"/>
          <w:rtl/>
          <w:lang w:bidi="ar-EG"/>
        </w:rPr>
        <w:t>)</w:t>
      </w:r>
      <w:r w:rsidRPr="005269E6">
        <w:rPr>
          <w:rtl/>
          <w:lang w:bidi="ar-EG"/>
        </w:rPr>
        <w:t xml:space="preserve"> أي حوالي 73 مليون فرنك سويسري. ولا يتوقع أن يكون للاتجاه المفترض للرعاية الصحية ولمعدل الخصم تأثير كبير على المبالغ المحسوبة لالتزام التأمين الصحي </w:t>
      </w:r>
      <w:r w:rsidR="0016425F" w:rsidRPr="005269E6">
        <w:rPr>
          <w:rtl/>
          <w:lang w:bidi="ar-EG"/>
        </w:rPr>
        <w:t>بعد انتهاء الخدمة</w:t>
      </w:r>
      <w:r w:rsidRPr="005269E6">
        <w:rPr>
          <w:rtl/>
          <w:lang w:bidi="ar-EG"/>
        </w:rPr>
        <w:t xml:space="preserve"> ونفقاته ولا يتوقع أن يكون للتغييرات في الافتراضات الأخرى آثار </w:t>
      </w:r>
      <w:r w:rsidR="004A2C87" w:rsidRPr="005269E6">
        <w:rPr>
          <w:rtl/>
          <w:lang w:bidi="ar-EG"/>
        </w:rPr>
        <w:t xml:space="preserve">كبيرة </w:t>
      </w:r>
      <w:r w:rsidRPr="005269E6">
        <w:rPr>
          <w:rtl/>
          <w:lang w:bidi="ar-EG"/>
        </w:rPr>
        <w:t>على هذا الالتزام.</w:t>
      </w:r>
    </w:p>
    <w:p w14:paraId="28CFDF4B" w14:textId="0F0E77FB" w:rsidR="00C543C6" w:rsidRPr="005269E6" w:rsidRDefault="00F70508" w:rsidP="00F70508">
      <w:pPr>
        <w:pStyle w:val="Heading2"/>
        <w:rPr>
          <w:u w:val="single"/>
        </w:rPr>
      </w:pPr>
      <w:r w:rsidRPr="005269E6">
        <w:t>2.18</w:t>
      </w:r>
      <w:r w:rsidR="00C543C6" w:rsidRPr="005269E6">
        <w:rPr>
          <w:rtl/>
        </w:rPr>
        <w:tab/>
      </w:r>
      <w:r w:rsidR="00052D2C" w:rsidRPr="005269E6">
        <w:rPr>
          <w:rFonts w:hint="cs"/>
          <w:u w:val="single"/>
          <w:rtl/>
        </w:rPr>
        <w:t xml:space="preserve">منحة </w:t>
      </w:r>
      <w:r w:rsidR="00C543C6" w:rsidRPr="005269E6">
        <w:rPr>
          <w:u w:val="single"/>
          <w:rtl/>
        </w:rPr>
        <w:t>الإعادة إلى الوطن</w:t>
      </w:r>
      <w:bookmarkEnd w:id="530"/>
      <w:bookmarkEnd w:id="531"/>
      <w:bookmarkEnd w:id="532"/>
      <w:bookmarkEnd w:id="533"/>
      <w:bookmarkEnd w:id="534"/>
    </w:p>
    <w:p w14:paraId="7BAAF2A5" w14:textId="6B0E42A5" w:rsidR="00CA5E6F" w:rsidRPr="005269E6" w:rsidRDefault="00CA5E6F" w:rsidP="00CA5E6F">
      <w:pPr>
        <w:pStyle w:val="HeadingI"/>
        <w:rPr>
          <w:rtl/>
          <w:lang w:bidi="ar-SY"/>
        </w:rPr>
      </w:pPr>
      <w:r w:rsidRPr="005269E6">
        <w:t>1.2.18</w:t>
      </w:r>
      <w:r w:rsidRPr="005269E6">
        <w:rPr>
          <w:rtl/>
          <w:lang w:bidi="ar-SY"/>
        </w:rPr>
        <w:tab/>
      </w:r>
      <w:r w:rsidR="00052D2C" w:rsidRPr="005269E6">
        <w:rPr>
          <w:rtl/>
          <w:lang w:bidi="ar-SY"/>
        </w:rPr>
        <w:t>تعريف</w:t>
      </w:r>
    </w:p>
    <w:p w14:paraId="49B61763" w14:textId="4598B29C" w:rsidR="00C543C6" w:rsidRPr="005269E6" w:rsidRDefault="00C543C6" w:rsidP="00C543C6">
      <w:pPr>
        <w:rPr>
          <w:rtl/>
          <w:lang w:bidi="ar-EG"/>
        </w:rPr>
      </w:pPr>
      <w:r w:rsidRPr="005269E6">
        <w:rPr>
          <w:rtl/>
          <w:lang w:bidi="ar-EG"/>
        </w:rPr>
        <w:t xml:space="preserve">يستحق، من حيث المبدأ، منحة إعادة إلى الوطن الموظفون الذين </w:t>
      </w:r>
      <w:r w:rsidR="00432E2B" w:rsidRPr="005269E6">
        <w:rPr>
          <w:rtl/>
          <w:lang w:bidi="ar-EG"/>
        </w:rPr>
        <w:t xml:space="preserve">لديهم خدمات مستمرة لمدة 5 سنوات على الأقل والذين </w:t>
      </w:r>
      <w:r w:rsidRPr="005269E6">
        <w:rPr>
          <w:rtl/>
          <w:lang w:bidi="ar-EG"/>
        </w:rPr>
        <w:t xml:space="preserve">يكون الاتحاد ملزماً بإعادتهم إلى الوطن. </w:t>
      </w:r>
      <w:r w:rsidR="00432E2B" w:rsidRPr="005269E6">
        <w:rPr>
          <w:rtl/>
          <w:lang w:bidi="ar-EG"/>
        </w:rPr>
        <w:t xml:space="preserve">وتشمل التكاليف الإجازات السنوية المتراكمة، وسفر الإعادة إلى الوطن، وشحن الأمتعة عند الإعادة إلى الوطن. </w:t>
      </w:r>
      <w:r w:rsidRPr="005269E6">
        <w:rPr>
          <w:rtl/>
          <w:lang w:bidi="ar-EG"/>
        </w:rPr>
        <w:t>و</w:t>
      </w:r>
      <w:r w:rsidR="00432E2B" w:rsidRPr="005269E6">
        <w:rPr>
          <w:rFonts w:hint="cs"/>
          <w:rtl/>
          <w:lang w:bidi="ar-EG"/>
        </w:rPr>
        <w:t>تح</w:t>
      </w:r>
      <w:r w:rsidRPr="005269E6">
        <w:rPr>
          <w:rtl/>
          <w:lang w:bidi="ar-EG"/>
        </w:rPr>
        <w:t xml:space="preserve">دد </w:t>
      </w:r>
      <w:r w:rsidR="00515AA9" w:rsidRPr="005269E6">
        <w:rPr>
          <w:rtl/>
          <w:lang w:bidi="ar-EG"/>
        </w:rPr>
        <w:t>الأمينة العامة</w:t>
      </w:r>
      <w:r w:rsidRPr="005269E6">
        <w:rPr>
          <w:rtl/>
          <w:lang w:bidi="ar-EG"/>
        </w:rPr>
        <w:t xml:space="preserve"> بالتفصيل الشروط والتعاريف فيما يتعلق بالحق في هذه المنحة والوثائق المطلوبة للبرهان على تغيير مكان الإقامة.</w:t>
      </w:r>
    </w:p>
    <w:p w14:paraId="69AC1451" w14:textId="497476C3" w:rsidR="00C543C6" w:rsidRPr="005269E6" w:rsidRDefault="00C543C6" w:rsidP="00C543C6">
      <w:pPr>
        <w:rPr>
          <w:spacing w:val="4"/>
          <w:rtl/>
          <w:lang w:bidi="ar-EG"/>
        </w:rPr>
      </w:pPr>
      <w:r w:rsidRPr="005269E6">
        <w:rPr>
          <w:spacing w:val="4"/>
          <w:rtl/>
          <w:lang w:bidi="ar-EG"/>
        </w:rPr>
        <w:t xml:space="preserve">وقد أخذت في الاعتبار مدة الخدمة والمرتب </w:t>
      </w:r>
      <w:r w:rsidR="00432E2B" w:rsidRPr="005269E6">
        <w:rPr>
          <w:spacing w:val="4"/>
          <w:rtl/>
          <w:lang w:bidi="ar-EG"/>
        </w:rPr>
        <w:t xml:space="preserve">الإجمالي </w:t>
      </w:r>
      <w:r w:rsidR="00C06D64" w:rsidRPr="005269E6">
        <w:rPr>
          <w:spacing w:val="4"/>
          <w:rtl/>
          <w:lang w:bidi="ar-EG"/>
        </w:rPr>
        <w:t xml:space="preserve">بعد </w:t>
      </w:r>
      <w:r w:rsidR="00C06D64" w:rsidRPr="005269E6">
        <w:rPr>
          <w:rFonts w:hint="cs"/>
          <w:spacing w:val="4"/>
          <w:rtl/>
          <w:lang w:bidi="ar-EG"/>
        </w:rPr>
        <w:t>خصم</w:t>
      </w:r>
      <w:r w:rsidR="00C06D64" w:rsidRPr="005269E6">
        <w:rPr>
          <w:spacing w:val="4"/>
          <w:rtl/>
          <w:lang w:bidi="ar-EG"/>
        </w:rPr>
        <w:t xml:space="preserve"> الاقتطاعات الإلزامية </w:t>
      </w:r>
      <w:r w:rsidR="00C06D64" w:rsidRPr="005269E6">
        <w:rPr>
          <w:rFonts w:hint="cs"/>
          <w:spacing w:val="4"/>
          <w:rtl/>
          <w:lang w:bidi="ar-EG"/>
        </w:rPr>
        <w:t xml:space="preserve">(بما في ذلك </w:t>
      </w:r>
      <w:r w:rsidRPr="005269E6">
        <w:rPr>
          <w:spacing w:val="4"/>
          <w:rtl/>
          <w:lang w:bidi="ar-EG"/>
        </w:rPr>
        <w:t xml:space="preserve">المكافآت المتصلة باللغات </w:t>
      </w:r>
      <w:r w:rsidR="00C06D64" w:rsidRPr="005269E6">
        <w:rPr>
          <w:rFonts w:hint="cs"/>
          <w:spacing w:val="4"/>
          <w:rtl/>
          <w:lang w:bidi="ar-EG"/>
        </w:rPr>
        <w:t xml:space="preserve">وبدل غير المقيم </w:t>
      </w:r>
      <w:r w:rsidRPr="005269E6">
        <w:rPr>
          <w:spacing w:val="4"/>
          <w:rtl/>
          <w:lang w:bidi="ar-EG"/>
        </w:rPr>
        <w:t>عند الاقتضاء</w:t>
      </w:r>
      <w:r w:rsidR="00C06D64" w:rsidRPr="005269E6">
        <w:rPr>
          <w:rtl/>
        </w:rPr>
        <w:t xml:space="preserve"> </w:t>
      </w:r>
      <w:r w:rsidR="00C06D64" w:rsidRPr="005269E6">
        <w:rPr>
          <w:spacing w:val="4"/>
          <w:rtl/>
          <w:lang w:bidi="ar-EG"/>
        </w:rPr>
        <w:t>لموظفي فئة الخدمات العامة</w:t>
      </w:r>
      <w:r w:rsidR="00C06D64" w:rsidRPr="005269E6">
        <w:rPr>
          <w:rFonts w:hint="cs"/>
          <w:spacing w:val="4"/>
          <w:rtl/>
          <w:lang w:bidi="ar-EG"/>
        </w:rPr>
        <w:t>)</w:t>
      </w:r>
      <w:r w:rsidRPr="005269E6">
        <w:rPr>
          <w:spacing w:val="4"/>
          <w:rtl/>
          <w:lang w:bidi="ar-EG"/>
        </w:rPr>
        <w:t xml:space="preserve"> في حساب المبلغ الإجمالي للالتزامات في </w:t>
      </w:r>
      <w:r w:rsidRPr="005269E6">
        <w:rPr>
          <w:spacing w:val="4"/>
          <w:lang w:bidi="ar-EG"/>
        </w:rPr>
        <w:t>31</w:t>
      </w:r>
      <w:r w:rsidRPr="005269E6">
        <w:rPr>
          <w:spacing w:val="4"/>
          <w:rtl/>
          <w:lang w:bidi="ar-EG"/>
        </w:rPr>
        <w:t xml:space="preserve"> ديسمبر </w:t>
      </w:r>
      <w:r w:rsidR="00625C85" w:rsidRPr="005269E6">
        <w:rPr>
          <w:spacing w:val="4"/>
          <w:lang w:bidi="ar-EG"/>
        </w:rPr>
        <w:t>2022</w:t>
      </w:r>
      <w:r w:rsidRPr="005269E6">
        <w:rPr>
          <w:spacing w:val="4"/>
          <w:rtl/>
          <w:lang w:bidi="ar-EG"/>
        </w:rPr>
        <w:t>. وكانت الافتراضات الاقتصادية على أساس معدل خصم بمقدار</w:t>
      </w:r>
      <w:r w:rsidRPr="005269E6">
        <w:rPr>
          <w:rFonts w:hint="cs"/>
          <w:spacing w:val="4"/>
          <w:rtl/>
          <w:lang w:bidi="ar-EG"/>
        </w:rPr>
        <w:t xml:space="preserve"> </w:t>
      </w:r>
      <w:r w:rsidR="00625C85" w:rsidRPr="005269E6">
        <w:rPr>
          <w:spacing w:val="4"/>
          <w:lang w:bidi="ar-EG"/>
        </w:rPr>
        <w:t>2</w:t>
      </w:r>
      <w:r w:rsidRPr="005269E6">
        <w:rPr>
          <w:spacing w:val="4"/>
          <w:lang w:bidi="ar-EG"/>
        </w:rPr>
        <w:t>,</w:t>
      </w:r>
      <w:r w:rsidR="00625C85" w:rsidRPr="005269E6">
        <w:rPr>
          <w:spacing w:val="4"/>
          <w:lang w:bidi="ar-EG"/>
        </w:rPr>
        <w:t>5</w:t>
      </w:r>
      <w:r w:rsidRPr="005269E6">
        <w:rPr>
          <w:spacing w:val="4"/>
          <w:rtl/>
          <w:lang w:bidi="ar-EG"/>
        </w:rPr>
        <w:t xml:space="preserve"> </w:t>
      </w:r>
      <w:r w:rsidRPr="005269E6">
        <w:rPr>
          <w:rFonts w:hint="cs"/>
          <w:spacing w:val="4"/>
          <w:rtl/>
          <w:lang w:bidi="ar-EG"/>
        </w:rPr>
        <w:t xml:space="preserve">في المائة </w:t>
      </w:r>
      <w:r w:rsidRPr="005269E6">
        <w:rPr>
          <w:spacing w:val="4"/>
          <w:rtl/>
          <w:lang w:bidi="ar-EG"/>
        </w:rPr>
        <w:t>(</w:t>
      </w:r>
      <w:r w:rsidRPr="005269E6">
        <w:rPr>
          <w:spacing w:val="4"/>
          <w:lang w:bidi="ar-EG"/>
        </w:rPr>
        <w:t>0,</w:t>
      </w:r>
      <w:r w:rsidR="00625C85" w:rsidRPr="005269E6">
        <w:rPr>
          <w:spacing w:val="4"/>
          <w:lang w:bidi="ar-EG"/>
        </w:rPr>
        <w:t>5</w:t>
      </w:r>
      <w:r w:rsidRPr="005269E6">
        <w:rPr>
          <w:rFonts w:hint="cs"/>
          <w:spacing w:val="4"/>
          <w:rtl/>
          <w:lang w:bidi="ar-EG"/>
        </w:rPr>
        <w:t xml:space="preserve"> في</w:t>
      </w:r>
      <w:r w:rsidRPr="005269E6">
        <w:rPr>
          <w:rFonts w:hint="eastAsia"/>
          <w:spacing w:val="4"/>
          <w:rtl/>
          <w:lang w:bidi="ar-EG"/>
        </w:rPr>
        <w:t> </w:t>
      </w:r>
      <w:r w:rsidRPr="005269E6">
        <w:rPr>
          <w:rFonts w:hint="cs"/>
          <w:spacing w:val="4"/>
          <w:rtl/>
          <w:lang w:bidi="ar-EG"/>
        </w:rPr>
        <w:t>المائة</w:t>
      </w:r>
      <w:r w:rsidRPr="005269E6">
        <w:rPr>
          <w:spacing w:val="4"/>
          <w:rtl/>
          <w:lang w:bidi="ar-EG"/>
        </w:rPr>
        <w:t xml:space="preserve"> في </w:t>
      </w:r>
      <w:r w:rsidR="00625C85" w:rsidRPr="005269E6">
        <w:rPr>
          <w:spacing w:val="4"/>
          <w:lang w:bidi="ar-EG"/>
        </w:rPr>
        <w:t>2021</w:t>
      </w:r>
      <w:r w:rsidRPr="005269E6">
        <w:rPr>
          <w:spacing w:val="4"/>
          <w:rtl/>
          <w:lang w:bidi="ar-EG"/>
        </w:rPr>
        <w:t xml:space="preserve">) ومعدل زيادة </w:t>
      </w:r>
      <w:r w:rsidRPr="005269E6">
        <w:rPr>
          <w:spacing w:val="4"/>
          <w:rtl/>
          <w:lang w:bidi="ar-EG"/>
        </w:rPr>
        <w:lastRenderedPageBreak/>
        <w:t>في </w:t>
      </w:r>
      <w:r w:rsidRPr="005269E6">
        <w:rPr>
          <w:rFonts w:hint="cs"/>
          <w:spacing w:val="4"/>
          <w:rtl/>
          <w:lang w:bidi="ar-EG"/>
        </w:rPr>
        <w:t>المرتبات</w:t>
      </w:r>
      <w:r w:rsidRPr="005269E6">
        <w:rPr>
          <w:spacing w:val="4"/>
          <w:rtl/>
          <w:lang w:bidi="ar-EG"/>
        </w:rPr>
        <w:t xml:space="preserve"> بنسبة </w:t>
      </w:r>
      <w:r w:rsidRPr="005269E6">
        <w:rPr>
          <w:spacing w:val="4"/>
          <w:lang w:bidi="ar-EG"/>
        </w:rPr>
        <w:t>3</w:t>
      </w:r>
      <w:r w:rsidRPr="005269E6">
        <w:rPr>
          <w:spacing w:val="4"/>
          <w:rtl/>
          <w:lang w:bidi="ar-EG"/>
        </w:rPr>
        <w:t xml:space="preserve"> </w:t>
      </w:r>
      <w:r w:rsidRPr="005269E6">
        <w:rPr>
          <w:rFonts w:hint="cs"/>
          <w:spacing w:val="4"/>
          <w:rtl/>
          <w:lang w:bidi="ar-EG"/>
        </w:rPr>
        <w:t>في المائة.</w:t>
      </w:r>
      <w:r w:rsidRPr="005269E6">
        <w:rPr>
          <w:spacing w:val="4"/>
          <w:rtl/>
          <w:lang w:bidi="ar-EG"/>
        </w:rPr>
        <w:t xml:space="preserve"> وفي تقييم </w:t>
      </w:r>
      <w:r w:rsidR="00625C85" w:rsidRPr="005269E6">
        <w:rPr>
          <w:spacing w:val="4"/>
          <w:lang w:bidi="ar-EG"/>
        </w:rPr>
        <w:t>2022</w:t>
      </w:r>
      <w:r w:rsidRPr="005269E6">
        <w:rPr>
          <w:spacing w:val="4"/>
          <w:rtl/>
          <w:lang w:bidi="ar-EG"/>
        </w:rPr>
        <w:t>، تمت مواءمة افتراضات الدراسة ال</w:t>
      </w:r>
      <w:r w:rsidR="0059394B" w:rsidRPr="005269E6">
        <w:rPr>
          <w:spacing w:val="4"/>
          <w:rtl/>
          <w:lang w:bidi="ar-EG"/>
        </w:rPr>
        <w:t>إكتواري</w:t>
      </w:r>
      <w:r w:rsidRPr="005269E6">
        <w:rPr>
          <w:spacing w:val="4"/>
          <w:rtl/>
          <w:lang w:bidi="ar-EG"/>
        </w:rPr>
        <w:t xml:space="preserve">ة بشأن منحة الإعادة إلى الوطن مع افتراضات </w:t>
      </w:r>
      <w:r w:rsidRPr="005269E6">
        <w:rPr>
          <w:spacing w:val="4"/>
          <w:lang w:bidi="ar-EG"/>
        </w:rPr>
        <w:t>ASHI</w:t>
      </w:r>
      <w:r w:rsidRPr="005269E6">
        <w:rPr>
          <w:spacing w:val="4"/>
          <w:rtl/>
          <w:lang w:bidi="ar-EG"/>
        </w:rPr>
        <w:t>.</w:t>
      </w:r>
    </w:p>
    <w:p w14:paraId="09946216" w14:textId="0014C029" w:rsidR="00C543C6" w:rsidRPr="005269E6" w:rsidRDefault="00625C85" w:rsidP="00971B80">
      <w:pPr>
        <w:pStyle w:val="HeadingI"/>
        <w:rPr>
          <w:rtl/>
        </w:rPr>
      </w:pPr>
      <w:bookmarkStart w:id="535" w:name="_Toc397499194"/>
      <w:bookmarkStart w:id="536" w:name="_Toc358648560"/>
      <w:bookmarkStart w:id="537" w:name="_Toc358648361"/>
      <w:bookmarkStart w:id="538" w:name="_Toc328494944"/>
      <w:bookmarkStart w:id="539" w:name="_Toc306236968"/>
      <w:r w:rsidRPr="005269E6">
        <w:t>2.2.18</w:t>
      </w:r>
      <w:r w:rsidR="00C543C6" w:rsidRPr="005269E6">
        <w:rPr>
          <w:rtl/>
        </w:rPr>
        <w:tab/>
        <w:t>دفع منحة الإعادة إلى الوطن</w:t>
      </w:r>
      <w:bookmarkEnd w:id="535"/>
      <w:bookmarkEnd w:id="536"/>
      <w:bookmarkEnd w:id="537"/>
      <w:bookmarkEnd w:id="538"/>
      <w:bookmarkEnd w:id="539"/>
    </w:p>
    <w:p w14:paraId="01A02B61" w14:textId="02C0DDAF" w:rsidR="00C543C6" w:rsidRPr="005269E6" w:rsidRDefault="00C543C6" w:rsidP="00681522">
      <w:pPr>
        <w:rPr>
          <w:spacing w:val="-4"/>
          <w:rtl/>
          <w:lang w:bidi="ar-EG"/>
        </w:rPr>
      </w:pPr>
      <w:r w:rsidRPr="005269E6">
        <w:rPr>
          <w:spacing w:val="-4"/>
          <w:rtl/>
          <w:lang w:bidi="ar-EG"/>
        </w:rPr>
        <w:t>يخضع دفع منحة الإعادة إلى الوطن إلى الشروط والتعاريف المذكورة في النظام الإداري والنظام الأساسي للموظفين.</w:t>
      </w:r>
      <w:r w:rsidRPr="005269E6">
        <w:rPr>
          <w:rFonts w:hint="cs"/>
          <w:spacing w:val="-4"/>
          <w:rtl/>
          <w:lang w:bidi="ar-EG"/>
        </w:rPr>
        <w:t xml:space="preserve"> وفي</w:t>
      </w:r>
      <w:r w:rsidRPr="005269E6">
        <w:rPr>
          <w:rFonts w:hint="eastAsia"/>
          <w:spacing w:val="-4"/>
          <w:rtl/>
          <w:lang w:bidi="ar-EG"/>
        </w:rPr>
        <w:t> </w:t>
      </w:r>
      <w:r w:rsidRPr="005269E6">
        <w:rPr>
          <w:rFonts w:hint="cs"/>
          <w:spacing w:val="-4"/>
          <w:rtl/>
          <w:lang w:bidi="ar-EG"/>
        </w:rPr>
        <w:t>ديسمبر</w:t>
      </w:r>
      <w:r w:rsidRPr="005269E6">
        <w:rPr>
          <w:rFonts w:hint="eastAsia"/>
          <w:spacing w:val="-4"/>
          <w:rtl/>
          <w:lang w:bidi="ar-EG"/>
        </w:rPr>
        <w:t> </w:t>
      </w:r>
      <w:r w:rsidR="00022648" w:rsidRPr="005269E6">
        <w:rPr>
          <w:spacing w:val="-4"/>
          <w:lang w:bidi="ar-EG"/>
        </w:rPr>
        <w:t>2022</w:t>
      </w:r>
      <w:r w:rsidRPr="005269E6">
        <w:rPr>
          <w:rFonts w:hint="cs"/>
          <w:spacing w:val="-4"/>
          <w:rtl/>
          <w:lang w:bidi="ar-EG"/>
        </w:rPr>
        <w:t>، بلغ</w:t>
      </w:r>
      <w:r w:rsidR="00681522" w:rsidRPr="005269E6">
        <w:rPr>
          <w:rFonts w:hint="cs"/>
          <w:spacing w:val="-4"/>
          <w:rtl/>
          <w:lang w:bidi="ar-EG"/>
        </w:rPr>
        <w:t>ت</w:t>
      </w:r>
      <w:r w:rsidRPr="005269E6">
        <w:rPr>
          <w:rFonts w:hint="cs"/>
          <w:spacing w:val="-4"/>
          <w:rtl/>
          <w:lang w:bidi="ar-EG"/>
        </w:rPr>
        <w:t xml:space="preserve"> </w:t>
      </w:r>
      <w:r w:rsidR="00681522" w:rsidRPr="005269E6">
        <w:rPr>
          <w:rFonts w:hint="cs"/>
          <w:spacing w:val="-4"/>
          <w:rtl/>
          <w:lang w:bidi="ar-EG"/>
        </w:rPr>
        <w:t>خصوم</w:t>
      </w:r>
      <w:r w:rsidR="00681522" w:rsidRPr="005269E6">
        <w:rPr>
          <w:spacing w:val="-4"/>
          <w:rtl/>
          <w:lang w:bidi="ar-EG"/>
        </w:rPr>
        <w:t xml:space="preserve"> استحقاقات الموظف</w:t>
      </w:r>
      <w:r w:rsidR="00681522" w:rsidRPr="005269E6">
        <w:rPr>
          <w:rFonts w:hint="cs"/>
          <w:spacing w:val="-4"/>
          <w:rtl/>
          <w:lang w:bidi="ar-EG"/>
        </w:rPr>
        <w:t>ين</w:t>
      </w:r>
      <w:r w:rsidR="00681522" w:rsidRPr="005269E6">
        <w:rPr>
          <w:spacing w:val="-4"/>
          <w:rtl/>
          <w:lang w:bidi="ar-EG"/>
        </w:rPr>
        <w:t xml:space="preserve"> للعودة إلى الوطن</w:t>
      </w:r>
      <w:r w:rsidR="00681522" w:rsidRPr="005269E6">
        <w:rPr>
          <w:rFonts w:hint="cs"/>
          <w:spacing w:val="-4"/>
          <w:rtl/>
          <w:lang w:bidi="ar-EG"/>
        </w:rPr>
        <w:t xml:space="preserve"> </w:t>
      </w:r>
      <w:r w:rsidR="00022648" w:rsidRPr="005269E6">
        <w:t>13,3</w:t>
      </w:r>
      <w:r w:rsidRPr="005269E6">
        <w:rPr>
          <w:rFonts w:hint="cs"/>
          <w:spacing w:val="-4"/>
          <w:rtl/>
          <w:lang w:bidi="ar-EG"/>
        </w:rPr>
        <w:t xml:space="preserve"> مليون فرنك سويسري مقابل </w:t>
      </w:r>
      <w:r w:rsidR="00022648" w:rsidRPr="005269E6">
        <w:t>12</w:t>
      </w:r>
      <w:r w:rsidRPr="005269E6">
        <w:t>,</w:t>
      </w:r>
      <w:r w:rsidR="00022648" w:rsidRPr="005269E6">
        <w:t>7</w:t>
      </w:r>
      <w:r w:rsidRPr="005269E6">
        <w:rPr>
          <w:rFonts w:hint="eastAsia"/>
          <w:spacing w:val="-4"/>
          <w:rtl/>
          <w:lang w:bidi="ar-EG"/>
        </w:rPr>
        <w:t> </w:t>
      </w:r>
      <w:r w:rsidRPr="005269E6">
        <w:rPr>
          <w:rFonts w:hint="cs"/>
          <w:spacing w:val="-4"/>
          <w:rtl/>
          <w:lang w:bidi="ar-EG"/>
        </w:rPr>
        <w:t xml:space="preserve">مليون فرنك سويسري في </w:t>
      </w:r>
      <w:r w:rsidR="00022648" w:rsidRPr="005269E6">
        <w:rPr>
          <w:spacing w:val="-4"/>
          <w:lang w:bidi="ar-EG"/>
        </w:rPr>
        <w:t>2021</w:t>
      </w:r>
      <w:r w:rsidRPr="005269E6">
        <w:rPr>
          <w:rFonts w:hint="cs"/>
          <w:spacing w:val="-4"/>
          <w:rtl/>
          <w:lang w:bidi="ar-EG"/>
        </w:rPr>
        <w:t xml:space="preserve">. </w:t>
      </w:r>
      <w:r w:rsidRPr="005269E6">
        <w:rPr>
          <w:rtl/>
          <w:lang w:bidi="ar-EG"/>
        </w:rPr>
        <w:t xml:space="preserve">ويتم تمويل هذا الاحتياطي بواسطة خصم قدره </w:t>
      </w:r>
      <w:r w:rsidRPr="005269E6">
        <w:rPr>
          <w:rFonts w:hint="cs"/>
          <w:rtl/>
          <w:lang w:val="fr-CH" w:bidi="ar-EG"/>
        </w:rPr>
        <w:t>واحد</w:t>
      </w:r>
      <w:r w:rsidRPr="005269E6">
        <w:rPr>
          <w:rtl/>
          <w:lang w:bidi="ar-EG"/>
        </w:rPr>
        <w:t xml:space="preserve"> في المائة من أجور الموظفين عدا أولئك الذين يعملون لخدمة المؤتمرات والخدمات الأخرى القصيرة الأجل.</w:t>
      </w:r>
    </w:p>
    <w:p w14:paraId="7C980539" w14:textId="6DF2E566" w:rsidR="006D19CD" w:rsidRPr="005269E6" w:rsidRDefault="00681522" w:rsidP="00971B80">
      <w:pPr>
        <w:rPr>
          <w:spacing w:val="4"/>
          <w:rtl/>
          <w:lang w:bidi="ar-EG"/>
        </w:rPr>
      </w:pPr>
      <w:r w:rsidRPr="005269E6">
        <w:rPr>
          <w:rFonts w:hint="cs"/>
          <w:spacing w:val="4"/>
          <w:rtl/>
          <w:lang w:bidi="ar-EG"/>
        </w:rPr>
        <w:t>وال</w:t>
      </w:r>
      <w:r w:rsidRPr="005269E6">
        <w:rPr>
          <w:spacing w:val="4"/>
          <w:rtl/>
          <w:lang w:bidi="ar-EG"/>
        </w:rPr>
        <w:t xml:space="preserve">خصوم </w:t>
      </w:r>
      <w:r w:rsidRPr="005269E6">
        <w:rPr>
          <w:rFonts w:hint="cs"/>
          <w:spacing w:val="4"/>
          <w:rtl/>
          <w:lang w:bidi="ar-EG"/>
        </w:rPr>
        <w:t>المثبَّتة</w:t>
      </w:r>
      <w:r w:rsidRPr="005269E6">
        <w:rPr>
          <w:spacing w:val="4"/>
          <w:rtl/>
          <w:lang w:bidi="ar-EG"/>
        </w:rPr>
        <w:t xml:space="preserve"> </w:t>
      </w:r>
      <w:r w:rsidRPr="005269E6">
        <w:rPr>
          <w:rFonts w:hint="cs"/>
          <w:spacing w:val="4"/>
          <w:rtl/>
          <w:lang w:bidi="ar-EG"/>
        </w:rPr>
        <w:t>بشأن</w:t>
      </w:r>
      <w:r w:rsidRPr="005269E6">
        <w:rPr>
          <w:spacing w:val="4"/>
          <w:rtl/>
          <w:lang w:bidi="ar-EG"/>
        </w:rPr>
        <w:t xml:space="preserve"> هذه الاستحقاقات الأخرى طويلة الأجل هي القيمة الحالية لالتزامات الاستحقاقات </w:t>
      </w:r>
      <w:r w:rsidRPr="005269E6">
        <w:rPr>
          <w:rFonts w:hint="cs"/>
          <w:spacing w:val="4"/>
          <w:rtl/>
          <w:lang w:bidi="ar-EG"/>
        </w:rPr>
        <w:t>المعرَّفة</w:t>
      </w:r>
      <w:r w:rsidRPr="005269E6">
        <w:rPr>
          <w:spacing w:val="4"/>
          <w:rtl/>
          <w:lang w:bidi="ar-EG"/>
        </w:rPr>
        <w:t xml:space="preserve"> في تاريخ الإبلاغ.</w:t>
      </w:r>
      <w:r w:rsidR="00AB6381" w:rsidRPr="005269E6">
        <w:rPr>
          <w:spacing w:val="4"/>
          <w:rtl/>
          <w:lang w:bidi="ar-EG"/>
        </w:rPr>
        <w:t xml:space="preserve"> ويحسب خبير </w:t>
      </w:r>
      <w:r w:rsidR="0059394B" w:rsidRPr="005269E6">
        <w:rPr>
          <w:spacing w:val="4"/>
          <w:rtl/>
          <w:lang w:bidi="ar-EG"/>
        </w:rPr>
        <w:t>إكتواري</w:t>
      </w:r>
      <w:r w:rsidR="00AB6381" w:rsidRPr="005269E6">
        <w:rPr>
          <w:spacing w:val="4"/>
          <w:rtl/>
          <w:lang w:bidi="ar-EG"/>
        </w:rPr>
        <w:t xml:space="preserve"> مستقل الالتزام باستخدام </w:t>
      </w:r>
      <w:r w:rsidR="00AB6381" w:rsidRPr="005269E6">
        <w:rPr>
          <w:rFonts w:hint="cs"/>
          <w:spacing w:val="4"/>
          <w:rtl/>
          <w:lang w:bidi="ar-EG"/>
        </w:rPr>
        <w:t>بأسلوب</w:t>
      </w:r>
      <w:r w:rsidR="00AB6381" w:rsidRPr="005269E6">
        <w:rPr>
          <w:spacing w:val="4"/>
          <w:rtl/>
          <w:lang w:bidi="ar-EG"/>
        </w:rPr>
        <w:t xml:space="preserve"> الائتمان للوحدة المتوقعة. ويرد في بيان الأداء المالي حساب تكلفة الفائدة وتكاليف الخدمة </w:t>
      </w:r>
      <w:r w:rsidR="00AB6381" w:rsidRPr="005269E6">
        <w:rPr>
          <w:rFonts w:hint="cs"/>
          <w:spacing w:val="4"/>
          <w:rtl/>
          <w:lang w:bidi="ar-EG"/>
        </w:rPr>
        <w:t>الجارية</w:t>
      </w:r>
      <w:r w:rsidR="00AB6381" w:rsidRPr="005269E6">
        <w:rPr>
          <w:spacing w:val="4"/>
          <w:rtl/>
          <w:lang w:bidi="ar-EG"/>
        </w:rPr>
        <w:t xml:space="preserve"> والمكاسب أو الخسائر ال</w:t>
      </w:r>
      <w:r w:rsidR="0059394B" w:rsidRPr="005269E6">
        <w:rPr>
          <w:spacing w:val="4"/>
          <w:rtl/>
          <w:lang w:bidi="ar-EG"/>
        </w:rPr>
        <w:t>إكتواري</w:t>
      </w:r>
      <w:r w:rsidR="00AB6381" w:rsidRPr="005269E6">
        <w:rPr>
          <w:spacing w:val="4"/>
          <w:rtl/>
          <w:lang w:bidi="ar-EG"/>
        </w:rPr>
        <w:t>ة الناشئة عن التغيرات في الافتراضات ال</w:t>
      </w:r>
      <w:r w:rsidR="0059394B" w:rsidRPr="005269E6">
        <w:rPr>
          <w:spacing w:val="4"/>
          <w:rtl/>
          <w:lang w:bidi="ar-EG"/>
        </w:rPr>
        <w:t>إكتواري</w:t>
      </w:r>
      <w:r w:rsidR="00AB6381" w:rsidRPr="005269E6">
        <w:rPr>
          <w:spacing w:val="4"/>
          <w:rtl/>
          <w:lang w:bidi="ar-EG"/>
        </w:rPr>
        <w:t xml:space="preserve">ة أو تعديلات </w:t>
      </w:r>
      <w:r w:rsidR="00AB6381" w:rsidRPr="005269E6">
        <w:rPr>
          <w:rFonts w:hint="cs"/>
          <w:spacing w:val="4"/>
          <w:rtl/>
          <w:lang w:bidi="ar-EG"/>
        </w:rPr>
        <w:t>الخبرة</w:t>
      </w:r>
      <w:r w:rsidR="00AB6381" w:rsidRPr="005269E6">
        <w:rPr>
          <w:spacing w:val="4"/>
          <w:rtl/>
          <w:lang w:bidi="ar-EG"/>
        </w:rPr>
        <w:t>.</w:t>
      </w:r>
    </w:p>
    <w:p w14:paraId="474290E2" w14:textId="261A28D5" w:rsidR="00681522" w:rsidRPr="005269E6" w:rsidRDefault="00681522" w:rsidP="00971B80">
      <w:pPr>
        <w:rPr>
          <w:rtl/>
          <w:lang w:bidi="ar-EG"/>
        </w:rPr>
      </w:pPr>
      <w:r w:rsidRPr="005269E6">
        <w:rPr>
          <w:rtl/>
          <w:lang w:bidi="ar-EG"/>
        </w:rPr>
        <w:t xml:space="preserve">وقد قدرت آخر دراسة </w:t>
      </w:r>
      <w:r w:rsidR="0059394B" w:rsidRPr="005269E6">
        <w:rPr>
          <w:rtl/>
          <w:lang w:bidi="ar-EG"/>
        </w:rPr>
        <w:t>إكتواري</w:t>
      </w:r>
      <w:r w:rsidRPr="005269E6">
        <w:rPr>
          <w:rtl/>
          <w:lang w:bidi="ar-EG"/>
        </w:rPr>
        <w:t>ة (</w:t>
      </w:r>
      <w:r w:rsidR="00AB6381" w:rsidRPr="005269E6">
        <w:rPr>
          <w:rFonts w:hint="cs"/>
          <w:rtl/>
          <w:lang w:bidi="ar-EG"/>
        </w:rPr>
        <w:t>في</w:t>
      </w:r>
      <w:r w:rsidRPr="005269E6">
        <w:rPr>
          <w:rtl/>
          <w:lang w:bidi="ar-EG"/>
        </w:rPr>
        <w:t xml:space="preserve"> 31 ديسمبر 2022) تشمل الموظفين الممو</w:t>
      </w:r>
      <w:r w:rsidR="00AB6381" w:rsidRPr="005269E6">
        <w:rPr>
          <w:rFonts w:hint="cs"/>
          <w:rtl/>
          <w:lang w:bidi="ar-EG"/>
        </w:rPr>
        <w:t>َ</w:t>
      </w:r>
      <w:r w:rsidRPr="005269E6">
        <w:rPr>
          <w:rtl/>
          <w:lang w:bidi="ar-EG"/>
        </w:rPr>
        <w:t>لين من الميزانية العادية أن منحة الإعادة إلى الوطن الكاملة</w:t>
      </w:r>
      <w:r w:rsidR="00AB6381" w:rsidRPr="005269E6">
        <w:rPr>
          <w:rtl/>
        </w:rPr>
        <w:t xml:space="preserve"> </w:t>
      </w:r>
      <w:r w:rsidR="00AB6381" w:rsidRPr="005269E6">
        <w:rPr>
          <w:rtl/>
          <w:lang w:bidi="ar-EG"/>
        </w:rPr>
        <w:t>تبلغ</w:t>
      </w:r>
      <w:r w:rsidRPr="005269E6">
        <w:rPr>
          <w:rtl/>
          <w:lang w:bidi="ar-EG"/>
        </w:rPr>
        <w:t xml:space="preserve"> 12,3 مليون فرنك سويسري مقارنة بمبلغ 13,1 مليون فرنك سويسري في 31 ديسمبر 2021، أي بانخفاض صاف</w:t>
      </w:r>
      <w:r w:rsidR="00AB6381" w:rsidRPr="005269E6">
        <w:rPr>
          <w:rFonts w:hint="cs"/>
          <w:rtl/>
          <w:lang w:bidi="ar-EG"/>
        </w:rPr>
        <w:t>ٍ</w:t>
      </w:r>
      <w:r w:rsidRPr="005269E6">
        <w:rPr>
          <w:rtl/>
          <w:lang w:bidi="ar-EG"/>
        </w:rPr>
        <w:t xml:space="preserve"> قدره </w:t>
      </w:r>
      <w:r w:rsidR="00971B80" w:rsidRPr="005269E6">
        <w:rPr>
          <w:lang w:bidi="ar-EG"/>
        </w:rPr>
        <w:t>795 000</w:t>
      </w:r>
      <w:r w:rsidRPr="005269E6">
        <w:rPr>
          <w:rtl/>
          <w:lang w:bidi="ar-EG"/>
        </w:rPr>
        <w:t xml:space="preserve"> فرنك سويسري، </w:t>
      </w:r>
      <w:r w:rsidR="00916F06" w:rsidRPr="005269E6">
        <w:rPr>
          <w:rFonts w:hint="cs"/>
          <w:rtl/>
          <w:lang w:bidi="ar-EG"/>
        </w:rPr>
        <w:t>مثبَّت</w:t>
      </w:r>
      <w:r w:rsidRPr="005269E6">
        <w:rPr>
          <w:rtl/>
          <w:lang w:bidi="ar-EG"/>
        </w:rPr>
        <w:t xml:space="preserve"> بحكم طبيعة النفقات، في بيان الأداء المالي (البيان الثاني).</w:t>
      </w:r>
      <w:r w:rsidR="00AB6381" w:rsidRPr="005269E6">
        <w:rPr>
          <w:rFonts w:hint="cs"/>
          <w:rtl/>
          <w:lang w:bidi="ar-EG"/>
        </w:rPr>
        <w:t xml:space="preserve"> </w:t>
      </w:r>
    </w:p>
    <w:p w14:paraId="78ACDABD" w14:textId="2FC264DF" w:rsidR="00C543C6" w:rsidRPr="005269E6" w:rsidRDefault="00C543C6" w:rsidP="00C543C6">
      <w:pPr>
        <w:rPr>
          <w:rtl/>
          <w:lang w:bidi="ar-EG"/>
        </w:rPr>
      </w:pPr>
      <w:r w:rsidRPr="005269E6">
        <w:rPr>
          <w:rtl/>
          <w:lang w:bidi="ar-EG"/>
        </w:rPr>
        <w:t xml:space="preserve">ويجري كل سنة تقييم </w:t>
      </w:r>
      <w:r w:rsidR="0059394B" w:rsidRPr="005269E6">
        <w:rPr>
          <w:rtl/>
          <w:lang w:bidi="ar-EG"/>
        </w:rPr>
        <w:t>إكتواري</w:t>
      </w:r>
      <w:r w:rsidRPr="005269E6">
        <w:rPr>
          <w:rtl/>
          <w:lang w:bidi="ar-EG"/>
        </w:rPr>
        <w:t xml:space="preserve"> بحسب معايير </w:t>
      </w:r>
      <w:r w:rsidRPr="005269E6">
        <w:rPr>
          <w:lang w:val="fr-CH" w:bidi="ar-EG"/>
        </w:rPr>
        <w:t>IPSAS</w:t>
      </w:r>
      <w:r w:rsidRPr="005269E6">
        <w:rPr>
          <w:rtl/>
          <w:lang w:bidi="ar-EG"/>
        </w:rPr>
        <w:t xml:space="preserve"> يقوم به مكتب استشاري مستقل.</w:t>
      </w:r>
    </w:p>
    <w:p w14:paraId="1A506ED6" w14:textId="02BDD862" w:rsidR="00C543C6" w:rsidRPr="005269E6" w:rsidRDefault="00F0503A" w:rsidP="00F0503A">
      <w:pPr>
        <w:pStyle w:val="Heading2"/>
        <w:rPr>
          <w:rtl/>
        </w:rPr>
      </w:pPr>
      <w:bookmarkStart w:id="540" w:name="_Toc397499195"/>
      <w:bookmarkStart w:id="541" w:name="_Toc358648561"/>
      <w:bookmarkStart w:id="542" w:name="_Toc358648362"/>
      <w:bookmarkStart w:id="543" w:name="_Toc328494945"/>
      <w:bookmarkStart w:id="544" w:name="_Toc306236969"/>
      <w:r w:rsidRPr="005269E6">
        <w:rPr>
          <w:lang w:val="ru-RU" w:bidi="ar-EG"/>
        </w:rPr>
        <w:t>3</w:t>
      </w:r>
      <w:r w:rsidRPr="005269E6">
        <w:rPr>
          <w:rFonts w:asciiTheme="minorHAnsi" w:hAnsiTheme="minorHAnsi"/>
          <w:lang w:val="ru-RU" w:bidi="ar-EG"/>
        </w:rPr>
        <w:t>.18</w:t>
      </w:r>
      <w:r w:rsidR="00C543C6" w:rsidRPr="005269E6">
        <w:rPr>
          <w:rtl/>
        </w:rPr>
        <w:tab/>
      </w:r>
      <w:r w:rsidR="00C543C6" w:rsidRPr="005269E6">
        <w:rPr>
          <w:u w:val="single"/>
          <w:rtl/>
        </w:rPr>
        <w:t>استحقاقات الموظفين بموجب خطة المعاشات التقاعدية لموظفي الأمم المتحدة</w:t>
      </w:r>
      <w:bookmarkEnd w:id="540"/>
      <w:bookmarkEnd w:id="541"/>
      <w:bookmarkEnd w:id="542"/>
      <w:bookmarkEnd w:id="543"/>
      <w:bookmarkEnd w:id="544"/>
    </w:p>
    <w:p w14:paraId="1AB8D598" w14:textId="77777777" w:rsidR="00C543C6" w:rsidRPr="005269E6" w:rsidRDefault="00C543C6" w:rsidP="00C543C6">
      <w:pPr>
        <w:rPr>
          <w:rtl/>
          <w:lang w:bidi="ar-EG"/>
        </w:rPr>
      </w:pPr>
      <w:r w:rsidRPr="005269E6">
        <w:rPr>
          <w:rtl/>
          <w:lang w:bidi="ar-EG"/>
        </w:rPr>
        <w:t>الاتحاد الدولي للاتصالات منظمة عضو في صندوق الأمم المتحدة المشترك للمعاشات التقاعدية</w:t>
      </w:r>
      <w:r w:rsidRPr="005269E6">
        <w:rPr>
          <w:rFonts w:hint="eastAsia"/>
          <w:rtl/>
          <w:lang w:bidi="ar-EG"/>
        </w:rPr>
        <w:t> </w:t>
      </w:r>
      <w:r w:rsidRPr="005269E6">
        <w:rPr>
          <w:rFonts w:hint="cs"/>
          <w:rtl/>
          <w:lang w:bidi="ar-EG"/>
        </w:rPr>
        <w:t xml:space="preserve">("الصندوق")، </w:t>
      </w:r>
      <w:r w:rsidRPr="005269E6">
        <w:rPr>
          <w:rtl/>
          <w:lang w:bidi="ar-EG"/>
        </w:rPr>
        <w:t xml:space="preserve">الذي أنشأته الجمعية العامة للأمم المتحدة لتوفير استحقاقات التقاعد والوفاة والعجز وما يتصل بها للموظفين. </w:t>
      </w:r>
      <w:r w:rsidRPr="005269E6">
        <w:rPr>
          <w:rFonts w:hint="cs"/>
          <w:rtl/>
          <w:lang w:bidi="ar-EG"/>
        </w:rPr>
        <w:t xml:space="preserve">والصندوق </w:t>
      </w:r>
      <w:r w:rsidRPr="005269E6">
        <w:rPr>
          <w:rtl/>
          <w:lang w:bidi="ar-EG"/>
        </w:rPr>
        <w:t xml:space="preserve">هو خطة استحقاقات محددة ممولة متعددة أرباب العمل. وكما هو محدد في المادة </w:t>
      </w:r>
      <w:r w:rsidRPr="005269E6">
        <w:rPr>
          <w:lang w:bidi="ar-EG"/>
        </w:rPr>
        <w:t>3</w:t>
      </w:r>
      <w:r w:rsidRPr="005269E6">
        <w:rPr>
          <w:rFonts w:hint="cs"/>
          <w:rtl/>
          <w:lang w:bidi="ar-EG"/>
        </w:rPr>
        <w:t> </w:t>
      </w:r>
      <w:r w:rsidRPr="005269E6">
        <w:rPr>
          <w:rtl/>
          <w:lang w:bidi="ar-EG"/>
        </w:rPr>
        <w:t>(ب)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w:t>
      </w:r>
      <w:r w:rsidRPr="005269E6">
        <w:rPr>
          <w:rFonts w:hint="eastAsia"/>
          <w:rtl/>
          <w:lang w:bidi="ar-EG"/>
        </w:rPr>
        <w:t> </w:t>
      </w:r>
      <w:r w:rsidRPr="005269E6">
        <w:rPr>
          <w:rtl/>
          <w:lang w:bidi="ar-EG"/>
        </w:rPr>
        <w:t>المتخصصة.</w:t>
      </w:r>
    </w:p>
    <w:p w14:paraId="3FE6F77E" w14:textId="795A8B6C" w:rsidR="00C543C6" w:rsidRPr="005269E6" w:rsidRDefault="00C543C6" w:rsidP="00C543C6">
      <w:pPr>
        <w:rPr>
          <w:spacing w:val="-2"/>
          <w:rtl/>
          <w:lang w:bidi="ar-EG"/>
        </w:rPr>
      </w:pPr>
      <w:r w:rsidRPr="005269E6">
        <w:rPr>
          <w:spacing w:val="-2"/>
          <w:rtl/>
          <w:lang w:bidi="ar-EG"/>
        </w:rPr>
        <w:t>و</w:t>
      </w:r>
      <w:r w:rsidRPr="005269E6">
        <w:rPr>
          <w:rFonts w:hint="cs"/>
          <w:spacing w:val="-2"/>
          <w:rtl/>
          <w:lang w:bidi="ar-EG"/>
        </w:rPr>
        <w:t>ي</w:t>
      </w:r>
      <w:r w:rsidRPr="005269E6">
        <w:rPr>
          <w:spacing w:val="-2"/>
          <w:rtl/>
          <w:lang w:bidi="ar-EG"/>
        </w:rPr>
        <w:t>عر</w:t>
      </w:r>
      <w:r w:rsidRPr="005269E6">
        <w:rPr>
          <w:rFonts w:hint="cs"/>
          <w:spacing w:val="-2"/>
          <w:rtl/>
          <w:lang w:bidi="ar-EG"/>
        </w:rPr>
        <w:t>ّ</w:t>
      </w:r>
      <w:r w:rsidRPr="005269E6">
        <w:rPr>
          <w:spacing w:val="-2"/>
          <w:rtl/>
          <w:lang w:bidi="ar-EG"/>
        </w:rPr>
        <w:t xml:space="preserve">ض </w:t>
      </w:r>
      <w:r w:rsidRPr="005269E6">
        <w:rPr>
          <w:rFonts w:hint="cs"/>
          <w:spacing w:val="-2"/>
          <w:rtl/>
          <w:lang w:bidi="ar-EG"/>
        </w:rPr>
        <w:t>الصندوق</w:t>
      </w:r>
      <w:r w:rsidRPr="005269E6">
        <w:rPr>
          <w:spacing w:val="-2"/>
          <w:rtl/>
          <w:lang w:bidi="ar-EG"/>
        </w:rPr>
        <w:t xml:space="preserve"> المنظمات المشاركة إلى مخاطر </w:t>
      </w:r>
      <w:r w:rsidR="0059394B" w:rsidRPr="005269E6">
        <w:rPr>
          <w:rFonts w:hint="cs"/>
          <w:spacing w:val="-2"/>
          <w:rtl/>
          <w:lang w:bidi="ar-EG"/>
        </w:rPr>
        <w:t>إكتواري</w:t>
      </w:r>
      <w:r w:rsidRPr="005269E6">
        <w:rPr>
          <w:spacing w:val="-2"/>
          <w:rtl/>
          <w:lang w:bidi="ar-EG"/>
        </w:rPr>
        <w:t>ة مرتبطة بالموظفين الحاليين والسابقين في المنظمات الأخرى المشاركة في الصندوق، ونتيجة</w:t>
      </w:r>
      <w:r w:rsidRPr="005269E6">
        <w:rPr>
          <w:rFonts w:hint="cs"/>
          <w:spacing w:val="-2"/>
          <w:rtl/>
          <w:lang w:bidi="ar-EG"/>
        </w:rPr>
        <w:t>ً</w:t>
      </w:r>
      <w:r w:rsidRPr="005269E6">
        <w:rPr>
          <w:spacing w:val="-2"/>
          <w:rtl/>
          <w:lang w:bidi="ar-EG"/>
        </w:rPr>
        <w:t xml:space="preserve"> لذلك لا يوجد أساس متسق وموثوق لتخصيص الالتزامات وأصول الخطة، وتكاليف فرادى المنظمات المشاركة في </w:t>
      </w:r>
      <w:r w:rsidRPr="005269E6">
        <w:rPr>
          <w:rFonts w:hint="cs"/>
          <w:spacing w:val="-2"/>
          <w:rtl/>
          <w:lang w:bidi="ar-EG"/>
        </w:rPr>
        <w:t>الصندوق</w:t>
      </w:r>
      <w:r w:rsidRPr="005269E6">
        <w:rPr>
          <w:spacing w:val="-2"/>
          <w:rtl/>
          <w:lang w:bidi="ar-EG"/>
        </w:rPr>
        <w:t xml:space="preserve">. ومن ثم فإن </w:t>
      </w:r>
      <w:r w:rsidRPr="005269E6">
        <w:rPr>
          <w:rFonts w:hint="cs"/>
          <w:spacing w:val="-2"/>
          <w:rtl/>
          <w:lang w:bidi="ar-EG"/>
        </w:rPr>
        <w:t>الاتحاد</w:t>
      </w:r>
      <w:r w:rsidRPr="005269E6">
        <w:rPr>
          <w:spacing w:val="-2"/>
          <w:rtl/>
          <w:lang w:bidi="ar-EG"/>
        </w:rPr>
        <w:t xml:space="preserve"> والصندوق، على غرار المنظمات الأخرى المشاركة في الصندوق، ليسا في وضع يمكنهما من تحديد حصة </w:t>
      </w:r>
      <w:r w:rsidRPr="005269E6">
        <w:rPr>
          <w:rFonts w:hint="cs"/>
          <w:spacing w:val="-2"/>
          <w:rtl/>
          <w:lang w:bidi="ar-EG"/>
        </w:rPr>
        <w:t>الاتحاد</w:t>
      </w:r>
      <w:r w:rsidRPr="005269E6">
        <w:rPr>
          <w:spacing w:val="-2"/>
          <w:rtl/>
          <w:lang w:bidi="ar-EG"/>
        </w:rPr>
        <w:t xml:space="preserve"> النسبية في الالتزام بال</w:t>
      </w:r>
      <w:r w:rsidR="006B32D8" w:rsidRPr="005269E6">
        <w:rPr>
          <w:spacing w:val="-2"/>
          <w:rtl/>
          <w:lang w:bidi="ar-EG"/>
        </w:rPr>
        <w:t>استحقاقات</w:t>
      </w:r>
      <w:r w:rsidRPr="005269E6">
        <w:rPr>
          <w:spacing w:val="-2"/>
          <w:rtl/>
          <w:lang w:bidi="ar-EG"/>
        </w:rPr>
        <w:t xml:space="preserve"> المحددة، وبأصول الخطة والتكاليف المرتبطة بالخطة بقدر كاف من الموثوقية للأغراض المحاسبية. ولذا فإن </w:t>
      </w:r>
      <w:r w:rsidRPr="005269E6">
        <w:rPr>
          <w:rFonts w:hint="cs"/>
          <w:spacing w:val="-2"/>
          <w:rtl/>
          <w:lang w:bidi="ar-EG"/>
        </w:rPr>
        <w:t>الاتحاد</w:t>
      </w:r>
      <w:r w:rsidRPr="005269E6">
        <w:rPr>
          <w:spacing w:val="-2"/>
          <w:rtl/>
          <w:lang w:bidi="ar-EG"/>
        </w:rPr>
        <w:t xml:space="preserve"> </w:t>
      </w:r>
      <w:r w:rsidRPr="005269E6">
        <w:rPr>
          <w:rFonts w:hint="cs"/>
          <w:spacing w:val="-2"/>
          <w:rtl/>
          <w:lang w:bidi="ar-EG"/>
        </w:rPr>
        <w:t>ي</w:t>
      </w:r>
      <w:r w:rsidRPr="005269E6">
        <w:rPr>
          <w:spacing w:val="-2"/>
          <w:rtl/>
          <w:lang w:bidi="ar-EG"/>
        </w:rPr>
        <w:t>تعامل مع هذه الخطة كما لو كانت خطة مساهمات محددة تماشياً مع متطلبات</w:t>
      </w:r>
      <w:r w:rsidRPr="005269E6">
        <w:rPr>
          <w:rFonts w:hint="cs"/>
          <w:spacing w:val="-2"/>
          <w:rtl/>
          <w:lang w:bidi="ar-EG"/>
        </w:rPr>
        <w:t xml:space="preserve"> المعيار</w:t>
      </w:r>
      <w:r w:rsidRPr="005269E6">
        <w:rPr>
          <w:spacing w:val="-2"/>
          <w:rtl/>
          <w:lang w:bidi="ar-EG"/>
        </w:rPr>
        <w:t xml:space="preserve"> </w:t>
      </w:r>
      <w:r w:rsidRPr="005269E6">
        <w:rPr>
          <w:spacing w:val="-2"/>
          <w:lang w:val="fr-CH" w:bidi="ar-EG"/>
        </w:rPr>
        <w:t>IPSAS 39</w:t>
      </w:r>
      <w:r w:rsidRPr="005269E6">
        <w:rPr>
          <w:rFonts w:hint="cs"/>
          <w:spacing w:val="-2"/>
          <w:rtl/>
          <w:lang w:bidi="ar-EG"/>
        </w:rPr>
        <w:t xml:space="preserve"> بشأن </w:t>
      </w:r>
      <w:r w:rsidR="006B32D8" w:rsidRPr="005269E6">
        <w:rPr>
          <w:rFonts w:hint="cs"/>
          <w:spacing w:val="-2"/>
          <w:rtl/>
          <w:lang w:bidi="ar-EG"/>
        </w:rPr>
        <w:t>استحقاقات</w:t>
      </w:r>
      <w:r w:rsidRPr="005269E6">
        <w:rPr>
          <w:rFonts w:hint="cs"/>
          <w:spacing w:val="-2"/>
          <w:rtl/>
          <w:lang w:bidi="ar-EG"/>
        </w:rPr>
        <w:t xml:space="preserve"> الموظفين</w:t>
      </w:r>
      <w:r w:rsidRPr="005269E6">
        <w:rPr>
          <w:spacing w:val="-2"/>
          <w:rtl/>
          <w:lang w:bidi="ar-EG"/>
        </w:rPr>
        <w:t xml:space="preserve">. وتُدرج مساهمات </w:t>
      </w:r>
      <w:r w:rsidRPr="005269E6">
        <w:rPr>
          <w:rFonts w:hint="cs"/>
          <w:spacing w:val="-2"/>
          <w:rtl/>
          <w:lang w:bidi="ar-EG"/>
        </w:rPr>
        <w:t>الاتحاد</w:t>
      </w:r>
      <w:r w:rsidRPr="005269E6">
        <w:rPr>
          <w:spacing w:val="-2"/>
          <w:rtl/>
          <w:lang w:bidi="ar-EG"/>
        </w:rPr>
        <w:t xml:space="preserve"> في </w:t>
      </w:r>
      <w:r w:rsidRPr="005269E6">
        <w:rPr>
          <w:rFonts w:hint="cs"/>
          <w:spacing w:val="-2"/>
          <w:rtl/>
          <w:lang w:bidi="ar-EG"/>
        </w:rPr>
        <w:t xml:space="preserve">الصندوق خلال </w:t>
      </w:r>
      <w:r w:rsidRPr="005269E6">
        <w:rPr>
          <w:spacing w:val="-2"/>
          <w:rtl/>
          <w:lang w:bidi="ar-EG"/>
        </w:rPr>
        <w:t>الفترة المالية بمثابة نفقات في بيان الأداء</w:t>
      </w:r>
      <w:r w:rsidRPr="005269E6">
        <w:rPr>
          <w:rFonts w:hint="cs"/>
          <w:spacing w:val="-2"/>
          <w:rtl/>
          <w:lang w:bidi="ar-EG"/>
        </w:rPr>
        <w:t> </w:t>
      </w:r>
      <w:r w:rsidRPr="005269E6">
        <w:rPr>
          <w:spacing w:val="-2"/>
          <w:rtl/>
          <w:lang w:bidi="ar-EG"/>
        </w:rPr>
        <w:t>المالي.</w:t>
      </w:r>
    </w:p>
    <w:p w14:paraId="1AB17D5C" w14:textId="3AF61615" w:rsidR="00C543C6" w:rsidRPr="005269E6" w:rsidRDefault="00C543C6" w:rsidP="00C543C6">
      <w:pPr>
        <w:rPr>
          <w:rtl/>
          <w:lang w:bidi="ar-EG"/>
        </w:rPr>
      </w:pPr>
      <w:r w:rsidRPr="005269E6">
        <w:rPr>
          <w:rFonts w:hint="cs"/>
          <w:rtl/>
          <w:lang w:bidi="ar-EG"/>
        </w:rPr>
        <w:t>و</w:t>
      </w:r>
      <w:r w:rsidRPr="005269E6">
        <w:rPr>
          <w:rtl/>
          <w:lang w:bidi="ar-EG"/>
        </w:rPr>
        <w:t xml:space="preserve">ينص النظام الأساسي </w:t>
      </w:r>
      <w:r w:rsidRPr="005269E6">
        <w:rPr>
          <w:rFonts w:hint="cs"/>
          <w:rtl/>
          <w:lang w:bidi="ar-EG"/>
        </w:rPr>
        <w:t>ل</w:t>
      </w:r>
      <w:r w:rsidRPr="005269E6">
        <w:rPr>
          <w:rtl/>
          <w:lang w:bidi="ar-EG"/>
        </w:rPr>
        <w:t xml:space="preserve">لصندوق على أن يقوم مجلس الصندوق بإجراء تقييم </w:t>
      </w:r>
      <w:r w:rsidR="0059394B" w:rsidRPr="005269E6">
        <w:rPr>
          <w:rtl/>
          <w:lang w:bidi="ar-EG"/>
        </w:rPr>
        <w:t>إكتواري</w:t>
      </w:r>
      <w:r w:rsidRPr="005269E6">
        <w:rPr>
          <w:rtl/>
          <w:lang w:bidi="ar-EG"/>
        </w:rPr>
        <w:t xml:space="preserve"> للصندوق مرة على الأقل كل ثلاث سنوات من قبل مكتب الخبير ال</w:t>
      </w:r>
      <w:r w:rsidR="0059394B" w:rsidRPr="005269E6">
        <w:rPr>
          <w:rtl/>
          <w:lang w:bidi="ar-EG"/>
        </w:rPr>
        <w:t>إكتواري</w:t>
      </w:r>
      <w:r w:rsidRPr="005269E6">
        <w:rPr>
          <w:rtl/>
          <w:lang w:bidi="ar-EG"/>
        </w:rPr>
        <w:t xml:space="preserve"> الاستشاري. وقد جرت العادة في مجلس الصندوق على إجراء التقييم ال</w:t>
      </w:r>
      <w:r w:rsidR="0059394B" w:rsidRPr="005269E6">
        <w:rPr>
          <w:rtl/>
          <w:lang w:bidi="ar-EG"/>
        </w:rPr>
        <w:t>إكتواري</w:t>
      </w:r>
      <w:r w:rsidRPr="005269E6">
        <w:rPr>
          <w:rtl/>
          <w:lang w:bidi="ar-EG"/>
        </w:rPr>
        <w:t xml:space="preserve"> كل سنتين باستخدام أسلوب التراكم المفتوح. والغرض الرئيسي من التقييم ال</w:t>
      </w:r>
      <w:r w:rsidR="0059394B" w:rsidRPr="005269E6">
        <w:rPr>
          <w:rtl/>
          <w:lang w:bidi="ar-EG"/>
        </w:rPr>
        <w:t>إكتواري</w:t>
      </w:r>
      <w:r w:rsidRPr="005269E6">
        <w:rPr>
          <w:rtl/>
          <w:lang w:bidi="ar-EG"/>
        </w:rPr>
        <w:t xml:space="preserve"> هو تحديد ما إذا كانت الأصول الحالية والمستقبلية المقدرة ل</w:t>
      </w:r>
      <w:r w:rsidRPr="005269E6">
        <w:rPr>
          <w:rFonts w:hint="cs"/>
          <w:rtl/>
          <w:lang w:bidi="ar-EG"/>
        </w:rPr>
        <w:t>ل</w:t>
      </w:r>
      <w:r w:rsidRPr="005269E6">
        <w:rPr>
          <w:rtl/>
          <w:lang w:bidi="ar-EG"/>
        </w:rPr>
        <w:t>صندوق ستكون كافية للوفاء بالتزاماته.</w:t>
      </w:r>
    </w:p>
    <w:p w14:paraId="2622EB12" w14:textId="06B208D4" w:rsidR="00C543C6" w:rsidRPr="005269E6" w:rsidRDefault="00C543C6" w:rsidP="00C543C6">
      <w:pPr>
        <w:rPr>
          <w:rtl/>
          <w:lang w:bidi="ar-EG"/>
        </w:rPr>
      </w:pPr>
      <w:r w:rsidRPr="005269E6">
        <w:rPr>
          <w:rtl/>
          <w:lang w:bidi="ar-EG"/>
        </w:rPr>
        <w:t xml:space="preserve">ويتألف </w:t>
      </w:r>
      <w:r w:rsidRPr="005269E6">
        <w:rPr>
          <w:rFonts w:hint="cs"/>
          <w:rtl/>
          <w:lang w:bidi="ar-EG"/>
        </w:rPr>
        <w:t>ال</w:t>
      </w:r>
      <w:r w:rsidRPr="005269E6">
        <w:rPr>
          <w:rtl/>
          <w:lang w:bidi="ar-EG"/>
        </w:rPr>
        <w:t xml:space="preserve">التزام المالي </w:t>
      </w:r>
      <w:r w:rsidRPr="005269E6">
        <w:rPr>
          <w:rFonts w:hint="cs"/>
          <w:rtl/>
          <w:lang w:bidi="ar-EG"/>
        </w:rPr>
        <w:t xml:space="preserve">للاتحاد </w:t>
      </w:r>
      <w:r w:rsidRPr="005269E6">
        <w:rPr>
          <w:rtl/>
          <w:lang w:bidi="ar-EG"/>
        </w:rPr>
        <w:t xml:space="preserve">إزاء الصندوق من حصته الإجبارية، بالمعدل الذي تحدده الجمعية العامة للأمم المتحدة (حالياً بنسبة </w:t>
      </w:r>
      <w:r w:rsidRPr="005269E6">
        <w:rPr>
          <w:lang w:bidi="ar-EG"/>
        </w:rPr>
        <w:t>7,9</w:t>
      </w:r>
      <w:r w:rsidRPr="005269E6">
        <w:rPr>
          <w:rFonts w:hint="cs"/>
          <w:rtl/>
          <w:lang w:bidi="ar-EG"/>
        </w:rPr>
        <w:t> </w:t>
      </w:r>
      <w:r w:rsidRPr="005269E6">
        <w:rPr>
          <w:rtl/>
          <w:lang w:bidi="ar-EG"/>
        </w:rPr>
        <w:t>في المائة للمشاركين و</w:t>
      </w:r>
      <w:r w:rsidRPr="005269E6">
        <w:rPr>
          <w:lang w:bidi="ar-EG"/>
        </w:rPr>
        <w:t>15,8</w:t>
      </w:r>
      <w:r w:rsidRPr="005269E6">
        <w:rPr>
          <w:rtl/>
          <w:lang w:bidi="ar-EG"/>
        </w:rPr>
        <w:t xml:space="preserve"> في المائة للمنظمات الأعضاء) بالإضافة إلى ذلك الجزء من أي مدفوعات مطلوبة بغرض تغطية أي عجز </w:t>
      </w:r>
      <w:r w:rsidR="0059394B" w:rsidRPr="005269E6">
        <w:rPr>
          <w:rtl/>
          <w:lang w:bidi="ar-EG"/>
        </w:rPr>
        <w:t>إكتواري</w:t>
      </w:r>
      <w:r w:rsidRPr="005269E6">
        <w:rPr>
          <w:rtl/>
          <w:lang w:bidi="ar-EG"/>
        </w:rPr>
        <w:t xml:space="preserve"> وفقاً للمادة </w:t>
      </w:r>
      <w:r w:rsidRPr="005269E6">
        <w:rPr>
          <w:lang w:bidi="ar-EG"/>
        </w:rPr>
        <w:t>26</w:t>
      </w:r>
      <w:r w:rsidRPr="005269E6">
        <w:rPr>
          <w:rtl/>
          <w:lang w:bidi="ar-EG"/>
        </w:rPr>
        <w:t xml:space="preserve"> من النظام الأساسي </w:t>
      </w:r>
      <w:r w:rsidRPr="005269E6">
        <w:rPr>
          <w:rFonts w:hint="cs"/>
          <w:rtl/>
          <w:lang w:bidi="ar-EG"/>
        </w:rPr>
        <w:t xml:space="preserve">لصندوق </w:t>
      </w:r>
      <w:r w:rsidRPr="005269E6">
        <w:rPr>
          <w:color w:val="000000"/>
          <w:rtl/>
        </w:rPr>
        <w:t>المعاشات التقاعدية</w:t>
      </w:r>
      <w:r w:rsidRPr="005269E6">
        <w:rPr>
          <w:rtl/>
          <w:lang w:bidi="ar-EG"/>
        </w:rPr>
        <w:t xml:space="preserve">. ولا تدفع هذه المبالغ لتغطية أي عجز ما لم تقرر الجمعية العامة التمسك بأحكام المادة </w:t>
      </w:r>
      <w:r w:rsidRPr="005269E6">
        <w:rPr>
          <w:lang w:bidi="ar-EG"/>
        </w:rPr>
        <w:t>26</w:t>
      </w:r>
      <w:r w:rsidRPr="005269E6">
        <w:rPr>
          <w:rtl/>
          <w:lang w:bidi="ar-EG"/>
        </w:rPr>
        <w:t>، عندما يتحدد أن دفع هذه المبالغ ضروري انطلاقاً من تقييم الحالة ال</w:t>
      </w:r>
      <w:r w:rsidR="0059394B" w:rsidRPr="005269E6">
        <w:rPr>
          <w:rtl/>
          <w:lang w:bidi="ar-EG"/>
        </w:rPr>
        <w:t>إكتواري</w:t>
      </w:r>
      <w:r w:rsidRPr="005269E6">
        <w:rPr>
          <w:rtl/>
          <w:lang w:bidi="ar-EG"/>
        </w:rPr>
        <w:t xml:space="preserve">ة للصندوق وقت التقييم. ويتعين على كل منظمة عضو أن تسهم في هذا العجز بمبلغ </w:t>
      </w:r>
      <w:r w:rsidRPr="005269E6">
        <w:rPr>
          <w:rFonts w:hint="cs"/>
          <w:rtl/>
          <w:lang w:bidi="ar-EG"/>
        </w:rPr>
        <w:t>م</w:t>
      </w:r>
      <w:r w:rsidRPr="005269E6">
        <w:rPr>
          <w:rtl/>
          <w:lang w:bidi="ar-EG"/>
        </w:rPr>
        <w:t>تناسب مع مجموع المساهمات التي تدفعها كل منها خلال السنوات</w:t>
      </w:r>
      <w:r w:rsidRPr="005269E6">
        <w:rPr>
          <w:rFonts w:hint="cs"/>
          <w:rtl/>
          <w:lang w:bidi="ar-EG"/>
        </w:rPr>
        <w:t> </w:t>
      </w:r>
      <w:r w:rsidRPr="005269E6">
        <w:rPr>
          <w:rtl/>
          <w:lang w:bidi="ar-EG"/>
        </w:rPr>
        <w:t>الثلاث السابقة لتاريخ التقييم.</w:t>
      </w:r>
    </w:p>
    <w:p w14:paraId="24A0D14E" w14:textId="3D269AB0" w:rsidR="00C543C6" w:rsidRPr="005269E6" w:rsidRDefault="00C543C6" w:rsidP="00C543C6">
      <w:pPr>
        <w:rPr>
          <w:rtl/>
          <w:lang w:bidi="ar-EG"/>
        </w:rPr>
      </w:pPr>
      <w:r w:rsidRPr="005269E6">
        <w:rPr>
          <w:rFonts w:hint="cs"/>
          <w:rtl/>
          <w:lang w:bidi="ar-EG"/>
        </w:rPr>
        <w:t xml:space="preserve">واستُكمل أحدث </w:t>
      </w:r>
      <w:r w:rsidRPr="005269E6">
        <w:rPr>
          <w:rFonts w:hint="eastAsia"/>
          <w:rtl/>
          <w:lang w:bidi="ar-EG"/>
        </w:rPr>
        <w:t>تقييم</w:t>
      </w:r>
      <w:r w:rsidRPr="005269E6">
        <w:rPr>
          <w:rtl/>
          <w:lang w:bidi="ar-EG"/>
        </w:rPr>
        <w:t xml:space="preserve"> </w:t>
      </w:r>
      <w:r w:rsidR="0059394B" w:rsidRPr="005269E6">
        <w:rPr>
          <w:rFonts w:hint="eastAsia"/>
          <w:rtl/>
          <w:lang w:bidi="ar-EG"/>
        </w:rPr>
        <w:t>إكتواري</w:t>
      </w:r>
      <w:r w:rsidRPr="005269E6">
        <w:rPr>
          <w:rtl/>
          <w:lang w:bidi="ar-EG"/>
        </w:rPr>
        <w:t xml:space="preserve"> </w:t>
      </w:r>
      <w:r w:rsidRPr="005269E6">
        <w:rPr>
          <w:rFonts w:hint="cs"/>
          <w:rtl/>
          <w:lang w:bidi="ar-EG"/>
        </w:rPr>
        <w:t>للصندوق</w:t>
      </w:r>
      <w:r w:rsidRPr="005269E6">
        <w:rPr>
          <w:rtl/>
          <w:lang w:bidi="ar-EG"/>
        </w:rPr>
        <w:t xml:space="preserve"> </w:t>
      </w:r>
      <w:r w:rsidRPr="005269E6">
        <w:rPr>
          <w:rFonts w:hint="cs"/>
          <w:rtl/>
          <w:lang w:bidi="ar-EG"/>
        </w:rPr>
        <w:t>في </w:t>
      </w:r>
      <w:r w:rsidRPr="005269E6">
        <w:rPr>
          <w:lang w:bidi="ar-EG"/>
        </w:rPr>
        <w:t>31</w:t>
      </w:r>
      <w:r w:rsidRPr="005269E6">
        <w:rPr>
          <w:rFonts w:hint="cs"/>
          <w:rtl/>
          <w:lang w:bidi="ar-EG"/>
        </w:rPr>
        <w:t> </w:t>
      </w:r>
      <w:r w:rsidRPr="005269E6">
        <w:rPr>
          <w:rFonts w:hint="eastAsia"/>
          <w:rtl/>
          <w:lang w:bidi="ar-EG"/>
        </w:rPr>
        <w:t>ديسمبر</w:t>
      </w:r>
      <w:r w:rsidRPr="005269E6">
        <w:rPr>
          <w:rtl/>
          <w:lang w:bidi="ar-EG"/>
        </w:rPr>
        <w:t xml:space="preserve"> </w:t>
      </w:r>
      <w:r w:rsidR="00B725E9" w:rsidRPr="005269E6">
        <w:rPr>
          <w:lang w:bidi="ar-EG"/>
        </w:rPr>
        <w:t>2021</w:t>
      </w:r>
      <w:r w:rsidRPr="005269E6">
        <w:rPr>
          <w:rFonts w:hint="cs"/>
          <w:rtl/>
          <w:lang w:bidi="ar-EG"/>
        </w:rPr>
        <w:t xml:space="preserve">، </w:t>
      </w:r>
      <w:r w:rsidR="00916F06" w:rsidRPr="005269E6">
        <w:rPr>
          <w:rFonts w:hint="cs"/>
          <w:rtl/>
          <w:lang w:bidi="ar-EG"/>
        </w:rPr>
        <w:t>وقد</w:t>
      </w:r>
      <w:r w:rsidRPr="005269E6">
        <w:rPr>
          <w:rFonts w:hint="cs"/>
          <w:rtl/>
          <w:lang w:bidi="ar-EG"/>
        </w:rPr>
        <w:t xml:space="preserve"> </w:t>
      </w:r>
      <w:r w:rsidR="00916F06" w:rsidRPr="005269E6">
        <w:rPr>
          <w:rFonts w:hint="cs"/>
          <w:rtl/>
          <w:lang w:bidi="ar-EG"/>
        </w:rPr>
        <w:t>ا</w:t>
      </w:r>
      <w:r w:rsidRPr="005269E6">
        <w:rPr>
          <w:rFonts w:hint="cs"/>
          <w:rtl/>
          <w:lang w:bidi="ar-EG"/>
        </w:rPr>
        <w:t>ست</w:t>
      </w:r>
      <w:r w:rsidR="00916F06" w:rsidRPr="005269E6">
        <w:rPr>
          <w:rFonts w:hint="cs"/>
          <w:rtl/>
          <w:lang w:bidi="ar-EG"/>
        </w:rPr>
        <w:t>ُ</w:t>
      </w:r>
      <w:r w:rsidRPr="005269E6">
        <w:rPr>
          <w:rFonts w:hint="cs"/>
          <w:rtl/>
          <w:lang w:bidi="ar-EG"/>
        </w:rPr>
        <w:t>خدم الصندوق ترحيل بيانات المشاركة في</w:t>
      </w:r>
      <w:r w:rsidRPr="005269E6">
        <w:rPr>
          <w:rFonts w:hint="eastAsia"/>
          <w:rtl/>
          <w:lang w:bidi="ar-EG"/>
        </w:rPr>
        <w:t> </w:t>
      </w:r>
      <w:r w:rsidRPr="005269E6">
        <w:rPr>
          <w:lang w:bidi="ar-EG"/>
        </w:rPr>
        <w:t>31</w:t>
      </w:r>
      <w:r w:rsidRPr="005269E6">
        <w:rPr>
          <w:rFonts w:hint="eastAsia"/>
          <w:rtl/>
          <w:lang w:bidi="ar-EG"/>
        </w:rPr>
        <w:t> </w:t>
      </w:r>
      <w:r w:rsidRPr="005269E6">
        <w:rPr>
          <w:rFonts w:hint="cs"/>
          <w:rtl/>
          <w:lang w:bidi="ar-EG"/>
        </w:rPr>
        <w:t>ديسمبر</w:t>
      </w:r>
      <w:r w:rsidRPr="005269E6">
        <w:rPr>
          <w:rFonts w:hint="eastAsia"/>
          <w:rtl/>
          <w:lang w:bidi="ar-EG"/>
        </w:rPr>
        <w:t> </w:t>
      </w:r>
      <w:r w:rsidR="00B725E9" w:rsidRPr="005269E6">
        <w:rPr>
          <w:lang w:bidi="ar-EG"/>
        </w:rPr>
        <w:t>2021</w:t>
      </w:r>
      <w:r w:rsidRPr="005269E6">
        <w:rPr>
          <w:rFonts w:hint="cs"/>
          <w:rtl/>
          <w:lang w:bidi="ar-EG"/>
        </w:rPr>
        <w:t xml:space="preserve"> إلى </w:t>
      </w:r>
      <w:r w:rsidRPr="005269E6">
        <w:rPr>
          <w:lang w:bidi="ar-EG"/>
        </w:rPr>
        <w:t>31</w:t>
      </w:r>
      <w:r w:rsidRPr="005269E6">
        <w:rPr>
          <w:rFonts w:hint="cs"/>
          <w:rtl/>
          <w:lang w:bidi="ar-EG"/>
        </w:rPr>
        <w:t xml:space="preserve"> ديسمبر </w:t>
      </w:r>
      <w:r w:rsidR="00B725E9" w:rsidRPr="005269E6">
        <w:rPr>
          <w:lang w:bidi="ar-EG"/>
        </w:rPr>
        <w:t>2022</w:t>
      </w:r>
      <w:r w:rsidRPr="005269E6">
        <w:rPr>
          <w:rFonts w:hint="cs"/>
          <w:rtl/>
          <w:lang w:bidi="ar-EG"/>
        </w:rPr>
        <w:t xml:space="preserve"> من أجل بياناته المالية لعام </w:t>
      </w:r>
      <w:r w:rsidR="00B725E9" w:rsidRPr="005269E6">
        <w:rPr>
          <w:lang w:bidi="ar-EG"/>
        </w:rPr>
        <w:t>2022</w:t>
      </w:r>
      <w:r w:rsidRPr="005269E6">
        <w:rPr>
          <w:rFonts w:hint="cs"/>
          <w:rtl/>
          <w:lang w:bidi="ar-EG"/>
        </w:rPr>
        <w:t>.</w:t>
      </w:r>
    </w:p>
    <w:p w14:paraId="488A66EA" w14:textId="14DAABDD" w:rsidR="00C543C6" w:rsidRPr="005269E6" w:rsidRDefault="00C543C6" w:rsidP="00C543C6">
      <w:pPr>
        <w:rPr>
          <w:spacing w:val="-4"/>
          <w:rtl/>
          <w:lang w:bidi="ar-EG"/>
        </w:rPr>
      </w:pPr>
      <w:r w:rsidRPr="005269E6">
        <w:rPr>
          <w:rFonts w:hint="cs"/>
          <w:spacing w:val="-4"/>
          <w:rtl/>
          <w:lang w:bidi="ar-EG"/>
        </w:rPr>
        <w:lastRenderedPageBreak/>
        <w:t xml:space="preserve">ونتج عن </w:t>
      </w:r>
      <w:r w:rsidRPr="005269E6">
        <w:rPr>
          <w:color w:val="000000"/>
          <w:spacing w:val="-4"/>
          <w:rtl/>
        </w:rPr>
        <w:t>التقييم ال</w:t>
      </w:r>
      <w:r w:rsidR="0059394B" w:rsidRPr="005269E6">
        <w:rPr>
          <w:color w:val="000000"/>
          <w:spacing w:val="-4"/>
          <w:rtl/>
        </w:rPr>
        <w:t>إكتواري</w:t>
      </w:r>
      <w:r w:rsidRPr="005269E6">
        <w:rPr>
          <w:color w:val="000000"/>
          <w:spacing w:val="-4"/>
          <w:rtl/>
        </w:rPr>
        <w:t xml:space="preserve"> </w:t>
      </w:r>
      <w:r w:rsidRPr="005269E6">
        <w:rPr>
          <w:rFonts w:hint="cs"/>
          <w:spacing w:val="-4"/>
          <w:rtl/>
          <w:lang w:bidi="ar-EG"/>
        </w:rPr>
        <w:t xml:space="preserve">في </w:t>
      </w:r>
      <w:r w:rsidRPr="005269E6">
        <w:rPr>
          <w:spacing w:val="-4"/>
          <w:lang w:bidi="ar-EG"/>
        </w:rPr>
        <w:t>31</w:t>
      </w:r>
      <w:r w:rsidRPr="005269E6">
        <w:rPr>
          <w:rFonts w:hint="cs"/>
          <w:spacing w:val="-4"/>
          <w:rtl/>
          <w:lang w:bidi="ar-EG"/>
        </w:rPr>
        <w:t xml:space="preserve"> ديسمبر </w:t>
      </w:r>
      <w:r w:rsidR="00B725E9" w:rsidRPr="005269E6">
        <w:rPr>
          <w:spacing w:val="-4"/>
          <w:lang w:bidi="ar-EG"/>
        </w:rPr>
        <w:t>2021</w:t>
      </w:r>
      <w:r w:rsidRPr="005269E6">
        <w:rPr>
          <w:rFonts w:hint="cs"/>
          <w:spacing w:val="-4"/>
          <w:rtl/>
          <w:lang w:bidi="ar-EG"/>
        </w:rPr>
        <w:t xml:space="preserve"> </w:t>
      </w:r>
      <w:r w:rsidRPr="005269E6">
        <w:rPr>
          <w:rFonts w:hint="eastAsia"/>
          <w:spacing w:val="-4"/>
          <w:rtl/>
          <w:lang w:bidi="ar-EG"/>
        </w:rPr>
        <w:t>نسبة</w:t>
      </w:r>
      <w:r w:rsidRPr="005269E6">
        <w:rPr>
          <w:spacing w:val="-4"/>
          <w:rtl/>
          <w:lang w:bidi="ar-EG"/>
        </w:rPr>
        <w:t xml:space="preserve"> </w:t>
      </w:r>
      <w:r w:rsidRPr="005269E6">
        <w:rPr>
          <w:rFonts w:hint="eastAsia"/>
          <w:spacing w:val="-4"/>
          <w:rtl/>
          <w:lang w:bidi="ar-EG"/>
        </w:rPr>
        <w:t>ممولة</w:t>
      </w:r>
      <w:r w:rsidRPr="005269E6">
        <w:rPr>
          <w:spacing w:val="-4"/>
          <w:rtl/>
          <w:lang w:bidi="ar-EG"/>
        </w:rPr>
        <w:t xml:space="preserve"> </w:t>
      </w:r>
      <w:r w:rsidRPr="005269E6">
        <w:rPr>
          <w:rFonts w:hint="eastAsia"/>
          <w:spacing w:val="-4"/>
          <w:rtl/>
          <w:lang w:bidi="ar-EG"/>
        </w:rPr>
        <w:t>من</w:t>
      </w:r>
      <w:r w:rsidRPr="005269E6">
        <w:rPr>
          <w:spacing w:val="-4"/>
          <w:rtl/>
          <w:lang w:bidi="ar-EG"/>
        </w:rPr>
        <w:t xml:space="preserve"> </w:t>
      </w:r>
      <w:r w:rsidRPr="005269E6">
        <w:rPr>
          <w:rFonts w:hint="eastAsia"/>
          <w:spacing w:val="-4"/>
          <w:rtl/>
          <w:lang w:bidi="ar-EG"/>
        </w:rPr>
        <w:t>الأصول</w:t>
      </w:r>
      <w:r w:rsidRPr="005269E6">
        <w:rPr>
          <w:spacing w:val="-4"/>
          <w:rtl/>
          <w:lang w:bidi="ar-EG"/>
        </w:rPr>
        <w:t xml:space="preserve"> </w:t>
      </w:r>
      <w:r w:rsidRPr="005269E6">
        <w:rPr>
          <w:rFonts w:hint="eastAsia"/>
          <w:spacing w:val="-4"/>
          <w:rtl/>
          <w:lang w:bidi="ar-EG"/>
        </w:rPr>
        <w:t>ال</w:t>
      </w:r>
      <w:r w:rsidR="0059394B" w:rsidRPr="005269E6">
        <w:rPr>
          <w:rFonts w:hint="eastAsia"/>
          <w:spacing w:val="-4"/>
          <w:rtl/>
          <w:lang w:bidi="ar-EG"/>
        </w:rPr>
        <w:t>إكتواري</w:t>
      </w:r>
      <w:r w:rsidRPr="005269E6">
        <w:rPr>
          <w:rFonts w:hint="eastAsia"/>
          <w:spacing w:val="-4"/>
          <w:rtl/>
          <w:lang w:bidi="ar-EG"/>
        </w:rPr>
        <w:t>ة</w:t>
      </w:r>
      <w:r w:rsidRPr="005269E6">
        <w:rPr>
          <w:spacing w:val="-4"/>
          <w:rtl/>
          <w:lang w:bidi="ar-EG"/>
        </w:rPr>
        <w:t xml:space="preserve"> </w:t>
      </w:r>
      <w:r w:rsidRPr="005269E6">
        <w:rPr>
          <w:rFonts w:hint="eastAsia"/>
          <w:spacing w:val="-4"/>
          <w:rtl/>
          <w:lang w:bidi="ar-EG"/>
        </w:rPr>
        <w:t>إلى</w:t>
      </w:r>
      <w:r w:rsidRPr="005269E6">
        <w:rPr>
          <w:spacing w:val="-4"/>
          <w:rtl/>
          <w:lang w:bidi="ar-EG"/>
        </w:rPr>
        <w:t xml:space="preserve"> </w:t>
      </w:r>
      <w:r w:rsidRPr="005269E6">
        <w:rPr>
          <w:rFonts w:hint="eastAsia"/>
          <w:spacing w:val="-4"/>
          <w:rtl/>
          <w:lang w:bidi="ar-EG"/>
        </w:rPr>
        <w:t>الخصوم</w:t>
      </w:r>
      <w:r w:rsidRPr="005269E6">
        <w:rPr>
          <w:spacing w:val="-4"/>
          <w:rtl/>
          <w:lang w:bidi="ar-EG"/>
        </w:rPr>
        <w:t xml:space="preserve"> </w:t>
      </w:r>
      <w:r w:rsidRPr="005269E6">
        <w:rPr>
          <w:rFonts w:hint="eastAsia"/>
          <w:spacing w:val="-4"/>
          <w:rtl/>
          <w:lang w:bidi="ar-EG"/>
        </w:rPr>
        <w:t>ال</w:t>
      </w:r>
      <w:r w:rsidR="0059394B" w:rsidRPr="005269E6">
        <w:rPr>
          <w:rFonts w:hint="eastAsia"/>
          <w:spacing w:val="-4"/>
          <w:rtl/>
          <w:lang w:bidi="ar-EG"/>
        </w:rPr>
        <w:t>إكتواري</w:t>
      </w:r>
      <w:r w:rsidRPr="005269E6">
        <w:rPr>
          <w:rFonts w:hint="eastAsia"/>
          <w:spacing w:val="-4"/>
          <w:rtl/>
          <w:lang w:bidi="ar-EG"/>
        </w:rPr>
        <w:t>ة</w:t>
      </w:r>
      <w:r w:rsidRPr="005269E6">
        <w:rPr>
          <w:spacing w:val="-4"/>
          <w:rtl/>
          <w:lang w:bidi="ar-EG"/>
        </w:rPr>
        <w:t xml:space="preserve"> </w:t>
      </w:r>
      <w:r w:rsidRPr="005269E6">
        <w:rPr>
          <w:rFonts w:hint="cs"/>
          <w:spacing w:val="-4"/>
          <w:rtl/>
          <w:lang w:bidi="ar-EG"/>
        </w:rPr>
        <w:t xml:space="preserve">بلغت </w:t>
      </w:r>
      <w:r w:rsidR="00B725E9" w:rsidRPr="005269E6">
        <w:rPr>
          <w:spacing w:val="-4"/>
          <w:lang w:bidi="ar-EG"/>
        </w:rPr>
        <w:t>117</w:t>
      </w:r>
      <w:r w:rsidRPr="005269E6">
        <w:rPr>
          <w:spacing w:val="-4"/>
          <w:lang w:bidi="ar-EG"/>
        </w:rPr>
        <w:t>,</w:t>
      </w:r>
      <w:r w:rsidR="00B725E9" w:rsidRPr="005269E6">
        <w:rPr>
          <w:spacing w:val="-4"/>
          <w:lang w:bidi="ar-EG"/>
        </w:rPr>
        <w:t>0</w:t>
      </w:r>
      <w:r w:rsidRPr="005269E6">
        <w:rPr>
          <w:rFonts w:hint="cs"/>
          <w:spacing w:val="-4"/>
          <w:rtl/>
          <w:lang w:bidi="ar-EG"/>
        </w:rPr>
        <w:t xml:space="preserve"> في المائة (</w:t>
      </w:r>
      <w:r w:rsidR="00B725E9" w:rsidRPr="005269E6">
        <w:rPr>
          <w:spacing w:val="-4"/>
          <w:lang w:bidi="ar-EG"/>
        </w:rPr>
        <w:t>107,1</w:t>
      </w:r>
      <w:r w:rsidRPr="005269E6">
        <w:rPr>
          <w:rFonts w:hint="cs"/>
          <w:spacing w:val="-4"/>
          <w:rtl/>
          <w:lang w:bidi="ar-EG"/>
        </w:rPr>
        <w:t xml:space="preserve"> في المائة في تقييم </w:t>
      </w:r>
      <w:r w:rsidR="00B725E9" w:rsidRPr="005269E6">
        <w:rPr>
          <w:spacing w:val="-4"/>
          <w:lang w:bidi="ar-EG"/>
        </w:rPr>
        <w:t>2019</w:t>
      </w:r>
      <w:r w:rsidRPr="005269E6">
        <w:rPr>
          <w:rFonts w:hint="cs"/>
          <w:spacing w:val="-4"/>
          <w:rtl/>
          <w:lang w:bidi="ar-EG"/>
        </w:rPr>
        <w:t>). و</w:t>
      </w:r>
      <w:r w:rsidRPr="005269E6">
        <w:rPr>
          <w:rFonts w:hint="eastAsia"/>
          <w:spacing w:val="-4"/>
          <w:rtl/>
          <w:lang w:bidi="ar-EG"/>
        </w:rPr>
        <w:t>كانت</w:t>
      </w:r>
      <w:r w:rsidRPr="005269E6">
        <w:rPr>
          <w:spacing w:val="-4"/>
          <w:rtl/>
          <w:lang w:bidi="ar-EG"/>
        </w:rPr>
        <w:t xml:space="preserve"> </w:t>
      </w:r>
      <w:r w:rsidRPr="005269E6">
        <w:rPr>
          <w:rFonts w:hint="eastAsia"/>
          <w:spacing w:val="-4"/>
          <w:rtl/>
          <w:lang w:bidi="ar-EG"/>
        </w:rPr>
        <w:t>النسبة</w:t>
      </w:r>
      <w:r w:rsidRPr="005269E6">
        <w:rPr>
          <w:spacing w:val="-4"/>
          <w:rtl/>
          <w:lang w:bidi="ar-EG"/>
        </w:rPr>
        <w:t xml:space="preserve"> </w:t>
      </w:r>
      <w:r w:rsidRPr="005269E6">
        <w:rPr>
          <w:rFonts w:hint="eastAsia"/>
          <w:spacing w:val="-4"/>
          <w:rtl/>
          <w:lang w:bidi="ar-EG"/>
        </w:rPr>
        <w:t>الممولة</w:t>
      </w:r>
      <w:r w:rsidRPr="005269E6">
        <w:rPr>
          <w:spacing w:val="-4"/>
          <w:rtl/>
          <w:lang w:bidi="ar-EG"/>
        </w:rPr>
        <w:t xml:space="preserve"> </w:t>
      </w:r>
      <w:r w:rsidR="00B725E9" w:rsidRPr="005269E6">
        <w:rPr>
          <w:spacing w:val="-4"/>
          <w:lang w:bidi="ar-EG"/>
        </w:rPr>
        <w:t>158,2</w:t>
      </w:r>
      <w:r w:rsidRPr="005269E6">
        <w:rPr>
          <w:spacing w:val="-4"/>
          <w:rtl/>
          <w:lang w:bidi="ar-EG"/>
        </w:rPr>
        <w:t xml:space="preserve"> </w:t>
      </w:r>
      <w:r w:rsidRPr="005269E6">
        <w:rPr>
          <w:rFonts w:hint="cs"/>
          <w:spacing w:val="-4"/>
          <w:rtl/>
          <w:lang w:bidi="ar-EG"/>
        </w:rPr>
        <w:t>في المائة (</w:t>
      </w:r>
      <w:r w:rsidR="00B725E9" w:rsidRPr="005269E6">
        <w:rPr>
          <w:spacing w:val="-4"/>
          <w:lang w:bidi="ar-EG"/>
        </w:rPr>
        <w:t>144,4</w:t>
      </w:r>
      <w:r w:rsidRPr="005269E6">
        <w:rPr>
          <w:rFonts w:hint="cs"/>
          <w:spacing w:val="-4"/>
          <w:rtl/>
          <w:lang w:bidi="ar-EG"/>
        </w:rPr>
        <w:t xml:space="preserve"> في المائة في تقييم </w:t>
      </w:r>
      <w:r w:rsidR="00B725E9" w:rsidRPr="005269E6">
        <w:rPr>
          <w:spacing w:val="-4"/>
          <w:lang w:bidi="ar-EG"/>
        </w:rPr>
        <w:t>2019</w:t>
      </w:r>
      <w:r w:rsidRPr="005269E6">
        <w:rPr>
          <w:rFonts w:hint="cs"/>
          <w:spacing w:val="-4"/>
          <w:rtl/>
          <w:lang w:bidi="ar-EG"/>
        </w:rPr>
        <w:t xml:space="preserve">) </w:t>
      </w:r>
      <w:r w:rsidRPr="005269E6">
        <w:rPr>
          <w:rFonts w:hint="eastAsia"/>
          <w:spacing w:val="-4"/>
          <w:rtl/>
          <w:lang w:bidi="ar-EG"/>
        </w:rPr>
        <w:t>عندما</w:t>
      </w:r>
      <w:r w:rsidRPr="005269E6">
        <w:rPr>
          <w:spacing w:val="-4"/>
          <w:rtl/>
          <w:lang w:bidi="ar-EG"/>
        </w:rPr>
        <w:t xml:space="preserve"> </w:t>
      </w:r>
      <w:r w:rsidR="00916F06" w:rsidRPr="005269E6">
        <w:rPr>
          <w:rFonts w:hint="cs"/>
          <w:spacing w:val="-4"/>
          <w:rtl/>
          <w:lang w:bidi="ar-EG"/>
        </w:rPr>
        <w:t>لم يؤخذ</w:t>
      </w:r>
      <w:r w:rsidRPr="005269E6">
        <w:rPr>
          <w:spacing w:val="-4"/>
          <w:rtl/>
          <w:lang w:bidi="ar-EG"/>
        </w:rPr>
        <w:t xml:space="preserve"> </w:t>
      </w:r>
      <w:r w:rsidRPr="005269E6">
        <w:rPr>
          <w:rFonts w:hint="eastAsia"/>
          <w:spacing w:val="-4"/>
          <w:rtl/>
          <w:lang w:bidi="ar-EG"/>
        </w:rPr>
        <w:t>في</w:t>
      </w:r>
      <w:r w:rsidRPr="005269E6">
        <w:rPr>
          <w:rFonts w:hint="cs"/>
          <w:spacing w:val="-4"/>
          <w:rtl/>
          <w:lang w:bidi="ar-EG"/>
        </w:rPr>
        <w:t> </w:t>
      </w:r>
      <w:r w:rsidRPr="005269E6">
        <w:rPr>
          <w:rFonts w:hint="eastAsia"/>
          <w:spacing w:val="-4"/>
          <w:rtl/>
          <w:lang w:bidi="ar-EG"/>
        </w:rPr>
        <w:t>الحسبان</w:t>
      </w:r>
      <w:r w:rsidRPr="005269E6">
        <w:rPr>
          <w:spacing w:val="-4"/>
          <w:rtl/>
          <w:lang w:bidi="ar-EG"/>
        </w:rPr>
        <w:t xml:space="preserve"> </w:t>
      </w:r>
      <w:r w:rsidRPr="005269E6">
        <w:rPr>
          <w:rFonts w:hint="eastAsia"/>
          <w:spacing w:val="-4"/>
          <w:rtl/>
          <w:lang w:bidi="ar-EG"/>
        </w:rPr>
        <w:t>النظام</w:t>
      </w:r>
      <w:r w:rsidRPr="005269E6">
        <w:rPr>
          <w:spacing w:val="-4"/>
          <w:rtl/>
          <w:lang w:bidi="ar-EG"/>
        </w:rPr>
        <w:t xml:space="preserve"> </w:t>
      </w:r>
      <w:r w:rsidRPr="005269E6">
        <w:rPr>
          <w:rFonts w:hint="eastAsia"/>
          <w:spacing w:val="-4"/>
          <w:rtl/>
          <w:lang w:bidi="ar-EG"/>
        </w:rPr>
        <w:t>الراهن</w:t>
      </w:r>
      <w:r w:rsidRPr="005269E6">
        <w:rPr>
          <w:spacing w:val="-4"/>
          <w:rtl/>
          <w:lang w:bidi="ar-EG"/>
        </w:rPr>
        <w:t xml:space="preserve"> </w:t>
      </w:r>
      <w:r w:rsidRPr="005269E6">
        <w:rPr>
          <w:rFonts w:hint="eastAsia"/>
          <w:spacing w:val="-4"/>
          <w:rtl/>
          <w:lang w:bidi="ar-EG"/>
        </w:rPr>
        <w:t>لتسويات</w:t>
      </w:r>
      <w:r w:rsidRPr="005269E6">
        <w:rPr>
          <w:spacing w:val="-4"/>
          <w:rtl/>
          <w:lang w:bidi="ar-EG"/>
        </w:rPr>
        <w:t xml:space="preserve"> </w:t>
      </w:r>
      <w:r w:rsidRPr="005269E6">
        <w:rPr>
          <w:rFonts w:hint="eastAsia"/>
          <w:spacing w:val="-4"/>
          <w:rtl/>
          <w:lang w:bidi="ar-EG"/>
        </w:rPr>
        <w:t>المعاش</w:t>
      </w:r>
      <w:r w:rsidRPr="005269E6">
        <w:rPr>
          <w:spacing w:val="-4"/>
          <w:rtl/>
          <w:lang w:bidi="ar-EG"/>
        </w:rPr>
        <w:t xml:space="preserve"> </w:t>
      </w:r>
      <w:r w:rsidRPr="005269E6">
        <w:rPr>
          <w:rFonts w:hint="eastAsia"/>
          <w:spacing w:val="-4"/>
          <w:rtl/>
          <w:lang w:bidi="ar-EG"/>
        </w:rPr>
        <w:t>التقاعدي</w:t>
      </w:r>
      <w:r w:rsidRPr="005269E6">
        <w:rPr>
          <w:spacing w:val="-4"/>
          <w:rtl/>
          <w:lang w:bidi="ar-EG"/>
        </w:rPr>
        <w:t>.</w:t>
      </w:r>
    </w:p>
    <w:p w14:paraId="009B0716" w14:textId="3B3CA01F" w:rsidR="00C543C6" w:rsidRPr="005269E6" w:rsidRDefault="00C543C6" w:rsidP="00C543C6">
      <w:pPr>
        <w:rPr>
          <w:spacing w:val="-2"/>
          <w:rtl/>
          <w:lang w:bidi="ar-EG"/>
        </w:rPr>
      </w:pPr>
      <w:r w:rsidRPr="005269E6">
        <w:rPr>
          <w:rFonts w:hint="eastAsia"/>
          <w:spacing w:val="-2"/>
          <w:rtl/>
          <w:lang w:bidi="ar-EG"/>
        </w:rPr>
        <w:t>وبعد</w:t>
      </w:r>
      <w:r w:rsidRPr="005269E6">
        <w:rPr>
          <w:spacing w:val="-2"/>
          <w:rtl/>
          <w:lang w:bidi="ar-EG"/>
        </w:rPr>
        <w:t xml:space="preserve"> </w:t>
      </w:r>
      <w:r w:rsidRPr="005269E6">
        <w:rPr>
          <w:rFonts w:hint="eastAsia"/>
          <w:spacing w:val="-2"/>
          <w:rtl/>
          <w:lang w:bidi="ar-EG"/>
        </w:rPr>
        <w:t>تقييم</w:t>
      </w:r>
      <w:r w:rsidRPr="005269E6">
        <w:rPr>
          <w:spacing w:val="-2"/>
          <w:rtl/>
          <w:lang w:bidi="ar-EG"/>
        </w:rPr>
        <w:t xml:space="preserve"> </w:t>
      </w:r>
      <w:r w:rsidRPr="005269E6">
        <w:rPr>
          <w:rFonts w:hint="eastAsia"/>
          <w:spacing w:val="-2"/>
          <w:rtl/>
          <w:lang w:bidi="ar-EG"/>
        </w:rPr>
        <w:t>الكفاية</w:t>
      </w:r>
      <w:r w:rsidRPr="005269E6">
        <w:rPr>
          <w:spacing w:val="-2"/>
          <w:rtl/>
          <w:lang w:bidi="ar-EG"/>
        </w:rPr>
        <w:t xml:space="preserve"> </w:t>
      </w:r>
      <w:r w:rsidRPr="005269E6">
        <w:rPr>
          <w:rFonts w:hint="eastAsia"/>
          <w:spacing w:val="-2"/>
          <w:rtl/>
          <w:lang w:bidi="ar-EG"/>
        </w:rPr>
        <w:t>ال</w:t>
      </w:r>
      <w:r w:rsidR="0059394B" w:rsidRPr="005269E6">
        <w:rPr>
          <w:rFonts w:hint="eastAsia"/>
          <w:spacing w:val="-2"/>
          <w:rtl/>
          <w:lang w:bidi="ar-EG"/>
        </w:rPr>
        <w:t>إكتواري</w:t>
      </w:r>
      <w:r w:rsidRPr="005269E6">
        <w:rPr>
          <w:rFonts w:hint="eastAsia"/>
          <w:spacing w:val="-2"/>
          <w:rtl/>
          <w:lang w:bidi="ar-EG"/>
        </w:rPr>
        <w:t>ة</w:t>
      </w:r>
      <w:r w:rsidRPr="005269E6">
        <w:rPr>
          <w:spacing w:val="-2"/>
          <w:rtl/>
          <w:lang w:bidi="ar-EG"/>
        </w:rPr>
        <w:t xml:space="preserve"> </w:t>
      </w:r>
      <w:r w:rsidRPr="005269E6">
        <w:rPr>
          <w:rFonts w:hint="eastAsia"/>
          <w:spacing w:val="-2"/>
          <w:rtl/>
          <w:lang w:bidi="ar-EG"/>
        </w:rPr>
        <w:t>للصندوق،</w:t>
      </w:r>
      <w:r w:rsidRPr="005269E6">
        <w:rPr>
          <w:spacing w:val="-2"/>
          <w:rtl/>
          <w:lang w:bidi="ar-EG"/>
        </w:rPr>
        <w:t xml:space="preserve"> </w:t>
      </w:r>
      <w:r w:rsidRPr="005269E6">
        <w:rPr>
          <w:rFonts w:hint="eastAsia"/>
          <w:spacing w:val="-2"/>
          <w:rtl/>
          <w:lang w:bidi="ar-EG"/>
        </w:rPr>
        <w:t>خلص</w:t>
      </w:r>
      <w:r w:rsidRPr="005269E6">
        <w:rPr>
          <w:spacing w:val="-2"/>
          <w:rtl/>
          <w:lang w:bidi="ar-EG"/>
        </w:rPr>
        <w:t xml:space="preserve"> </w:t>
      </w:r>
      <w:r w:rsidRPr="005269E6">
        <w:rPr>
          <w:rFonts w:hint="eastAsia"/>
          <w:spacing w:val="-2"/>
          <w:rtl/>
          <w:lang w:bidi="ar-EG"/>
        </w:rPr>
        <w:t>مكتب</w:t>
      </w:r>
      <w:r w:rsidRPr="005269E6">
        <w:rPr>
          <w:spacing w:val="-2"/>
          <w:rtl/>
          <w:lang w:bidi="ar-EG"/>
        </w:rPr>
        <w:t xml:space="preserve"> </w:t>
      </w:r>
      <w:r w:rsidRPr="005269E6">
        <w:rPr>
          <w:rFonts w:hint="eastAsia"/>
          <w:spacing w:val="-2"/>
          <w:rtl/>
          <w:lang w:bidi="ar-EG"/>
        </w:rPr>
        <w:t>الخبير</w:t>
      </w:r>
      <w:r w:rsidRPr="005269E6">
        <w:rPr>
          <w:spacing w:val="-2"/>
          <w:rtl/>
          <w:lang w:bidi="ar-EG"/>
        </w:rPr>
        <w:t xml:space="preserve"> </w:t>
      </w:r>
      <w:r w:rsidRPr="005269E6">
        <w:rPr>
          <w:rFonts w:hint="eastAsia"/>
          <w:spacing w:val="-2"/>
          <w:rtl/>
          <w:lang w:bidi="ar-EG"/>
        </w:rPr>
        <w:t>ال</w:t>
      </w:r>
      <w:r w:rsidR="0059394B" w:rsidRPr="005269E6">
        <w:rPr>
          <w:rFonts w:hint="eastAsia"/>
          <w:spacing w:val="-2"/>
          <w:rtl/>
          <w:lang w:bidi="ar-EG"/>
        </w:rPr>
        <w:t>إكتواري</w:t>
      </w:r>
      <w:r w:rsidRPr="005269E6">
        <w:rPr>
          <w:spacing w:val="-2"/>
          <w:rtl/>
          <w:lang w:bidi="ar-EG"/>
        </w:rPr>
        <w:t xml:space="preserve"> </w:t>
      </w:r>
      <w:r w:rsidRPr="005269E6">
        <w:rPr>
          <w:rFonts w:hint="eastAsia"/>
          <w:spacing w:val="-2"/>
          <w:rtl/>
          <w:lang w:bidi="ar-EG"/>
        </w:rPr>
        <w:t>الاستشاري</w:t>
      </w:r>
      <w:r w:rsidRPr="005269E6">
        <w:rPr>
          <w:spacing w:val="-2"/>
          <w:rtl/>
          <w:lang w:bidi="ar-EG"/>
        </w:rPr>
        <w:t xml:space="preserve"> </w:t>
      </w:r>
      <w:r w:rsidRPr="005269E6">
        <w:rPr>
          <w:rFonts w:hint="eastAsia"/>
          <w:spacing w:val="-2"/>
          <w:rtl/>
          <w:lang w:bidi="ar-EG"/>
        </w:rPr>
        <w:t>إلى</w:t>
      </w:r>
      <w:r w:rsidRPr="005269E6">
        <w:rPr>
          <w:spacing w:val="-2"/>
          <w:rtl/>
          <w:lang w:bidi="ar-EG"/>
        </w:rPr>
        <w:t xml:space="preserve"> </w:t>
      </w:r>
      <w:r w:rsidRPr="005269E6">
        <w:rPr>
          <w:rFonts w:hint="eastAsia"/>
          <w:spacing w:val="-2"/>
          <w:rtl/>
          <w:lang w:bidi="ar-EG"/>
        </w:rPr>
        <w:t>أنه</w:t>
      </w:r>
      <w:r w:rsidRPr="005269E6">
        <w:rPr>
          <w:spacing w:val="-2"/>
          <w:rtl/>
          <w:lang w:bidi="ar-EG"/>
        </w:rPr>
        <w:t xml:space="preserve"> </w:t>
      </w:r>
      <w:r w:rsidRPr="005269E6">
        <w:rPr>
          <w:rFonts w:hint="eastAsia"/>
          <w:spacing w:val="-2"/>
          <w:rtl/>
          <w:lang w:bidi="ar-EG"/>
        </w:rPr>
        <w:t>لا</w:t>
      </w:r>
      <w:r w:rsidRPr="005269E6">
        <w:rPr>
          <w:spacing w:val="-2"/>
          <w:rtl/>
          <w:lang w:bidi="ar-EG"/>
        </w:rPr>
        <w:t xml:space="preserve"> </w:t>
      </w:r>
      <w:r w:rsidRPr="005269E6">
        <w:rPr>
          <w:rFonts w:hint="eastAsia"/>
          <w:spacing w:val="-2"/>
          <w:rtl/>
          <w:lang w:bidi="ar-EG"/>
        </w:rPr>
        <w:t>ضرورة،</w:t>
      </w:r>
      <w:r w:rsidRPr="005269E6">
        <w:rPr>
          <w:spacing w:val="-2"/>
          <w:rtl/>
          <w:lang w:bidi="ar-EG"/>
        </w:rPr>
        <w:t xml:space="preserve"> </w:t>
      </w:r>
      <w:r w:rsidRPr="005269E6">
        <w:rPr>
          <w:rFonts w:hint="eastAsia"/>
          <w:spacing w:val="-2"/>
          <w:rtl/>
          <w:lang w:bidi="ar-EG"/>
        </w:rPr>
        <w:t>حسب</w:t>
      </w:r>
      <w:r w:rsidRPr="005269E6">
        <w:rPr>
          <w:spacing w:val="-2"/>
          <w:rtl/>
          <w:lang w:bidi="ar-EG"/>
        </w:rPr>
        <w:t xml:space="preserve"> </w:t>
      </w:r>
      <w:r w:rsidRPr="005269E6">
        <w:rPr>
          <w:rFonts w:hint="eastAsia"/>
          <w:spacing w:val="-2"/>
          <w:rtl/>
          <w:lang w:bidi="ar-EG"/>
        </w:rPr>
        <w:t>الوضع</w:t>
      </w:r>
      <w:r w:rsidRPr="005269E6">
        <w:rPr>
          <w:spacing w:val="-2"/>
          <w:rtl/>
          <w:lang w:bidi="ar-EG"/>
        </w:rPr>
        <w:t xml:space="preserve"> </w:t>
      </w:r>
      <w:r w:rsidRPr="005269E6">
        <w:rPr>
          <w:rFonts w:hint="eastAsia"/>
          <w:spacing w:val="-2"/>
          <w:rtl/>
          <w:lang w:bidi="ar-EG"/>
        </w:rPr>
        <w:t>في</w:t>
      </w:r>
      <w:r w:rsidRPr="005269E6">
        <w:rPr>
          <w:rFonts w:hint="cs"/>
          <w:spacing w:val="-2"/>
          <w:rtl/>
          <w:lang w:bidi="ar-EG"/>
        </w:rPr>
        <w:t> </w:t>
      </w:r>
      <w:r w:rsidRPr="005269E6">
        <w:rPr>
          <w:spacing w:val="-2"/>
          <w:lang w:bidi="ar-EG"/>
        </w:rPr>
        <w:t>31</w:t>
      </w:r>
      <w:r w:rsidRPr="005269E6">
        <w:rPr>
          <w:rFonts w:hint="cs"/>
          <w:spacing w:val="-2"/>
          <w:rtl/>
          <w:lang w:bidi="ar-EG"/>
        </w:rPr>
        <w:t> </w:t>
      </w:r>
      <w:r w:rsidRPr="005269E6">
        <w:rPr>
          <w:rFonts w:hint="eastAsia"/>
          <w:spacing w:val="-2"/>
          <w:rtl/>
          <w:lang w:bidi="ar-EG"/>
        </w:rPr>
        <w:t>ديسمبر</w:t>
      </w:r>
      <w:r w:rsidRPr="005269E6">
        <w:rPr>
          <w:rFonts w:hint="cs"/>
          <w:spacing w:val="-2"/>
          <w:rtl/>
          <w:lang w:bidi="ar-EG"/>
        </w:rPr>
        <w:t> </w:t>
      </w:r>
      <w:r w:rsidR="00B725E9" w:rsidRPr="005269E6">
        <w:rPr>
          <w:spacing w:val="-2"/>
          <w:lang w:bidi="ar-EG"/>
        </w:rPr>
        <w:t>2021</w:t>
      </w:r>
      <w:r w:rsidRPr="005269E6">
        <w:rPr>
          <w:rFonts w:hint="eastAsia"/>
          <w:spacing w:val="-2"/>
          <w:rtl/>
          <w:lang w:bidi="ar-EG"/>
        </w:rPr>
        <w:t>،</w:t>
      </w:r>
      <w:r w:rsidRPr="005269E6">
        <w:rPr>
          <w:spacing w:val="-2"/>
          <w:rtl/>
          <w:lang w:bidi="ar-EG"/>
        </w:rPr>
        <w:t xml:space="preserve"> </w:t>
      </w:r>
      <w:r w:rsidRPr="005269E6">
        <w:rPr>
          <w:rFonts w:hint="eastAsia"/>
          <w:spacing w:val="-2"/>
          <w:rtl/>
          <w:lang w:bidi="ar-EG"/>
        </w:rPr>
        <w:t>لمدفوعات</w:t>
      </w:r>
      <w:r w:rsidRPr="005269E6">
        <w:rPr>
          <w:spacing w:val="-2"/>
          <w:rtl/>
          <w:lang w:bidi="ar-EG"/>
        </w:rPr>
        <w:t xml:space="preserve"> </w:t>
      </w:r>
      <w:r w:rsidRPr="005269E6">
        <w:rPr>
          <w:rFonts w:hint="eastAsia"/>
          <w:spacing w:val="-2"/>
          <w:rtl/>
          <w:lang w:bidi="ar-EG"/>
        </w:rPr>
        <w:t>عجز</w:t>
      </w:r>
      <w:r w:rsidRPr="005269E6">
        <w:rPr>
          <w:spacing w:val="-2"/>
          <w:rtl/>
          <w:lang w:bidi="ar-EG"/>
        </w:rPr>
        <w:t xml:space="preserve"> </w:t>
      </w:r>
      <w:r w:rsidRPr="005269E6">
        <w:rPr>
          <w:rFonts w:hint="eastAsia"/>
          <w:spacing w:val="-2"/>
          <w:rtl/>
          <w:lang w:bidi="ar-EG"/>
        </w:rPr>
        <w:t>بموجب</w:t>
      </w:r>
      <w:r w:rsidRPr="005269E6">
        <w:rPr>
          <w:spacing w:val="-2"/>
          <w:rtl/>
          <w:lang w:bidi="ar-EG"/>
        </w:rPr>
        <w:t xml:space="preserve"> </w:t>
      </w:r>
      <w:r w:rsidRPr="005269E6">
        <w:rPr>
          <w:rFonts w:hint="eastAsia"/>
          <w:spacing w:val="-2"/>
          <w:rtl/>
          <w:lang w:bidi="ar-EG"/>
        </w:rPr>
        <w:t>المادة</w:t>
      </w:r>
      <w:r w:rsidRPr="005269E6">
        <w:rPr>
          <w:spacing w:val="-2"/>
          <w:rtl/>
          <w:lang w:bidi="ar-EG"/>
        </w:rPr>
        <w:t xml:space="preserve"> </w:t>
      </w:r>
      <w:r w:rsidRPr="005269E6">
        <w:rPr>
          <w:spacing w:val="-2"/>
          <w:lang w:bidi="ar-EG"/>
        </w:rPr>
        <w:t>26</w:t>
      </w:r>
      <w:r w:rsidRPr="005269E6">
        <w:rPr>
          <w:spacing w:val="-2"/>
          <w:rtl/>
          <w:lang w:bidi="ar-EG"/>
        </w:rPr>
        <w:t xml:space="preserve"> </w:t>
      </w:r>
      <w:r w:rsidRPr="005269E6">
        <w:rPr>
          <w:rFonts w:hint="eastAsia"/>
          <w:spacing w:val="-2"/>
          <w:rtl/>
          <w:lang w:bidi="ar-EG"/>
        </w:rPr>
        <w:t>من</w:t>
      </w:r>
      <w:r w:rsidRPr="005269E6">
        <w:rPr>
          <w:spacing w:val="-2"/>
          <w:rtl/>
          <w:lang w:bidi="ar-EG"/>
        </w:rPr>
        <w:t xml:space="preserve"> </w:t>
      </w:r>
      <w:r w:rsidRPr="005269E6">
        <w:rPr>
          <w:rFonts w:hint="eastAsia"/>
          <w:spacing w:val="-2"/>
          <w:rtl/>
          <w:lang w:bidi="ar-EG"/>
        </w:rPr>
        <w:t>النظام</w:t>
      </w:r>
      <w:r w:rsidRPr="005269E6">
        <w:rPr>
          <w:spacing w:val="-2"/>
          <w:rtl/>
          <w:lang w:bidi="ar-EG"/>
        </w:rPr>
        <w:t xml:space="preserve"> </w:t>
      </w:r>
      <w:r w:rsidRPr="005269E6">
        <w:rPr>
          <w:rFonts w:hint="eastAsia"/>
          <w:spacing w:val="-2"/>
          <w:rtl/>
          <w:lang w:bidi="ar-EG"/>
        </w:rPr>
        <w:t>الأساسي</w:t>
      </w:r>
      <w:r w:rsidRPr="005269E6">
        <w:rPr>
          <w:spacing w:val="-2"/>
          <w:rtl/>
          <w:lang w:bidi="ar-EG"/>
        </w:rPr>
        <w:t xml:space="preserve"> </w:t>
      </w:r>
      <w:r w:rsidRPr="005269E6">
        <w:rPr>
          <w:rFonts w:hint="eastAsia"/>
          <w:spacing w:val="-2"/>
          <w:rtl/>
          <w:lang w:bidi="ar-EG"/>
        </w:rPr>
        <w:t>للصندوق،</w:t>
      </w:r>
      <w:r w:rsidRPr="005269E6">
        <w:rPr>
          <w:spacing w:val="-2"/>
          <w:rtl/>
          <w:lang w:bidi="ar-EG"/>
        </w:rPr>
        <w:t xml:space="preserve"> </w:t>
      </w:r>
      <w:r w:rsidRPr="005269E6">
        <w:rPr>
          <w:rFonts w:hint="eastAsia"/>
          <w:spacing w:val="-2"/>
          <w:rtl/>
          <w:lang w:bidi="ar-EG"/>
        </w:rPr>
        <w:t>لأن</w:t>
      </w:r>
      <w:r w:rsidRPr="005269E6">
        <w:rPr>
          <w:spacing w:val="-2"/>
          <w:rtl/>
          <w:lang w:bidi="ar-EG"/>
        </w:rPr>
        <w:t xml:space="preserve"> </w:t>
      </w:r>
      <w:r w:rsidRPr="005269E6">
        <w:rPr>
          <w:rFonts w:hint="eastAsia"/>
          <w:spacing w:val="-2"/>
          <w:rtl/>
          <w:lang w:bidi="ar-EG"/>
        </w:rPr>
        <w:t>القيمة</w:t>
      </w:r>
      <w:r w:rsidRPr="005269E6">
        <w:rPr>
          <w:spacing w:val="-2"/>
          <w:rtl/>
          <w:lang w:bidi="ar-EG"/>
        </w:rPr>
        <w:t xml:space="preserve"> </w:t>
      </w:r>
      <w:r w:rsidRPr="005269E6">
        <w:rPr>
          <w:rFonts w:hint="eastAsia"/>
          <w:spacing w:val="-2"/>
          <w:rtl/>
          <w:lang w:bidi="ar-EG"/>
        </w:rPr>
        <w:t>ال</w:t>
      </w:r>
      <w:r w:rsidR="0059394B" w:rsidRPr="005269E6">
        <w:rPr>
          <w:rFonts w:hint="eastAsia"/>
          <w:spacing w:val="-2"/>
          <w:rtl/>
          <w:lang w:bidi="ar-EG"/>
        </w:rPr>
        <w:t>إكتواري</w:t>
      </w:r>
      <w:r w:rsidRPr="005269E6">
        <w:rPr>
          <w:rFonts w:hint="eastAsia"/>
          <w:spacing w:val="-2"/>
          <w:rtl/>
          <w:lang w:bidi="ar-EG"/>
        </w:rPr>
        <w:t>ة</w:t>
      </w:r>
      <w:r w:rsidRPr="005269E6">
        <w:rPr>
          <w:spacing w:val="-2"/>
          <w:rtl/>
          <w:lang w:bidi="ar-EG"/>
        </w:rPr>
        <w:t xml:space="preserve"> </w:t>
      </w:r>
      <w:r w:rsidRPr="005269E6">
        <w:rPr>
          <w:rFonts w:hint="eastAsia"/>
          <w:spacing w:val="-2"/>
          <w:rtl/>
          <w:lang w:bidi="ar-EG"/>
        </w:rPr>
        <w:t>للأصول</w:t>
      </w:r>
      <w:r w:rsidRPr="005269E6">
        <w:rPr>
          <w:spacing w:val="-2"/>
          <w:rtl/>
          <w:lang w:bidi="ar-EG"/>
        </w:rPr>
        <w:t xml:space="preserve"> </w:t>
      </w:r>
      <w:r w:rsidRPr="005269E6">
        <w:rPr>
          <w:rFonts w:hint="eastAsia"/>
          <w:spacing w:val="-2"/>
          <w:rtl/>
          <w:lang w:bidi="ar-EG"/>
        </w:rPr>
        <w:t>تجاوزت</w:t>
      </w:r>
      <w:r w:rsidRPr="005269E6">
        <w:rPr>
          <w:spacing w:val="-2"/>
          <w:rtl/>
          <w:lang w:bidi="ar-EG"/>
        </w:rPr>
        <w:t xml:space="preserve"> </w:t>
      </w:r>
      <w:r w:rsidRPr="005269E6">
        <w:rPr>
          <w:rFonts w:hint="eastAsia"/>
          <w:spacing w:val="-2"/>
          <w:rtl/>
          <w:lang w:bidi="ar-EG"/>
        </w:rPr>
        <w:t>القيمة</w:t>
      </w:r>
      <w:r w:rsidRPr="005269E6">
        <w:rPr>
          <w:spacing w:val="-2"/>
          <w:rtl/>
          <w:lang w:bidi="ar-EG"/>
        </w:rPr>
        <w:t xml:space="preserve"> </w:t>
      </w:r>
      <w:r w:rsidRPr="005269E6">
        <w:rPr>
          <w:rFonts w:hint="eastAsia"/>
          <w:spacing w:val="-2"/>
          <w:rtl/>
          <w:lang w:bidi="ar-EG"/>
        </w:rPr>
        <w:t>ال</w:t>
      </w:r>
      <w:r w:rsidR="0059394B" w:rsidRPr="005269E6">
        <w:rPr>
          <w:rFonts w:hint="eastAsia"/>
          <w:spacing w:val="-2"/>
          <w:rtl/>
          <w:lang w:bidi="ar-EG"/>
        </w:rPr>
        <w:t>إكتواري</w:t>
      </w:r>
      <w:r w:rsidRPr="005269E6">
        <w:rPr>
          <w:rFonts w:hint="eastAsia"/>
          <w:spacing w:val="-2"/>
          <w:rtl/>
          <w:lang w:bidi="ar-EG"/>
        </w:rPr>
        <w:t>ة</w:t>
      </w:r>
      <w:r w:rsidRPr="005269E6">
        <w:rPr>
          <w:spacing w:val="-2"/>
          <w:rtl/>
          <w:lang w:bidi="ar-EG"/>
        </w:rPr>
        <w:t xml:space="preserve"> </w:t>
      </w:r>
      <w:r w:rsidRPr="005269E6">
        <w:rPr>
          <w:rFonts w:hint="eastAsia"/>
          <w:spacing w:val="-2"/>
          <w:rtl/>
          <w:lang w:bidi="ar-EG"/>
        </w:rPr>
        <w:t>لجميع</w:t>
      </w:r>
      <w:r w:rsidRPr="005269E6">
        <w:rPr>
          <w:spacing w:val="-2"/>
          <w:rtl/>
          <w:lang w:bidi="ar-EG"/>
        </w:rPr>
        <w:t xml:space="preserve"> </w:t>
      </w:r>
      <w:r w:rsidRPr="005269E6">
        <w:rPr>
          <w:rFonts w:hint="eastAsia"/>
          <w:spacing w:val="-2"/>
          <w:rtl/>
          <w:lang w:bidi="ar-EG"/>
        </w:rPr>
        <w:t>الالتزامات</w:t>
      </w:r>
      <w:r w:rsidRPr="005269E6">
        <w:rPr>
          <w:spacing w:val="-2"/>
          <w:rtl/>
          <w:lang w:bidi="ar-EG"/>
        </w:rPr>
        <w:t xml:space="preserve"> </w:t>
      </w:r>
      <w:r w:rsidRPr="005269E6">
        <w:rPr>
          <w:rFonts w:hint="eastAsia"/>
          <w:spacing w:val="-2"/>
          <w:rtl/>
          <w:lang w:bidi="ar-EG"/>
        </w:rPr>
        <w:t>المتراكمة</w:t>
      </w:r>
      <w:r w:rsidRPr="005269E6">
        <w:rPr>
          <w:spacing w:val="-2"/>
          <w:rtl/>
          <w:lang w:bidi="ar-EG"/>
        </w:rPr>
        <w:t xml:space="preserve"> </w:t>
      </w:r>
      <w:r w:rsidRPr="005269E6">
        <w:rPr>
          <w:rFonts w:hint="eastAsia"/>
          <w:spacing w:val="-2"/>
          <w:rtl/>
          <w:lang w:bidi="ar-EG"/>
        </w:rPr>
        <w:t>المطلوبة</w:t>
      </w:r>
      <w:r w:rsidRPr="005269E6">
        <w:rPr>
          <w:spacing w:val="-2"/>
          <w:rtl/>
          <w:lang w:bidi="ar-EG"/>
        </w:rPr>
        <w:t xml:space="preserve"> </w:t>
      </w:r>
      <w:r w:rsidRPr="005269E6">
        <w:rPr>
          <w:rFonts w:hint="eastAsia"/>
          <w:spacing w:val="-2"/>
          <w:rtl/>
          <w:lang w:bidi="ar-EG"/>
        </w:rPr>
        <w:t>بموجب</w:t>
      </w:r>
      <w:r w:rsidRPr="005269E6">
        <w:rPr>
          <w:spacing w:val="-2"/>
          <w:rtl/>
          <w:lang w:bidi="ar-EG"/>
        </w:rPr>
        <w:t xml:space="preserve"> </w:t>
      </w:r>
      <w:r w:rsidRPr="005269E6">
        <w:rPr>
          <w:rFonts w:hint="cs"/>
          <w:spacing w:val="-2"/>
          <w:rtl/>
          <w:lang w:bidi="ar-EG"/>
        </w:rPr>
        <w:t>الخطة</w:t>
      </w:r>
      <w:r w:rsidRPr="005269E6">
        <w:rPr>
          <w:spacing w:val="-2"/>
          <w:rtl/>
          <w:lang w:bidi="ar-EG"/>
        </w:rPr>
        <w:t xml:space="preserve">. </w:t>
      </w:r>
      <w:r w:rsidRPr="005269E6">
        <w:rPr>
          <w:rFonts w:hint="eastAsia"/>
          <w:spacing w:val="-2"/>
          <w:rtl/>
          <w:lang w:bidi="ar-EG"/>
        </w:rPr>
        <w:t>وبالإضافة</w:t>
      </w:r>
      <w:r w:rsidRPr="005269E6">
        <w:rPr>
          <w:spacing w:val="-2"/>
          <w:rtl/>
          <w:lang w:bidi="ar-EG"/>
        </w:rPr>
        <w:t xml:space="preserve"> </w:t>
      </w:r>
      <w:r w:rsidRPr="005269E6">
        <w:rPr>
          <w:rFonts w:hint="eastAsia"/>
          <w:spacing w:val="-2"/>
          <w:rtl/>
          <w:lang w:bidi="ar-EG"/>
        </w:rPr>
        <w:t>إلى</w:t>
      </w:r>
      <w:r w:rsidRPr="005269E6">
        <w:rPr>
          <w:spacing w:val="-2"/>
          <w:rtl/>
          <w:lang w:bidi="ar-EG"/>
        </w:rPr>
        <w:t xml:space="preserve"> </w:t>
      </w:r>
      <w:r w:rsidRPr="005269E6">
        <w:rPr>
          <w:rFonts w:hint="eastAsia"/>
          <w:spacing w:val="-2"/>
          <w:rtl/>
          <w:lang w:bidi="ar-EG"/>
        </w:rPr>
        <w:t>ذلك،</w:t>
      </w:r>
      <w:r w:rsidRPr="005269E6">
        <w:rPr>
          <w:spacing w:val="-2"/>
          <w:rtl/>
          <w:lang w:bidi="ar-EG"/>
        </w:rPr>
        <w:t xml:space="preserve"> </w:t>
      </w:r>
      <w:r w:rsidRPr="005269E6">
        <w:rPr>
          <w:rFonts w:hint="eastAsia"/>
          <w:spacing w:val="-2"/>
          <w:rtl/>
          <w:lang w:bidi="ar-EG"/>
        </w:rPr>
        <w:t>تجاوزت</w:t>
      </w:r>
      <w:r w:rsidRPr="005269E6">
        <w:rPr>
          <w:spacing w:val="-2"/>
          <w:rtl/>
          <w:lang w:bidi="ar-EG"/>
        </w:rPr>
        <w:t xml:space="preserve"> </w:t>
      </w:r>
      <w:r w:rsidRPr="005269E6">
        <w:rPr>
          <w:rFonts w:hint="eastAsia"/>
          <w:spacing w:val="-2"/>
          <w:rtl/>
          <w:lang w:bidi="ar-EG"/>
        </w:rPr>
        <w:t>القيمة</w:t>
      </w:r>
      <w:r w:rsidRPr="005269E6">
        <w:rPr>
          <w:spacing w:val="-2"/>
          <w:rtl/>
          <w:lang w:bidi="ar-EG"/>
        </w:rPr>
        <w:t xml:space="preserve"> </w:t>
      </w:r>
      <w:r w:rsidRPr="005269E6">
        <w:rPr>
          <w:rFonts w:hint="eastAsia"/>
          <w:spacing w:val="-2"/>
          <w:rtl/>
          <w:lang w:bidi="ar-EG"/>
        </w:rPr>
        <w:t>السوقية</w:t>
      </w:r>
      <w:r w:rsidRPr="005269E6">
        <w:rPr>
          <w:spacing w:val="-2"/>
          <w:rtl/>
          <w:lang w:bidi="ar-EG"/>
        </w:rPr>
        <w:t xml:space="preserve"> </w:t>
      </w:r>
      <w:r w:rsidRPr="005269E6">
        <w:rPr>
          <w:rFonts w:hint="eastAsia"/>
          <w:spacing w:val="-2"/>
          <w:rtl/>
          <w:lang w:bidi="ar-EG"/>
        </w:rPr>
        <w:t>للأصول</w:t>
      </w:r>
      <w:r w:rsidRPr="005269E6">
        <w:rPr>
          <w:spacing w:val="-2"/>
          <w:rtl/>
          <w:lang w:bidi="ar-EG"/>
        </w:rPr>
        <w:t xml:space="preserve"> </w:t>
      </w:r>
      <w:r w:rsidRPr="005269E6">
        <w:rPr>
          <w:rFonts w:hint="eastAsia"/>
          <w:spacing w:val="-2"/>
          <w:rtl/>
          <w:lang w:bidi="ar-EG"/>
        </w:rPr>
        <w:t>أيضاً</w:t>
      </w:r>
      <w:r w:rsidRPr="005269E6">
        <w:rPr>
          <w:spacing w:val="-2"/>
          <w:rtl/>
          <w:lang w:bidi="ar-EG"/>
        </w:rPr>
        <w:t xml:space="preserve"> </w:t>
      </w:r>
      <w:r w:rsidRPr="005269E6">
        <w:rPr>
          <w:rFonts w:hint="eastAsia"/>
          <w:spacing w:val="-2"/>
          <w:rtl/>
          <w:lang w:bidi="ar-EG"/>
        </w:rPr>
        <w:t>القيمة</w:t>
      </w:r>
      <w:r w:rsidRPr="005269E6">
        <w:rPr>
          <w:spacing w:val="-2"/>
          <w:rtl/>
          <w:lang w:bidi="ar-EG"/>
        </w:rPr>
        <w:t xml:space="preserve"> </w:t>
      </w:r>
      <w:r w:rsidRPr="005269E6">
        <w:rPr>
          <w:rFonts w:hint="eastAsia"/>
          <w:spacing w:val="-2"/>
          <w:rtl/>
          <w:lang w:bidi="ar-EG"/>
        </w:rPr>
        <w:t>ال</w:t>
      </w:r>
      <w:r w:rsidR="0059394B" w:rsidRPr="005269E6">
        <w:rPr>
          <w:rFonts w:hint="eastAsia"/>
          <w:spacing w:val="-2"/>
          <w:rtl/>
          <w:lang w:bidi="ar-EG"/>
        </w:rPr>
        <w:t>إكتواري</w:t>
      </w:r>
      <w:r w:rsidRPr="005269E6">
        <w:rPr>
          <w:rFonts w:hint="eastAsia"/>
          <w:spacing w:val="-2"/>
          <w:rtl/>
          <w:lang w:bidi="ar-EG"/>
        </w:rPr>
        <w:t>ة</w:t>
      </w:r>
      <w:r w:rsidRPr="005269E6">
        <w:rPr>
          <w:spacing w:val="-2"/>
          <w:rtl/>
          <w:lang w:bidi="ar-EG"/>
        </w:rPr>
        <w:t xml:space="preserve"> </w:t>
      </w:r>
      <w:r w:rsidRPr="005269E6">
        <w:rPr>
          <w:rFonts w:hint="eastAsia"/>
          <w:spacing w:val="-2"/>
          <w:rtl/>
          <w:lang w:bidi="ar-EG"/>
        </w:rPr>
        <w:t>لجميع</w:t>
      </w:r>
      <w:r w:rsidRPr="005269E6">
        <w:rPr>
          <w:spacing w:val="-2"/>
          <w:rtl/>
          <w:lang w:bidi="ar-EG"/>
        </w:rPr>
        <w:t xml:space="preserve"> </w:t>
      </w:r>
      <w:r w:rsidRPr="005269E6">
        <w:rPr>
          <w:rFonts w:hint="eastAsia"/>
          <w:spacing w:val="-2"/>
          <w:rtl/>
          <w:lang w:bidi="ar-EG"/>
        </w:rPr>
        <w:t>الالتزامات</w:t>
      </w:r>
      <w:r w:rsidRPr="005269E6">
        <w:rPr>
          <w:spacing w:val="-2"/>
          <w:rtl/>
          <w:lang w:bidi="ar-EG"/>
        </w:rPr>
        <w:t xml:space="preserve"> </w:t>
      </w:r>
      <w:r w:rsidRPr="005269E6">
        <w:rPr>
          <w:rFonts w:hint="eastAsia"/>
          <w:spacing w:val="-2"/>
          <w:rtl/>
          <w:lang w:bidi="ar-EG"/>
        </w:rPr>
        <w:t>المتراكمة</w:t>
      </w:r>
      <w:r w:rsidRPr="005269E6">
        <w:rPr>
          <w:spacing w:val="-2"/>
          <w:rtl/>
          <w:lang w:bidi="ar-EG"/>
        </w:rPr>
        <w:t xml:space="preserve"> </w:t>
      </w:r>
      <w:r w:rsidRPr="005269E6">
        <w:rPr>
          <w:rFonts w:hint="eastAsia"/>
          <w:spacing w:val="-2"/>
          <w:rtl/>
          <w:lang w:bidi="ar-EG"/>
        </w:rPr>
        <w:t>حتى</w:t>
      </w:r>
      <w:r w:rsidRPr="005269E6">
        <w:rPr>
          <w:spacing w:val="-2"/>
          <w:rtl/>
          <w:lang w:bidi="ar-EG"/>
        </w:rPr>
        <w:t xml:space="preserve"> </w:t>
      </w:r>
      <w:r w:rsidRPr="005269E6">
        <w:rPr>
          <w:rFonts w:hint="eastAsia"/>
          <w:spacing w:val="-2"/>
          <w:rtl/>
          <w:lang w:bidi="ar-EG"/>
        </w:rPr>
        <w:t>تاريخ</w:t>
      </w:r>
      <w:r w:rsidRPr="005269E6">
        <w:rPr>
          <w:spacing w:val="-2"/>
          <w:rtl/>
          <w:lang w:bidi="ar-EG"/>
        </w:rPr>
        <w:t xml:space="preserve"> </w:t>
      </w:r>
      <w:r w:rsidRPr="005269E6">
        <w:rPr>
          <w:rFonts w:hint="eastAsia"/>
          <w:spacing w:val="-2"/>
          <w:rtl/>
          <w:lang w:bidi="ar-EG"/>
        </w:rPr>
        <w:t>التقييم</w:t>
      </w:r>
      <w:r w:rsidRPr="005269E6">
        <w:rPr>
          <w:spacing w:val="-2"/>
          <w:rtl/>
          <w:lang w:bidi="ar-EG"/>
        </w:rPr>
        <w:t xml:space="preserve">. </w:t>
      </w:r>
      <w:r w:rsidRPr="005269E6">
        <w:rPr>
          <w:rFonts w:hint="eastAsia"/>
          <w:spacing w:val="-2"/>
          <w:rtl/>
          <w:lang w:bidi="ar-EG"/>
        </w:rPr>
        <w:t>وفي</w:t>
      </w:r>
      <w:r w:rsidRPr="005269E6">
        <w:rPr>
          <w:spacing w:val="-2"/>
          <w:rtl/>
          <w:lang w:bidi="ar-EG"/>
        </w:rPr>
        <w:t xml:space="preserve"> </w:t>
      </w:r>
      <w:r w:rsidRPr="005269E6">
        <w:rPr>
          <w:rFonts w:hint="eastAsia"/>
          <w:spacing w:val="-2"/>
          <w:rtl/>
          <w:lang w:bidi="ar-EG"/>
        </w:rPr>
        <w:t>وقت</w:t>
      </w:r>
      <w:r w:rsidRPr="005269E6">
        <w:rPr>
          <w:spacing w:val="-2"/>
          <w:rtl/>
          <w:lang w:bidi="ar-EG"/>
        </w:rPr>
        <w:t xml:space="preserve"> </w:t>
      </w:r>
      <w:r w:rsidRPr="005269E6">
        <w:rPr>
          <w:rFonts w:hint="eastAsia"/>
          <w:spacing w:val="-2"/>
          <w:rtl/>
          <w:lang w:bidi="ar-EG"/>
        </w:rPr>
        <w:t>كتابة</w:t>
      </w:r>
      <w:r w:rsidRPr="005269E6">
        <w:rPr>
          <w:spacing w:val="-2"/>
          <w:rtl/>
          <w:lang w:bidi="ar-EG"/>
        </w:rPr>
        <w:t xml:space="preserve"> </w:t>
      </w:r>
      <w:r w:rsidRPr="005269E6">
        <w:rPr>
          <w:rFonts w:hint="eastAsia"/>
          <w:spacing w:val="-2"/>
          <w:rtl/>
          <w:lang w:bidi="ar-EG"/>
        </w:rPr>
        <w:t>هذا</w:t>
      </w:r>
      <w:r w:rsidRPr="005269E6">
        <w:rPr>
          <w:spacing w:val="-2"/>
          <w:rtl/>
          <w:lang w:bidi="ar-EG"/>
        </w:rPr>
        <w:t xml:space="preserve"> </w:t>
      </w:r>
      <w:r w:rsidRPr="005269E6">
        <w:rPr>
          <w:rFonts w:hint="eastAsia"/>
          <w:spacing w:val="-2"/>
          <w:rtl/>
          <w:lang w:bidi="ar-EG"/>
        </w:rPr>
        <w:t>التقرير،</w:t>
      </w:r>
      <w:r w:rsidRPr="005269E6">
        <w:rPr>
          <w:spacing w:val="-2"/>
          <w:rtl/>
          <w:lang w:bidi="ar-EG"/>
        </w:rPr>
        <w:t xml:space="preserve"> </w:t>
      </w:r>
      <w:r w:rsidRPr="005269E6">
        <w:rPr>
          <w:rFonts w:hint="eastAsia"/>
          <w:spacing w:val="-2"/>
          <w:rtl/>
          <w:lang w:bidi="ar-EG"/>
        </w:rPr>
        <w:t>لم</w:t>
      </w:r>
      <w:r w:rsidRPr="005269E6">
        <w:rPr>
          <w:spacing w:val="-2"/>
          <w:rtl/>
          <w:lang w:bidi="ar-EG"/>
        </w:rPr>
        <w:t xml:space="preserve"> </w:t>
      </w:r>
      <w:r w:rsidRPr="005269E6">
        <w:rPr>
          <w:rFonts w:hint="eastAsia"/>
          <w:spacing w:val="-2"/>
          <w:rtl/>
          <w:lang w:bidi="ar-EG"/>
        </w:rPr>
        <w:t>تتمسك</w:t>
      </w:r>
      <w:r w:rsidRPr="005269E6">
        <w:rPr>
          <w:spacing w:val="-2"/>
          <w:rtl/>
          <w:lang w:bidi="ar-EG"/>
        </w:rPr>
        <w:t xml:space="preserve"> </w:t>
      </w:r>
      <w:r w:rsidRPr="005269E6">
        <w:rPr>
          <w:rFonts w:hint="eastAsia"/>
          <w:spacing w:val="-2"/>
          <w:rtl/>
          <w:lang w:bidi="ar-EG"/>
        </w:rPr>
        <w:t>الجمعية</w:t>
      </w:r>
      <w:r w:rsidRPr="005269E6">
        <w:rPr>
          <w:spacing w:val="-2"/>
          <w:rtl/>
          <w:lang w:bidi="ar-EG"/>
        </w:rPr>
        <w:t xml:space="preserve"> </w:t>
      </w:r>
      <w:r w:rsidRPr="005269E6">
        <w:rPr>
          <w:rFonts w:hint="eastAsia"/>
          <w:spacing w:val="-2"/>
          <w:rtl/>
          <w:lang w:bidi="ar-EG"/>
        </w:rPr>
        <w:t>العامة</w:t>
      </w:r>
      <w:r w:rsidRPr="005269E6">
        <w:rPr>
          <w:spacing w:val="-2"/>
          <w:rtl/>
          <w:lang w:bidi="ar-EG"/>
        </w:rPr>
        <w:t xml:space="preserve"> </w:t>
      </w:r>
      <w:r w:rsidRPr="005269E6">
        <w:rPr>
          <w:rFonts w:hint="eastAsia"/>
          <w:spacing w:val="-2"/>
          <w:rtl/>
          <w:lang w:bidi="ar-EG"/>
        </w:rPr>
        <w:t>بتطبيق</w:t>
      </w:r>
      <w:r w:rsidRPr="005269E6">
        <w:rPr>
          <w:spacing w:val="-2"/>
          <w:rtl/>
          <w:lang w:bidi="ar-EG"/>
        </w:rPr>
        <w:t xml:space="preserve"> </w:t>
      </w:r>
      <w:r w:rsidRPr="005269E6">
        <w:rPr>
          <w:rFonts w:hint="eastAsia"/>
          <w:spacing w:val="-2"/>
          <w:rtl/>
          <w:lang w:bidi="ar-EG"/>
        </w:rPr>
        <w:t>حكم</w:t>
      </w:r>
      <w:r w:rsidRPr="005269E6">
        <w:rPr>
          <w:spacing w:val="-2"/>
          <w:rtl/>
          <w:lang w:bidi="ar-EG"/>
        </w:rPr>
        <w:t xml:space="preserve"> </w:t>
      </w:r>
      <w:r w:rsidRPr="005269E6">
        <w:rPr>
          <w:rFonts w:hint="eastAsia"/>
          <w:spacing w:val="-2"/>
          <w:rtl/>
          <w:lang w:bidi="ar-EG"/>
        </w:rPr>
        <w:t>المادة</w:t>
      </w:r>
      <w:r w:rsidRPr="005269E6">
        <w:rPr>
          <w:rFonts w:hint="cs"/>
          <w:spacing w:val="-2"/>
          <w:rtl/>
          <w:lang w:bidi="ar-EG"/>
        </w:rPr>
        <w:t> </w:t>
      </w:r>
      <w:r w:rsidRPr="005269E6">
        <w:rPr>
          <w:spacing w:val="-2"/>
          <w:lang w:bidi="ar-EG"/>
        </w:rPr>
        <w:t>26</w:t>
      </w:r>
      <w:r w:rsidRPr="005269E6">
        <w:rPr>
          <w:spacing w:val="-2"/>
          <w:rtl/>
          <w:lang w:bidi="ar-EG"/>
        </w:rPr>
        <w:t>.</w:t>
      </w:r>
    </w:p>
    <w:p w14:paraId="566B95EE" w14:textId="2CC90816" w:rsidR="00C543C6" w:rsidRPr="005269E6" w:rsidRDefault="00C543C6" w:rsidP="00C543C6">
      <w:pPr>
        <w:rPr>
          <w:rtl/>
          <w:lang w:bidi="ar-EG"/>
        </w:rPr>
      </w:pPr>
      <w:r w:rsidRPr="005269E6">
        <w:rPr>
          <w:rFonts w:hint="cs"/>
          <w:rtl/>
          <w:lang w:bidi="ar-EG"/>
        </w:rPr>
        <w:t xml:space="preserve">وإذا ما أشير إلى المادة </w:t>
      </w:r>
      <w:r w:rsidRPr="005269E6">
        <w:rPr>
          <w:lang w:bidi="ar-EG"/>
        </w:rPr>
        <w:t>26</w:t>
      </w:r>
      <w:r w:rsidRPr="005269E6">
        <w:rPr>
          <w:rFonts w:hint="cs"/>
          <w:rtl/>
          <w:lang w:bidi="ar-EG"/>
        </w:rPr>
        <w:t xml:space="preserve"> بسبب عجز </w:t>
      </w:r>
      <w:r w:rsidR="0059394B" w:rsidRPr="005269E6">
        <w:rPr>
          <w:rFonts w:hint="cs"/>
          <w:rtl/>
          <w:lang w:bidi="ar-EG"/>
        </w:rPr>
        <w:t>إكتواري</w:t>
      </w:r>
      <w:r w:rsidRPr="005269E6">
        <w:rPr>
          <w:rFonts w:hint="cs"/>
          <w:rtl/>
          <w:lang w:bidi="ar-EG"/>
        </w:rPr>
        <w:t>، سواء أثناء العملية الجارية أو بسبب انتهاء الصندوق، ستستند مدفوعات تغطية العجز المطلوبة من كل منظمة عضو إلى نسبة مساهمات المنظمة العضو إلى مجموع المساهمات المدفوعة إلى الصندوق خلال السنوات الثلاث السابقة لتاريخ التقييم. وبلغ مجموع المساهمات المدفوعة إلى الصندوق</w:t>
      </w:r>
      <w:r w:rsidRPr="005269E6">
        <w:rPr>
          <w:rFonts w:hint="eastAsia"/>
          <w:rtl/>
          <w:lang w:bidi="ar-EG"/>
        </w:rPr>
        <w:t> </w:t>
      </w:r>
      <w:r w:rsidRPr="005269E6">
        <w:rPr>
          <w:rFonts w:hint="cs"/>
          <w:rtl/>
          <w:lang w:bidi="ar-EG"/>
        </w:rPr>
        <w:t>خلال السنوات الثلاث السابقة لتاريخ التقييم (</w:t>
      </w:r>
      <w:r w:rsidRPr="005269E6">
        <w:rPr>
          <w:lang w:val="en-GB" w:bidi="ar-EG"/>
        </w:rPr>
        <w:t>2019</w:t>
      </w:r>
      <w:r w:rsidR="00B725E9" w:rsidRPr="005269E6">
        <w:rPr>
          <w:rFonts w:hint="cs"/>
          <w:rtl/>
          <w:lang w:val="en-GB" w:bidi="ar-SY"/>
        </w:rPr>
        <w:t xml:space="preserve"> و</w:t>
      </w:r>
      <w:r w:rsidR="00B725E9" w:rsidRPr="005269E6">
        <w:rPr>
          <w:lang w:bidi="ar-SY"/>
        </w:rPr>
        <w:t>2020</w:t>
      </w:r>
      <w:r w:rsidR="00B725E9" w:rsidRPr="005269E6">
        <w:rPr>
          <w:rFonts w:hint="cs"/>
          <w:rtl/>
          <w:lang w:bidi="ar-SY"/>
        </w:rPr>
        <w:t xml:space="preserve"> و</w:t>
      </w:r>
      <w:r w:rsidR="00B725E9" w:rsidRPr="005269E6">
        <w:rPr>
          <w:lang w:bidi="ar-SY"/>
        </w:rPr>
        <w:t>2021</w:t>
      </w:r>
      <w:r w:rsidRPr="005269E6">
        <w:rPr>
          <w:rFonts w:hint="cs"/>
          <w:rtl/>
          <w:lang w:bidi="ar-EG"/>
        </w:rPr>
        <w:t xml:space="preserve">) مبلغ </w:t>
      </w:r>
      <w:r w:rsidR="00786BE0" w:rsidRPr="005269E6">
        <w:rPr>
          <w:rFonts w:asciiTheme="minorHAnsi" w:hAnsiTheme="minorHAnsi" w:cstheme="minorHAnsi"/>
          <w:szCs w:val="24"/>
        </w:rPr>
        <w:t>8,505</w:t>
      </w:r>
      <w:r w:rsidRPr="005269E6">
        <w:rPr>
          <w:rFonts w:hint="cs"/>
          <w:rtl/>
          <w:lang w:bidi="ar-EG"/>
        </w:rPr>
        <w:t xml:space="preserve"> </w:t>
      </w:r>
      <w:r w:rsidR="00786BE0" w:rsidRPr="005269E6">
        <w:rPr>
          <w:rFonts w:hint="cs"/>
          <w:rtl/>
          <w:lang w:bidi="ar-EG"/>
        </w:rPr>
        <w:t>مليار</w:t>
      </w:r>
      <w:r w:rsidRPr="005269E6">
        <w:rPr>
          <w:rFonts w:hint="cs"/>
          <w:rtl/>
          <w:lang w:bidi="ar-EG"/>
        </w:rPr>
        <w:t xml:space="preserve"> دولار أمريكي، ساهم الاتحاد فيها بنسبة </w:t>
      </w:r>
      <w:r w:rsidRPr="005269E6">
        <w:rPr>
          <w:lang w:bidi="ar-EG"/>
        </w:rPr>
        <w:t>0,</w:t>
      </w:r>
      <w:r w:rsidR="00786BE0" w:rsidRPr="005269E6">
        <w:rPr>
          <w:lang w:bidi="ar-EG"/>
        </w:rPr>
        <w:t>34</w:t>
      </w:r>
      <w:r w:rsidRPr="005269E6">
        <w:rPr>
          <w:rFonts w:hint="cs"/>
          <w:rtl/>
          <w:lang w:bidi="ar-EG"/>
        </w:rPr>
        <w:t xml:space="preserve"> في المائة.</w:t>
      </w:r>
    </w:p>
    <w:p w14:paraId="7863BB7A" w14:textId="72CB7300" w:rsidR="00C543C6" w:rsidRPr="005269E6" w:rsidRDefault="00C543C6" w:rsidP="00C543C6">
      <w:pPr>
        <w:rPr>
          <w:spacing w:val="-3"/>
          <w:rtl/>
          <w:lang w:bidi="ar-EG"/>
        </w:rPr>
      </w:pPr>
      <w:r w:rsidRPr="005269E6">
        <w:rPr>
          <w:rFonts w:hint="cs"/>
          <w:spacing w:val="-3"/>
          <w:rtl/>
          <w:lang w:bidi="ar-EG"/>
        </w:rPr>
        <w:t xml:space="preserve">وفي </w:t>
      </w:r>
      <w:r w:rsidR="00786BE0" w:rsidRPr="005269E6">
        <w:rPr>
          <w:spacing w:val="-3"/>
          <w:lang w:bidi="ar-EG"/>
        </w:rPr>
        <w:t>2022</w:t>
      </w:r>
      <w:r w:rsidRPr="005269E6">
        <w:rPr>
          <w:rFonts w:hint="cs"/>
          <w:spacing w:val="-3"/>
          <w:rtl/>
          <w:lang w:bidi="ar-EG"/>
        </w:rPr>
        <w:t xml:space="preserve">، بلغت المساهمات المدفوعة إلى الصندوق مقدار </w:t>
      </w:r>
      <w:r w:rsidR="005A5EDA" w:rsidRPr="005269E6">
        <w:rPr>
          <w:spacing w:val="-3"/>
          <w:lang w:bidi="ar-EG"/>
        </w:rPr>
        <w:t>27,7</w:t>
      </w:r>
      <w:r w:rsidRPr="005269E6">
        <w:rPr>
          <w:rFonts w:hint="cs"/>
          <w:spacing w:val="-3"/>
          <w:rtl/>
          <w:lang w:bidi="ar-EG"/>
        </w:rPr>
        <w:t xml:space="preserve"> مليون دولار أمريكي (</w:t>
      </w:r>
      <w:r w:rsidR="005A5EDA" w:rsidRPr="005269E6">
        <w:rPr>
          <w:spacing w:val="-3"/>
          <w:lang w:bidi="ar-EG"/>
        </w:rPr>
        <w:t>28,9</w:t>
      </w:r>
      <w:r w:rsidRPr="005269E6">
        <w:rPr>
          <w:rFonts w:hint="cs"/>
          <w:spacing w:val="-3"/>
          <w:rtl/>
          <w:lang w:bidi="ar-EG"/>
        </w:rPr>
        <w:t xml:space="preserve"> مليون دولار أمريكي</w:t>
      </w:r>
      <w:r w:rsidR="005A5EDA" w:rsidRPr="005269E6">
        <w:rPr>
          <w:rFonts w:hint="cs"/>
          <w:spacing w:val="-3"/>
          <w:rtl/>
          <w:lang w:bidi="ar-EG"/>
        </w:rPr>
        <w:t>) (</w:t>
      </w:r>
      <w:r w:rsidR="005A5EDA" w:rsidRPr="005269E6">
        <w:rPr>
          <w:spacing w:val="-3"/>
          <w:lang w:bidi="ar-SY"/>
        </w:rPr>
        <w:t>25,7</w:t>
      </w:r>
      <w:r w:rsidR="005A5EDA" w:rsidRPr="005269E6">
        <w:rPr>
          <w:rFonts w:hint="cs"/>
          <w:spacing w:val="-3"/>
          <w:rtl/>
          <w:lang w:bidi="ar-SY"/>
        </w:rPr>
        <w:t xml:space="preserve"> مليون فرنكاً سويسرياً في </w:t>
      </w:r>
      <w:r w:rsidR="005A5EDA" w:rsidRPr="005269E6">
        <w:rPr>
          <w:spacing w:val="-3"/>
          <w:lang w:bidi="ar-EG"/>
        </w:rPr>
        <w:t>2021</w:t>
      </w:r>
      <w:r w:rsidRPr="005269E6">
        <w:rPr>
          <w:rFonts w:hint="cs"/>
          <w:spacing w:val="-3"/>
          <w:rtl/>
          <w:lang w:bidi="ar-EG"/>
        </w:rPr>
        <w:t xml:space="preserve">). وتبلغ المساهمات المتوقعة المستحقة في </w:t>
      </w:r>
      <w:r w:rsidR="005A5EDA" w:rsidRPr="005269E6">
        <w:rPr>
          <w:spacing w:val="-3"/>
          <w:lang w:bidi="ar-EG"/>
        </w:rPr>
        <w:t>2023</w:t>
      </w:r>
      <w:r w:rsidR="005A5EDA" w:rsidRPr="005269E6">
        <w:rPr>
          <w:rFonts w:hint="cs"/>
          <w:spacing w:val="-3"/>
          <w:rtl/>
          <w:lang w:bidi="ar-SY"/>
        </w:rPr>
        <w:t xml:space="preserve"> </w:t>
      </w:r>
      <w:r w:rsidRPr="005269E6">
        <w:rPr>
          <w:rFonts w:hint="cs"/>
          <w:spacing w:val="-3"/>
          <w:rtl/>
          <w:lang w:bidi="ar-EG"/>
        </w:rPr>
        <w:t xml:space="preserve">حوالي </w:t>
      </w:r>
      <w:r w:rsidR="005A5EDA" w:rsidRPr="005269E6">
        <w:rPr>
          <w:spacing w:val="-3"/>
          <w:lang w:bidi="ar-EG"/>
        </w:rPr>
        <w:t>29,2</w:t>
      </w:r>
      <w:r w:rsidRPr="005269E6">
        <w:rPr>
          <w:rFonts w:hint="cs"/>
          <w:spacing w:val="-3"/>
          <w:rtl/>
          <w:lang w:bidi="ar-EG"/>
        </w:rPr>
        <w:t xml:space="preserve"> مليون دولار أمريكي.</w:t>
      </w:r>
    </w:p>
    <w:p w14:paraId="251C31D4" w14:textId="5FEBD135" w:rsidR="00C543C6" w:rsidRPr="005269E6" w:rsidRDefault="00C543C6" w:rsidP="00971B80">
      <w:pPr>
        <w:rPr>
          <w:rtl/>
          <w:lang w:bidi="ar-EG"/>
        </w:rPr>
      </w:pPr>
      <w:r w:rsidRPr="005269E6">
        <w:rPr>
          <w:rFonts w:hint="cs"/>
          <w:rtl/>
          <w:lang w:bidi="ar-EG"/>
        </w:rPr>
        <w:t>ويجوز إنهاء عضوية الصندوق بموجب قرار من الجمعية العامة للأمم المتحدة بناء على توصية إيجابية من مجلس صندوق المعاشات التقاعدية. وتُدفع حصة</w:t>
      </w:r>
      <w:r w:rsidRPr="005269E6">
        <w:rPr>
          <w:rtl/>
          <w:lang w:bidi="ar-EG"/>
        </w:rPr>
        <w:t xml:space="preserve"> </w:t>
      </w:r>
      <w:r w:rsidRPr="005269E6">
        <w:rPr>
          <w:rFonts w:hint="cs"/>
          <w:rtl/>
          <w:lang w:bidi="ar-EG"/>
        </w:rPr>
        <w:t>تناسبية</w:t>
      </w:r>
      <w:r w:rsidRPr="005269E6">
        <w:rPr>
          <w:rtl/>
          <w:lang w:bidi="ar-EG"/>
        </w:rPr>
        <w:t xml:space="preserve"> </w:t>
      </w:r>
      <w:r w:rsidRPr="005269E6">
        <w:rPr>
          <w:rFonts w:hint="cs"/>
          <w:rtl/>
          <w:lang w:bidi="ar-EG"/>
        </w:rPr>
        <w:t>من</w:t>
      </w:r>
      <w:r w:rsidRPr="005269E6">
        <w:rPr>
          <w:rtl/>
          <w:lang w:bidi="ar-EG"/>
        </w:rPr>
        <w:t xml:space="preserve"> </w:t>
      </w:r>
      <w:r w:rsidRPr="005269E6">
        <w:rPr>
          <w:rFonts w:hint="cs"/>
          <w:rtl/>
          <w:lang w:bidi="ar-EG"/>
        </w:rPr>
        <w:t>إجمالي أصول الصندوق</w:t>
      </w:r>
      <w:r w:rsidRPr="005269E6">
        <w:rPr>
          <w:rtl/>
          <w:lang w:bidi="ar-EG"/>
        </w:rPr>
        <w:t xml:space="preserve"> </w:t>
      </w:r>
      <w:r w:rsidRPr="005269E6">
        <w:rPr>
          <w:rFonts w:hint="cs"/>
          <w:rtl/>
          <w:lang w:bidi="ar-EG"/>
        </w:rPr>
        <w:t>في</w:t>
      </w:r>
      <w:r w:rsidRPr="005269E6">
        <w:rPr>
          <w:rtl/>
          <w:lang w:bidi="ar-EG"/>
        </w:rPr>
        <w:t xml:space="preserve"> </w:t>
      </w:r>
      <w:r w:rsidRPr="005269E6">
        <w:rPr>
          <w:rFonts w:hint="cs"/>
          <w:rtl/>
          <w:lang w:bidi="ar-EG"/>
        </w:rPr>
        <w:t>تاريخ</w:t>
      </w:r>
      <w:r w:rsidRPr="005269E6">
        <w:rPr>
          <w:rtl/>
          <w:lang w:bidi="ar-EG"/>
        </w:rPr>
        <w:t xml:space="preserve"> </w:t>
      </w:r>
      <w:r w:rsidRPr="005269E6">
        <w:rPr>
          <w:rFonts w:hint="cs"/>
          <w:rtl/>
          <w:lang w:bidi="ar-EG"/>
        </w:rPr>
        <w:t>الإنهاء</w:t>
      </w:r>
      <w:r w:rsidRPr="005269E6">
        <w:rPr>
          <w:rtl/>
          <w:lang w:bidi="ar-EG"/>
        </w:rPr>
        <w:t xml:space="preserve"> </w:t>
      </w:r>
      <w:r w:rsidRPr="005269E6">
        <w:rPr>
          <w:rFonts w:hint="cs"/>
          <w:rtl/>
          <w:lang w:bidi="ar-EG"/>
        </w:rPr>
        <w:t>للمنظمة</w:t>
      </w:r>
      <w:r w:rsidRPr="005269E6">
        <w:rPr>
          <w:rtl/>
          <w:lang w:bidi="ar-EG"/>
        </w:rPr>
        <w:t xml:space="preserve"> </w:t>
      </w:r>
      <w:r w:rsidRPr="005269E6">
        <w:rPr>
          <w:rFonts w:hint="cs"/>
          <w:rtl/>
          <w:lang w:bidi="ar-EG"/>
        </w:rPr>
        <w:t>العضو</w:t>
      </w:r>
      <w:r w:rsidRPr="005269E6">
        <w:rPr>
          <w:rtl/>
          <w:lang w:bidi="ar-EG"/>
        </w:rPr>
        <w:t xml:space="preserve"> </w:t>
      </w:r>
      <w:r w:rsidRPr="005269E6">
        <w:rPr>
          <w:rFonts w:hint="cs"/>
          <w:rtl/>
          <w:lang w:bidi="ar-EG"/>
        </w:rPr>
        <w:t>السابقة</w:t>
      </w:r>
      <w:r w:rsidRPr="005269E6">
        <w:rPr>
          <w:rtl/>
          <w:lang w:bidi="ar-EG"/>
        </w:rPr>
        <w:t xml:space="preserve"> </w:t>
      </w:r>
      <w:r w:rsidRPr="005269E6">
        <w:rPr>
          <w:rFonts w:hint="cs"/>
          <w:rtl/>
          <w:lang w:bidi="ar-EG"/>
        </w:rPr>
        <w:t>لفائدة موظفيها حصراً</w:t>
      </w:r>
      <w:r w:rsidRPr="005269E6">
        <w:rPr>
          <w:rtl/>
          <w:lang w:bidi="ar-EG"/>
        </w:rPr>
        <w:t xml:space="preserve"> </w:t>
      </w:r>
      <w:r w:rsidRPr="005269E6">
        <w:rPr>
          <w:rFonts w:hint="cs"/>
          <w:rtl/>
          <w:lang w:bidi="ar-EG"/>
        </w:rPr>
        <w:t>الذين</w:t>
      </w:r>
      <w:r w:rsidRPr="005269E6">
        <w:rPr>
          <w:rtl/>
          <w:lang w:bidi="ar-EG"/>
        </w:rPr>
        <w:t xml:space="preserve"> </w:t>
      </w:r>
      <w:r w:rsidRPr="005269E6">
        <w:rPr>
          <w:rFonts w:hint="cs"/>
          <w:rtl/>
          <w:lang w:bidi="ar-EG"/>
        </w:rPr>
        <w:t>كانوا</w:t>
      </w:r>
      <w:r w:rsidRPr="005269E6">
        <w:rPr>
          <w:rtl/>
          <w:lang w:bidi="ar-EG"/>
        </w:rPr>
        <w:t xml:space="preserve"> </w:t>
      </w:r>
      <w:r w:rsidRPr="005269E6">
        <w:rPr>
          <w:rFonts w:hint="cs"/>
          <w:rtl/>
          <w:lang w:bidi="ar-EG"/>
        </w:rPr>
        <w:t>مشاركين</w:t>
      </w:r>
      <w:r w:rsidRPr="005269E6">
        <w:rPr>
          <w:rtl/>
          <w:lang w:bidi="ar-EG"/>
        </w:rPr>
        <w:t xml:space="preserve"> </w:t>
      </w:r>
      <w:r w:rsidRPr="005269E6">
        <w:rPr>
          <w:rFonts w:hint="cs"/>
          <w:rtl/>
          <w:lang w:bidi="ar-EG"/>
        </w:rPr>
        <w:t>في</w:t>
      </w:r>
      <w:r w:rsidRPr="005269E6">
        <w:rPr>
          <w:rtl/>
          <w:lang w:bidi="ar-EG"/>
        </w:rPr>
        <w:t xml:space="preserve"> </w:t>
      </w:r>
      <w:r w:rsidRPr="005269E6">
        <w:rPr>
          <w:rFonts w:hint="cs"/>
          <w:rtl/>
          <w:lang w:bidi="ar-EG"/>
        </w:rPr>
        <w:t>الصندوق</w:t>
      </w:r>
      <w:r w:rsidRPr="005269E6">
        <w:rPr>
          <w:rtl/>
          <w:lang w:bidi="ar-EG"/>
        </w:rPr>
        <w:t xml:space="preserve"> </w:t>
      </w:r>
      <w:r w:rsidRPr="005269E6">
        <w:rPr>
          <w:rFonts w:hint="cs"/>
          <w:rtl/>
          <w:lang w:bidi="ar-EG"/>
        </w:rPr>
        <w:t>في</w:t>
      </w:r>
      <w:r w:rsidRPr="005269E6">
        <w:rPr>
          <w:rtl/>
          <w:lang w:bidi="ar-EG"/>
        </w:rPr>
        <w:t xml:space="preserve"> </w:t>
      </w:r>
      <w:r w:rsidRPr="005269E6">
        <w:rPr>
          <w:rFonts w:hint="cs"/>
          <w:rtl/>
          <w:lang w:bidi="ar-EG"/>
        </w:rPr>
        <w:t>ذلك</w:t>
      </w:r>
      <w:r w:rsidRPr="005269E6">
        <w:rPr>
          <w:rtl/>
          <w:lang w:bidi="ar-EG"/>
        </w:rPr>
        <w:t xml:space="preserve"> </w:t>
      </w:r>
      <w:r w:rsidRPr="005269E6">
        <w:rPr>
          <w:rFonts w:hint="cs"/>
          <w:rtl/>
          <w:lang w:bidi="ar-EG"/>
        </w:rPr>
        <w:t>التاريخ،</w:t>
      </w:r>
      <w:r w:rsidRPr="005269E6">
        <w:rPr>
          <w:rtl/>
          <w:lang w:bidi="ar-EG"/>
        </w:rPr>
        <w:t xml:space="preserve"> </w:t>
      </w:r>
      <w:r w:rsidRPr="005269E6">
        <w:rPr>
          <w:rFonts w:hint="cs"/>
          <w:rtl/>
          <w:lang w:bidi="ar-EG"/>
        </w:rPr>
        <w:t>وفقاً</w:t>
      </w:r>
      <w:r w:rsidRPr="005269E6">
        <w:rPr>
          <w:rtl/>
          <w:lang w:bidi="ar-EG"/>
        </w:rPr>
        <w:t xml:space="preserve"> </w:t>
      </w:r>
      <w:r w:rsidRPr="005269E6">
        <w:rPr>
          <w:rFonts w:hint="cs"/>
          <w:rtl/>
          <w:lang w:bidi="ar-EG"/>
        </w:rPr>
        <w:t>لترتيب</w:t>
      </w:r>
      <w:r w:rsidRPr="005269E6">
        <w:rPr>
          <w:rtl/>
          <w:lang w:bidi="ar-EG"/>
        </w:rPr>
        <w:t xml:space="preserve"> </w:t>
      </w:r>
      <w:r w:rsidRPr="005269E6">
        <w:rPr>
          <w:rFonts w:hint="cs"/>
          <w:rtl/>
          <w:lang w:bidi="ar-EG"/>
        </w:rPr>
        <w:t>متفق</w:t>
      </w:r>
      <w:r w:rsidRPr="005269E6">
        <w:rPr>
          <w:rtl/>
          <w:lang w:bidi="ar-EG"/>
        </w:rPr>
        <w:t xml:space="preserve"> </w:t>
      </w:r>
      <w:r w:rsidRPr="005269E6">
        <w:rPr>
          <w:rFonts w:hint="cs"/>
          <w:rtl/>
          <w:lang w:bidi="ar-EG"/>
        </w:rPr>
        <w:t>عليه</w:t>
      </w:r>
      <w:r w:rsidRPr="005269E6">
        <w:rPr>
          <w:rtl/>
          <w:lang w:bidi="ar-EG"/>
        </w:rPr>
        <w:t xml:space="preserve"> </w:t>
      </w:r>
      <w:r w:rsidRPr="005269E6">
        <w:rPr>
          <w:rFonts w:hint="cs"/>
          <w:rtl/>
          <w:lang w:bidi="ar-EG"/>
        </w:rPr>
        <w:t>بين</w:t>
      </w:r>
      <w:r w:rsidRPr="005269E6">
        <w:rPr>
          <w:rtl/>
          <w:lang w:bidi="ar-EG"/>
        </w:rPr>
        <w:t xml:space="preserve"> </w:t>
      </w:r>
      <w:r w:rsidRPr="005269E6">
        <w:rPr>
          <w:rFonts w:hint="cs"/>
          <w:rtl/>
          <w:lang w:bidi="ar-EG"/>
        </w:rPr>
        <w:t>المنظمة</w:t>
      </w:r>
      <w:r w:rsidRPr="005269E6">
        <w:rPr>
          <w:rtl/>
          <w:lang w:bidi="ar-EG"/>
        </w:rPr>
        <w:t xml:space="preserve"> </w:t>
      </w:r>
      <w:r w:rsidRPr="005269E6">
        <w:rPr>
          <w:rFonts w:hint="cs"/>
          <w:rtl/>
          <w:lang w:bidi="ar-EG"/>
        </w:rPr>
        <w:t xml:space="preserve">والصندوق. ويحدد المبلغ من جانب </w:t>
      </w:r>
      <w:r w:rsidRPr="005269E6">
        <w:rPr>
          <w:color w:val="000000"/>
          <w:rtl/>
        </w:rPr>
        <w:t>الصندوق المشترك للمعاشات التقاعدية لموظفي الأمم المتحدة</w:t>
      </w:r>
      <w:r w:rsidRPr="005269E6">
        <w:rPr>
          <w:rtl/>
          <w:lang w:bidi="ar-EG"/>
        </w:rPr>
        <w:t xml:space="preserve"> </w:t>
      </w:r>
      <w:r w:rsidRPr="005269E6">
        <w:rPr>
          <w:rFonts w:hint="cs"/>
          <w:rtl/>
          <w:lang w:bidi="ar-EG"/>
        </w:rPr>
        <w:t>استناداً</w:t>
      </w:r>
      <w:r w:rsidRPr="005269E6">
        <w:rPr>
          <w:rtl/>
          <w:lang w:bidi="ar-EG"/>
        </w:rPr>
        <w:t xml:space="preserve"> </w:t>
      </w:r>
      <w:r w:rsidRPr="005269E6">
        <w:rPr>
          <w:rFonts w:hint="cs"/>
          <w:rtl/>
          <w:lang w:bidi="ar-EG"/>
        </w:rPr>
        <w:t>إلى</w:t>
      </w:r>
      <w:r w:rsidRPr="005269E6">
        <w:rPr>
          <w:rtl/>
          <w:lang w:bidi="ar-EG"/>
        </w:rPr>
        <w:t xml:space="preserve"> </w:t>
      </w:r>
      <w:r w:rsidRPr="005269E6">
        <w:rPr>
          <w:rFonts w:hint="cs"/>
          <w:rtl/>
          <w:lang w:bidi="ar-EG"/>
        </w:rPr>
        <w:t>تقييم</w:t>
      </w:r>
      <w:r w:rsidRPr="005269E6">
        <w:rPr>
          <w:rtl/>
          <w:lang w:bidi="ar-EG"/>
        </w:rPr>
        <w:t xml:space="preserve"> </w:t>
      </w:r>
      <w:r w:rsidR="0059394B" w:rsidRPr="005269E6">
        <w:rPr>
          <w:rFonts w:hint="cs"/>
          <w:rtl/>
          <w:lang w:bidi="ar-EG"/>
        </w:rPr>
        <w:t>إكتواري</w:t>
      </w:r>
      <w:r w:rsidRPr="005269E6">
        <w:rPr>
          <w:rtl/>
          <w:lang w:bidi="ar-EG"/>
        </w:rPr>
        <w:t xml:space="preserve"> </w:t>
      </w:r>
      <w:r w:rsidRPr="005269E6">
        <w:rPr>
          <w:rFonts w:hint="cs"/>
          <w:rtl/>
          <w:lang w:bidi="ar-EG"/>
        </w:rPr>
        <w:t>لأصول</w:t>
      </w:r>
      <w:r w:rsidRPr="005269E6">
        <w:rPr>
          <w:rtl/>
          <w:lang w:bidi="ar-EG"/>
        </w:rPr>
        <w:t xml:space="preserve"> </w:t>
      </w:r>
      <w:r w:rsidRPr="005269E6">
        <w:rPr>
          <w:rFonts w:hint="cs"/>
          <w:rtl/>
          <w:lang w:bidi="ar-EG"/>
        </w:rPr>
        <w:t>وخصوم</w:t>
      </w:r>
      <w:r w:rsidRPr="005269E6">
        <w:rPr>
          <w:rtl/>
          <w:lang w:bidi="ar-EG"/>
        </w:rPr>
        <w:t xml:space="preserve"> </w:t>
      </w:r>
      <w:r w:rsidRPr="005269E6">
        <w:rPr>
          <w:rFonts w:hint="cs"/>
          <w:rtl/>
          <w:lang w:bidi="ar-EG"/>
        </w:rPr>
        <w:t>الصندوق</w:t>
      </w:r>
      <w:r w:rsidRPr="005269E6">
        <w:rPr>
          <w:rtl/>
          <w:lang w:bidi="ar-EG"/>
        </w:rPr>
        <w:t xml:space="preserve"> </w:t>
      </w:r>
      <w:r w:rsidRPr="005269E6">
        <w:rPr>
          <w:rFonts w:hint="cs"/>
          <w:rtl/>
          <w:lang w:bidi="ar-EG"/>
        </w:rPr>
        <w:t>في تاريخ</w:t>
      </w:r>
      <w:r w:rsidRPr="005269E6">
        <w:rPr>
          <w:rtl/>
          <w:lang w:bidi="ar-EG"/>
        </w:rPr>
        <w:t xml:space="preserve"> </w:t>
      </w:r>
      <w:r w:rsidRPr="005269E6">
        <w:rPr>
          <w:rFonts w:hint="cs"/>
          <w:rtl/>
          <w:lang w:bidi="ar-EG"/>
        </w:rPr>
        <w:t>الإنهاء؛</w:t>
      </w:r>
      <w:r w:rsidRPr="005269E6">
        <w:rPr>
          <w:rtl/>
          <w:lang w:bidi="ar-EG"/>
        </w:rPr>
        <w:t xml:space="preserve"> </w:t>
      </w:r>
      <w:r w:rsidRPr="005269E6">
        <w:rPr>
          <w:rFonts w:hint="cs"/>
          <w:rtl/>
          <w:lang w:bidi="ar-EG"/>
        </w:rPr>
        <w:t>ولا يُدرج في</w:t>
      </w:r>
      <w:r w:rsidRPr="005269E6">
        <w:rPr>
          <w:rFonts w:hint="eastAsia"/>
          <w:rtl/>
          <w:lang w:bidi="ar-EG"/>
        </w:rPr>
        <w:t> </w:t>
      </w:r>
      <w:r w:rsidRPr="005269E6">
        <w:rPr>
          <w:rFonts w:hint="cs"/>
          <w:rtl/>
          <w:lang w:bidi="ar-EG"/>
        </w:rPr>
        <w:t>المبلغ أي</w:t>
      </w:r>
      <w:r w:rsidRPr="005269E6">
        <w:rPr>
          <w:rtl/>
          <w:lang w:bidi="ar-EG"/>
        </w:rPr>
        <w:t xml:space="preserve"> </w:t>
      </w:r>
      <w:r w:rsidRPr="005269E6">
        <w:rPr>
          <w:rFonts w:hint="cs"/>
          <w:rtl/>
          <w:lang w:bidi="ar-EG"/>
        </w:rPr>
        <w:t>جزء</w:t>
      </w:r>
      <w:r w:rsidRPr="005269E6">
        <w:rPr>
          <w:rtl/>
          <w:lang w:bidi="ar-EG"/>
        </w:rPr>
        <w:t xml:space="preserve"> </w:t>
      </w:r>
      <w:r w:rsidRPr="005269E6">
        <w:rPr>
          <w:rFonts w:hint="cs"/>
          <w:rtl/>
          <w:lang w:bidi="ar-EG"/>
        </w:rPr>
        <w:t>من</w:t>
      </w:r>
      <w:r w:rsidRPr="005269E6">
        <w:rPr>
          <w:rtl/>
          <w:lang w:bidi="ar-EG"/>
        </w:rPr>
        <w:t xml:space="preserve"> </w:t>
      </w:r>
      <w:r w:rsidRPr="005269E6">
        <w:rPr>
          <w:rFonts w:hint="cs"/>
          <w:rtl/>
          <w:lang w:bidi="ar-EG"/>
        </w:rPr>
        <w:t>الأصول</w:t>
      </w:r>
      <w:r w:rsidRPr="005269E6">
        <w:rPr>
          <w:rtl/>
          <w:lang w:bidi="ar-EG"/>
        </w:rPr>
        <w:t xml:space="preserve"> </w:t>
      </w:r>
      <w:r w:rsidRPr="005269E6">
        <w:rPr>
          <w:rFonts w:hint="cs"/>
          <w:rtl/>
          <w:lang w:bidi="ar-EG"/>
        </w:rPr>
        <w:t>التي</w:t>
      </w:r>
      <w:r w:rsidRPr="005269E6">
        <w:rPr>
          <w:rtl/>
          <w:lang w:bidi="ar-EG"/>
        </w:rPr>
        <w:t xml:space="preserve"> </w:t>
      </w:r>
      <w:r w:rsidRPr="005269E6">
        <w:rPr>
          <w:rFonts w:hint="cs"/>
          <w:rtl/>
          <w:lang w:bidi="ar-EG"/>
        </w:rPr>
        <w:t>تتجاوز</w:t>
      </w:r>
      <w:r w:rsidRPr="005269E6">
        <w:rPr>
          <w:rtl/>
          <w:lang w:bidi="ar-EG"/>
        </w:rPr>
        <w:t xml:space="preserve"> </w:t>
      </w:r>
      <w:r w:rsidRPr="005269E6">
        <w:rPr>
          <w:rFonts w:hint="cs"/>
          <w:rtl/>
          <w:lang w:bidi="ar-EG"/>
        </w:rPr>
        <w:t>الخصوم.</w:t>
      </w:r>
    </w:p>
    <w:p w14:paraId="45B06B41" w14:textId="77777777" w:rsidR="00C543C6" w:rsidRPr="005269E6" w:rsidRDefault="00C543C6" w:rsidP="00C543C6">
      <w:pPr>
        <w:rPr>
          <w:rtl/>
          <w:lang w:bidi="ar-EG"/>
        </w:rPr>
      </w:pPr>
      <w:r w:rsidRPr="005269E6">
        <w:rPr>
          <w:rtl/>
          <w:lang w:bidi="ar-EG"/>
        </w:rPr>
        <w:t xml:space="preserve">ويقوم مجلس مراجعي حسابات الأمم المتحدة بمراجعة سنوية لحسابات هذا الصندوق ويقدم تقاريره إلى مجلس صندوق المعاشات </w:t>
      </w:r>
      <w:r w:rsidRPr="005269E6">
        <w:rPr>
          <w:rFonts w:hint="cs"/>
          <w:rtl/>
          <w:lang w:bidi="ar-EG"/>
        </w:rPr>
        <w:t xml:space="preserve">والجمعية العامة للأمم المتحدة </w:t>
      </w:r>
      <w:r w:rsidRPr="005269E6">
        <w:rPr>
          <w:rtl/>
          <w:lang w:bidi="ar-EG"/>
        </w:rPr>
        <w:t xml:space="preserve">عن مراجعة الحسابات هذه كل عام. وينشر الصندوق تقارير فصلية عن استثماراته، ويمكن الاطلاع على هذه التقارير بزيارة موقع الصندوق في العنوان </w:t>
      </w:r>
      <w:hyperlink r:id="rId28" w:history="1">
        <w:r w:rsidRPr="005269E6">
          <w:rPr>
            <w:color w:val="0000FF"/>
            <w:u w:val="single"/>
            <w:lang w:bidi="ar-EG"/>
          </w:rPr>
          <w:t>www.unjspf.org</w:t>
        </w:r>
      </w:hyperlink>
      <w:r w:rsidRPr="005269E6">
        <w:rPr>
          <w:rtl/>
          <w:lang w:bidi="ar-EG"/>
        </w:rPr>
        <w:t>.</w:t>
      </w:r>
    </w:p>
    <w:p w14:paraId="1C0F8344" w14:textId="64A35191" w:rsidR="00C543C6" w:rsidRPr="005269E6" w:rsidRDefault="00C543C6" w:rsidP="00C543C6">
      <w:pPr>
        <w:rPr>
          <w:rtl/>
          <w:lang w:bidi="ar-EG"/>
        </w:rPr>
      </w:pPr>
      <w:r w:rsidRPr="005269E6">
        <w:rPr>
          <w:rtl/>
          <w:lang w:bidi="ar-EG"/>
        </w:rPr>
        <w:t>والأرقام الواردة في الجدول مستخرجة من ملفات الاتحاد وحساباته.</w:t>
      </w:r>
    </w:p>
    <w:p w14:paraId="2EFACC03" w14:textId="57ACDF76" w:rsidR="00C543C6" w:rsidRPr="005269E6" w:rsidRDefault="00C543C6" w:rsidP="00C543C6">
      <w:pPr>
        <w:keepNext/>
        <w:spacing w:before="240" w:after="120"/>
        <w:jc w:val="center"/>
        <w:rPr>
          <w:b/>
          <w:bCs/>
          <w:rtl/>
          <w:lang w:bidi="ar-SY"/>
        </w:rPr>
      </w:pPr>
      <w:bookmarkStart w:id="545" w:name="_Toc452156643"/>
      <w:bookmarkStart w:id="546" w:name="_Toc387338365"/>
      <w:bookmarkStart w:id="547" w:name="_Toc387263390"/>
      <w:r w:rsidRPr="005269E6">
        <w:rPr>
          <w:b/>
          <w:bCs/>
          <w:rtl/>
          <w:lang w:bidi="ar-SY"/>
        </w:rPr>
        <w:t xml:space="preserve">موجز المساهمات في الصندوق في الفترة من </w:t>
      </w:r>
      <w:r w:rsidRPr="005269E6">
        <w:rPr>
          <w:b/>
          <w:bCs/>
          <w:lang w:bidi="ar-SY"/>
        </w:rPr>
        <w:t>1</w:t>
      </w:r>
      <w:r w:rsidRPr="005269E6">
        <w:rPr>
          <w:b/>
          <w:bCs/>
          <w:rtl/>
          <w:lang w:bidi="ar-SY"/>
        </w:rPr>
        <w:t xml:space="preserve"> يناير إلى </w:t>
      </w:r>
      <w:r w:rsidRPr="005269E6">
        <w:rPr>
          <w:b/>
          <w:bCs/>
          <w:lang w:bidi="ar-SY"/>
        </w:rPr>
        <w:t>31</w:t>
      </w:r>
      <w:r w:rsidRPr="005269E6">
        <w:rPr>
          <w:b/>
          <w:bCs/>
          <w:rtl/>
          <w:lang w:bidi="ar-SY"/>
        </w:rPr>
        <w:t xml:space="preserve"> ديسمبر </w:t>
      </w:r>
      <w:r w:rsidR="008E3623" w:rsidRPr="005269E6">
        <w:rPr>
          <w:b/>
          <w:bCs/>
          <w:lang w:bidi="ar-SY"/>
        </w:rPr>
        <w:t>2022</w:t>
      </w:r>
      <w:bookmarkEnd w:id="545"/>
      <w:bookmarkEnd w:id="546"/>
      <w:bookmarkEnd w:id="547"/>
    </w:p>
    <w:tbl>
      <w:tblPr>
        <w:bidiVisual/>
        <w:tblW w:w="9200" w:type="dxa"/>
        <w:jc w:val="center"/>
        <w:tblLook w:val="04A0" w:firstRow="1" w:lastRow="0" w:firstColumn="1" w:lastColumn="0" w:noHBand="0" w:noVBand="1"/>
      </w:tblPr>
      <w:tblGrid>
        <w:gridCol w:w="3160"/>
        <w:gridCol w:w="1360"/>
        <w:gridCol w:w="1960"/>
        <w:gridCol w:w="1360"/>
        <w:gridCol w:w="1360"/>
      </w:tblGrid>
      <w:tr w:rsidR="00F57D93" w:rsidRPr="005269E6" w14:paraId="7BBC5177" w14:textId="77777777" w:rsidTr="00F57D93">
        <w:trPr>
          <w:trHeight w:val="990"/>
          <w:jc w:val="center"/>
        </w:trPr>
        <w:tc>
          <w:tcPr>
            <w:tcW w:w="3160" w:type="dxa"/>
            <w:tcBorders>
              <w:top w:val="nil"/>
              <w:left w:val="nil"/>
              <w:bottom w:val="nil"/>
              <w:right w:val="nil"/>
            </w:tcBorders>
            <w:shd w:val="clear" w:color="000000" w:fill="538DD5"/>
            <w:vAlign w:val="center"/>
            <w:hideMark/>
          </w:tcPr>
          <w:p w14:paraId="3B16AC1E" w14:textId="3B552BF9" w:rsidR="00F57D93" w:rsidRPr="005269E6" w:rsidRDefault="00C16016" w:rsidP="00971B80">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ال</w:t>
            </w:r>
            <w:r w:rsidR="00ED26F2" w:rsidRPr="005269E6">
              <w:rPr>
                <w:rFonts w:eastAsia="Times New Roman"/>
                <w:b/>
                <w:bCs/>
                <w:color w:val="000000"/>
                <w:sz w:val="18"/>
                <w:szCs w:val="18"/>
                <w:rtl/>
                <w:lang w:val="en-GB" w:eastAsia="en-GB"/>
              </w:rPr>
              <w:t>وصف</w:t>
            </w:r>
          </w:p>
        </w:tc>
        <w:tc>
          <w:tcPr>
            <w:tcW w:w="1360" w:type="dxa"/>
            <w:tcBorders>
              <w:top w:val="nil"/>
              <w:left w:val="nil"/>
              <w:bottom w:val="nil"/>
              <w:right w:val="nil"/>
            </w:tcBorders>
            <w:shd w:val="clear" w:color="000000" w:fill="538DD5"/>
            <w:vAlign w:val="center"/>
            <w:hideMark/>
          </w:tcPr>
          <w:p w14:paraId="6FD5CA8B" w14:textId="3A060CFB" w:rsidR="00F57D93" w:rsidRPr="005269E6" w:rsidRDefault="00ED26F2" w:rsidP="00971B80">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bidi="ar-EG"/>
              </w:rPr>
              <w:t>المساهمات</w:t>
            </w:r>
            <w:r w:rsidRPr="005269E6">
              <w:rPr>
                <w:rFonts w:ascii="Segoe UI" w:hAnsi="Segoe UI" w:cs="Segoe UI"/>
                <w:sz w:val="18"/>
                <w:szCs w:val="18"/>
                <w:shd w:val="clear" w:color="auto" w:fill="D4D4D4"/>
                <w:rtl/>
                <w:lang w:val="en" w:bidi="ar"/>
              </w:rPr>
              <w:t xml:space="preserve"> </w:t>
            </w:r>
            <w:r w:rsidRPr="005269E6">
              <w:rPr>
                <w:rFonts w:eastAsia="Times New Roman"/>
                <w:b/>
                <w:bCs/>
                <w:color w:val="000000"/>
                <w:sz w:val="18"/>
                <w:szCs w:val="18"/>
                <w:rtl/>
                <w:lang w:val="en-GB" w:eastAsia="en-GB" w:bidi="ar"/>
              </w:rPr>
              <w:t>العادية</w:t>
            </w:r>
          </w:p>
        </w:tc>
        <w:tc>
          <w:tcPr>
            <w:tcW w:w="1960" w:type="dxa"/>
            <w:tcBorders>
              <w:top w:val="nil"/>
              <w:left w:val="nil"/>
              <w:bottom w:val="nil"/>
              <w:right w:val="nil"/>
            </w:tcBorders>
            <w:shd w:val="clear" w:color="000000" w:fill="538DD5"/>
            <w:vAlign w:val="center"/>
            <w:hideMark/>
          </w:tcPr>
          <w:p w14:paraId="77C839EB" w14:textId="152CD08E" w:rsidR="00F57D93" w:rsidRPr="005269E6" w:rsidRDefault="00ED26F2" w:rsidP="00971B80">
            <w:pPr>
              <w:tabs>
                <w:tab w:val="clear" w:pos="794"/>
              </w:tabs>
              <w:spacing w:before="40" w:after="40" w:line="240" w:lineRule="exact"/>
              <w:jc w:val="center"/>
              <w:rPr>
                <w:rFonts w:eastAsia="Times New Roman"/>
                <w:b/>
                <w:bCs/>
                <w:color w:val="000000"/>
                <w:sz w:val="18"/>
                <w:szCs w:val="18"/>
                <w:lang w:eastAsia="en-GB"/>
              </w:rPr>
            </w:pPr>
            <w:r w:rsidRPr="005269E6">
              <w:rPr>
                <w:rFonts w:eastAsia="Times New Roman"/>
                <w:b/>
                <w:bCs/>
                <w:color w:val="000000"/>
                <w:sz w:val="18"/>
                <w:szCs w:val="18"/>
                <w:rtl/>
                <w:lang w:val="en-GB" w:eastAsia="en-GB"/>
              </w:rPr>
              <w:t>مساهمات ضم مدة الخدمة</w:t>
            </w:r>
            <w:r w:rsidRPr="005269E6">
              <w:rPr>
                <w:rFonts w:eastAsia="Times New Roman" w:hint="cs"/>
                <w:b/>
                <w:bCs/>
                <w:color w:val="000000"/>
                <w:sz w:val="18"/>
                <w:szCs w:val="18"/>
                <w:rtl/>
                <w:lang w:val="en-GB" w:eastAsia="en-GB"/>
              </w:rPr>
              <w:t>/التعويض عنها</w:t>
            </w:r>
          </w:p>
        </w:tc>
        <w:tc>
          <w:tcPr>
            <w:tcW w:w="1360" w:type="dxa"/>
            <w:tcBorders>
              <w:top w:val="nil"/>
              <w:left w:val="nil"/>
              <w:bottom w:val="nil"/>
              <w:right w:val="nil"/>
            </w:tcBorders>
            <w:shd w:val="clear" w:color="000000" w:fill="538DD5"/>
            <w:vAlign w:val="center"/>
            <w:hideMark/>
          </w:tcPr>
          <w:p w14:paraId="5762DD49" w14:textId="37EBAE78" w:rsidR="00F57D93" w:rsidRPr="005269E6" w:rsidRDefault="00ED26F2" w:rsidP="00971B80">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المساهمات الطوعية</w:t>
            </w:r>
          </w:p>
        </w:tc>
        <w:tc>
          <w:tcPr>
            <w:tcW w:w="1360" w:type="dxa"/>
            <w:tcBorders>
              <w:top w:val="nil"/>
              <w:left w:val="nil"/>
              <w:bottom w:val="nil"/>
              <w:right w:val="nil"/>
            </w:tcBorders>
            <w:shd w:val="clear" w:color="000000" w:fill="538DD5"/>
            <w:vAlign w:val="center"/>
            <w:hideMark/>
          </w:tcPr>
          <w:p w14:paraId="06D02F89" w14:textId="03CDC7B5" w:rsidR="00F57D93" w:rsidRPr="005269E6" w:rsidRDefault="00ED26F2" w:rsidP="00971B80">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المجموع الكلي</w:t>
            </w:r>
          </w:p>
        </w:tc>
      </w:tr>
      <w:tr w:rsidR="00F57D93" w:rsidRPr="005269E6" w14:paraId="0D12F6D8" w14:textId="77777777" w:rsidTr="00F57D93">
        <w:trPr>
          <w:trHeight w:val="240"/>
          <w:jc w:val="center"/>
        </w:trPr>
        <w:tc>
          <w:tcPr>
            <w:tcW w:w="3160" w:type="dxa"/>
            <w:tcBorders>
              <w:top w:val="nil"/>
              <w:left w:val="nil"/>
              <w:bottom w:val="nil"/>
              <w:right w:val="nil"/>
            </w:tcBorders>
            <w:shd w:val="clear" w:color="auto" w:fill="auto"/>
            <w:noWrap/>
            <w:vAlign w:val="bottom"/>
            <w:hideMark/>
          </w:tcPr>
          <w:p w14:paraId="028E3300" w14:textId="074147A7" w:rsidR="00F57D93" w:rsidRPr="005269E6" w:rsidRDefault="00ED26F2" w:rsidP="00F57D9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مساهمات المشاركين</w:t>
            </w:r>
          </w:p>
        </w:tc>
        <w:tc>
          <w:tcPr>
            <w:tcW w:w="1360" w:type="dxa"/>
            <w:tcBorders>
              <w:top w:val="nil"/>
              <w:left w:val="nil"/>
              <w:bottom w:val="nil"/>
              <w:right w:val="nil"/>
            </w:tcBorders>
            <w:shd w:val="clear" w:color="auto" w:fill="auto"/>
            <w:noWrap/>
            <w:vAlign w:val="bottom"/>
            <w:hideMark/>
          </w:tcPr>
          <w:p w14:paraId="244748B7" w14:textId="0AF23595" w:rsidR="00F57D93" w:rsidRPr="005269E6" w:rsidRDefault="00F57D93" w:rsidP="004B06F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9 192 </w:t>
            </w:r>
          </w:p>
        </w:tc>
        <w:tc>
          <w:tcPr>
            <w:tcW w:w="1960" w:type="dxa"/>
            <w:tcBorders>
              <w:top w:val="nil"/>
              <w:left w:val="nil"/>
              <w:bottom w:val="nil"/>
              <w:right w:val="nil"/>
            </w:tcBorders>
            <w:shd w:val="clear" w:color="auto" w:fill="auto"/>
            <w:noWrap/>
            <w:vAlign w:val="bottom"/>
            <w:hideMark/>
          </w:tcPr>
          <w:p w14:paraId="5DBD536C" w14:textId="3EE0BF3E" w:rsidR="00F57D93" w:rsidRPr="005269E6" w:rsidRDefault="00F57D93" w:rsidP="004B06F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15 </w:t>
            </w:r>
          </w:p>
        </w:tc>
        <w:tc>
          <w:tcPr>
            <w:tcW w:w="1360" w:type="dxa"/>
            <w:tcBorders>
              <w:top w:val="nil"/>
              <w:left w:val="nil"/>
              <w:bottom w:val="nil"/>
              <w:right w:val="nil"/>
            </w:tcBorders>
            <w:shd w:val="clear" w:color="auto" w:fill="auto"/>
            <w:noWrap/>
            <w:vAlign w:val="bottom"/>
            <w:hideMark/>
          </w:tcPr>
          <w:p w14:paraId="433636E4" w14:textId="4F15875D" w:rsidR="00F57D93" w:rsidRPr="005269E6" w:rsidRDefault="00F57D93" w:rsidP="004B06F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25 </w:t>
            </w:r>
          </w:p>
        </w:tc>
        <w:tc>
          <w:tcPr>
            <w:tcW w:w="1360" w:type="dxa"/>
            <w:tcBorders>
              <w:top w:val="nil"/>
              <w:left w:val="nil"/>
              <w:bottom w:val="nil"/>
              <w:right w:val="nil"/>
            </w:tcBorders>
            <w:shd w:val="clear" w:color="auto" w:fill="auto"/>
            <w:noWrap/>
            <w:vAlign w:val="bottom"/>
            <w:hideMark/>
          </w:tcPr>
          <w:p w14:paraId="11E4AECF" w14:textId="1F50C72E" w:rsidR="00F57D93" w:rsidRPr="005269E6" w:rsidRDefault="00F57D93" w:rsidP="004B06F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9 231 </w:t>
            </w:r>
          </w:p>
        </w:tc>
      </w:tr>
      <w:tr w:rsidR="00F57D93" w:rsidRPr="005269E6" w14:paraId="069621DF" w14:textId="77777777" w:rsidTr="00F57D93">
        <w:trPr>
          <w:trHeight w:val="240"/>
          <w:jc w:val="center"/>
        </w:trPr>
        <w:tc>
          <w:tcPr>
            <w:tcW w:w="3160" w:type="dxa"/>
            <w:tcBorders>
              <w:top w:val="nil"/>
              <w:left w:val="nil"/>
              <w:bottom w:val="nil"/>
              <w:right w:val="nil"/>
            </w:tcBorders>
            <w:shd w:val="clear" w:color="auto" w:fill="auto"/>
            <w:noWrap/>
            <w:vAlign w:val="bottom"/>
            <w:hideMark/>
          </w:tcPr>
          <w:p w14:paraId="2B94866D" w14:textId="2978D40A" w:rsidR="00F57D93" w:rsidRPr="005269E6" w:rsidRDefault="00ED26F2" w:rsidP="00F57D9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مساهمات الاتحاد</w:t>
            </w:r>
          </w:p>
        </w:tc>
        <w:tc>
          <w:tcPr>
            <w:tcW w:w="1360" w:type="dxa"/>
            <w:tcBorders>
              <w:top w:val="nil"/>
              <w:left w:val="nil"/>
              <w:bottom w:val="nil"/>
              <w:right w:val="nil"/>
            </w:tcBorders>
            <w:shd w:val="clear" w:color="auto" w:fill="auto"/>
            <w:noWrap/>
            <w:vAlign w:val="bottom"/>
            <w:hideMark/>
          </w:tcPr>
          <w:p w14:paraId="7BF5C1C9" w14:textId="0E21C2B4" w:rsidR="00F57D93" w:rsidRPr="005269E6" w:rsidRDefault="00F57D93" w:rsidP="004B06F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18 383 </w:t>
            </w:r>
          </w:p>
        </w:tc>
        <w:tc>
          <w:tcPr>
            <w:tcW w:w="1960" w:type="dxa"/>
            <w:tcBorders>
              <w:top w:val="nil"/>
              <w:left w:val="nil"/>
              <w:bottom w:val="nil"/>
              <w:right w:val="nil"/>
            </w:tcBorders>
            <w:shd w:val="clear" w:color="auto" w:fill="auto"/>
            <w:noWrap/>
            <w:vAlign w:val="bottom"/>
            <w:hideMark/>
          </w:tcPr>
          <w:p w14:paraId="1E183315" w14:textId="2100886B" w:rsidR="00F57D93" w:rsidRPr="005269E6" w:rsidRDefault="00F57D93" w:rsidP="004B06F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13 </w:t>
            </w:r>
          </w:p>
        </w:tc>
        <w:tc>
          <w:tcPr>
            <w:tcW w:w="1360" w:type="dxa"/>
            <w:tcBorders>
              <w:top w:val="nil"/>
              <w:left w:val="nil"/>
              <w:bottom w:val="nil"/>
              <w:right w:val="nil"/>
            </w:tcBorders>
            <w:shd w:val="clear" w:color="auto" w:fill="auto"/>
            <w:noWrap/>
            <w:vAlign w:val="bottom"/>
            <w:hideMark/>
          </w:tcPr>
          <w:p w14:paraId="216C783C" w14:textId="2C7E3CA0" w:rsidR="00F57D93" w:rsidRPr="005269E6" w:rsidRDefault="00F57D93" w:rsidP="004B06F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50 </w:t>
            </w:r>
          </w:p>
        </w:tc>
        <w:tc>
          <w:tcPr>
            <w:tcW w:w="1360" w:type="dxa"/>
            <w:tcBorders>
              <w:top w:val="nil"/>
              <w:left w:val="nil"/>
              <w:bottom w:val="nil"/>
              <w:right w:val="nil"/>
            </w:tcBorders>
            <w:shd w:val="clear" w:color="auto" w:fill="auto"/>
            <w:noWrap/>
            <w:vAlign w:val="bottom"/>
            <w:hideMark/>
          </w:tcPr>
          <w:p w14:paraId="594D53D6" w14:textId="21FFC01C" w:rsidR="00F57D93" w:rsidRPr="005269E6" w:rsidRDefault="00F57D93" w:rsidP="004B06F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18 446 </w:t>
            </w:r>
          </w:p>
        </w:tc>
      </w:tr>
      <w:tr w:rsidR="00F57D93" w:rsidRPr="005269E6" w14:paraId="3786084E" w14:textId="77777777" w:rsidTr="00F57D93">
        <w:trPr>
          <w:trHeight w:val="240"/>
          <w:jc w:val="center"/>
        </w:trPr>
        <w:tc>
          <w:tcPr>
            <w:tcW w:w="3160" w:type="dxa"/>
            <w:tcBorders>
              <w:top w:val="nil"/>
              <w:left w:val="nil"/>
              <w:bottom w:val="nil"/>
              <w:right w:val="nil"/>
            </w:tcBorders>
            <w:shd w:val="clear" w:color="auto" w:fill="auto"/>
            <w:noWrap/>
            <w:vAlign w:val="bottom"/>
            <w:hideMark/>
          </w:tcPr>
          <w:p w14:paraId="489E156B" w14:textId="77777777" w:rsidR="00F57D93" w:rsidRPr="005269E6" w:rsidRDefault="00F57D93" w:rsidP="00F57D93">
            <w:pPr>
              <w:tabs>
                <w:tab w:val="clear" w:pos="794"/>
              </w:tabs>
              <w:spacing w:before="0" w:line="200" w:lineRule="exact"/>
              <w:jc w:val="center"/>
              <w:rPr>
                <w:rFonts w:eastAsia="Times New Roman"/>
                <w:b/>
                <w:bCs/>
                <w:color w:val="000000"/>
                <w:sz w:val="18"/>
                <w:szCs w:val="18"/>
                <w:lang w:val="en-GB" w:eastAsia="en-GB"/>
              </w:rPr>
            </w:pPr>
          </w:p>
        </w:tc>
        <w:tc>
          <w:tcPr>
            <w:tcW w:w="1360" w:type="dxa"/>
            <w:tcBorders>
              <w:top w:val="nil"/>
              <w:left w:val="nil"/>
              <w:bottom w:val="nil"/>
              <w:right w:val="nil"/>
            </w:tcBorders>
            <w:shd w:val="clear" w:color="auto" w:fill="auto"/>
            <w:noWrap/>
            <w:vAlign w:val="bottom"/>
            <w:hideMark/>
          </w:tcPr>
          <w:p w14:paraId="73A8868E" w14:textId="77777777" w:rsidR="00F57D93" w:rsidRPr="005269E6" w:rsidRDefault="00F57D93" w:rsidP="004B06FA">
            <w:pPr>
              <w:tabs>
                <w:tab w:val="clear" w:pos="794"/>
              </w:tabs>
              <w:spacing w:before="0" w:line="200" w:lineRule="exact"/>
              <w:jc w:val="left"/>
              <w:rPr>
                <w:rFonts w:eastAsia="Times New Roman"/>
                <w:b/>
                <w:bCs/>
                <w:color w:val="000000"/>
                <w:sz w:val="18"/>
                <w:szCs w:val="18"/>
                <w:lang w:val="en-GB" w:eastAsia="en-GB"/>
              </w:rPr>
            </w:pPr>
          </w:p>
        </w:tc>
        <w:tc>
          <w:tcPr>
            <w:tcW w:w="1960" w:type="dxa"/>
            <w:tcBorders>
              <w:top w:val="nil"/>
              <w:left w:val="nil"/>
              <w:bottom w:val="nil"/>
              <w:right w:val="nil"/>
            </w:tcBorders>
            <w:shd w:val="clear" w:color="auto" w:fill="auto"/>
            <w:noWrap/>
            <w:vAlign w:val="bottom"/>
            <w:hideMark/>
          </w:tcPr>
          <w:p w14:paraId="233EE9E0" w14:textId="77777777" w:rsidR="00F57D93" w:rsidRPr="005269E6" w:rsidRDefault="00F57D93" w:rsidP="004B06FA">
            <w:pPr>
              <w:tabs>
                <w:tab w:val="clear" w:pos="794"/>
              </w:tabs>
              <w:spacing w:before="0" w:line="200" w:lineRule="exact"/>
              <w:jc w:val="left"/>
              <w:rPr>
                <w:rFonts w:eastAsia="Times New Roman"/>
                <w:b/>
                <w:bCs/>
                <w:color w:val="000000"/>
                <w:sz w:val="18"/>
                <w:szCs w:val="18"/>
                <w:lang w:val="en-GB" w:eastAsia="en-GB"/>
              </w:rPr>
            </w:pPr>
          </w:p>
        </w:tc>
        <w:tc>
          <w:tcPr>
            <w:tcW w:w="1360" w:type="dxa"/>
            <w:tcBorders>
              <w:top w:val="nil"/>
              <w:left w:val="nil"/>
              <w:bottom w:val="nil"/>
              <w:right w:val="nil"/>
            </w:tcBorders>
            <w:shd w:val="clear" w:color="auto" w:fill="auto"/>
            <w:noWrap/>
            <w:vAlign w:val="bottom"/>
            <w:hideMark/>
          </w:tcPr>
          <w:p w14:paraId="3F9F0C9E" w14:textId="77777777" w:rsidR="00F57D93" w:rsidRPr="005269E6" w:rsidRDefault="00F57D93" w:rsidP="004B06FA">
            <w:pPr>
              <w:tabs>
                <w:tab w:val="clear" w:pos="794"/>
              </w:tabs>
              <w:spacing w:before="0" w:line="200" w:lineRule="exact"/>
              <w:jc w:val="left"/>
              <w:rPr>
                <w:rFonts w:eastAsia="Times New Roman"/>
                <w:b/>
                <w:bCs/>
                <w:color w:val="000000"/>
                <w:sz w:val="18"/>
                <w:szCs w:val="18"/>
                <w:lang w:val="en-GB" w:eastAsia="en-GB"/>
              </w:rPr>
            </w:pPr>
          </w:p>
        </w:tc>
        <w:tc>
          <w:tcPr>
            <w:tcW w:w="1360" w:type="dxa"/>
            <w:tcBorders>
              <w:top w:val="nil"/>
              <w:left w:val="nil"/>
              <w:bottom w:val="nil"/>
              <w:right w:val="nil"/>
            </w:tcBorders>
            <w:shd w:val="clear" w:color="auto" w:fill="auto"/>
            <w:noWrap/>
            <w:vAlign w:val="bottom"/>
            <w:hideMark/>
          </w:tcPr>
          <w:p w14:paraId="53B3E5DC" w14:textId="77777777" w:rsidR="00F57D93" w:rsidRPr="005269E6" w:rsidRDefault="00F57D93" w:rsidP="004B06FA">
            <w:pPr>
              <w:tabs>
                <w:tab w:val="clear" w:pos="794"/>
              </w:tabs>
              <w:spacing w:before="0" w:line="200" w:lineRule="exact"/>
              <w:jc w:val="left"/>
              <w:rPr>
                <w:rFonts w:eastAsia="Times New Roman"/>
                <w:b/>
                <w:bCs/>
                <w:color w:val="000000"/>
                <w:sz w:val="18"/>
                <w:szCs w:val="18"/>
                <w:lang w:val="en-GB" w:eastAsia="en-GB"/>
              </w:rPr>
            </w:pPr>
          </w:p>
        </w:tc>
      </w:tr>
      <w:tr w:rsidR="00F57D93" w:rsidRPr="005269E6" w14:paraId="61792896" w14:textId="77777777" w:rsidTr="004C39BB">
        <w:trPr>
          <w:trHeight w:val="399"/>
          <w:jc w:val="center"/>
        </w:trPr>
        <w:tc>
          <w:tcPr>
            <w:tcW w:w="3160" w:type="dxa"/>
            <w:tcBorders>
              <w:top w:val="nil"/>
              <w:left w:val="nil"/>
              <w:bottom w:val="nil"/>
              <w:right w:val="nil"/>
            </w:tcBorders>
            <w:shd w:val="clear" w:color="000000" w:fill="538DD5"/>
            <w:noWrap/>
            <w:vAlign w:val="center"/>
            <w:hideMark/>
          </w:tcPr>
          <w:p w14:paraId="2BF97AF1" w14:textId="3FF3C70D" w:rsidR="00F57D93" w:rsidRPr="005269E6" w:rsidRDefault="00ED26F2" w:rsidP="00F57D9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المجموع الكلي</w:t>
            </w:r>
          </w:p>
        </w:tc>
        <w:tc>
          <w:tcPr>
            <w:tcW w:w="1360" w:type="dxa"/>
            <w:tcBorders>
              <w:top w:val="nil"/>
              <w:left w:val="nil"/>
              <w:bottom w:val="nil"/>
              <w:right w:val="nil"/>
            </w:tcBorders>
            <w:shd w:val="clear" w:color="000000" w:fill="538DD5"/>
            <w:noWrap/>
            <w:vAlign w:val="center"/>
            <w:hideMark/>
          </w:tcPr>
          <w:p w14:paraId="1CEE4AE4" w14:textId="3A1026B6" w:rsidR="00F57D93" w:rsidRPr="005269E6" w:rsidRDefault="00F57D93" w:rsidP="004B06FA">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27 575 </w:t>
            </w:r>
          </w:p>
        </w:tc>
        <w:tc>
          <w:tcPr>
            <w:tcW w:w="1960" w:type="dxa"/>
            <w:tcBorders>
              <w:top w:val="nil"/>
              <w:left w:val="nil"/>
              <w:bottom w:val="nil"/>
              <w:right w:val="nil"/>
            </w:tcBorders>
            <w:shd w:val="clear" w:color="000000" w:fill="538DD5"/>
            <w:noWrap/>
            <w:vAlign w:val="center"/>
            <w:hideMark/>
          </w:tcPr>
          <w:p w14:paraId="7CBBD069" w14:textId="2EE99801" w:rsidR="00F57D93" w:rsidRPr="005269E6" w:rsidRDefault="00F57D93" w:rsidP="004B06FA">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27 </w:t>
            </w:r>
          </w:p>
        </w:tc>
        <w:tc>
          <w:tcPr>
            <w:tcW w:w="1360" w:type="dxa"/>
            <w:tcBorders>
              <w:top w:val="nil"/>
              <w:left w:val="nil"/>
              <w:bottom w:val="nil"/>
              <w:right w:val="nil"/>
            </w:tcBorders>
            <w:shd w:val="clear" w:color="000000" w:fill="538DD5"/>
            <w:noWrap/>
            <w:vAlign w:val="center"/>
            <w:hideMark/>
          </w:tcPr>
          <w:p w14:paraId="4C374634" w14:textId="5279391A" w:rsidR="00F57D93" w:rsidRPr="005269E6" w:rsidRDefault="00F57D93" w:rsidP="004B06FA">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75 </w:t>
            </w:r>
          </w:p>
        </w:tc>
        <w:tc>
          <w:tcPr>
            <w:tcW w:w="1360" w:type="dxa"/>
            <w:tcBorders>
              <w:top w:val="nil"/>
              <w:left w:val="nil"/>
              <w:bottom w:val="nil"/>
              <w:right w:val="nil"/>
            </w:tcBorders>
            <w:shd w:val="clear" w:color="000000" w:fill="538DD5"/>
            <w:noWrap/>
            <w:vAlign w:val="center"/>
            <w:hideMark/>
          </w:tcPr>
          <w:p w14:paraId="7F8D0EAE" w14:textId="49B32655" w:rsidR="00F57D93" w:rsidRPr="005269E6" w:rsidRDefault="00F57D93" w:rsidP="004B06FA">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27 677 </w:t>
            </w:r>
          </w:p>
        </w:tc>
      </w:tr>
    </w:tbl>
    <w:p w14:paraId="106464E3" w14:textId="26F1B255" w:rsidR="00C543C6" w:rsidRPr="005269E6" w:rsidRDefault="00C543C6" w:rsidP="00C543C6">
      <w:pPr>
        <w:keepNext/>
        <w:spacing w:before="240"/>
        <w:ind w:left="1134" w:hanging="1134"/>
        <w:rPr>
          <w:u w:val="single"/>
        </w:rPr>
      </w:pPr>
      <w:bookmarkStart w:id="548" w:name="_Toc452156644"/>
      <w:r w:rsidRPr="005269E6">
        <w:rPr>
          <w:u w:val="single"/>
          <w:rtl/>
        </w:rPr>
        <w:t>الالتزامات فيما يتعلق بال</w:t>
      </w:r>
      <w:r w:rsidR="006B32D8" w:rsidRPr="005269E6">
        <w:rPr>
          <w:u w:val="single"/>
          <w:rtl/>
        </w:rPr>
        <w:t>استحقاقات</w:t>
      </w:r>
      <w:r w:rsidRPr="005269E6">
        <w:rPr>
          <w:u w:val="single"/>
          <w:rtl/>
        </w:rPr>
        <w:t xml:space="preserve"> الأخرى للموظفين</w:t>
      </w:r>
      <w:bookmarkEnd w:id="548"/>
    </w:p>
    <w:p w14:paraId="767F0AAA" w14:textId="010D7ABD" w:rsidR="00C543C6" w:rsidRPr="005269E6" w:rsidRDefault="00C543C6" w:rsidP="00C543C6">
      <w:pPr>
        <w:rPr>
          <w:rtl/>
          <w:lang w:bidi="ar-EG"/>
        </w:rPr>
      </w:pPr>
      <w:r w:rsidRPr="005269E6">
        <w:rPr>
          <w:rtl/>
          <w:lang w:bidi="ar-EG"/>
        </w:rPr>
        <w:t xml:space="preserve">قبل إنشاء الصندوق المشترك للمعاشات التقاعدية لموظفي الأمم المتحدة وانضمام الاتحاد إليه، كان الاتحاد قد أنشأ صندوقين لتقديم </w:t>
      </w:r>
      <w:r w:rsidR="006B32D8" w:rsidRPr="005269E6">
        <w:rPr>
          <w:rtl/>
          <w:lang w:bidi="ar-EG"/>
        </w:rPr>
        <w:t>استحقاقات</w:t>
      </w:r>
      <w:r w:rsidRPr="005269E6">
        <w:rPr>
          <w:rtl/>
          <w:lang w:bidi="ar-EG"/>
        </w:rPr>
        <w:t xml:space="preserve"> في حالة التقاعد أو الوفاة أو العجز وكذلك التأمين الصحي لموظفيه. وكان الصندوقان اللذان أنشأهما الاتحاد يعملان في شكل صندوق مغلق منذ انضمام الاتحاد إلى الصندوقين المذكورين أعلاه. والالتزامات مدرجة في بند الخصوم في الأجل الطويل. وقد أبرمت اتفاقيتان بين الاتحاد وهذين الصندوقين حرصاً على ضمان تمويلهما.</w:t>
      </w:r>
    </w:p>
    <w:p w14:paraId="02C9106D" w14:textId="28BC7BF1" w:rsidR="00C543C6" w:rsidRPr="005269E6" w:rsidRDefault="00C543C6" w:rsidP="00C543C6">
      <w:pPr>
        <w:rPr>
          <w:rtl/>
          <w:lang w:bidi="ar-EG"/>
        </w:rPr>
      </w:pPr>
      <w:r w:rsidRPr="005269E6">
        <w:rPr>
          <w:rtl/>
          <w:lang w:bidi="ar-EG"/>
        </w:rPr>
        <w:t xml:space="preserve">وفي عام </w:t>
      </w:r>
      <w:r w:rsidR="00B538EE" w:rsidRPr="005269E6">
        <w:rPr>
          <w:lang w:val="fr-CH"/>
        </w:rPr>
        <w:t>2022</w:t>
      </w:r>
      <w:r w:rsidRPr="005269E6">
        <w:rPr>
          <w:rtl/>
          <w:lang w:bidi="ar-EG"/>
        </w:rPr>
        <w:t xml:space="preserve">، لم يستصوب الاتحاد جدوى التماس دراسة </w:t>
      </w:r>
      <w:r w:rsidR="0059394B" w:rsidRPr="005269E6">
        <w:rPr>
          <w:rtl/>
          <w:lang w:bidi="ar-EG"/>
        </w:rPr>
        <w:t>إكتواري</w:t>
      </w:r>
      <w:r w:rsidRPr="005269E6">
        <w:rPr>
          <w:rtl/>
          <w:lang w:bidi="ar-EG"/>
        </w:rPr>
        <w:t>ة جديدة لصندوق تأمينات الموظفين. وفي </w:t>
      </w:r>
      <w:r w:rsidRPr="005269E6">
        <w:rPr>
          <w:lang w:val="fr-CH"/>
        </w:rPr>
        <w:t>31</w:t>
      </w:r>
      <w:r w:rsidRPr="005269E6">
        <w:rPr>
          <w:rtl/>
          <w:lang w:bidi="ar-EG"/>
        </w:rPr>
        <w:t> ديسمبر </w:t>
      </w:r>
      <w:r w:rsidR="00880BC9" w:rsidRPr="005269E6">
        <w:rPr>
          <w:lang w:val="fr-CH"/>
        </w:rPr>
        <w:t>2022</w:t>
      </w:r>
      <w:r w:rsidRPr="005269E6">
        <w:rPr>
          <w:rtl/>
          <w:lang w:bidi="ar-EG"/>
        </w:rPr>
        <w:t xml:space="preserve">، </w:t>
      </w:r>
      <w:r w:rsidRPr="005269E6">
        <w:rPr>
          <w:color w:val="000000"/>
          <w:rtl/>
        </w:rPr>
        <w:t>بقي الاحتياطي من أجل الالتزامات الناجمة عن المعاشات التقاعدية الراهنة لقدامى الموظفين المشاركين في صندوق التأمينات المقيدة في</w:t>
      </w:r>
      <w:r w:rsidRPr="005269E6">
        <w:rPr>
          <w:rFonts w:hint="cs"/>
          <w:color w:val="000000"/>
          <w:rtl/>
        </w:rPr>
        <w:t> </w:t>
      </w:r>
      <w:r w:rsidRPr="005269E6">
        <w:rPr>
          <w:color w:val="000000"/>
          <w:rtl/>
        </w:rPr>
        <w:t xml:space="preserve">عام </w:t>
      </w:r>
      <w:r w:rsidR="00880BC9" w:rsidRPr="005269E6">
        <w:rPr>
          <w:color w:val="000000"/>
        </w:rPr>
        <w:t>2010</w:t>
      </w:r>
      <w:r w:rsidRPr="005269E6">
        <w:rPr>
          <w:color w:val="000000"/>
          <w:rtl/>
        </w:rPr>
        <w:t xml:space="preserve"> بمقدار </w:t>
      </w:r>
      <w:r w:rsidRPr="005269E6">
        <w:rPr>
          <w:color w:val="000000"/>
        </w:rPr>
        <w:t>54 000</w:t>
      </w:r>
      <w:r w:rsidRPr="005269E6">
        <w:rPr>
          <w:color w:val="000000"/>
          <w:rtl/>
        </w:rPr>
        <w:t xml:space="preserve"> فرنك سويسري دون تغيير</w:t>
      </w:r>
      <w:r w:rsidRPr="005269E6">
        <w:rPr>
          <w:rFonts w:hint="cs"/>
          <w:rtl/>
          <w:lang w:bidi="ar-EG"/>
        </w:rPr>
        <w:t>.</w:t>
      </w:r>
    </w:p>
    <w:p w14:paraId="7687D207" w14:textId="127BA781" w:rsidR="00C543C6" w:rsidRPr="005269E6" w:rsidRDefault="00C543C6" w:rsidP="00696AA6">
      <w:pPr>
        <w:pStyle w:val="Heading5"/>
        <w:rPr>
          <w:rtl/>
        </w:rPr>
      </w:pPr>
      <w:bookmarkStart w:id="549" w:name="_Toc452156645"/>
      <w:bookmarkStart w:id="550" w:name="_Toc482792223"/>
      <w:bookmarkStart w:id="551" w:name="_Toc482793728"/>
      <w:bookmarkStart w:id="552" w:name="_Toc511402244"/>
      <w:bookmarkStart w:id="553" w:name="_Toc511756681"/>
      <w:bookmarkStart w:id="554" w:name="_Toc9614800"/>
      <w:bookmarkStart w:id="555" w:name="_Toc42013553"/>
      <w:bookmarkStart w:id="556" w:name="_Toc42014556"/>
      <w:bookmarkStart w:id="557" w:name="_Toc74061586"/>
      <w:bookmarkStart w:id="558" w:name="_Toc162520637"/>
      <w:r w:rsidRPr="005269E6">
        <w:rPr>
          <w:rtl/>
        </w:rPr>
        <w:lastRenderedPageBreak/>
        <w:t xml:space="preserve">الملاحظة </w:t>
      </w:r>
      <w:r w:rsidR="00B538EE" w:rsidRPr="005269E6">
        <w:t>19</w:t>
      </w:r>
      <w:r w:rsidRPr="005269E6">
        <w:rPr>
          <w:rtl/>
        </w:rPr>
        <w:tab/>
        <w:t>الحسابات الاحتياطية</w:t>
      </w:r>
      <w:bookmarkEnd w:id="549"/>
      <w:bookmarkEnd w:id="550"/>
      <w:bookmarkEnd w:id="551"/>
      <w:bookmarkEnd w:id="552"/>
      <w:bookmarkEnd w:id="553"/>
      <w:bookmarkEnd w:id="554"/>
      <w:bookmarkEnd w:id="555"/>
      <w:bookmarkEnd w:id="556"/>
      <w:bookmarkEnd w:id="557"/>
      <w:bookmarkEnd w:id="558"/>
    </w:p>
    <w:p w14:paraId="53914BBB" w14:textId="37E9ADE9" w:rsidR="00C543C6" w:rsidRPr="005269E6" w:rsidRDefault="00C543C6" w:rsidP="00C543C6">
      <w:pPr>
        <w:rPr>
          <w:rtl/>
          <w:lang w:bidi="ar-EG"/>
        </w:rPr>
      </w:pPr>
      <w:r w:rsidRPr="005269E6">
        <w:rPr>
          <w:rtl/>
          <w:lang w:bidi="ar-EG"/>
        </w:rPr>
        <w:t xml:space="preserve">تشمل </w:t>
      </w:r>
      <w:r w:rsidRPr="005269E6">
        <w:rPr>
          <w:rtl/>
        </w:rPr>
        <w:t>الحسابات</w:t>
      </w:r>
      <w:r w:rsidRPr="005269E6">
        <w:rPr>
          <w:rtl/>
          <w:lang w:bidi="ar-EG"/>
        </w:rPr>
        <w:t xml:space="preserve"> الاحتياطية إزاء المخاطر والنفقات حساباً احتياطياً </w:t>
      </w:r>
      <w:r w:rsidR="00C16016" w:rsidRPr="005269E6">
        <w:rPr>
          <w:rFonts w:hint="cs"/>
          <w:rtl/>
          <w:lang w:bidi="ar-EG"/>
        </w:rPr>
        <w:t>للنزاع القضائي</w:t>
      </w:r>
      <w:r w:rsidRPr="005269E6">
        <w:rPr>
          <w:rtl/>
          <w:lang w:bidi="ar-EG"/>
        </w:rPr>
        <w:t xml:space="preserve"> يمثل تقييم</w:t>
      </w:r>
      <w:r w:rsidR="009A3A5C" w:rsidRPr="005269E6">
        <w:rPr>
          <w:rFonts w:hint="cs"/>
          <w:rtl/>
          <w:lang w:bidi="ar-EG"/>
        </w:rPr>
        <w:t>اً من</w:t>
      </w:r>
      <w:r w:rsidRPr="005269E6">
        <w:rPr>
          <w:rtl/>
          <w:lang w:bidi="ar-EG"/>
        </w:rPr>
        <w:t xml:space="preserve"> </w:t>
      </w:r>
      <w:r w:rsidR="009A3A5C" w:rsidRPr="005269E6">
        <w:rPr>
          <w:rFonts w:hint="cs"/>
          <w:rtl/>
          <w:lang w:bidi="ar-EG"/>
        </w:rPr>
        <w:t xml:space="preserve">الإدارة </w:t>
      </w:r>
      <w:r w:rsidRPr="005269E6">
        <w:rPr>
          <w:rtl/>
          <w:lang w:bidi="ar-EG"/>
        </w:rPr>
        <w:t>في تاريخ إقفال الالتزامات المقبلة المرتبطة بأحداث ماضية من قبيل منازعات مختلفة يكون الاتحاد طرفاً فيها وكذلك تكلفة متوسطة بشأن النفقات الإدارية لكل حالة تقدم إلى المحكمة الإدارية لمنظمة العمل الدولية.</w:t>
      </w:r>
      <w:r w:rsidR="009A3A5C" w:rsidRPr="005269E6">
        <w:rPr>
          <w:rtl/>
        </w:rPr>
        <w:t xml:space="preserve"> </w:t>
      </w:r>
      <w:r w:rsidR="009A3A5C" w:rsidRPr="005269E6">
        <w:rPr>
          <w:rFonts w:hint="cs"/>
          <w:rtl/>
        </w:rPr>
        <w:t>و</w:t>
      </w:r>
      <w:r w:rsidR="009A3A5C" w:rsidRPr="005269E6">
        <w:rPr>
          <w:rtl/>
          <w:lang w:bidi="ar-EG"/>
        </w:rPr>
        <w:t>هناك حالة من عدم اليقين ل</w:t>
      </w:r>
      <w:r w:rsidR="009A3A5C" w:rsidRPr="005269E6">
        <w:rPr>
          <w:rFonts w:hint="cs"/>
          <w:rtl/>
          <w:lang w:bidi="ar-EG"/>
        </w:rPr>
        <w:t>دى ا</w:t>
      </w:r>
      <w:r w:rsidR="009A3A5C" w:rsidRPr="005269E6">
        <w:rPr>
          <w:rtl/>
          <w:lang w:bidi="ar-EG"/>
        </w:rPr>
        <w:t>لاتحاد فيما يتعلق بالقيمة النهائية وتوقيت التدفقات الخارجية لهذه النزاعات</w:t>
      </w:r>
      <w:r w:rsidR="009A3A5C" w:rsidRPr="005269E6">
        <w:rPr>
          <w:rFonts w:hint="cs"/>
          <w:rtl/>
          <w:lang w:bidi="ar-EG"/>
        </w:rPr>
        <w:t>.</w:t>
      </w:r>
    </w:p>
    <w:p w14:paraId="08133927" w14:textId="6A650455" w:rsidR="00C543C6" w:rsidRPr="005269E6" w:rsidRDefault="00C543C6" w:rsidP="00C543C6">
      <w:pPr>
        <w:spacing w:after="120"/>
        <w:rPr>
          <w:lang w:bidi="ar-EG"/>
        </w:rPr>
      </w:pPr>
      <w:r w:rsidRPr="005269E6">
        <w:rPr>
          <w:rtl/>
          <w:lang w:bidi="ar-EG"/>
        </w:rPr>
        <w:t>ويشكل</w:t>
      </w:r>
      <w:r w:rsidR="009A3A5C" w:rsidRPr="005269E6">
        <w:rPr>
          <w:rtl/>
        </w:rPr>
        <w:t xml:space="preserve"> </w:t>
      </w:r>
      <w:r w:rsidR="009A3A5C" w:rsidRPr="005269E6">
        <w:rPr>
          <w:rtl/>
          <w:lang w:bidi="ar-EG"/>
        </w:rPr>
        <w:t>الحساب</w:t>
      </w:r>
      <w:r w:rsidRPr="005269E6">
        <w:rPr>
          <w:rtl/>
          <w:lang w:bidi="ar-EG"/>
        </w:rPr>
        <w:t xml:space="preserve"> الاحتياطي الذي يتناول معالجة بطاقات التبليغ عن الشبكات الساتلية </w:t>
      </w:r>
      <w:r w:rsidRPr="005269E6">
        <w:rPr>
          <w:lang w:bidi="ar-EG"/>
        </w:rPr>
        <w:t>(SNF)</w:t>
      </w:r>
      <w:r w:rsidRPr="005269E6">
        <w:rPr>
          <w:rtl/>
          <w:lang w:bidi="ar-EG"/>
        </w:rPr>
        <w:t xml:space="preserve"> المبلغ </w:t>
      </w:r>
      <w:r w:rsidR="0027252F" w:rsidRPr="005269E6">
        <w:rPr>
          <w:rFonts w:hint="cs"/>
          <w:rtl/>
          <w:lang w:bidi="ar-EG"/>
        </w:rPr>
        <w:t>المقابل</w:t>
      </w:r>
      <w:r w:rsidRPr="005269E6">
        <w:rPr>
          <w:rtl/>
          <w:lang w:bidi="ar-EG"/>
        </w:rPr>
        <w:t xml:space="preserve"> </w:t>
      </w:r>
      <w:r w:rsidR="0027252F" w:rsidRPr="005269E6">
        <w:rPr>
          <w:rFonts w:hint="cs"/>
          <w:rtl/>
          <w:lang w:bidi="ar-EG"/>
        </w:rPr>
        <w:t>ل</w:t>
      </w:r>
      <w:r w:rsidRPr="005269E6">
        <w:rPr>
          <w:rtl/>
          <w:lang w:bidi="ar-EG"/>
        </w:rPr>
        <w:t>ل</w:t>
      </w:r>
      <w:r w:rsidR="0027252F" w:rsidRPr="005269E6">
        <w:rPr>
          <w:rFonts w:hint="cs"/>
          <w:rtl/>
          <w:lang w:bidi="ar-EG"/>
        </w:rPr>
        <w:t>م</w:t>
      </w:r>
      <w:r w:rsidRPr="005269E6">
        <w:rPr>
          <w:rtl/>
          <w:lang w:bidi="ar-EG"/>
        </w:rPr>
        <w:t>نش</w:t>
      </w:r>
      <w:r w:rsidR="0027252F" w:rsidRPr="005269E6">
        <w:rPr>
          <w:rFonts w:hint="cs"/>
          <w:rtl/>
          <w:lang w:bidi="ar-EG"/>
        </w:rPr>
        <w:t>و</w:t>
      </w:r>
      <w:r w:rsidRPr="005269E6">
        <w:rPr>
          <w:rtl/>
          <w:lang w:bidi="ar-EG"/>
        </w:rPr>
        <w:t>ر</w:t>
      </w:r>
      <w:r w:rsidR="0027252F" w:rsidRPr="005269E6">
        <w:rPr>
          <w:rFonts w:hint="cs"/>
          <w:rtl/>
          <w:lang w:bidi="ar-EG"/>
        </w:rPr>
        <w:t xml:space="preserve"> المجاني غير المطالَب به</w:t>
      </w:r>
      <w:r w:rsidRPr="005269E6">
        <w:rPr>
          <w:rtl/>
          <w:lang w:bidi="ar-EG"/>
        </w:rPr>
        <w:t xml:space="preserve"> الذي </w:t>
      </w:r>
      <w:r w:rsidR="0027252F" w:rsidRPr="005269E6">
        <w:rPr>
          <w:rFonts w:hint="cs"/>
          <w:rtl/>
          <w:lang w:bidi="ar-EG"/>
        </w:rPr>
        <w:t>يحق للإدارات طلبه</w:t>
      </w:r>
      <w:r w:rsidRPr="005269E6">
        <w:rPr>
          <w:rtl/>
          <w:lang w:bidi="ar-EG"/>
        </w:rPr>
        <w:t xml:space="preserve"> </w:t>
      </w:r>
      <w:r w:rsidR="009A3A5C" w:rsidRPr="005269E6">
        <w:rPr>
          <w:rFonts w:hint="cs"/>
          <w:rtl/>
          <w:lang w:bidi="ar-EG"/>
        </w:rPr>
        <w:t>كل</w:t>
      </w:r>
      <w:r w:rsidRPr="005269E6">
        <w:rPr>
          <w:rtl/>
          <w:lang w:bidi="ar-EG"/>
        </w:rPr>
        <w:t xml:space="preserve"> سنة. </w:t>
      </w:r>
      <w:r w:rsidR="0027252F" w:rsidRPr="005269E6">
        <w:rPr>
          <w:rFonts w:hint="cs"/>
          <w:rtl/>
          <w:lang w:bidi="ar-EG"/>
        </w:rPr>
        <w:t>وسيُ</w:t>
      </w:r>
      <w:r w:rsidRPr="005269E6">
        <w:rPr>
          <w:rtl/>
          <w:lang w:bidi="ar-EG"/>
        </w:rPr>
        <w:t xml:space="preserve">ستهلك هذا الاحتياطي كلياً أثناء </w:t>
      </w:r>
      <w:r w:rsidR="0027252F" w:rsidRPr="005269E6">
        <w:rPr>
          <w:rFonts w:hint="cs"/>
          <w:rtl/>
          <w:lang w:bidi="ar-EG"/>
        </w:rPr>
        <w:t>سنة 2023</w:t>
      </w:r>
      <w:r w:rsidRPr="005269E6">
        <w:rPr>
          <w:rtl/>
          <w:lang w:bidi="ar-EG"/>
        </w:rPr>
        <w:t> المالية.</w:t>
      </w:r>
    </w:p>
    <w:tbl>
      <w:tblPr>
        <w:bidiVisual/>
        <w:tblW w:w="7092" w:type="dxa"/>
        <w:jc w:val="center"/>
        <w:tblLook w:val="04A0" w:firstRow="1" w:lastRow="0" w:firstColumn="1" w:lastColumn="0" w:noHBand="0" w:noVBand="1"/>
      </w:tblPr>
      <w:tblGrid>
        <w:gridCol w:w="2816"/>
        <w:gridCol w:w="1426"/>
        <w:gridCol w:w="1425"/>
        <w:gridCol w:w="1425"/>
      </w:tblGrid>
      <w:tr w:rsidR="00E702A3" w:rsidRPr="005269E6" w14:paraId="7B91C545" w14:textId="77777777" w:rsidTr="00E702A3">
        <w:trPr>
          <w:trHeight w:val="255"/>
          <w:jc w:val="center"/>
        </w:trPr>
        <w:tc>
          <w:tcPr>
            <w:tcW w:w="2816" w:type="dxa"/>
            <w:vMerge w:val="restart"/>
            <w:tcBorders>
              <w:top w:val="nil"/>
              <w:left w:val="nil"/>
              <w:bottom w:val="nil"/>
              <w:right w:val="nil"/>
            </w:tcBorders>
            <w:shd w:val="clear" w:color="000000" w:fill="538DD5"/>
            <w:noWrap/>
            <w:vAlign w:val="center"/>
            <w:hideMark/>
          </w:tcPr>
          <w:p w14:paraId="6990AFC2" w14:textId="60F18BB9" w:rsidR="00E702A3" w:rsidRPr="005269E6" w:rsidRDefault="00C16016" w:rsidP="00E702A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4276" w:type="dxa"/>
            <w:gridSpan w:val="3"/>
            <w:tcBorders>
              <w:top w:val="nil"/>
              <w:left w:val="nil"/>
              <w:bottom w:val="nil"/>
              <w:right w:val="nil"/>
            </w:tcBorders>
            <w:shd w:val="clear" w:color="000000" w:fill="538DD5"/>
            <w:noWrap/>
            <w:vAlign w:val="center"/>
            <w:hideMark/>
          </w:tcPr>
          <w:p w14:paraId="6EB39CC3" w14:textId="0136FBBF" w:rsidR="00E702A3" w:rsidRPr="005269E6" w:rsidRDefault="00C16016" w:rsidP="00E702A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الاحتياطي</w:t>
            </w:r>
          </w:p>
        </w:tc>
      </w:tr>
      <w:tr w:rsidR="00E702A3" w:rsidRPr="005269E6" w14:paraId="00A96B82" w14:textId="77777777" w:rsidTr="00E702A3">
        <w:trPr>
          <w:trHeight w:val="255"/>
          <w:jc w:val="center"/>
        </w:trPr>
        <w:tc>
          <w:tcPr>
            <w:tcW w:w="2816" w:type="dxa"/>
            <w:vMerge/>
            <w:tcBorders>
              <w:top w:val="nil"/>
              <w:left w:val="nil"/>
              <w:bottom w:val="nil"/>
              <w:right w:val="nil"/>
            </w:tcBorders>
            <w:vAlign w:val="center"/>
            <w:hideMark/>
          </w:tcPr>
          <w:p w14:paraId="2249DF94" w14:textId="77777777" w:rsidR="00E702A3" w:rsidRPr="005269E6" w:rsidRDefault="00E702A3" w:rsidP="00E702A3">
            <w:pPr>
              <w:tabs>
                <w:tab w:val="clear" w:pos="794"/>
              </w:tabs>
              <w:spacing w:before="40" w:after="40" w:line="240" w:lineRule="exact"/>
              <w:jc w:val="left"/>
              <w:rPr>
                <w:rFonts w:eastAsia="Times New Roman"/>
                <w:b/>
                <w:bCs/>
                <w:color w:val="000000"/>
                <w:sz w:val="18"/>
                <w:szCs w:val="18"/>
                <w:lang w:val="en-GB" w:eastAsia="en-GB"/>
              </w:rPr>
            </w:pPr>
          </w:p>
        </w:tc>
        <w:tc>
          <w:tcPr>
            <w:tcW w:w="1426" w:type="dxa"/>
            <w:tcBorders>
              <w:top w:val="nil"/>
              <w:left w:val="nil"/>
              <w:bottom w:val="nil"/>
              <w:right w:val="nil"/>
            </w:tcBorders>
            <w:shd w:val="clear" w:color="000000" w:fill="538DD5"/>
            <w:noWrap/>
            <w:vAlign w:val="center"/>
            <w:hideMark/>
          </w:tcPr>
          <w:p w14:paraId="0712FFD2" w14:textId="77777777" w:rsidR="00E702A3" w:rsidRPr="005269E6" w:rsidRDefault="00E702A3" w:rsidP="00E702A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SNF</w:t>
            </w:r>
          </w:p>
        </w:tc>
        <w:tc>
          <w:tcPr>
            <w:tcW w:w="1425" w:type="dxa"/>
            <w:tcBorders>
              <w:top w:val="nil"/>
              <w:left w:val="nil"/>
              <w:bottom w:val="nil"/>
              <w:right w:val="nil"/>
            </w:tcBorders>
            <w:shd w:val="clear" w:color="000000" w:fill="538DD5"/>
            <w:noWrap/>
            <w:vAlign w:val="center"/>
            <w:hideMark/>
          </w:tcPr>
          <w:p w14:paraId="7EECC09A" w14:textId="1DB2A603" w:rsidR="00E702A3" w:rsidRPr="005269E6" w:rsidRDefault="00C16016" w:rsidP="00C16016">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bidi="ar-EG"/>
              </w:rPr>
              <w:t>للنزاع القضائي</w:t>
            </w:r>
          </w:p>
        </w:tc>
        <w:tc>
          <w:tcPr>
            <w:tcW w:w="1425" w:type="dxa"/>
            <w:tcBorders>
              <w:top w:val="nil"/>
              <w:left w:val="nil"/>
              <w:bottom w:val="nil"/>
              <w:right w:val="nil"/>
            </w:tcBorders>
            <w:shd w:val="clear" w:color="000000" w:fill="538DD5"/>
            <w:noWrap/>
            <w:vAlign w:val="center"/>
            <w:hideMark/>
          </w:tcPr>
          <w:p w14:paraId="5BA5BF51" w14:textId="40C18DCD" w:rsidR="00E702A3" w:rsidRPr="005269E6" w:rsidRDefault="00E170C8" w:rsidP="00E702A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المجموع الكلي</w:t>
            </w:r>
          </w:p>
        </w:tc>
      </w:tr>
      <w:tr w:rsidR="00E702A3" w:rsidRPr="005269E6" w14:paraId="3FA154FA" w14:textId="77777777" w:rsidTr="00E702A3">
        <w:trPr>
          <w:trHeight w:val="120"/>
          <w:jc w:val="center"/>
        </w:trPr>
        <w:tc>
          <w:tcPr>
            <w:tcW w:w="2816" w:type="dxa"/>
            <w:tcBorders>
              <w:top w:val="nil"/>
              <w:left w:val="nil"/>
              <w:bottom w:val="nil"/>
              <w:right w:val="nil"/>
            </w:tcBorders>
            <w:shd w:val="clear" w:color="auto" w:fill="auto"/>
            <w:noWrap/>
            <w:vAlign w:val="center"/>
            <w:hideMark/>
          </w:tcPr>
          <w:p w14:paraId="7E8E0EF9" w14:textId="77777777" w:rsidR="00E702A3" w:rsidRPr="005269E6" w:rsidRDefault="00E702A3" w:rsidP="00E702A3">
            <w:pPr>
              <w:tabs>
                <w:tab w:val="clear" w:pos="794"/>
              </w:tabs>
              <w:spacing w:before="0" w:line="200" w:lineRule="exact"/>
              <w:jc w:val="center"/>
              <w:rPr>
                <w:rFonts w:eastAsia="Times New Roman"/>
                <w:b/>
                <w:bCs/>
                <w:color w:val="000000"/>
                <w:sz w:val="18"/>
                <w:szCs w:val="18"/>
                <w:lang w:val="en-GB" w:eastAsia="en-GB"/>
              </w:rPr>
            </w:pPr>
          </w:p>
        </w:tc>
        <w:tc>
          <w:tcPr>
            <w:tcW w:w="1426" w:type="dxa"/>
            <w:tcBorders>
              <w:top w:val="nil"/>
              <w:left w:val="nil"/>
              <w:bottom w:val="nil"/>
              <w:right w:val="nil"/>
            </w:tcBorders>
            <w:shd w:val="clear" w:color="auto" w:fill="auto"/>
            <w:noWrap/>
            <w:vAlign w:val="center"/>
            <w:hideMark/>
          </w:tcPr>
          <w:p w14:paraId="2AE161DE" w14:textId="77777777" w:rsidR="00E702A3" w:rsidRPr="005269E6" w:rsidRDefault="00E702A3" w:rsidP="00E702A3">
            <w:pPr>
              <w:tabs>
                <w:tab w:val="clear" w:pos="794"/>
              </w:tabs>
              <w:spacing w:before="0" w:line="200" w:lineRule="exact"/>
              <w:jc w:val="center"/>
              <w:rPr>
                <w:rFonts w:eastAsia="Times New Roman"/>
                <w:b/>
                <w:bCs/>
                <w:color w:val="000000"/>
                <w:sz w:val="18"/>
                <w:szCs w:val="18"/>
                <w:lang w:val="en-GB" w:eastAsia="en-GB"/>
              </w:rPr>
            </w:pPr>
          </w:p>
        </w:tc>
        <w:tc>
          <w:tcPr>
            <w:tcW w:w="1425" w:type="dxa"/>
            <w:tcBorders>
              <w:top w:val="nil"/>
              <w:left w:val="nil"/>
              <w:bottom w:val="nil"/>
              <w:right w:val="nil"/>
            </w:tcBorders>
            <w:shd w:val="clear" w:color="auto" w:fill="auto"/>
            <w:noWrap/>
            <w:vAlign w:val="center"/>
            <w:hideMark/>
          </w:tcPr>
          <w:p w14:paraId="237446F6" w14:textId="77777777" w:rsidR="00E702A3" w:rsidRPr="005269E6" w:rsidRDefault="00E702A3" w:rsidP="00E702A3">
            <w:pPr>
              <w:tabs>
                <w:tab w:val="clear" w:pos="794"/>
              </w:tabs>
              <w:spacing w:before="0" w:line="200" w:lineRule="exact"/>
              <w:jc w:val="center"/>
              <w:rPr>
                <w:rFonts w:eastAsia="Times New Roman"/>
                <w:b/>
                <w:bCs/>
                <w:color w:val="000000"/>
                <w:sz w:val="18"/>
                <w:szCs w:val="18"/>
                <w:lang w:val="en-GB" w:eastAsia="en-GB"/>
              </w:rPr>
            </w:pPr>
          </w:p>
        </w:tc>
        <w:tc>
          <w:tcPr>
            <w:tcW w:w="1425" w:type="dxa"/>
            <w:tcBorders>
              <w:top w:val="nil"/>
              <w:left w:val="nil"/>
              <w:bottom w:val="nil"/>
              <w:right w:val="nil"/>
            </w:tcBorders>
            <w:shd w:val="clear" w:color="auto" w:fill="auto"/>
            <w:noWrap/>
            <w:vAlign w:val="center"/>
            <w:hideMark/>
          </w:tcPr>
          <w:p w14:paraId="3ED2FF85" w14:textId="77777777" w:rsidR="00E702A3" w:rsidRPr="005269E6" w:rsidRDefault="00E702A3" w:rsidP="00E702A3">
            <w:pPr>
              <w:tabs>
                <w:tab w:val="clear" w:pos="794"/>
              </w:tabs>
              <w:spacing w:before="0" w:line="200" w:lineRule="exact"/>
              <w:jc w:val="center"/>
              <w:rPr>
                <w:rFonts w:eastAsia="Times New Roman"/>
                <w:b/>
                <w:bCs/>
                <w:color w:val="000000"/>
                <w:sz w:val="18"/>
                <w:szCs w:val="18"/>
                <w:lang w:val="en-GB" w:eastAsia="en-GB"/>
              </w:rPr>
            </w:pPr>
          </w:p>
        </w:tc>
      </w:tr>
      <w:tr w:rsidR="00E702A3" w:rsidRPr="005269E6" w14:paraId="17702CBB" w14:textId="77777777" w:rsidTr="00E702A3">
        <w:trPr>
          <w:trHeight w:val="289"/>
          <w:jc w:val="center"/>
        </w:trPr>
        <w:tc>
          <w:tcPr>
            <w:tcW w:w="2816" w:type="dxa"/>
            <w:tcBorders>
              <w:top w:val="nil"/>
              <w:left w:val="nil"/>
              <w:bottom w:val="nil"/>
              <w:right w:val="nil"/>
            </w:tcBorders>
            <w:shd w:val="clear" w:color="000000" w:fill="auto"/>
            <w:noWrap/>
            <w:vAlign w:val="bottom"/>
            <w:hideMark/>
          </w:tcPr>
          <w:p w14:paraId="2B45D57C" w14:textId="469DF86F" w:rsidR="00E702A3" w:rsidRPr="005269E6" w:rsidRDefault="00E170C8" w:rsidP="00E702A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الرصيد الافتتاحي</w:t>
            </w:r>
          </w:p>
        </w:tc>
        <w:tc>
          <w:tcPr>
            <w:tcW w:w="1426" w:type="dxa"/>
            <w:tcBorders>
              <w:top w:val="nil"/>
              <w:left w:val="nil"/>
              <w:bottom w:val="nil"/>
              <w:right w:val="nil"/>
            </w:tcBorders>
            <w:shd w:val="clear" w:color="000000" w:fill="auto"/>
            <w:noWrap/>
            <w:vAlign w:val="bottom"/>
            <w:hideMark/>
          </w:tcPr>
          <w:p w14:paraId="311BC7A5" w14:textId="0B475819" w:rsidR="00E702A3" w:rsidRPr="005269E6" w:rsidRDefault="00E702A3"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279</w:t>
            </w:r>
          </w:p>
        </w:tc>
        <w:tc>
          <w:tcPr>
            <w:tcW w:w="1425" w:type="dxa"/>
            <w:tcBorders>
              <w:top w:val="nil"/>
              <w:left w:val="nil"/>
              <w:bottom w:val="nil"/>
              <w:right w:val="nil"/>
            </w:tcBorders>
            <w:shd w:val="clear" w:color="000000" w:fill="auto"/>
            <w:noWrap/>
            <w:vAlign w:val="bottom"/>
            <w:hideMark/>
          </w:tcPr>
          <w:p w14:paraId="11C6D75E" w14:textId="4B0B7592" w:rsidR="00E702A3" w:rsidRPr="005269E6" w:rsidRDefault="00E702A3"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w:t>
            </w:r>
            <w:r w:rsidR="004F665D"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093</w:t>
            </w:r>
          </w:p>
        </w:tc>
        <w:tc>
          <w:tcPr>
            <w:tcW w:w="1425" w:type="dxa"/>
            <w:tcBorders>
              <w:top w:val="nil"/>
              <w:left w:val="nil"/>
              <w:bottom w:val="nil"/>
              <w:right w:val="nil"/>
            </w:tcBorders>
            <w:shd w:val="clear" w:color="000000" w:fill="auto"/>
            <w:noWrap/>
            <w:vAlign w:val="bottom"/>
            <w:hideMark/>
          </w:tcPr>
          <w:p w14:paraId="1440DD22" w14:textId="1B0AE030" w:rsidR="00E702A3" w:rsidRPr="005269E6" w:rsidRDefault="00E702A3" w:rsidP="00EA6F85">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w:t>
            </w:r>
            <w:r w:rsidR="004F665D"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372</w:t>
            </w:r>
          </w:p>
        </w:tc>
      </w:tr>
      <w:tr w:rsidR="00E702A3" w:rsidRPr="005269E6" w14:paraId="12F04C6E" w14:textId="77777777" w:rsidTr="00E702A3">
        <w:trPr>
          <w:trHeight w:val="289"/>
          <w:jc w:val="center"/>
        </w:trPr>
        <w:tc>
          <w:tcPr>
            <w:tcW w:w="2816" w:type="dxa"/>
            <w:tcBorders>
              <w:top w:val="nil"/>
              <w:left w:val="nil"/>
              <w:bottom w:val="nil"/>
              <w:right w:val="nil"/>
            </w:tcBorders>
            <w:shd w:val="clear" w:color="000000" w:fill="auto"/>
            <w:noWrap/>
            <w:vAlign w:val="bottom"/>
            <w:hideMark/>
          </w:tcPr>
          <w:p w14:paraId="4570D16F" w14:textId="0FDE94E2" w:rsidR="00E702A3" w:rsidRPr="005269E6" w:rsidRDefault="00E170C8" w:rsidP="00E702A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الزيادة</w:t>
            </w:r>
          </w:p>
        </w:tc>
        <w:tc>
          <w:tcPr>
            <w:tcW w:w="1426" w:type="dxa"/>
            <w:tcBorders>
              <w:top w:val="nil"/>
              <w:left w:val="nil"/>
              <w:bottom w:val="nil"/>
              <w:right w:val="nil"/>
            </w:tcBorders>
            <w:shd w:val="clear" w:color="000000" w:fill="auto"/>
            <w:noWrap/>
            <w:vAlign w:val="bottom"/>
            <w:hideMark/>
          </w:tcPr>
          <w:p w14:paraId="141F5E74" w14:textId="11AA4E9D" w:rsidR="00E702A3" w:rsidRPr="005269E6" w:rsidRDefault="00E702A3"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370</w:t>
            </w:r>
          </w:p>
        </w:tc>
        <w:tc>
          <w:tcPr>
            <w:tcW w:w="1425" w:type="dxa"/>
            <w:tcBorders>
              <w:top w:val="nil"/>
              <w:left w:val="nil"/>
              <w:bottom w:val="nil"/>
              <w:right w:val="nil"/>
            </w:tcBorders>
            <w:shd w:val="clear" w:color="000000" w:fill="auto"/>
            <w:noWrap/>
            <w:vAlign w:val="bottom"/>
            <w:hideMark/>
          </w:tcPr>
          <w:p w14:paraId="1277346D" w14:textId="4D969814" w:rsidR="00E702A3" w:rsidRPr="005269E6" w:rsidRDefault="00E702A3"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748</w:t>
            </w:r>
          </w:p>
        </w:tc>
        <w:tc>
          <w:tcPr>
            <w:tcW w:w="1425" w:type="dxa"/>
            <w:tcBorders>
              <w:top w:val="nil"/>
              <w:left w:val="nil"/>
              <w:bottom w:val="nil"/>
              <w:right w:val="nil"/>
            </w:tcBorders>
            <w:shd w:val="clear" w:color="000000" w:fill="auto"/>
            <w:noWrap/>
            <w:vAlign w:val="bottom"/>
            <w:hideMark/>
          </w:tcPr>
          <w:p w14:paraId="0222FA7D" w14:textId="25551634" w:rsidR="00E702A3" w:rsidRPr="005269E6" w:rsidRDefault="00E702A3" w:rsidP="00EA6F85">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w:t>
            </w:r>
            <w:r w:rsidR="004F665D"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118</w:t>
            </w:r>
          </w:p>
        </w:tc>
      </w:tr>
      <w:tr w:rsidR="00E702A3" w:rsidRPr="005269E6" w14:paraId="14C12900" w14:textId="77777777" w:rsidTr="00E702A3">
        <w:trPr>
          <w:trHeight w:val="289"/>
          <w:jc w:val="center"/>
        </w:trPr>
        <w:tc>
          <w:tcPr>
            <w:tcW w:w="2816" w:type="dxa"/>
            <w:tcBorders>
              <w:top w:val="nil"/>
              <w:left w:val="nil"/>
              <w:bottom w:val="nil"/>
              <w:right w:val="nil"/>
            </w:tcBorders>
            <w:shd w:val="clear" w:color="000000" w:fill="auto"/>
            <w:noWrap/>
            <w:vAlign w:val="bottom"/>
            <w:hideMark/>
          </w:tcPr>
          <w:p w14:paraId="27B0C23A" w14:textId="5B32B185" w:rsidR="00E702A3" w:rsidRPr="005269E6" w:rsidRDefault="00E170C8" w:rsidP="00E702A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الم</w:t>
            </w:r>
            <w:r w:rsidRPr="005269E6">
              <w:rPr>
                <w:rFonts w:eastAsia="Times New Roman"/>
                <w:color w:val="000000"/>
                <w:sz w:val="18"/>
                <w:szCs w:val="18"/>
                <w:rtl/>
                <w:lang w:val="en-GB" w:eastAsia="en-GB"/>
              </w:rPr>
              <w:t>ستخدم خلال العام</w:t>
            </w:r>
          </w:p>
        </w:tc>
        <w:tc>
          <w:tcPr>
            <w:tcW w:w="1426" w:type="dxa"/>
            <w:tcBorders>
              <w:top w:val="nil"/>
              <w:left w:val="nil"/>
              <w:bottom w:val="nil"/>
              <w:right w:val="nil"/>
            </w:tcBorders>
            <w:shd w:val="clear" w:color="000000" w:fill="auto"/>
            <w:noWrap/>
            <w:vAlign w:val="bottom"/>
            <w:hideMark/>
          </w:tcPr>
          <w:p w14:paraId="4317E045" w14:textId="09C8AD7A" w:rsidR="00E702A3" w:rsidRPr="005269E6" w:rsidRDefault="00E702A3"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(212)</w:t>
            </w:r>
          </w:p>
        </w:tc>
        <w:tc>
          <w:tcPr>
            <w:tcW w:w="1425" w:type="dxa"/>
            <w:tcBorders>
              <w:top w:val="nil"/>
              <w:left w:val="nil"/>
              <w:bottom w:val="nil"/>
              <w:right w:val="nil"/>
            </w:tcBorders>
            <w:shd w:val="clear" w:color="000000" w:fill="auto"/>
            <w:noWrap/>
            <w:vAlign w:val="bottom"/>
            <w:hideMark/>
          </w:tcPr>
          <w:p w14:paraId="06038F90" w14:textId="4C4181B0" w:rsidR="00E702A3" w:rsidRPr="005269E6" w:rsidRDefault="00E702A3"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(712)</w:t>
            </w:r>
          </w:p>
        </w:tc>
        <w:tc>
          <w:tcPr>
            <w:tcW w:w="1425" w:type="dxa"/>
            <w:tcBorders>
              <w:top w:val="nil"/>
              <w:left w:val="nil"/>
              <w:bottom w:val="nil"/>
              <w:right w:val="nil"/>
            </w:tcBorders>
            <w:shd w:val="clear" w:color="000000" w:fill="auto"/>
            <w:noWrap/>
            <w:vAlign w:val="bottom"/>
            <w:hideMark/>
          </w:tcPr>
          <w:p w14:paraId="51A72848" w14:textId="08190AA4" w:rsidR="00E702A3" w:rsidRPr="005269E6" w:rsidRDefault="00E702A3" w:rsidP="00EA6F85">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(924)</w:t>
            </w:r>
          </w:p>
        </w:tc>
      </w:tr>
      <w:tr w:rsidR="00E702A3" w:rsidRPr="005269E6" w14:paraId="46D87FD2" w14:textId="77777777" w:rsidTr="00E702A3">
        <w:trPr>
          <w:trHeight w:val="289"/>
          <w:jc w:val="center"/>
        </w:trPr>
        <w:tc>
          <w:tcPr>
            <w:tcW w:w="2816" w:type="dxa"/>
            <w:tcBorders>
              <w:top w:val="nil"/>
              <w:left w:val="nil"/>
              <w:bottom w:val="nil"/>
              <w:right w:val="nil"/>
            </w:tcBorders>
            <w:shd w:val="clear" w:color="000000" w:fill="auto"/>
            <w:noWrap/>
            <w:vAlign w:val="bottom"/>
            <w:hideMark/>
          </w:tcPr>
          <w:p w14:paraId="514EAC7B" w14:textId="52906C62" w:rsidR="00E702A3" w:rsidRPr="005269E6" w:rsidRDefault="00E170C8" w:rsidP="00E702A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المبالغ</w:t>
            </w:r>
            <w:r w:rsidRPr="005269E6">
              <w:rPr>
                <w:rFonts w:eastAsia="Times New Roman"/>
                <w:color w:val="000000"/>
                <w:sz w:val="18"/>
                <w:szCs w:val="18"/>
                <w:rtl/>
                <w:lang w:val="en-GB" w:eastAsia="en-GB"/>
              </w:rPr>
              <w:t xml:space="preserve"> غير المستخدمة المعكوسة</w:t>
            </w:r>
          </w:p>
        </w:tc>
        <w:tc>
          <w:tcPr>
            <w:tcW w:w="1426" w:type="dxa"/>
            <w:tcBorders>
              <w:top w:val="nil"/>
              <w:left w:val="nil"/>
              <w:bottom w:val="nil"/>
              <w:right w:val="nil"/>
            </w:tcBorders>
            <w:shd w:val="clear" w:color="000000" w:fill="auto"/>
            <w:noWrap/>
            <w:vAlign w:val="bottom"/>
            <w:hideMark/>
          </w:tcPr>
          <w:p w14:paraId="523BCF76" w14:textId="43B9F6EA" w:rsidR="00E702A3" w:rsidRPr="005269E6" w:rsidRDefault="00E702A3"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(67)</w:t>
            </w:r>
          </w:p>
        </w:tc>
        <w:tc>
          <w:tcPr>
            <w:tcW w:w="1425" w:type="dxa"/>
            <w:tcBorders>
              <w:top w:val="nil"/>
              <w:left w:val="nil"/>
              <w:bottom w:val="nil"/>
              <w:right w:val="nil"/>
            </w:tcBorders>
            <w:shd w:val="clear" w:color="000000" w:fill="auto"/>
            <w:noWrap/>
            <w:vAlign w:val="bottom"/>
            <w:hideMark/>
          </w:tcPr>
          <w:p w14:paraId="5B92C778" w14:textId="504257D5" w:rsidR="00E702A3" w:rsidRPr="005269E6" w:rsidRDefault="00E702A3"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(42)</w:t>
            </w:r>
          </w:p>
        </w:tc>
        <w:tc>
          <w:tcPr>
            <w:tcW w:w="1425" w:type="dxa"/>
            <w:tcBorders>
              <w:top w:val="nil"/>
              <w:left w:val="nil"/>
              <w:bottom w:val="nil"/>
              <w:right w:val="nil"/>
            </w:tcBorders>
            <w:shd w:val="clear" w:color="000000" w:fill="auto"/>
            <w:noWrap/>
            <w:vAlign w:val="bottom"/>
            <w:hideMark/>
          </w:tcPr>
          <w:p w14:paraId="28FB2C20" w14:textId="1C3064A4" w:rsidR="00E702A3" w:rsidRPr="005269E6" w:rsidRDefault="00E702A3" w:rsidP="00EA6F85">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(109)</w:t>
            </w:r>
          </w:p>
        </w:tc>
      </w:tr>
      <w:tr w:rsidR="00E702A3" w:rsidRPr="005269E6" w14:paraId="05037B2F" w14:textId="77777777" w:rsidTr="00E702A3">
        <w:trPr>
          <w:trHeight w:val="289"/>
          <w:jc w:val="center"/>
        </w:trPr>
        <w:tc>
          <w:tcPr>
            <w:tcW w:w="2816" w:type="dxa"/>
            <w:tcBorders>
              <w:top w:val="nil"/>
              <w:left w:val="nil"/>
              <w:bottom w:val="nil"/>
              <w:right w:val="nil"/>
            </w:tcBorders>
            <w:shd w:val="clear" w:color="000000" w:fill="auto"/>
            <w:noWrap/>
            <w:vAlign w:val="bottom"/>
            <w:hideMark/>
          </w:tcPr>
          <w:p w14:paraId="7AAC7DF7" w14:textId="44F6DECF" w:rsidR="00E702A3" w:rsidRPr="005269E6" w:rsidRDefault="00E170C8" w:rsidP="00E702A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w:t>
            </w:r>
            <w:r w:rsidRPr="005269E6">
              <w:rPr>
                <w:rFonts w:eastAsia="Times New Roman"/>
                <w:color w:val="000000"/>
                <w:sz w:val="18"/>
                <w:szCs w:val="18"/>
                <w:rtl/>
                <w:lang w:val="en-GB" w:eastAsia="en-GB"/>
              </w:rPr>
              <w:t>مكاسب ال</w:t>
            </w:r>
            <w:r w:rsidRPr="005269E6">
              <w:rPr>
                <w:rFonts w:eastAsia="Times New Roman" w:hint="cs"/>
                <w:color w:val="000000"/>
                <w:sz w:val="18"/>
                <w:szCs w:val="18"/>
                <w:rtl/>
                <w:lang w:val="en-GB" w:eastAsia="en-GB"/>
              </w:rPr>
              <w:t>تبادلية</w:t>
            </w:r>
            <w:r w:rsidRPr="005269E6">
              <w:rPr>
                <w:rFonts w:eastAsia="Times New Roman"/>
                <w:color w:val="000000"/>
                <w:sz w:val="18"/>
                <w:szCs w:val="18"/>
                <w:rtl/>
                <w:lang w:val="en-GB" w:eastAsia="en-GB"/>
              </w:rPr>
              <w:t xml:space="preserve"> غير المحققة</w:t>
            </w:r>
          </w:p>
        </w:tc>
        <w:tc>
          <w:tcPr>
            <w:tcW w:w="1426" w:type="dxa"/>
            <w:tcBorders>
              <w:top w:val="nil"/>
              <w:left w:val="nil"/>
              <w:bottom w:val="nil"/>
              <w:right w:val="nil"/>
            </w:tcBorders>
            <w:shd w:val="clear" w:color="000000" w:fill="auto"/>
            <w:noWrap/>
            <w:vAlign w:val="bottom"/>
            <w:hideMark/>
          </w:tcPr>
          <w:p w14:paraId="46697566" w14:textId="0C512511" w:rsidR="00E702A3" w:rsidRPr="005269E6" w:rsidRDefault="00E702A3" w:rsidP="00EA6F85">
            <w:pPr>
              <w:tabs>
                <w:tab w:val="clear" w:pos="794"/>
              </w:tabs>
              <w:spacing w:before="40" w:after="40" w:line="240" w:lineRule="exact"/>
              <w:jc w:val="left"/>
              <w:rPr>
                <w:rFonts w:eastAsia="Times New Roman"/>
                <w:color w:val="000000"/>
                <w:sz w:val="18"/>
                <w:szCs w:val="18"/>
                <w:lang w:val="en-GB" w:eastAsia="en-GB"/>
              </w:rPr>
            </w:pPr>
          </w:p>
        </w:tc>
        <w:tc>
          <w:tcPr>
            <w:tcW w:w="1425" w:type="dxa"/>
            <w:tcBorders>
              <w:top w:val="nil"/>
              <w:left w:val="nil"/>
              <w:bottom w:val="nil"/>
              <w:right w:val="nil"/>
            </w:tcBorders>
            <w:shd w:val="clear" w:color="000000" w:fill="auto"/>
            <w:noWrap/>
            <w:vAlign w:val="bottom"/>
            <w:hideMark/>
          </w:tcPr>
          <w:p w14:paraId="56C9AFE2" w14:textId="0791AE64" w:rsidR="00E702A3" w:rsidRPr="005269E6" w:rsidRDefault="00E702A3"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w:t>
            </w:r>
          </w:p>
        </w:tc>
        <w:tc>
          <w:tcPr>
            <w:tcW w:w="1425" w:type="dxa"/>
            <w:tcBorders>
              <w:top w:val="nil"/>
              <w:left w:val="nil"/>
              <w:bottom w:val="nil"/>
              <w:right w:val="nil"/>
            </w:tcBorders>
            <w:shd w:val="clear" w:color="000000" w:fill="auto"/>
            <w:noWrap/>
            <w:vAlign w:val="bottom"/>
            <w:hideMark/>
          </w:tcPr>
          <w:p w14:paraId="126D452D" w14:textId="7ADBD863" w:rsidR="00E702A3" w:rsidRPr="005269E6" w:rsidRDefault="00E702A3" w:rsidP="00EA6F85">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w:t>
            </w:r>
          </w:p>
        </w:tc>
      </w:tr>
      <w:tr w:rsidR="00E702A3" w:rsidRPr="005269E6" w14:paraId="29A0C7C8" w14:textId="77777777" w:rsidTr="00E702A3">
        <w:trPr>
          <w:trHeight w:val="162"/>
          <w:jc w:val="center"/>
        </w:trPr>
        <w:tc>
          <w:tcPr>
            <w:tcW w:w="2816" w:type="dxa"/>
            <w:tcBorders>
              <w:top w:val="nil"/>
              <w:left w:val="nil"/>
              <w:bottom w:val="nil"/>
              <w:right w:val="nil"/>
            </w:tcBorders>
            <w:shd w:val="clear" w:color="000000" w:fill="auto"/>
            <w:noWrap/>
            <w:vAlign w:val="bottom"/>
            <w:hideMark/>
          </w:tcPr>
          <w:p w14:paraId="71997783" w14:textId="77777777" w:rsidR="00E702A3" w:rsidRPr="005269E6" w:rsidRDefault="00E702A3" w:rsidP="00E702A3">
            <w:pPr>
              <w:tabs>
                <w:tab w:val="clear" w:pos="794"/>
              </w:tabs>
              <w:spacing w:before="0" w:line="200" w:lineRule="exact"/>
              <w:jc w:val="center"/>
              <w:rPr>
                <w:rFonts w:eastAsia="Times New Roman"/>
                <w:b/>
                <w:bCs/>
                <w:color w:val="000000"/>
                <w:sz w:val="18"/>
                <w:szCs w:val="18"/>
                <w:lang w:val="en-GB" w:eastAsia="en-GB"/>
              </w:rPr>
            </w:pPr>
          </w:p>
        </w:tc>
        <w:tc>
          <w:tcPr>
            <w:tcW w:w="1426" w:type="dxa"/>
            <w:tcBorders>
              <w:top w:val="nil"/>
              <w:left w:val="nil"/>
              <w:bottom w:val="nil"/>
              <w:right w:val="nil"/>
            </w:tcBorders>
            <w:shd w:val="clear" w:color="000000" w:fill="auto"/>
            <w:noWrap/>
            <w:vAlign w:val="bottom"/>
            <w:hideMark/>
          </w:tcPr>
          <w:p w14:paraId="278ADAB2" w14:textId="77777777" w:rsidR="00E702A3" w:rsidRPr="005269E6" w:rsidRDefault="00E702A3" w:rsidP="00EA6F85">
            <w:pPr>
              <w:tabs>
                <w:tab w:val="clear" w:pos="794"/>
              </w:tabs>
              <w:spacing w:before="0" w:line="200" w:lineRule="exact"/>
              <w:jc w:val="left"/>
              <w:rPr>
                <w:rFonts w:eastAsia="Times New Roman"/>
                <w:b/>
                <w:bCs/>
                <w:color w:val="000000"/>
                <w:sz w:val="18"/>
                <w:szCs w:val="18"/>
                <w:lang w:val="en-GB" w:eastAsia="en-GB"/>
              </w:rPr>
            </w:pPr>
          </w:p>
        </w:tc>
        <w:tc>
          <w:tcPr>
            <w:tcW w:w="1425" w:type="dxa"/>
            <w:tcBorders>
              <w:top w:val="nil"/>
              <w:left w:val="nil"/>
              <w:bottom w:val="nil"/>
              <w:right w:val="nil"/>
            </w:tcBorders>
            <w:shd w:val="clear" w:color="000000" w:fill="auto"/>
            <w:noWrap/>
            <w:vAlign w:val="bottom"/>
            <w:hideMark/>
          </w:tcPr>
          <w:p w14:paraId="14F4AD1E" w14:textId="77777777" w:rsidR="00E702A3" w:rsidRPr="005269E6" w:rsidRDefault="00E702A3" w:rsidP="00EA6F85">
            <w:pPr>
              <w:tabs>
                <w:tab w:val="clear" w:pos="794"/>
              </w:tabs>
              <w:spacing w:before="0" w:line="200" w:lineRule="exact"/>
              <w:jc w:val="left"/>
              <w:rPr>
                <w:rFonts w:eastAsia="Times New Roman"/>
                <w:b/>
                <w:bCs/>
                <w:color w:val="000000"/>
                <w:sz w:val="18"/>
                <w:szCs w:val="18"/>
                <w:lang w:val="en-GB" w:eastAsia="en-GB"/>
              </w:rPr>
            </w:pPr>
          </w:p>
        </w:tc>
        <w:tc>
          <w:tcPr>
            <w:tcW w:w="1425" w:type="dxa"/>
            <w:tcBorders>
              <w:top w:val="nil"/>
              <w:left w:val="nil"/>
              <w:bottom w:val="nil"/>
              <w:right w:val="nil"/>
            </w:tcBorders>
            <w:shd w:val="clear" w:color="000000" w:fill="auto"/>
            <w:noWrap/>
            <w:vAlign w:val="bottom"/>
            <w:hideMark/>
          </w:tcPr>
          <w:p w14:paraId="09A21232" w14:textId="77777777" w:rsidR="00E702A3" w:rsidRPr="005269E6" w:rsidRDefault="00E702A3" w:rsidP="00EA6F85">
            <w:pPr>
              <w:tabs>
                <w:tab w:val="clear" w:pos="794"/>
              </w:tabs>
              <w:spacing w:before="0" w:line="200" w:lineRule="exact"/>
              <w:jc w:val="left"/>
              <w:rPr>
                <w:rFonts w:eastAsia="Times New Roman"/>
                <w:b/>
                <w:bCs/>
                <w:color w:val="000000"/>
                <w:sz w:val="18"/>
                <w:szCs w:val="18"/>
                <w:lang w:val="en-GB" w:eastAsia="en-GB"/>
              </w:rPr>
            </w:pPr>
          </w:p>
        </w:tc>
      </w:tr>
      <w:tr w:rsidR="00E702A3" w:rsidRPr="005269E6" w14:paraId="6F2472AC" w14:textId="77777777" w:rsidTr="004C39BB">
        <w:trPr>
          <w:trHeight w:val="279"/>
          <w:jc w:val="center"/>
        </w:trPr>
        <w:tc>
          <w:tcPr>
            <w:tcW w:w="2816" w:type="dxa"/>
            <w:tcBorders>
              <w:top w:val="nil"/>
              <w:left w:val="nil"/>
              <w:bottom w:val="nil"/>
              <w:right w:val="nil"/>
            </w:tcBorders>
            <w:shd w:val="clear" w:color="000000" w:fill="538DD5"/>
            <w:noWrap/>
            <w:vAlign w:val="center"/>
            <w:hideMark/>
          </w:tcPr>
          <w:p w14:paraId="181CFF4D" w14:textId="06908341" w:rsidR="00E702A3" w:rsidRPr="005269E6" w:rsidRDefault="00E170C8" w:rsidP="00E702A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المجموع - 31 ديسمبر 2022</w:t>
            </w:r>
          </w:p>
        </w:tc>
        <w:tc>
          <w:tcPr>
            <w:tcW w:w="1426" w:type="dxa"/>
            <w:tcBorders>
              <w:top w:val="nil"/>
              <w:left w:val="nil"/>
              <w:bottom w:val="nil"/>
              <w:right w:val="nil"/>
            </w:tcBorders>
            <w:shd w:val="clear" w:color="000000" w:fill="538DD5"/>
            <w:noWrap/>
            <w:vAlign w:val="center"/>
            <w:hideMark/>
          </w:tcPr>
          <w:p w14:paraId="2B7AF6EE" w14:textId="5F0958A8" w:rsidR="00E702A3" w:rsidRPr="005269E6" w:rsidRDefault="00E702A3" w:rsidP="00EA6F85">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370</w:t>
            </w:r>
          </w:p>
        </w:tc>
        <w:tc>
          <w:tcPr>
            <w:tcW w:w="1425" w:type="dxa"/>
            <w:tcBorders>
              <w:top w:val="nil"/>
              <w:left w:val="nil"/>
              <w:bottom w:val="nil"/>
              <w:right w:val="nil"/>
            </w:tcBorders>
            <w:shd w:val="clear" w:color="000000" w:fill="538DD5"/>
            <w:noWrap/>
            <w:vAlign w:val="center"/>
            <w:hideMark/>
          </w:tcPr>
          <w:p w14:paraId="275FC6A7" w14:textId="049B0744" w:rsidR="00E702A3" w:rsidRPr="005269E6" w:rsidRDefault="00E702A3" w:rsidP="00EA6F85">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w:t>
            </w:r>
            <w:r w:rsidR="004F665D"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089</w:t>
            </w:r>
          </w:p>
        </w:tc>
        <w:tc>
          <w:tcPr>
            <w:tcW w:w="1425" w:type="dxa"/>
            <w:tcBorders>
              <w:top w:val="nil"/>
              <w:left w:val="nil"/>
              <w:bottom w:val="nil"/>
              <w:right w:val="nil"/>
            </w:tcBorders>
            <w:shd w:val="clear" w:color="000000" w:fill="538DD5"/>
            <w:noWrap/>
            <w:vAlign w:val="center"/>
            <w:hideMark/>
          </w:tcPr>
          <w:p w14:paraId="2054C55E" w14:textId="4A727433" w:rsidR="00E702A3" w:rsidRPr="005269E6" w:rsidRDefault="00E702A3" w:rsidP="00EA6F85">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w:t>
            </w:r>
            <w:r w:rsidR="004F665D"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459</w:t>
            </w:r>
          </w:p>
        </w:tc>
      </w:tr>
    </w:tbl>
    <w:p w14:paraId="43E33A53" w14:textId="6F41CFF1" w:rsidR="00C543C6" w:rsidRPr="005269E6" w:rsidRDefault="00C543C6" w:rsidP="00696AA6">
      <w:pPr>
        <w:pStyle w:val="Heading5"/>
      </w:pPr>
      <w:bookmarkStart w:id="559" w:name="_Toc452156646"/>
      <w:bookmarkStart w:id="560" w:name="_Toc482792224"/>
      <w:bookmarkStart w:id="561" w:name="_Toc482793729"/>
      <w:bookmarkStart w:id="562" w:name="_Toc511402245"/>
      <w:bookmarkStart w:id="563" w:name="_Toc511756682"/>
      <w:bookmarkStart w:id="564" w:name="_Toc9614801"/>
      <w:bookmarkStart w:id="565" w:name="_Toc42013554"/>
      <w:bookmarkStart w:id="566" w:name="_Toc42014557"/>
      <w:bookmarkStart w:id="567" w:name="_Toc74061587"/>
      <w:bookmarkStart w:id="568" w:name="_Toc162520638"/>
      <w:bookmarkStart w:id="569" w:name="_Toc452156647"/>
      <w:r w:rsidRPr="005269E6">
        <w:rPr>
          <w:rtl/>
        </w:rPr>
        <w:t xml:space="preserve">الملاحظة </w:t>
      </w:r>
      <w:r w:rsidR="000E1452" w:rsidRPr="005269E6">
        <w:t>20</w:t>
      </w:r>
      <w:r w:rsidRPr="005269E6">
        <w:tab/>
      </w:r>
      <w:r w:rsidRPr="005269E6">
        <w:rPr>
          <w:rtl/>
        </w:rPr>
        <w:t>الديون الأخرى</w:t>
      </w:r>
      <w:bookmarkEnd w:id="559"/>
      <w:bookmarkEnd w:id="560"/>
      <w:bookmarkEnd w:id="561"/>
      <w:bookmarkEnd w:id="562"/>
      <w:bookmarkEnd w:id="563"/>
      <w:bookmarkEnd w:id="564"/>
      <w:bookmarkEnd w:id="565"/>
      <w:bookmarkEnd w:id="566"/>
      <w:bookmarkEnd w:id="567"/>
      <w:bookmarkEnd w:id="568"/>
    </w:p>
    <w:tbl>
      <w:tblPr>
        <w:bidiVisual/>
        <w:tblW w:w="7088" w:type="dxa"/>
        <w:jc w:val="center"/>
        <w:tblLook w:val="04A0" w:firstRow="1" w:lastRow="0" w:firstColumn="1" w:lastColumn="0" w:noHBand="0" w:noVBand="1"/>
      </w:tblPr>
      <w:tblGrid>
        <w:gridCol w:w="3508"/>
        <w:gridCol w:w="1860"/>
        <w:gridCol w:w="1720"/>
      </w:tblGrid>
      <w:tr w:rsidR="00E170C8" w:rsidRPr="005269E6" w14:paraId="3EFA8089" w14:textId="77777777" w:rsidTr="004C39BB">
        <w:trPr>
          <w:trHeight w:val="559"/>
          <w:jc w:val="center"/>
        </w:trPr>
        <w:tc>
          <w:tcPr>
            <w:tcW w:w="3508" w:type="dxa"/>
            <w:tcBorders>
              <w:top w:val="nil"/>
              <w:left w:val="nil"/>
              <w:bottom w:val="nil"/>
              <w:right w:val="nil"/>
            </w:tcBorders>
            <w:shd w:val="clear" w:color="000000" w:fill="538DD5"/>
            <w:vAlign w:val="center"/>
            <w:hideMark/>
          </w:tcPr>
          <w:p w14:paraId="2EAABCE3" w14:textId="64671807" w:rsidR="00E170C8" w:rsidRPr="005269E6" w:rsidRDefault="00E170C8" w:rsidP="00E170C8">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860" w:type="dxa"/>
            <w:tcBorders>
              <w:top w:val="nil"/>
              <w:left w:val="nil"/>
              <w:bottom w:val="nil"/>
              <w:right w:val="nil"/>
            </w:tcBorders>
            <w:shd w:val="clear" w:color="000000" w:fill="538DD5"/>
            <w:vAlign w:val="center"/>
            <w:hideMark/>
          </w:tcPr>
          <w:p w14:paraId="671D2488" w14:textId="5929A4F2" w:rsidR="00E170C8" w:rsidRPr="005269E6" w:rsidRDefault="00E170C8" w:rsidP="00E170C8">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720" w:type="dxa"/>
            <w:tcBorders>
              <w:top w:val="nil"/>
              <w:left w:val="nil"/>
              <w:bottom w:val="nil"/>
              <w:right w:val="nil"/>
            </w:tcBorders>
            <w:shd w:val="clear" w:color="000000" w:fill="538DD5"/>
            <w:vAlign w:val="center"/>
            <w:hideMark/>
          </w:tcPr>
          <w:p w14:paraId="640F6DF7" w14:textId="6265872A" w:rsidR="00E170C8" w:rsidRPr="005269E6" w:rsidRDefault="00E170C8" w:rsidP="00E170C8">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0E1452" w:rsidRPr="005269E6" w14:paraId="0D53BDF9" w14:textId="77777777" w:rsidTr="004C39BB">
        <w:trPr>
          <w:trHeight w:val="150"/>
          <w:jc w:val="center"/>
        </w:trPr>
        <w:tc>
          <w:tcPr>
            <w:tcW w:w="3508" w:type="dxa"/>
            <w:tcBorders>
              <w:top w:val="nil"/>
              <w:left w:val="nil"/>
              <w:bottom w:val="nil"/>
              <w:right w:val="nil"/>
            </w:tcBorders>
            <w:shd w:val="clear" w:color="auto" w:fill="auto"/>
            <w:noWrap/>
            <w:vAlign w:val="bottom"/>
            <w:hideMark/>
          </w:tcPr>
          <w:p w14:paraId="2B21DF83" w14:textId="77777777" w:rsidR="000E1452" w:rsidRPr="005269E6" w:rsidRDefault="000E1452" w:rsidP="008D6841">
            <w:pPr>
              <w:tabs>
                <w:tab w:val="clear" w:pos="794"/>
              </w:tabs>
              <w:spacing w:before="0" w:line="200" w:lineRule="exact"/>
              <w:jc w:val="center"/>
              <w:rPr>
                <w:rFonts w:eastAsia="Times New Roman"/>
                <w:b/>
                <w:bCs/>
                <w:color w:val="000000"/>
                <w:sz w:val="18"/>
                <w:szCs w:val="18"/>
                <w:lang w:val="en-GB" w:eastAsia="en-GB"/>
              </w:rPr>
            </w:pPr>
          </w:p>
        </w:tc>
        <w:tc>
          <w:tcPr>
            <w:tcW w:w="1860" w:type="dxa"/>
            <w:tcBorders>
              <w:top w:val="nil"/>
              <w:left w:val="nil"/>
              <w:bottom w:val="nil"/>
              <w:right w:val="nil"/>
            </w:tcBorders>
            <w:shd w:val="clear" w:color="auto" w:fill="auto"/>
            <w:noWrap/>
            <w:vAlign w:val="bottom"/>
            <w:hideMark/>
          </w:tcPr>
          <w:p w14:paraId="4D8872F7" w14:textId="77777777" w:rsidR="000E1452" w:rsidRPr="005269E6" w:rsidRDefault="000E1452" w:rsidP="008D6841">
            <w:pPr>
              <w:tabs>
                <w:tab w:val="clear" w:pos="794"/>
              </w:tabs>
              <w:spacing w:before="0" w:line="200" w:lineRule="exact"/>
              <w:jc w:val="left"/>
              <w:rPr>
                <w:rFonts w:eastAsia="Times New Roman"/>
                <w:sz w:val="18"/>
                <w:szCs w:val="18"/>
                <w:lang w:val="en-GB" w:eastAsia="en-GB"/>
              </w:rPr>
            </w:pPr>
          </w:p>
        </w:tc>
        <w:tc>
          <w:tcPr>
            <w:tcW w:w="1720" w:type="dxa"/>
            <w:tcBorders>
              <w:top w:val="nil"/>
              <w:left w:val="nil"/>
              <w:bottom w:val="nil"/>
              <w:right w:val="nil"/>
            </w:tcBorders>
            <w:shd w:val="clear" w:color="auto" w:fill="auto"/>
            <w:noWrap/>
            <w:vAlign w:val="bottom"/>
            <w:hideMark/>
          </w:tcPr>
          <w:p w14:paraId="06AF476C" w14:textId="77777777" w:rsidR="000E1452" w:rsidRPr="005269E6" w:rsidRDefault="000E1452" w:rsidP="008D6841">
            <w:pPr>
              <w:tabs>
                <w:tab w:val="clear" w:pos="794"/>
              </w:tabs>
              <w:spacing w:before="0" w:line="200" w:lineRule="exact"/>
              <w:jc w:val="left"/>
              <w:rPr>
                <w:rFonts w:eastAsia="Times New Roman"/>
                <w:sz w:val="18"/>
                <w:szCs w:val="18"/>
                <w:lang w:val="en-GB" w:eastAsia="en-GB"/>
              </w:rPr>
            </w:pPr>
          </w:p>
        </w:tc>
      </w:tr>
      <w:tr w:rsidR="000E1452" w:rsidRPr="005269E6" w14:paraId="6C9FE95A" w14:textId="77777777" w:rsidTr="004C39BB">
        <w:trPr>
          <w:trHeight w:val="255"/>
          <w:jc w:val="center"/>
        </w:trPr>
        <w:tc>
          <w:tcPr>
            <w:tcW w:w="3508" w:type="dxa"/>
            <w:tcBorders>
              <w:top w:val="nil"/>
              <w:left w:val="nil"/>
              <w:bottom w:val="nil"/>
              <w:right w:val="nil"/>
            </w:tcBorders>
            <w:shd w:val="clear" w:color="auto" w:fill="auto"/>
            <w:noWrap/>
            <w:vAlign w:val="bottom"/>
            <w:hideMark/>
          </w:tcPr>
          <w:p w14:paraId="60ABB4B9" w14:textId="34DF97D5" w:rsidR="000E1452" w:rsidRPr="005269E6" w:rsidRDefault="00E170C8" w:rsidP="000E145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الحسابات الدائنة</w:t>
            </w:r>
          </w:p>
        </w:tc>
        <w:tc>
          <w:tcPr>
            <w:tcW w:w="1860" w:type="dxa"/>
            <w:tcBorders>
              <w:top w:val="nil"/>
              <w:left w:val="nil"/>
              <w:bottom w:val="nil"/>
              <w:right w:val="nil"/>
            </w:tcBorders>
            <w:shd w:val="clear" w:color="auto" w:fill="auto"/>
            <w:noWrap/>
            <w:vAlign w:val="bottom"/>
            <w:hideMark/>
          </w:tcPr>
          <w:p w14:paraId="3641110C" w14:textId="23E0A0B8" w:rsidR="000E1452" w:rsidRPr="005269E6" w:rsidRDefault="000E1452"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967</w:t>
            </w:r>
          </w:p>
        </w:tc>
        <w:tc>
          <w:tcPr>
            <w:tcW w:w="1720" w:type="dxa"/>
            <w:tcBorders>
              <w:top w:val="nil"/>
              <w:left w:val="nil"/>
              <w:bottom w:val="nil"/>
              <w:right w:val="nil"/>
            </w:tcBorders>
            <w:shd w:val="clear" w:color="auto" w:fill="auto"/>
            <w:noWrap/>
            <w:vAlign w:val="bottom"/>
            <w:hideMark/>
          </w:tcPr>
          <w:p w14:paraId="7937CC27" w14:textId="7B8284AA" w:rsidR="000E1452" w:rsidRPr="005269E6" w:rsidRDefault="000E1452"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3 307</w:t>
            </w:r>
          </w:p>
        </w:tc>
      </w:tr>
      <w:tr w:rsidR="000E1452" w:rsidRPr="005269E6" w14:paraId="6D87C7E7" w14:textId="77777777" w:rsidTr="004C39BB">
        <w:trPr>
          <w:trHeight w:val="255"/>
          <w:jc w:val="center"/>
        </w:trPr>
        <w:tc>
          <w:tcPr>
            <w:tcW w:w="3508" w:type="dxa"/>
            <w:tcBorders>
              <w:top w:val="nil"/>
              <w:left w:val="nil"/>
              <w:bottom w:val="nil"/>
              <w:right w:val="nil"/>
            </w:tcBorders>
            <w:shd w:val="clear" w:color="auto" w:fill="auto"/>
            <w:noWrap/>
            <w:vAlign w:val="bottom"/>
            <w:hideMark/>
          </w:tcPr>
          <w:p w14:paraId="4DC82532" w14:textId="0ACEAF62" w:rsidR="000E1452" w:rsidRPr="005269E6" w:rsidRDefault="00E170C8" w:rsidP="000E145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نثريات</w:t>
            </w:r>
            <w:r w:rsidRPr="005269E6">
              <w:rPr>
                <w:rFonts w:eastAsia="Times New Roman"/>
                <w:color w:val="000000"/>
                <w:sz w:val="18"/>
                <w:szCs w:val="18"/>
                <w:rtl/>
                <w:lang w:val="en-GB" w:eastAsia="en-GB"/>
              </w:rPr>
              <w:t xml:space="preserve"> الموظفين</w:t>
            </w:r>
          </w:p>
        </w:tc>
        <w:tc>
          <w:tcPr>
            <w:tcW w:w="1860" w:type="dxa"/>
            <w:tcBorders>
              <w:top w:val="nil"/>
              <w:left w:val="nil"/>
              <w:bottom w:val="nil"/>
              <w:right w:val="nil"/>
            </w:tcBorders>
            <w:shd w:val="clear" w:color="auto" w:fill="auto"/>
            <w:noWrap/>
            <w:vAlign w:val="bottom"/>
            <w:hideMark/>
          </w:tcPr>
          <w:p w14:paraId="1247C09D" w14:textId="59285515" w:rsidR="000E1452" w:rsidRPr="005269E6" w:rsidRDefault="000E1452"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1 236</w:t>
            </w:r>
          </w:p>
        </w:tc>
        <w:tc>
          <w:tcPr>
            <w:tcW w:w="1720" w:type="dxa"/>
            <w:tcBorders>
              <w:top w:val="nil"/>
              <w:left w:val="nil"/>
              <w:bottom w:val="nil"/>
              <w:right w:val="nil"/>
            </w:tcBorders>
            <w:shd w:val="clear" w:color="auto" w:fill="auto"/>
            <w:noWrap/>
            <w:vAlign w:val="bottom"/>
            <w:hideMark/>
          </w:tcPr>
          <w:p w14:paraId="65B50B85" w14:textId="7B54F30C" w:rsidR="000E1452" w:rsidRPr="005269E6" w:rsidRDefault="000E1452"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1 616</w:t>
            </w:r>
          </w:p>
        </w:tc>
      </w:tr>
      <w:tr w:rsidR="000E1452" w:rsidRPr="005269E6" w14:paraId="2897680C" w14:textId="77777777" w:rsidTr="004C39BB">
        <w:trPr>
          <w:trHeight w:val="255"/>
          <w:jc w:val="center"/>
        </w:trPr>
        <w:tc>
          <w:tcPr>
            <w:tcW w:w="3508" w:type="dxa"/>
            <w:tcBorders>
              <w:top w:val="nil"/>
              <w:left w:val="nil"/>
              <w:bottom w:val="nil"/>
              <w:right w:val="nil"/>
            </w:tcBorders>
            <w:shd w:val="clear" w:color="auto" w:fill="auto"/>
            <w:noWrap/>
            <w:vAlign w:val="bottom"/>
            <w:hideMark/>
          </w:tcPr>
          <w:p w14:paraId="0D0CD9EA" w14:textId="6BC04A65" w:rsidR="000E1452" w:rsidRPr="005269E6" w:rsidRDefault="00E170C8" w:rsidP="000E145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إيصال</w:t>
            </w:r>
            <w:r w:rsidRPr="005269E6">
              <w:rPr>
                <w:rFonts w:eastAsia="Times New Roman" w:hint="cs"/>
                <w:color w:val="000000"/>
                <w:sz w:val="18"/>
                <w:szCs w:val="18"/>
                <w:rtl/>
                <w:lang w:val="en-GB" w:eastAsia="en-GB"/>
              </w:rPr>
              <w:t>ات</w:t>
            </w:r>
            <w:r w:rsidRPr="005269E6">
              <w:rPr>
                <w:rFonts w:eastAsia="Times New Roman"/>
                <w:color w:val="000000"/>
                <w:sz w:val="18"/>
                <w:szCs w:val="18"/>
                <w:rtl/>
                <w:lang w:val="en-GB" w:eastAsia="en-GB"/>
              </w:rPr>
              <w:t xml:space="preserve"> </w:t>
            </w:r>
            <w:r w:rsidRPr="005269E6">
              <w:rPr>
                <w:rFonts w:eastAsia="Times New Roman" w:hint="cs"/>
                <w:color w:val="000000"/>
                <w:sz w:val="18"/>
                <w:szCs w:val="18"/>
                <w:rtl/>
                <w:lang w:val="en-GB" w:eastAsia="en-GB"/>
              </w:rPr>
              <w:t>السلع</w:t>
            </w:r>
            <w:r w:rsidRPr="005269E6">
              <w:rPr>
                <w:rFonts w:eastAsia="Times New Roman"/>
                <w:color w:val="000000"/>
                <w:sz w:val="18"/>
                <w:szCs w:val="18"/>
                <w:rtl/>
                <w:lang w:val="en-GB" w:eastAsia="en-GB"/>
              </w:rPr>
              <w:t>/إيصال</w:t>
            </w:r>
            <w:r w:rsidRPr="005269E6">
              <w:rPr>
                <w:rFonts w:eastAsia="Times New Roman" w:hint="cs"/>
                <w:color w:val="000000"/>
                <w:sz w:val="18"/>
                <w:szCs w:val="18"/>
                <w:rtl/>
                <w:lang w:val="en-GB" w:eastAsia="en-GB"/>
              </w:rPr>
              <w:t>ات</w:t>
            </w:r>
            <w:r w:rsidRPr="005269E6">
              <w:rPr>
                <w:rFonts w:eastAsia="Times New Roman"/>
                <w:color w:val="000000"/>
                <w:sz w:val="18"/>
                <w:szCs w:val="18"/>
                <w:rtl/>
                <w:lang w:val="en-GB" w:eastAsia="en-GB"/>
              </w:rPr>
              <w:t xml:space="preserve"> الف</w:t>
            </w:r>
            <w:r w:rsidRPr="005269E6">
              <w:rPr>
                <w:rFonts w:eastAsia="Times New Roman" w:hint="cs"/>
                <w:color w:val="000000"/>
                <w:sz w:val="18"/>
                <w:szCs w:val="18"/>
                <w:rtl/>
                <w:lang w:val="en-GB" w:eastAsia="en-GB"/>
              </w:rPr>
              <w:t>و</w:t>
            </w:r>
            <w:r w:rsidRPr="005269E6">
              <w:rPr>
                <w:rFonts w:eastAsia="Times New Roman"/>
                <w:color w:val="000000"/>
                <w:sz w:val="18"/>
                <w:szCs w:val="18"/>
                <w:rtl/>
                <w:lang w:val="en-GB" w:eastAsia="en-GB"/>
              </w:rPr>
              <w:t>ات</w:t>
            </w:r>
            <w:r w:rsidRPr="005269E6">
              <w:rPr>
                <w:rFonts w:eastAsia="Times New Roman" w:hint="cs"/>
                <w:color w:val="000000"/>
                <w:sz w:val="18"/>
                <w:szCs w:val="18"/>
                <w:rtl/>
                <w:lang w:val="en-GB" w:eastAsia="en-GB"/>
              </w:rPr>
              <w:t>ي</w:t>
            </w:r>
            <w:r w:rsidRPr="005269E6">
              <w:rPr>
                <w:rFonts w:eastAsia="Times New Roman"/>
                <w:color w:val="000000"/>
                <w:sz w:val="18"/>
                <w:szCs w:val="18"/>
                <w:rtl/>
                <w:lang w:val="en-GB" w:eastAsia="en-GB"/>
              </w:rPr>
              <w:t>ر</w:t>
            </w:r>
          </w:p>
        </w:tc>
        <w:tc>
          <w:tcPr>
            <w:tcW w:w="1860" w:type="dxa"/>
            <w:tcBorders>
              <w:top w:val="nil"/>
              <w:left w:val="nil"/>
              <w:bottom w:val="nil"/>
              <w:right w:val="nil"/>
            </w:tcBorders>
            <w:shd w:val="clear" w:color="auto" w:fill="auto"/>
            <w:noWrap/>
            <w:vAlign w:val="bottom"/>
            <w:hideMark/>
          </w:tcPr>
          <w:p w14:paraId="41109630" w14:textId="04FD0D32" w:rsidR="000E1452" w:rsidRPr="005269E6" w:rsidRDefault="000E1452"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21</w:t>
            </w:r>
          </w:p>
        </w:tc>
        <w:tc>
          <w:tcPr>
            <w:tcW w:w="1720" w:type="dxa"/>
            <w:tcBorders>
              <w:top w:val="nil"/>
              <w:left w:val="nil"/>
              <w:bottom w:val="nil"/>
              <w:right w:val="nil"/>
            </w:tcBorders>
            <w:shd w:val="clear" w:color="auto" w:fill="auto"/>
            <w:noWrap/>
            <w:vAlign w:val="bottom"/>
            <w:hideMark/>
          </w:tcPr>
          <w:p w14:paraId="345E8169" w14:textId="7AEFF820" w:rsidR="000E1452" w:rsidRPr="005269E6" w:rsidRDefault="000E1452"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37</w:t>
            </w:r>
          </w:p>
        </w:tc>
      </w:tr>
      <w:tr w:rsidR="000E1452" w:rsidRPr="005269E6" w14:paraId="6901BE8F" w14:textId="77777777" w:rsidTr="004C39BB">
        <w:trPr>
          <w:trHeight w:val="255"/>
          <w:jc w:val="center"/>
        </w:trPr>
        <w:tc>
          <w:tcPr>
            <w:tcW w:w="3508" w:type="dxa"/>
            <w:tcBorders>
              <w:top w:val="nil"/>
              <w:left w:val="nil"/>
              <w:bottom w:val="nil"/>
              <w:right w:val="nil"/>
            </w:tcBorders>
            <w:shd w:val="clear" w:color="auto" w:fill="auto"/>
            <w:noWrap/>
            <w:vAlign w:val="bottom"/>
            <w:hideMark/>
          </w:tcPr>
          <w:p w14:paraId="537F5219" w14:textId="77777777" w:rsidR="000E1452" w:rsidRPr="005269E6" w:rsidRDefault="000E1452" w:rsidP="000E145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UNDP</w:t>
            </w:r>
          </w:p>
        </w:tc>
        <w:tc>
          <w:tcPr>
            <w:tcW w:w="1860" w:type="dxa"/>
            <w:tcBorders>
              <w:top w:val="nil"/>
              <w:left w:val="nil"/>
              <w:bottom w:val="nil"/>
              <w:right w:val="nil"/>
            </w:tcBorders>
            <w:shd w:val="clear" w:color="auto" w:fill="auto"/>
            <w:noWrap/>
            <w:vAlign w:val="bottom"/>
            <w:hideMark/>
          </w:tcPr>
          <w:p w14:paraId="567D7CB2" w14:textId="630ECFF8" w:rsidR="000E1452" w:rsidRPr="005269E6" w:rsidRDefault="000E1452"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6</w:t>
            </w:r>
          </w:p>
        </w:tc>
        <w:tc>
          <w:tcPr>
            <w:tcW w:w="1720" w:type="dxa"/>
            <w:tcBorders>
              <w:top w:val="nil"/>
              <w:left w:val="nil"/>
              <w:bottom w:val="nil"/>
              <w:right w:val="nil"/>
            </w:tcBorders>
            <w:shd w:val="clear" w:color="auto" w:fill="auto"/>
            <w:noWrap/>
            <w:vAlign w:val="bottom"/>
            <w:hideMark/>
          </w:tcPr>
          <w:p w14:paraId="27259CEC" w14:textId="4A4D501C" w:rsidR="000E1452" w:rsidRPr="005269E6" w:rsidRDefault="000E1452"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w:t>
            </w:r>
          </w:p>
        </w:tc>
      </w:tr>
      <w:tr w:rsidR="000E1452" w:rsidRPr="005269E6" w14:paraId="56EFBD6B" w14:textId="77777777" w:rsidTr="004C39BB">
        <w:trPr>
          <w:trHeight w:val="139"/>
          <w:jc w:val="center"/>
        </w:trPr>
        <w:tc>
          <w:tcPr>
            <w:tcW w:w="3508" w:type="dxa"/>
            <w:tcBorders>
              <w:top w:val="nil"/>
              <w:left w:val="nil"/>
              <w:bottom w:val="nil"/>
              <w:right w:val="nil"/>
            </w:tcBorders>
            <w:shd w:val="clear" w:color="auto" w:fill="auto"/>
            <w:noWrap/>
            <w:vAlign w:val="bottom"/>
            <w:hideMark/>
          </w:tcPr>
          <w:p w14:paraId="02F84FF7" w14:textId="77777777" w:rsidR="000E1452" w:rsidRPr="005269E6" w:rsidRDefault="000E1452" w:rsidP="008D6841">
            <w:pPr>
              <w:tabs>
                <w:tab w:val="clear" w:pos="794"/>
              </w:tabs>
              <w:spacing w:before="0" w:line="200" w:lineRule="exact"/>
              <w:jc w:val="left"/>
              <w:rPr>
                <w:rFonts w:eastAsia="Times New Roman"/>
                <w:color w:val="000000"/>
                <w:sz w:val="18"/>
                <w:szCs w:val="18"/>
                <w:lang w:val="en-GB" w:eastAsia="en-GB"/>
              </w:rPr>
            </w:pPr>
          </w:p>
        </w:tc>
        <w:tc>
          <w:tcPr>
            <w:tcW w:w="1860" w:type="dxa"/>
            <w:tcBorders>
              <w:top w:val="nil"/>
              <w:left w:val="nil"/>
              <w:bottom w:val="nil"/>
              <w:right w:val="nil"/>
            </w:tcBorders>
            <w:shd w:val="clear" w:color="auto" w:fill="auto"/>
            <w:noWrap/>
            <w:vAlign w:val="bottom"/>
            <w:hideMark/>
          </w:tcPr>
          <w:p w14:paraId="0B206C4F" w14:textId="77777777" w:rsidR="000E1452" w:rsidRPr="005269E6" w:rsidRDefault="000E1452" w:rsidP="008D6841">
            <w:pPr>
              <w:tabs>
                <w:tab w:val="clear" w:pos="794"/>
              </w:tabs>
              <w:spacing w:before="0" w:line="200" w:lineRule="exact"/>
              <w:jc w:val="left"/>
              <w:rPr>
                <w:rFonts w:eastAsia="Times New Roman"/>
                <w:sz w:val="18"/>
                <w:szCs w:val="18"/>
                <w:lang w:val="en-GB" w:eastAsia="en-GB"/>
              </w:rPr>
            </w:pPr>
          </w:p>
        </w:tc>
        <w:tc>
          <w:tcPr>
            <w:tcW w:w="1720" w:type="dxa"/>
            <w:tcBorders>
              <w:top w:val="nil"/>
              <w:left w:val="nil"/>
              <w:bottom w:val="nil"/>
              <w:right w:val="nil"/>
            </w:tcBorders>
            <w:shd w:val="clear" w:color="auto" w:fill="auto"/>
            <w:noWrap/>
            <w:vAlign w:val="bottom"/>
            <w:hideMark/>
          </w:tcPr>
          <w:p w14:paraId="75E7C14E" w14:textId="77777777" w:rsidR="000E1452" w:rsidRPr="005269E6" w:rsidRDefault="000E1452" w:rsidP="008D6841">
            <w:pPr>
              <w:tabs>
                <w:tab w:val="clear" w:pos="794"/>
              </w:tabs>
              <w:spacing w:before="0" w:line="200" w:lineRule="exact"/>
              <w:jc w:val="left"/>
              <w:rPr>
                <w:rFonts w:eastAsia="Times New Roman"/>
                <w:sz w:val="18"/>
                <w:szCs w:val="18"/>
                <w:lang w:val="en-GB" w:eastAsia="en-GB"/>
              </w:rPr>
            </w:pPr>
          </w:p>
        </w:tc>
      </w:tr>
      <w:tr w:rsidR="000E1452" w:rsidRPr="005269E6" w14:paraId="1F80A970" w14:textId="77777777" w:rsidTr="004C39BB">
        <w:trPr>
          <w:trHeight w:val="499"/>
          <w:jc w:val="center"/>
        </w:trPr>
        <w:tc>
          <w:tcPr>
            <w:tcW w:w="3508" w:type="dxa"/>
            <w:tcBorders>
              <w:top w:val="nil"/>
              <w:left w:val="nil"/>
              <w:bottom w:val="nil"/>
              <w:right w:val="nil"/>
            </w:tcBorders>
            <w:shd w:val="clear" w:color="000000" w:fill="538DD5"/>
            <w:noWrap/>
            <w:vAlign w:val="center"/>
            <w:hideMark/>
          </w:tcPr>
          <w:p w14:paraId="464298BF" w14:textId="7AAED99F" w:rsidR="000E1452" w:rsidRPr="005269E6" w:rsidRDefault="00E170C8" w:rsidP="000E145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المجموع - الديون الأخرى</w:t>
            </w:r>
          </w:p>
        </w:tc>
        <w:tc>
          <w:tcPr>
            <w:tcW w:w="1860" w:type="dxa"/>
            <w:tcBorders>
              <w:top w:val="nil"/>
              <w:left w:val="nil"/>
              <w:bottom w:val="nil"/>
              <w:right w:val="nil"/>
            </w:tcBorders>
            <w:shd w:val="clear" w:color="000000" w:fill="538DD5"/>
            <w:noWrap/>
            <w:vAlign w:val="center"/>
            <w:hideMark/>
          </w:tcPr>
          <w:p w14:paraId="03EAC04A" w14:textId="1307150C" w:rsidR="000E1452" w:rsidRPr="005269E6" w:rsidRDefault="000E1452" w:rsidP="00EA6F85">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2 230</w:t>
            </w:r>
          </w:p>
        </w:tc>
        <w:tc>
          <w:tcPr>
            <w:tcW w:w="1720" w:type="dxa"/>
            <w:tcBorders>
              <w:top w:val="nil"/>
              <w:left w:val="nil"/>
              <w:bottom w:val="nil"/>
              <w:right w:val="nil"/>
            </w:tcBorders>
            <w:shd w:val="clear" w:color="000000" w:fill="538DD5"/>
            <w:noWrap/>
            <w:vAlign w:val="center"/>
            <w:hideMark/>
          </w:tcPr>
          <w:p w14:paraId="5FDF95BF" w14:textId="11BF1CCB" w:rsidR="000E1452" w:rsidRPr="005269E6" w:rsidRDefault="000E1452" w:rsidP="00EA6F85">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4 962</w:t>
            </w:r>
          </w:p>
        </w:tc>
      </w:tr>
    </w:tbl>
    <w:p w14:paraId="6CA64C84" w14:textId="77777777" w:rsidR="001E4C9C" w:rsidRPr="005269E6" w:rsidRDefault="001E4C9C" w:rsidP="00696AA6">
      <w:pPr>
        <w:pStyle w:val="Heading5"/>
        <w:rPr>
          <w:rtl/>
        </w:rPr>
      </w:pPr>
      <w:bookmarkStart w:id="570" w:name="_Toc482792225"/>
      <w:bookmarkStart w:id="571" w:name="_Toc482793730"/>
      <w:bookmarkStart w:id="572" w:name="_Toc511402246"/>
      <w:bookmarkStart w:id="573" w:name="_Toc511756683"/>
      <w:bookmarkStart w:id="574" w:name="_Toc9614802"/>
      <w:bookmarkStart w:id="575" w:name="_Toc42013555"/>
      <w:bookmarkStart w:id="576" w:name="_Toc42014558"/>
      <w:bookmarkStart w:id="577" w:name="_Toc74061588"/>
      <w:bookmarkStart w:id="578" w:name="_Toc162520639"/>
      <w:bookmarkEnd w:id="569"/>
      <w:r w:rsidRPr="005269E6">
        <w:rPr>
          <w:rtl/>
        </w:rPr>
        <w:t xml:space="preserve">الملاحظة </w:t>
      </w:r>
      <w:r w:rsidRPr="005269E6">
        <w:t>21</w:t>
      </w:r>
      <w:r w:rsidRPr="005269E6">
        <w:rPr>
          <w:rtl/>
        </w:rPr>
        <w:tab/>
      </w:r>
      <w:bookmarkEnd w:id="570"/>
      <w:bookmarkEnd w:id="571"/>
      <w:bookmarkEnd w:id="572"/>
      <w:bookmarkEnd w:id="573"/>
      <w:bookmarkEnd w:id="574"/>
      <w:bookmarkEnd w:id="575"/>
      <w:bookmarkEnd w:id="576"/>
      <w:bookmarkEnd w:id="577"/>
      <w:r w:rsidRPr="005269E6">
        <w:rPr>
          <w:rtl/>
        </w:rPr>
        <w:t>الأموال الخارجة عن الميزانية</w:t>
      </w:r>
      <w:bookmarkEnd w:id="578"/>
    </w:p>
    <w:tbl>
      <w:tblPr>
        <w:bidiVisual/>
        <w:tblW w:w="6960" w:type="dxa"/>
        <w:jc w:val="center"/>
        <w:tblLook w:val="04A0" w:firstRow="1" w:lastRow="0" w:firstColumn="1" w:lastColumn="0" w:noHBand="0" w:noVBand="1"/>
      </w:tblPr>
      <w:tblGrid>
        <w:gridCol w:w="3836"/>
        <w:gridCol w:w="1472"/>
        <w:gridCol w:w="1652"/>
      </w:tblGrid>
      <w:tr w:rsidR="00C62027" w:rsidRPr="005269E6" w14:paraId="0316340E" w14:textId="77777777" w:rsidTr="00C32565">
        <w:trPr>
          <w:trHeight w:val="630"/>
          <w:jc w:val="center"/>
        </w:trPr>
        <w:tc>
          <w:tcPr>
            <w:tcW w:w="3836" w:type="dxa"/>
            <w:tcBorders>
              <w:top w:val="nil"/>
              <w:left w:val="nil"/>
              <w:bottom w:val="nil"/>
              <w:right w:val="nil"/>
            </w:tcBorders>
            <w:shd w:val="clear" w:color="000000" w:fill="538DD5"/>
            <w:noWrap/>
            <w:vAlign w:val="center"/>
            <w:hideMark/>
          </w:tcPr>
          <w:p w14:paraId="5D73C418" w14:textId="660BC15E" w:rsidR="00C62027" w:rsidRPr="005269E6" w:rsidRDefault="00C62027" w:rsidP="00C62027">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472" w:type="dxa"/>
            <w:tcBorders>
              <w:top w:val="nil"/>
              <w:left w:val="nil"/>
              <w:bottom w:val="nil"/>
              <w:right w:val="nil"/>
            </w:tcBorders>
            <w:shd w:val="clear" w:color="000000" w:fill="538DD5"/>
            <w:vAlign w:val="center"/>
            <w:hideMark/>
          </w:tcPr>
          <w:p w14:paraId="3D36B9D1" w14:textId="3FFEEE24" w:rsidR="00C62027" w:rsidRPr="005269E6" w:rsidRDefault="00C62027" w:rsidP="00C6202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652" w:type="dxa"/>
            <w:tcBorders>
              <w:top w:val="nil"/>
              <w:left w:val="nil"/>
              <w:bottom w:val="nil"/>
              <w:right w:val="nil"/>
            </w:tcBorders>
            <w:shd w:val="clear" w:color="000000" w:fill="538DD5"/>
            <w:vAlign w:val="center"/>
            <w:hideMark/>
          </w:tcPr>
          <w:p w14:paraId="77834C62" w14:textId="2DBDE337" w:rsidR="00C62027" w:rsidRPr="005269E6" w:rsidRDefault="00C62027" w:rsidP="00C6202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C32565" w:rsidRPr="005269E6" w14:paraId="23A82099" w14:textId="77777777" w:rsidTr="00C32565">
        <w:trPr>
          <w:trHeight w:val="255"/>
          <w:jc w:val="center"/>
        </w:trPr>
        <w:tc>
          <w:tcPr>
            <w:tcW w:w="3836" w:type="dxa"/>
            <w:tcBorders>
              <w:top w:val="nil"/>
              <w:left w:val="nil"/>
              <w:bottom w:val="nil"/>
              <w:right w:val="nil"/>
            </w:tcBorders>
            <w:shd w:val="clear" w:color="auto" w:fill="auto"/>
            <w:noWrap/>
            <w:vAlign w:val="center"/>
            <w:hideMark/>
          </w:tcPr>
          <w:p w14:paraId="05D7B8A8" w14:textId="77777777" w:rsidR="00C32565" w:rsidRPr="005269E6" w:rsidRDefault="00C32565" w:rsidP="008D6841">
            <w:pPr>
              <w:tabs>
                <w:tab w:val="clear" w:pos="794"/>
              </w:tabs>
              <w:spacing w:before="0" w:line="200" w:lineRule="exact"/>
              <w:jc w:val="center"/>
              <w:rPr>
                <w:rFonts w:eastAsia="Times New Roman"/>
                <w:b/>
                <w:bCs/>
                <w:color w:val="000000"/>
                <w:sz w:val="18"/>
                <w:szCs w:val="18"/>
                <w:lang w:val="en-GB" w:eastAsia="en-GB"/>
              </w:rPr>
            </w:pPr>
          </w:p>
        </w:tc>
        <w:tc>
          <w:tcPr>
            <w:tcW w:w="1472" w:type="dxa"/>
            <w:tcBorders>
              <w:top w:val="nil"/>
              <w:left w:val="nil"/>
              <w:bottom w:val="nil"/>
              <w:right w:val="nil"/>
            </w:tcBorders>
            <w:shd w:val="clear" w:color="auto" w:fill="auto"/>
            <w:vAlign w:val="center"/>
            <w:hideMark/>
          </w:tcPr>
          <w:p w14:paraId="3FD3C805" w14:textId="77777777" w:rsidR="00C32565" w:rsidRPr="005269E6" w:rsidRDefault="00C32565" w:rsidP="008D6841">
            <w:pPr>
              <w:tabs>
                <w:tab w:val="clear" w:pos="794"/>
              </w:tabs>
              <w:spacing w:before="0" w:line="200" w:lineRule="exact"/>
              <w:jc w:val="left"/>
              <w:rPr>
                <w:rFonts w:eastAsia="Times New Roman"/>
                <w:sz w:val="18"/>
                <w:szCs w:val="18"/>
                <w:lang w:val="en-GB" w:eastAsia="en-GB"/>
              </w:rPr>
            </w:pPr>
          </w:p>
        </w:tc>
        <w:tc>
          <w:tcPr>
            <w:tcW w:w="1652" w:type="dxa"/>
            <w:tcBorders>
              <w:top w:val="nil"/>
              <w:left w:val="nil"/>
              <w:bottom w:val="nil"/>
              <w:right w:val="nil"/>
            </w:tcBorders>
            <w:shd w:val="clear" w:color="auto" w:fill="auto"/>
            <w:vAlign w:val="center"/>
            <w:hideMark/>
          </w:tcPr>
          <w:p w14:paraId="3AAD411F" w14:textId="77777777" w:rsidR="00C32565" w:rsidRPr="005269E6" w:rsidRDefault="00C32565" w:rsidP="008D6841">
            <w:pPr>
              <w:tabs>
                <w:tab w:val="clear" w:pos="794"/>
              </w:tabs>
              <w:spacing w:before="0" w:line="200" w:lineRule="exact"/>
              <w:jc w:val="center"/>
              <w:rPr>
                <w:rFonts w:eastAsia="Times New Roman"/>
                <w:sz w:val="18"/>
                <w:szCs w:val="18"/>
                <w:lang w:val="en-GB" w:eastAsia="en-GB"/>
              </w:rPr>
            </w:pPr>
          </w:p>
        </w:tc>
      </w:tr>
      <w:tr w:rsidR="00C32565" w:rsidRPr="005269E6" w14:paraId="6DD43010" w14:textId="77777777" w:rsidTr="00C32565">
        <w:trPr>
          <w:trHeight w:val="255"/>
          <w:jc w:val="center"/>
        </w:trPr>
        <w:tc>
          <w:tcPr>
            <w:tcW w:w="3836" w:type="dxa"/>
            <w:tcBorders>
              <w:top w:val="nil"/>
              <w:left w:val="nil"/>
              <w:bottom w:val="nil"/>
              <w:right w:val="nil"/>
            </w:tcBorders>
            <w:shd w:val="clear" w:color="auto" w:fill="auto"/>
            <w:vAlign w:val="center"/>
            <w:hideMark/>
          </w:tcPr>
          <w:p w14:paraId="03F75B5D" w14:textId="43C5C6B4" w:rsidR="00C32565" w:rsidRPr="005269E6" w:rsidRDefault="00C62027" w:rsidP="00C32565">
            <w:pPr>
              <w:tabs>
                <w:tab w:val="clear" w:pos="794"/>
              </w:tabs>
              <w:spacing w:before="40" w:after="40" w:line="240" w:lineRule="exact"/>
              <w:jc w:val="left"/>
              <w:rPr>
                <w:rFonts w:eastAsia="Times New Roman"/>
                <w:sz w:val="18"/>
                <w:szCs w:val="18"/>
                <w:lang w:val="en-GB" w:eastAsia="en-GB"/>
              </w:rPr>
            </w:pPr>
            <w:r w:rsidRPr="005269E6">
              <w:rPr>
                <w:rFonts w:eastAsia="Times New Roman" w:hint="cs"/>
                <w:sz w:val="18"/>
                <w:szCs w:val="18"/>
                <w:rtl/>
                <w:lang w:val="en-GB" w:eastAsia="en-GB"/>
              </w:rPr>
              <w:t>ال</w:t>
            </w:r>
            <w:r w:rsidRPr="005269E6">
              <w:rPr>
                <w:rFonts w:eastAsia="Times New Roman"/>
                <w:sz w:val="18"/>
                <w:szCs w:val="18"/>
                <w:rtl/>
                <w:lang w:val="en-GB" w:eastAsia="en-GB"/>
              </w:rPr>
              <w:t>مشاريع</w:t>
            </w:r>
            <w:r w:rsidR="00C32565" w:rsidRPr="005269E6">
              <w:rPr>
                <w:rFonts w:eastAsia="Times New Roman"/>
                <w:sz w:val="18"/>
                <w:szCs w:val="18"/>
                <w:lang w:val="en-GB" w:eastAsia="en-GB"/>
              </w:rPr>
              <w:t xml:space="preserve"> </w:t>
            </w:r>
            <w:r w:rsidRPr="005269E6">
              <w:rPr>
                <w:rFonts w:eastAsia="Times New Roman"/>
                <w:sz w:val="18"/>
                <w:szCs w:val="18"/>
                <w:rtl/>
                <w:lang w:val="en-GB" w:eastAsia="en-GB"/>
              </w:rPr>
              <w:t>الخارجة عن الميزانية</w:t>
            </w:r>
          </w:p>
        </w:tc>
        <w:tc>
          <w:tcPr>
            <w:tcW w:w="1472" w:type="dxa"/>
            <w:tcBorders>
              <w:top w:val="nil"/>
              <w:left w:val="nil"/>
              <w:bottom w:val="nil"/>
              <w:right w:val="nil"/>
            </w:tcBorders>
            <w:shd w:val="clear" w:color="auto" w:fill="auto"/>
            <w:noWrap/>
            <w:vAlign w:val="bottom"/>
            <w:hideMark/>
          </w:tcPr>
          <w:p w14:paraId="4378A0BA" w14:textId="001F7395" w:rsidR="00C32565" w:rsidRPr="005269E6" w:rsidRDefault="00C32565"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35</w:t>
            </w:r>
            <w:r w:rsidR="005A2F1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350 </w:t>
            </w:r>
          </w:p>
        </w:tc>
        <w:tc>
          <w:tcPr>
            <w:tcW w:w="1652" w:type="dxa"/>
            <w:tcBorders>
              <w:top w:val="nil"/>
              <w:left w:val="nil"/>
              <w:bottom w:val="nil"/>
              <w:right w:val="nil"/>
            </w:tcBorders>
            <w:shd w:val="clear" w:color="auto" w:fill="auto"/>
            <w:noWrap/>
            <w:vAlign w:val="bottom"/>
            <w:hideMark/>
          </w:tcPr>
          <w:p w14:paraId="05BAE447" w14:textId="49740B7B" w:rsidR="00C32565" w:rsidRPr="005269E6" w:rsidRDefault="00C32565"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43</w:t>
            </w:r>
            <w:r w:rsidR="005A2F1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470 </w:t>
            </w:r>
          </w:p>
        </w:tc>
      </w:tr>
      <w:tr w:rsidR="00C32565" w:rsidRPr="005269E6" w14:paraId="2FD71ED0" w14:textId="77777777" w:rsidTr="00C32565">
        <w:trPr>
          <w:trHeight w:val="255"/>
          <w:jc w:val="center"/>
        </w:trPr>
        <w:tc>
          <w:tcPr>
            <w:tcW w:w="3836" w:type="dxa"/>
            <w:tcBorders>
              <w:top w:val="nil"/>
              <w:left w:val="nil"/>
              <w:bottom w:val="nil"/>
              <w:right w:val="nil"/>
            </w:tcBorders>
            <w:shd w:val="clear" w:color="auto" w:fill="auto"/>
            <w:vAlign w:val="center"/>
            <w:hideMark/>
          </w:tcPr>
          <w:p w14:paraId="0044BF77" w14:textId="39410EF0" w:rsidR="00C32565" w:rsidRPr="005269E6" w:rsidRDefault="00C32565" w:rsidP="00C32565">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 xml:space="preserve"> </w:t>
            </w:r>
            <w:r w:rsidR="00C62027" w:rsidRPr="005269E6">
              <w:rPr>
                <w:rFonts w:eastAsia="Times New Roman"/>
                <w:sz w:val="18"/>
                <w:szCs w:val="18"/>
                <w:rtl/>
                <w:lang w:val="en-GB" w:eastAsia="en-GB"/>
              </w:rPr>
              <w:t xml:space="preserve">أموال </w:t>
            </w:r>
            <w:r w:rsidR="00C62027" w:rsidRPr="005269E6">
              <w:rPr>
                <w:rFonts w:eastAsia="Times New Roman" w:hint="cs"/>
                <w:sz w:val="18"/>
                <w:szCs w:val="18"/>
                <w:rtl/>
                <w:lang w:val="en-GB" w:eastAsia="en-GB"/>
              </w:rPr>
              <w:t>خارجية</w:t>
            </w:r>
            <w:r w:rsidR="00C62027" w:rsidRPr="005269E6">
              <w:rPr>
                <w:rFonts w:eastAsia="Times New Roman"/>
                <w:sz w:val="18"/>
                <w:szCs w:val="18"/>
                <w:rtl/>
                <w:lang w:val="en-GB" w:eastAsia="en-GB"/>
              </w:rPr>
              <w:t xml:space="preserve"> تنتظر التخصيص</w:t>
            </w:r>
            <w:r w:rsidRPr="005269E6">
              <w:rPr>
                <w:rFonts w:eastAsia="Times New Roman"/>
                <w:sz w:val="18"/>
                <w:szCs w:val="18"/>
                <w:lang w:val="en-GB" w:eastAsia="en-GB"/>
              </w:rPr>
              <w:t xml:space="preserve"> </w:t>
            </w:r>
          </w:p>
        </w:tc>
        <w:tc>
          <w:tcPr>
            <w:tcW w:w="1472" w:type="dxa"/>
            <w:tcBorders>
              <w:top w:val="nil"/>
              <w:left w:val="nil"/>
              <w:bottom w:val="nil"/>
              <w:right w:val="nil"/>
            </w:tcBorders>
            <w:shd w:val="clear" w:color="auto" w:fill="auto"/>
            <w:noWrap/>
            <w:vAlign w:val="bottom"/>
            <w:hideMark/>
          </w:tcPr>
          <w:p w14:paraId="6871F033" w14:textId="2586C715" w:rsidR="00C32565" w:rsidRPr="005269E6" w:rsidRDefault="00C32565"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w:t>
            </w:r>
            <w:r w:rsidR="005A2F1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679 </w:t>
            </w:r>
          </w:p>
        </w:tc>
        <w:tc>
          <w:tcPr>
            <w:tcW w:w="1652" w:type="dxa"/>
            <w:tcBorders>
              <w:top w:val="nil"/>
              <w:left w:val="nil"/>
              <w:bottom w:val="nil"/>
              <w:right w:val="nil"/>
            </w:tcBorders>
            <w:shd w:val="clear" w:color="auto" w:fill="auto"/>
            <w:noWrap/>
            <w:vAlign w:val="bottom"/>
            <w:hideMark/>
          </w:tcPr>
          <w:p w14:paraId="7618C8AA" w14:textId="3AF9AF27" w:rsidR="00C32565" w:rsidRPr="005269E6" w:rsidRDefault="00C32565" w:rsidP="00EA6F8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w:t>
            </w:r>
            <w:r w:rsidR="005A2F14"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216 </w:t>
            </w:r>
          </w:p>
        </w:tc>
      </w:tr>
      <w:tr w:rsidR="00C32565" w:rsidRPr="005269E6" w14:paraId="7449FD3C" w14:textId="77777777" w:rsidTr="00C32565">
        <w:trPr>
          <w:trHeight w:val="255"/>
          <w:jc w:val="center"/>
        </w:trPr>
        <w:tc>
          <w:tcPr>
            <w:tcW w:w="3836" w:type="dxa"/>
            <w:tcBorders>
              <w:top w:val="nil"/>
              <w:left w:val="nil"/>
              <w:bottom w:val="nil"/>
              <w:right w:val="nil"/>
            </w:tcBorders>
            <w:shd w:val="clear" w:color="auto" w:fill="auto"/>
            <w:vAlign w:val="center"/>
            <w:hideMark/>
          </w:tcPr>
          <w:p w14:paraId="6AC5F18B" w14:textId="77777777" w:rsidR="00C32565" w:rsidRPr="005269E6" w:rsidRDefault="00C32565" w:rsidP="008D6841">
            <w:pPr>
              <w:tabs>
                <w:tab w:val="clear" w:pos="794"/>
              </w:tabs>
              <w:spacing w:before="0" w:line="200" w:lineRule="exact"/>
              <w:jc w:val="left"/>
              <w:rPr>
                <w:rFonts w:eastAsia="Times New Roman"/>
                <w:color w:val="000000"/>
                <w:sz w:val="18"/>
                <w:szCs w:val="18"/>
                <w:lang w:val="en-GB" w:eastAsia="en-GB"/>
              </w:rPr>
            </w:pPr>
          </w:p>
        </w:tc>
        <w:tc>
          <w:tcPr>
            <w:tcW w:w="1472" w:type="dxa"/>
            <w:tcBorders>
              <w:top w:val="nil"/>
              <w:left w:val="nil"/>
              <w:bottom w:val="nil"/>
              <w:right w:val="nil"/>
            </w:tcBorders>
            <w:shd w:val="clear" w:color="auto" w:fill="auto"/>
            <w:noWrap/>
            <w:vAlign w:val="bottom"/>
            <w:hideMark/>
          </w:tcPr>
          <w:p w14:paraId="46D0557C" w14:textId="77777777" w:rsidR="00C32565" w:rsidRPr="005269E6" w:rsidRDefault="00C32565" w:rsidP="008D6841">
            <w:pPr>
              <w:tabs>
                <w:tab w:val="clear" w:pos="794"/>
              </w:tabs>
              <w:spacing w:before="0" w:line="200" w:lineRule="exact"/>
              <w:jc w:val="left"/>
              <w:rPr>
                <w:rFonts w:eastAsia="Times New Roman"/>
                <w:sz w:val="18"/>
                <w:szCs w:val="18"/>
                <w:lang w:val="en-GB" w:eastAsia="en-GB"/>
              </w:rPr>
            </w:pPr>
          </w:p>
        </w:tc>
        <w:tc>
          <w:tcPr>
            <w:tcW w:w="1652" w:type="dxa"/>
            <w:tcBorders>
              <w:top w:val="nil"/>
              <w:left w:val="nil"/>
              <w:bottom w:val="nil"/>
              <w:right w:val="nil"/>
            </w:tcBorders>
            <w:shd w:val="clear" w:color="auto" w:fill="auto"/>
            <w:noWrap/>
            <w:vAlign w:val="bottom"/>
            <w:hideMark/>
          </w:tcPr>
          <w:p w14:paraId="416C56C8" w14:textId="77777777" w:rsidR="00C32565" w:rsidRPr="005269E6" w:rsidRDefault="00C32565" w:rsidP="008D6841">
            <w:pPr>
              <w:tabs>
                <w:tab w:val="clear" w:pos="794"/>
              </w:tabs>
              <w:spacing w:before="0" w:line="200" w:lineRule="exact"/>
              <w:jc w:val="left"/>
              <w:rPr>
                <w:rFonts w:eastAsia="Times New Roman"/>
                <w:sz w:val="18"/>
                <w:szCs w:val="18"/>
                <w:lang w:val="en-GB" w:eastAsia="en-GB"/>
              </w:rPr>
            </w:pPr>
          </w:p>
        </w:tc>
      </w:tr>
      <w:tr w:rsidR="00C32565" w:rsidRPr="005269E6" w14:paraId="5B9D1370" w14:textId="77777777" w:rsidTr="00C32565">
        <w:trPr>
          <w:trHeight w:val="600"/>
          <w:jc w:val="center"/>
        </w:trPr>
        <w:tc>
          <w:tcPr>
            <w:tcW w:w="3836" w:type="dxa"/>
            <w:tcBorders>
              <w:top w:val="nil"/>
              <w:left w:val="nil"/>
              <w:bottom w:val="nil"/>
              <w:right w:val="nil"/>
            </w:tcBorders>
            <w:shd w:val="clear" w:color="000000" w:fill="538DD5"/>
            <w:vAlign w:val="center"/>
            <w:hideMark/>
          </w:tcPr>
          <w:p w14:paraId="5584EB0B" w14:textId="6C061453" w:rsidR="00C32565" w:rsidRPr="005269E6" w:rsidRDefault="00C32565" w:rsidP="00C32565">
            <w:pPr>
              <w:tabs>
                <w:tab w:val="clear" w:pos="794"/>
              </w:tabs>
              <w:spacing w:before="40" w:after="40" w:line="240" w:lineRule="exact"/>
              <w:jc w:val="left"/>
              <w:rPr>
                <w:rFonts w:eastAsia="Times New Roman"/>
                <w:b/>
                <w:bCs/>
                <w:sz w:val="18"/>
                <w:szCs w:val="18"/>
                <w:lang w:val="en-GB" w:eastAsia="en-GB"/>
              </w:rPr>
            </w:pPr>
            <w:r w:rsidRPr="005269E6">
              <w:rPr>
                <w:rFonts w:eastAsia="Times New Roman"/>
                <w:b/>
                <w:bCs/>
                <w:sz w:val="18"/>
                <w:szCs w:val="18"/>
                <w:lang w:val="en-GB" w:eastAsia="en-GB"/>
              </w:rPr>
              <w:t xml:space="preserve"> </w:t>
            </w:r>
            <w:r w:rsidR="00C62027" w:rsidRPr="005269E6">
              <w:rPr>
                <w:rFonts w:eastAsia="Times New Roman"/>
                <w:b/>
                <w:bCs/>
                <w:sz w:val="18"/>
                <w:szCs w:val="18"/>
                <w:rtl/>
                <w:lang w:val="en-GB" w:eastAsia="en-GB"/>
              </w:rPr>
              <w:t>مجموع -</w:t>
            </w:r>
            <w:r w:rsidR="00AE6518" w:rsidRPr="005269E6">
              <w:rPr>
                <w:rFonts w:eastAsia="Times New Roman" w:hint="cs"/>
                <w:b/>
                <w:bCs/>
                <w:sz w:val="18"/>
                <w:szCs w:val="18"/>
                <w:rtl/>
                <w:lang w:val="en-GB" w:eastAsia="en-GB"/>
              </w:rPr>
              <w:t xml:space="preserve"> </w:t>
            </w:r>
            <w:r w:rsidR="00C62027" w:rsidRPr="005269E6">
              <w:rPr>
                <w:rFonts w:eastAsia="Times New Roman" w:hint="cs"/>
                <w:b/>
                <w:bCs/>
                <w:sz w:val="18"/>
                <w:szCs w:val="18"/>
                <w:rtl/>
                <w:lang w:val="en-GB" w:eastAsia="en-GB"/>
              </w:rPr>
              <w:t>الأموال الخارجية</w:t>
            </w:r>
          </w:p>
        </w:tc>
        <w:tc>
          <w:tcPr>
            <w:tcW w:w="1472" w:type="dxa"/>
            <w:tcBorders>
              <w:top w:val="nil"/>
              <w:left w:val="nil"/>
              <w:bottom w:val="nil"/>
              <w:right w:val="nil"/>
            </w:tcBorders>
            <w:shd w:val="clear" w:color="000000" w:fill="538DD5"/>
            <w:noWrap/>
            <w:vAlign w:val="center"/>
            <w:hideMark/>
          </w:tcPr>
          <w:p w14:paraId="6739F5C3" w14:textId="6CD1ABC6" w:rsidR="00C32565" w:rsidRPr="005269E6" w:rsidRDefault="00C32565" w:rsidP="00EA6F85">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38</w:t>
            </w:r>
            <w:r w:rsidR="005A2F14"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 xml:space="preserve">029 </w:t>
            </w:r>
          </w:p>
        </w:tc>
        <w:tc>
          <w:tcPr>
            <w:tcW w:w="1652" w:type="dxa"/>
            <w:tcBorders>
              <w:top w:val="nil"/>
              <w:left w:val="nil"/>
              <w:bottom w:val="nil"/>
              <w:right w:val="nil"/>
            </w:tcBorders>
            <w:shd w:val="clear" w:color="000000" w:fill="538DD5"/>
            <w:noWrap/>
            <w:vAlign w:val="center"/>
            <w:hideMark/>
          </w:tcPr>
          <w:p w14:paraId="359621D7" w14:textId="1FDBEA65" w:rsidR="00C32565" w:rsidRPr="005269E6" w:rsidRDefault="00C32565" w:rsidP="00EA6F85">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46</w:t>
            </w:r>
            <w:r w:rsidR="005A2F14"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 xml:space="preserve">686 </w:t>
            </w:r>
          </w:p>
        </w:tc>
      </w:tr>
    </w:tbl>
    <w:p w14:paraId="3FD0A61E" w14:textId="6256C297" w:rsidR="00C543C6" w:rsidRPr="005269E6" w:rsidRDefault="00B76500" w:rsidP="00726CB4">
      <w:pPr>
        <w:rPr>
          <w:rtl/>
          <w:lang w:bidi="ar-SY"/>
        </w:rPr>
      </w:pPr>
      <w:r w:rsidRPr="005269E6">
        <w:rPr>
          <w:rFonts w:hint="cs"/>
          <w:rtl/>
          <w:lang w:bidi="ar-SY"/>
        </w:rPr>
        <w:t>و</w:t>
      </w:r>
      <w:r w:rsidRPr="005269E6">
        <w:rPr>
          <w:rtl/>
          <w:lang w:bidi="ar-SY"/>
        </w:rPr>
        <w:t xml:space="preserve">في عام 2022، أعاد الاتحاد </w:t>
      </w:r>
      <w:r w:rsidRPr="005269E6">
        <w:rPr>
          <w:rFonts w:hint="cs"/>
          <w:rtl/>
          <w:lang w:bidi="ar-EG"/>
        </w:rPr>
        <w:t>بيان</w:t>
      </w:r>
      <w:r w:rsidRPr="005269E6">
        <w:rPr>
          <w:rtl/>
          <w:lang w:bidi="ar-SY"/>
        </w:rPr>
        <w:t xml:space="preserve"> المساهمات الطوعية المتلقاة لرعاية المبنى الجديد، وهو ما يفسر الزيادة الكبيرة في الأموال المخصصة </w:t>
      </w:r>
      <w:r w:rsidRPr="005269E6">
        <w:rPr>
          <w:rFonts w:hint="cs"/>
          <w:rtl/>
          <w:lang w:bidi="ar-SY"/>
        </w:rPr>
        <w:t>من جهات خارجية</w:t>
      </w:r>
      <w:r w:rsidRPr="005269E6">
        <w:rPr>
          <w:rtl/>
          <w:lang w:bidi="ar-SY"/>
        </w:rPr>
        <w:t>. ويرد في الملاحظة 30 أثر هذا التغيير في سياسة المحاسبة.</w:t>
      </w:r>
    </w:p>
    <w:p w14:paraId="5421659C" w14:textId="13EC3495" w:rsidR="005A2F14" w:rsidRPr="005269E6" w:rsidRDefault="00B76500" w:rsidP="001E4C9C">
      <w:pPr>
        <w:rPr>
          <w:rtl/>
          <w:lang w:bidi="ar-SY"/>
        </w:rPr>
      </w:pPr>
      <w:r w:rsidRPr="005269E6">
        <w:rPr>
          <w:rtl/>
          <w:lang w:bidi="ar-SY"/>
        </w:rPr>
        <w:t>وفيما يتعلق بالمشاريع من خارج الميزانية (الصندوق الاستئماني</w:t>
      </w:r>
      <w:r w:rsidRPr="005269E6">
        <w:rPr>
          <w:rFonts w:hint="cs"/>
          <w:rtl/>
          <w:lang w:bidi="ar-SY"/>
        </w:rPr>
        <w:t xml:space="preserve"> (</w:t>
      </w:r>
      <w:r w:rsidRPr="005269E6">
        <w:rPr>
          <w:lang w:bidi="ar-SY"/>
        </w:rPr>
        <w:t>FIT</w:t>
      </w:r>
      <w:r w:rsidRPr="005269E6">
        <w:rPr>
          <w:rFonts w:hint="cs"/>
          <w:rtl/>
          <w:lang w:bidi="ar-SY"/>
        </w:rPr>
        <w:t>)</w:t>
      </w:r>
      <w:r w:rsidRPr="005269E6">
        <w:rPr>
          <w:rtl/>
          <w:lang w:bidi="ar-SY"/>
        </w:rPr>
        <w:t xml:space="preserve"> والمساهمات الطوعية المقيدة)، فقد بدأ تنفيذ العديد من المشاريع الموقعة في عام 2021، وهو ما يفسر الانخفاض </w:t>
      </w:r>
      <w:r w:rsidRPr="005269E6">
        <w:rPr>
          <w:rFonts w:hint="cs"/>
          <w:rtl/>
          <w:lang w:bidi="ar-SY"/>
        </w:rPr>
        <w:t>الشامل</w:t>
      </w:r>
      <w:r w:rsidRPr="005269E6">
        <w:rPr>
          <w:rtl/>
          <w:lang w:bidi="ar-SY"/>
        </w:rPr>
        <w:t xml:space="preserve"> في الأموال من خارج الميزانية. و</w:t>
      </w:r>
      <w:r w:rsidRPr="005269E6">
        <w:rPr>
          <w:rFonts w:hint="cs"/>
          <w:rtl/>
          <w:lang w:bidi="ar-SY"/>
        </w:rPr>
        <w:t>ت</w:t>
      </w:r>
      <w:r w:rsidRPr="005269E6">
        <w:rPr>
          <w:rtl/>
          <w:lang w:bidi="ar-SY"/>
        </w:rPr>
        <w:t>مكن ملاحظة هذا الاتجاه أيضا</w:t>
      </w:r>
      <w:r w:rsidR="00726CB4" w:rsidRPr="005269E6">
        <w:rPr>
          <w:rFonts w:hint="cs"/>
          <w:rtl/>
          <w:lang w:bidi="ar-SY"/>
        </w:rPr>
        <w:t>ً</w:t>
      </w:r>
      <w:r w:rsidRPr="005269E6">
        <w:rPr>
          <w:rtl/>
          <w:lang w:bidi="ar-SY"/>
        </w:rPr>
        <w:t xml:space="preserve"> </w:t>
      </w:r>
      <w:r w:rsidRPr="005269E6">
        <w:rPr>
          <w:rFonts w:hint="cs"/>
          <w:rtl/>
          <w:lang w:bidi="ar-SY"/>
        </w:rPr>
        <w:t>في</w:t>
      </w:r>
      <w:r w:rsidRPr="005269E6">
        <w:rPr>
          <w:rtl/>
          <w:lang w:bidi="ar-SY"/>
        </w:rPr>
        <w:t xml:space="preserve"> الإيرادات من تكاليف الدعم لعام 2022 التي ارتفعت بنسبة 30 في المائة.</w:t>
      </w:r>
    </w:p>
    <w:p w14:paraId="735E217B" w14:textId="67A9F08C" w:rsidR="006955BE" w:rsidRPr="005269E6" w:rsidRDefault="006955BE" w:rsidP="001E4C9C">
      <w:pPr>
        <w:rPr>
          <w:rtl/>
          <w:lang w:bidi="ar-SY"/>
        </w:rPr>
      </w:pPr>
      <w:r w:rsidRPr="005269E6">
        <w:rPr>
          <w:rtl/>
          <w:lang w:bidi="ar-SY"/>
        </w:rPr>
        <w:t>وتجدر الإشارة أيضا</w:t>
      </w:r>
      <w:r w:rsidR="00726CB4" w:rsidRPr="005269E6">
        <w:rPr>
          <w:rFonts w:hint="cs"/>
          <w:rtl/>
          <w:lang w:bidi="ar-SY"/>
        </w:rPr>
        <w:t>ً</w:t>
      </w:r>
      <w:r w:rsidRPr="005269E6">
        <w:rPr>
          <w:rtl/>
          <w:lang w:bidi="ar-SY"/>
        </w:rPr>
        <w:t xml:space="preserve"> إلى إعادة تصنيف مبلغ 4 ملايين فرنك سويسري </w:t>
      </w:r>
      <w:r w:rsidR="00B76500" w:rsidRPr="005269E6">
        <w:rPr>
          <w:rFonts w:hint="cs"/>
          <w:rtl/>
          <w:lang w:bidi="ar-SY"/>
        </w:rPr>
        <w:t>بمسمى</w:t>
      </w:r>
      <w:r w:rsidRPr="005269E6">
        <w:rPr>
          <w:rtl/>
          <w:lang w:bidi="ar-SY"/>
        </w:rPr>
        <w:t xml:space="preserve"> ودائع العملاء. انظر الملاحظة 15.</w:t>
      </w:r>
    </w:p>
    <w:p w14:paraId="1D191246" w14:textId="63F3D769" w:rsidR="006955BE" w:rsidRPr="005269E6" w:rsidRDefault="00B76500" w:rsidP="001E4C9C">
      <w:pPr>
        <w:rPr>
          <w:lang w:bidi="ar-SY"/>
        </w:rPr>
      </w:pPr>
      <w:r w:rsidRPr="005269E6">
        <w:rPr>
          <w:rtl/>
          <w:lang w:bidi="ar-SY"/>
        </w:rPr>
        <w:lastRenderedPageBreak/>
        <w:t xml:space="preserve">وحتى </w:t>
      </w:r>
      <w:r w:rsidR="006955BE" w:rsidRPr="005269E6">
        <w:rPr>
          <w:rtl/>
          <w:lang w:bidi="ar-SY"/>
        </w:rPr>
        <w:t>31 ديسمبر 2022، كان هناك 85 مشروعا</w:t>
      </w:r>
      <w:r w:rsidR="00726CB4" w:rsidRPr="005269E6">
        <w:rPr>
          <w:rFonts w:hint="cs"/>
          <w:rtl/>
          <w:lang w:bidi="ar-SY"/>
        </w:rPr>
        <w:t>ً</w:t>
      </w:r>
      <w:r w:rsidR="006955BE" w:rsidRPr="005269E6">
        <w:rPr>
          <w:rtl/>
          <w:lang w:bidi="ar-SY"/>
        </w:rPr>
        <w:t xml:space="preserve"> نشطا</w:t>
      </w:r>
      <w:r w:rsidR="00726CB4" w:rsidRPr="005269E6">
        <w:rPr>
          <w:rFonts w:hint="cs"/>
          <w:rtl/>
          <w:lang w:bidi="ar-SY"/>
        </w:rPr>
        <w:t>ً</w:t>
      </w:r>
      <w:r w:rsidR="006955BE" w:rsidRPr="005269E6">
        <w:rPr>
          <w:rtl/>
          <w:lang w:bidi="ar-SY"/>
        </w:rPr>
        <w:t xml:space="preserve"> من مشاريع</w:t>
      </w:r>
      <w:r w:rsidR="006426BF" w:rsidRPr="005269E6">
        <w:rPr>
          <w:rtl/>
        </w:rPr>
        <w:t xml:space="preserve"> </w:t>
      </w:r>
      <w:r w:rsidR="006426BF" w:rsidRPr="005269E6">
        <w:rPr>
          <w:rFonts w:hint="cs"/>
          <w:rtl/>
        </w:rPr>
        <w:t>ا</w:t>
      </w:r>
      <w:r w:rsidR="006426BF" w:rsidRPr="005269E6">
        <w:rPr>
          <w:rtl/>
          <w:lang w:bidi="ar-SY"/>
        </w:rPr>
        <w:t>لصناديق الاستئمانية</w:t>
      </w:r>
      <w:r w:rsidR="006955BE" w:rsidRPr="005269E6">
        <w:rPr>
          <w:rtl/>
          <w:lang w:bidi="ar-SY"/>
        </w:rPr>
        <w:t xml:space="preserve"> </w:t>
      </w:r>
      <w:r w:rsidR="006426BF" w:rsidRPr="005269E6">
        <w:rPr>
          <w:rFonts w:hint="cs"/>
          <w:rtl/>
          <w:lang w:bidi="ar-SY"/>
        </w:rPr>
        <w:t>(</w:t>
      </w:r>
      <w:r w:rsidR="006955BE" w:rsidRPr="005269E6">
        <w:rPr>
          <w:lang w:bidi="ar-SY"/>
        </w:rPr>
        <w:t>FIT</w:t>
      </w:r>
      <w:r w:rsidR="006426BF" w:rsidRPr="005269E6">
        <w:rPr>
          <w:rFonts w:hint="cs"/>
          <w:rtl/>
          <w:lang w:bidi="ar-SY"/>
        </w:rPr>
        <w:t>)</w:t>
      </w:r>
      <w:r w:rsidR="006955BE" w:rsidRPr="005269E6">
        <w:rPr>
          <w:rtl/>
          <w:lang w:bidi="ar-SY"/>
        </w:rPr>
        <w:t xml:space="preserve"> </w:t>
      </w:r>
      <w:r w:rsidR="006426BF" w:rsidRPr="005269E6">
        <w:rPr>
          <w:rFonts w:hint="cs"/>
          <w:rtl/>
          <w:lang w:bidi="ar-SY"/>
        </w:rPr>
        <w:t>وأديرت</w:t>
      </w:r>
      <w:r w:rsidR="006955BE" w:rsidRPr="005269E6">
        <w:rPr>
          <w:rtl/>
          <w:lang w:bidi="ar-SY"/>
        </w:rPr>
        <w:t xml:space="preserve"> 137 مساهمة طوعية. ويمكن الاطلاع على مزيد من التفاصيل في الوثيقة </w:t>
      </w:r>
      <w:hyperlink r:id="rId29" w:history="1">
        <w:r w:rsidR="006955BE" w:rsidRPr="00F95576">
          <w:rPr>
            <w:rStyle w:val="Hyperlink"/>
            <w:lang w:bidi="ar-SY"/>
          </w:rPr>
          <w:t>C23 INF/12</w:t>
        </w:r>
      </w:hyperlink>
      <w:r w:rsidR="006955BE" w:rsidRPr="005269E6">
        <w:rPr>
          <w:rtl/>
          <w:lang w:bidi="ar-SY"/>
        </w:rPr>
        <w:t xml:space="preserve"> بشأن المساهمات الطوعية.</w:t>
      </w:r>
    </w:p>
    <w:p w14:paraId="1E290012" w14:textId="77777777" w:rsidR="00EC7983" w:rsidRPr="005269E6" w:rsidRDefault="00EC7983" w:rsidP="00696AA6">
      <w:pPr>
        <w:pStyle w:val="Heading5"/>
        <w:rPr>
          <w:rtl/>
        </w:rPr>
      </w:pPr>
      <w:bookmarkStart w:id="579" w:name="_Toc162520640"/>
      <w:r w:rsidRPr="005269E6">
        <w:rPr>
          <w:rtl/>
        </w:rPr>
        <w:t xml:space="preserve">الملاحظة </w:t>
      </w:r>
      <w:r w:rsidRPr="005269E6">
        <w:t>22</w:t>
      </w:r>
      <w:r w:rsidRPr="005269E6">
        <w:rPr>
          <w:rtl/>
        </w:rPr>
        <w:tab/>
        <w:t>الإيرادات</w:t>
      </w:r>
      <w:bookmarkEnd w:id="579"/>
    </w:p>
    <w:p w14:paraId="1E336B8B" w14:textId="04B60198" w:rsidR="00726CB4" w:rsidRPr="005269E6" w:rsidRDefault="00726CB4" w:rsidP="00726CB4">
      <w:pPr>
        <w:pStyle w:val="Headingb"/>
        <w:rPr>
          <w:rtl/>
          <w:lang w:bidi="ar-EG"/>
        </w:rPr>
      </w:pPr>
      <w:bookmarkStart w:id="580" w:name="_Toc452156648"/>
      <w:bookmarkStart w:id="581" w:name="_Toc482792226"/>
      <w:bookmarkStart w:id="582" w:name="_Toc482793731"/>
      <w:bookmarkStart w:id="583" w:name="_Toc511402247"/>
      <w:bookmarkStart w:id="584" w:name="_Toc511756684"/>
      <w:bookmarkStart w:id="585" w:name="_Toc9614803"/>
      <w:bookmarkStart w:id="586" w:name="_Toc42013556"/>
      <w:bookmarkStart w:id="587" w:name="_Toc42014559"/>
      <w:bookmarkStart w:id="588" w:name="_Toc74061589"/>
      <w:r w:rsidRPr="005269E6">
        <w:rPr>
          <w:rFonts w:hint="cs"/>
          <w:rtl/>
          <w:lang w:bidi="ar-EG"/>
        </w:rPr>
        <w:t>المساهمات المقررة</w:t>
      </w:r>
    </w:p>
    <w:p w14:paraId="4B18EF3A" w14:textId="6AFD9B15" w:rsidR="00202B1D" w:rsidRPr="005269E6" w:rsidRDefault="00E46AE6" w:rsidP="00726CB4">
      <w:pPr>
        <w:spacing w:after="120"/>
        <w:rPr>
          <w:rtl/>
        </w:rPr>
      </w:pPr>
      <w:r w:rsidRPr="005269E6">
        <w:rPr>
          <w:rtl/>
          <w:lang w:bidi="ar-EG"/>
        </w:rPr>
        <w:t xml:space="preserve">يعرض الجدول التالي المساهمات </w:t>
      </w:r>
      <w:r w:rsidR="007A2FEA" w:rsidRPr="005269E6">
        <w:rPr>
          <w:rFonts w:hint="cs"/>
          <w:rtl/>
          <w:lang w:bidi="ar-EG"/>
        </w:rPr>
        <w:t>المقررة</w:t>
      </w:r>
      <w:r w:rsidRPr="005269E6">
        <w:rPr>
          <w:rtl/>
          <w:lang w:bidi="ar-EG"/>
        </w:rPr>
        <w:t xml:space="preserve"> </w:t>
      </w:r>
      <w:r w:rsidR="007A2FEA" w:rsidRPr="005269E6">
        <w:rPr>
          <w:rFonts w:hint="cs"/>
          <w:rtl/>
          <w:lang w:bidi="ar-EG"/>
        </w:rPr>
        <w:t>المسجَّلة</w:t>
      </w:r>
      <w:r w:rsidRPr="005269E6">
        <w:rPr>
          <w:rtl/>
          <w:lang w:bidi="ar-EG"/>
        </w:rPr>
        <w:t xml:space="preserve"> في الحساب أثناء الفترة المالية </w:t>
      </w:r>
      <w:r w:rsidRPr="00F95576">
        <w:rPr>
          <w:lang w:bidi="ar-EG"/>
        </w:rPr>
        <w:t>2022</w:t>
      </w:r>
      <w:r w:rsidRPr="005269E6">
        <w:rPr>
          <w:rtl/>
          <w:lang w:bidi="ar-EG"/>
        </w:rPr>
        <w:t>.</w:t>
      </w:r>
    </w:p>
    <w:tbl>
      <w:tblPr>
        <w:bidiVisual/>
        <w:tblW w:w="7020" w:type="dxa"/>
        <w:jc w:val="center"/>
        <w:tblLook w:val="04A0" w:firstRow="1" w:lastRow="0" w:firstColumn="1" w:lastColumn="0" w:noHBand="0" w:noVBand="1"/>
      </w:tblPr>
      <w:tblGrid>
        <w:gridCol w:w="3820"/>
        <w:gridCol w:w="1600"/>
        <w:gridCol w:w="1600"/>
      </w:tblGrid>
      <w:tr w:rsidR="007A2FEA" w:rsidRPr="005269E6" w14:paraId="01FE1B4D" w14:textId="77777777" w:rsidTr="00616856">
        <w:trPr>
          <w:trHeight w:val="559"/>
          <w:jc w:val="center"/>
        </w:trPr>
        <w:tc>
          <w:tcPr>
            <w:tcW w:w="3820" w:type="dxa"/>
            <w:tcBorders>
              <w:top w:val="nil"/>
              <w:left w:val="nil"/>
              <w:bottom w:val="nil"/>
              <w:right w:val="nil"/>
            </w:tcBorders>
            <w:shd w:val="clear" w:color="000000" w:fill="538DD5"/>
            <w:vAlign w:val="center"/>
            <w:hideMark/>
          </w:tcPr>
          <w:p w14:paraId="058F64F5" w14:textId="4515D583" w:rsidR="007A2FEA" w:rsidRPr="005269E6" w:rsidRDefault="007A2FEA" w:rsidP="007A2FEA">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600" w:type="dxa"/>
            <w:tcBorders>
              <w:top w:val="nil"/>
              <w:left w:val="nil"/>
              <w:bottom w:val="nil"/>
              <w:right w:val="nil"/>
            </w:tcBorders>
            <w:shd w:val="clear" w:color="000000" w:fill="538DD5"/>
            <w:vAlign w:val="center"/>
            <w:hideMark/>
          </w:tcPr>
          <w:p w14:paraId="6920C61F" w14:textId="1109C8B2" w:rsidR="007A2FEA" w:rsidRPr="005269E6" w:rsidRDefault="007A2FEA" w:rsidP="007A2FE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600" w:type="dxa"/>
            <w:tcBorders>
              <w:top w:val="nil"/>
              <w:left w:val="nil"/>
              <w:bottom w:val="nil"/>
              <w:right w:val="nil"/>
            </w:tcBorders>
            <w:shd w:val="clear" w:color="000000" w:fill="538DD5"/>
            <w:vAlign w:val="center"/>
            <w:hideMark/>
          </w:tcPr>
          <w:p w14:paraId="295D792A" w14:textId="217D642F" w:rsidR="007A2FEA" w:rsidRPr="005269E6" w:rsidRDefault="007A2FEA" w:rsidP="007A2FE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616856" w:rsidRPr="005269E6" w14:paraId="12673E4D" w14:textId="77777777" w:rsidTr="00726CB4">
        <w:trPr>
          <w:trHeight w:val="50"/>
          <w:jc w:val="center"/>
        </w:trPr>
        <w:tc>
          <w:tcPr>
            <w:tcW w:w="3820" w:type="dxa"/>
            <w:tcBorders>
              <w:top w:val="nil"/>
              <w:left w:val="nil"/>
              <w:bottom w:val="nil"/>
              <w:right w:val="nil"/>
            </w:tcBorders>
            <w:shd w:val="clear" w:color="auto" w:fill="auto"/>
            <w:noWrap/>
            <w:vAlign w:val="bottom"/>
            <w:hideMark/>
          </w:tcPr>
          <w:p w14:paraId="0C6A00B0" w14:textId="77777777" w:rsidR="00616856" w:rsidRPr="005269E6" w:rsidRDefault="00616856" w:rsidP="00726CB4">
            <w:pPr>
              <w:tabs>
                <w:tab w:val="clear" w:pos="794"/>
              </w:tabs>
              <w:spacing w:before="0" w:line="200" w:lineRule="exact"/>
              <w:jc w:val="left"/>
              <w:rPr>
                <w:rFonts w:eastAsia="Times New Roman"/>
                <w:sz w:val="18"/>
                <w:szCs w:val="18"/>
                <w:lang w:val="en-GB" w:eastAsia="en-GB"/>
              </w:rPr>
            </w:pPr>
          </w:p>
        </w:tc>
        <w:tc>
          <w:tcPr>
            <w:tcW w:w="1600" w:type="dxa"/>
            <w:tcBorders>
              <w:top w:val="nil"/>
              <w:left w:val="nil"/>
              <w:bottom w:val="nil"/>
              <w:right w:val="nil"/>
            </w:tcBorders>
            <w:shd w:val="clear" w:color="auto" w:fill="auto"/>
            <w:noWrap/>
            <w:vAlign w:val="bottom"/>
            <w:hideMark/>
          </w:tcPr>
          <w:p w14:paraId="59A91DC1" w14:textId="77777777" w:rsidR="00616856" w:rsidRPr="005269E6" w:rsidRDefault="00616856" w:rsidP="00726CB4">
            <w:pPr>
              <w:tabs>
                <w:tab w:val="clear" w:pos="794"/>
              </w:tabs>
              <w:spacing w:before="0" w:line="200" w:lineRule="exact"/>
              <w:jc w:val="left"/>
              <w:rPr>
                <w:rFonts w:eastAsia="Times New Roman"/>
                <w:sz w:val="18"/>
                <w:szCs w:val="18"/>
                <w:lang w:val="en-GB" w:eastAsia="en-GB"/>
              </w:rPr>
            </w:pPr>
          </w:p>
        </w:tc>
        <w:tc>
          <w:tcPr>
            <w:tcW w:w="1600" w:type="dxa"/>
            <w:tcBorders>
              <w:top w:val="nil"/>
              <w:left w:val="nil"/>
              <w:bottom w:val="nil"/>
              <w:right w:val="nil"/>
            </w:tcBorders>
            <w:shd w:val="clear" w:color="auto" w:fill="auto"/>
            <w:noWrap/>
            <w:vAlign w:val="bottom"/>
            <w:hideMark/>
          </w:tcPr>
          <w:p w14:paraId="47E76053" w14:textId="77777777" w:rsidR="00616856" w:rsidRPr="005269E6" w:rsidRDefault="00616856" w:rsidP="00726CB4">
            <w:pPr>
              <w:tabs>
                <w:tab w:val="clear" w:pos="794"/>
              </w:tabs>
              <w:spacing w:before="0" w:line="200" w:lineRule="exact"/>
              <w:jc w:val="left"/>
              <w:rPr>
                <w:rFonts w:eastAsia="Times New Roman"/>
                <w:sz w:val="18"/>
                <w:szCs w:val="18"/>
                <w:lang w:val="en-GB" w:eastAsia="en-GB"/>
              </w:rPr>
            </w:pPr>
          </w:p>
        </w:tc>
      </w:tr>
      <w:tr w:rsidR="00616856" w:rsidRPr="005269E6" w14:paraId="3B76C623" w14:textId="77777777" w:rsidTr="00616856">
        <w:trPr>
          <w:trHeight w:val="255"/>
          <w:jc w:val="center"/>
        </w:trPr>
        <w:tc>
          <w:tcPr>
            <w:tcW w:w="3820" w:type="dxa"/>
            <w:tcBorders>
              <w:top w:val="nil"/>
              <w:left w:val="nil"/>
              <w:bottom w:val="nil"/>
              <w:right w:val="nil"/>
            </w:tcBorders>
            <w:shd w:val="clear" w:color="auto" w:fill="auto"/>
            <w:noWrap/>
            <w:vAlign w:val="bottom"/>
            <w:hideMark/>
          </w:tcPr>
          <w:p w14:paraId="1DCDC3E6" w14:textId="67DD432A" w:rsidR="00616856" w:rsidRPr="005269E6" w:rsidRDefault="000A71B2" w:rsidP="00726CB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مساهمات الدول الأعضاء</w:t>
            </w:r>
          </w:p>
        </w:tc>
        <w:tc>
          <w:tcPr>
            <w:tcW w:w="1600" w:type="dxa"/>
            <w:tcBorders>
              <w:top w:val="nil"/>
              <w:left w:val="nil"/>
              <w:bottom w:val="nil"/>
              <w:right w:val="nil"/>
            </w:tcBorders>
            <w:shd w:val="clear" w:color="auto" w:fill="auto"/>
            <w:noWrap/>
            <w:vAlign w:val="bottom"/>
            <w:hideMark/>
          </w:tcPr>
          <w:p w14:paraId="79E123AC" w14:textId="500EE3DB" w:rsidR="00616856" w:rsidRPr="005269E6" w:rsidRDefault="00616856" w:rsidP="008D684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109 293 </w:t>
            </w:r>
          </w:p>
        </w:tc>
        <w:tc>
          <w:tcPr>
            <w:tcW w:w="1600" w:type="dxa"/>
            <w:tcBorders>
              <w:top w:val="nil"/>
              <w:left w:val="nil"/>
              <w:bottom w:val="nil"/>
              <w:right w:val="nil"/>
            </w:tcBorders>
            <w:shd w:val="clear" w:color="auto" w:fill="auto"/>
            <w:noWrap/>
            <w:vAlign w:val="bottom"/>
            <w:hideMark/>
          </w:tcPr>
          <w:p w14:paraId="4D226483" w14:textId="78C11032" w:rsidR="00616856" w:rsidRPr="005269E6" w:rsidRDefault="00616856" w:rsidP="008D684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109 293 </w:t>
            </w:r>
          </w:p>
        </w:tc>
      </w:tr>
      <w:tr w:rsidR="00616856" w:rsidRPr="005269E6" w14:paraId="38A097BF" w14:textId="77777777" w:rsidTr="00616856">
        <w:trPr>
          <w:trHeight w:val="255"/>
          <w:jc w:val="center"/>
        </w:trPr>
        <w:tc>
          <w:tcPr>
            <w:tcW w:w="3820" w:type="dxa"/>
            <w:tcBorders>
              <w:top w:val="nil"/>
              <w:left w:val="nil"/>
              <w:bottom w:val="nil"/>
              <w:right w:val="nil"/>
            </w:tcBorders>
            <w:shd w:val="clear" w:color="auto" w:fill="auto"/>
            <w:noWrap/>
            <w:vAlign w:val="bottom"/>
            <w:hideMark/>
          </w:tcPr>
          <w:p w14:paraId="569C10AB" w14:textId="04773E98" w:rsidR="00616856" w:rsidRPr="005269E6" w:rsidRDefault="000A71B2" w:rsidP="00726CB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مساهمات أعضاء القطاعات</w:t>
            </w:r>
          </w:p>
        </w:tc>
        <w:tc>
          <w:tcPr>
            <w:tcW w:w="1600" w:type="dxa"/>
            <w:tcBorders>
              <w:top w:val="nil"/>
              <w:left w:val="nil"/>
              <w:bottom w:val="nil"/>
              <w:right w:val="nil"/>
            </w:tcBorders>
            <w:shd w:val="clear" w:color="auto" w:fill="auto"/>
            <w:noWrap/>
            <w:vAlign w:val="bottom"/>
            <w:hideMark/>
          </w:tcPr>
          <w:p w14:paraId="3C3855CD" w14:textId="45F68EB0" w:rsidR="00616856" w:rsidRPr="005269E6" w:rsidRDefault="00616856" w:rsidP="008D684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13 798 </w:t>
            </w:r>
          </w:p>
        </w:tc>
        <w:tc>
          <w:tcPr>
            <w:tcW w:w="1600" w:type="dxa"/>
            <w:tcBorders>
              <w:top w:val="nil"/>
              <w:left w:val="nil"/>
              <w:bottom w:val="nil"/>
              <w:right w:val="nil"/>
            </w:tcBorders>
            <w:shd w:val="clear" w:color="auto" w:fill="auto"/>
            <w:noWrap/>
            <w:vAlign w:val="bottom"/>
            <w:hideMark/>
          </w:tcPr>
          <w:p w14:paraId="58405F9B" w14:textId="34B5DB29" w:rsidR="00616856" w:rsidRPr="005269E6" w:rsidRDefault="00616856" w:rsidP="008D684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13 809 </w:t>
            </w:r>
          </w:p>
        </w:tc>
      </w:tr>
      <w:tr w:rsidR="00616856" w:rsidRPr="005269E6" w14:paraId="3506B9AD" w14:textId="77777777" w:rsidTr="00616856">
        <w:trPr>
          <w:trHeight w:val="255"/>
          <w:jc w:val="center"/>
        </w:trPr>
        <w:tc>
          <w:tcPr>
            <w:tcW w:w="3820" w:type="dxa"/>
            <w:tcBorders>
              <w:top w:val="nil"/>
              <w:left w:val="nil"/>
              <w:bottom w:val="nil"/>
              <w:right w:val="nil"/>
            </w:tcBorders>
            <w:shd w:val="clear" w:color="auto" w:fill="auto"/>
            <w:noWrap/>
            <w:vAlign w:val="bottom"/>
            <w:hideMark/>
          </w:tcPr>
          <w:p w14:paraId="03EA5D72" w14:textId="2D1E7AD6" w:rsidR="00616856" w:rsidRPr="005269E6" w:rsidRDefault="000A71B2" w:rsidP="00726CB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مساهمات المنتسبين</w:t>
            </w:r>
          </w:p>
        </w:tc>
        <w:tc>
          <w:tcPr>
            <w:tcW w:w="1600" w:type="dxa"/>
            <w:tcBorders>
              <w:top w:val="nil"/>
              <w:left w:val="nil"/>
              <w:bottom w:val="nil"/>
              <w:right w:val="nil"/>
            </w:tcBorders>
            <w:shd w:val="clear" w:color="auto" w:fill="auto"/>
            <w:noWrap/>
            <w:vAlign w:val="bottom"/>
            <w:hideMark/>
          </w:tcPr>
          <w:p w14:paraId="510F96D6" w14:textId="4C9D1E15" w:rsidR="00616856" w:rsidRPr="005269E6" w:rsidRDefault="00616856" w:rsidP="008D684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2 180 </w:t>
            </w:r>
          </w:p>
        </w:tc>
        <w:tc>
          <w:tcPr>
            <w:tcW w:w="1600" w:type="dxa"/>
            <w:tcBorders>
              <w:top w:val="nil"/>
              <w:left w:val="nil"/>
              <w:bottom w:val="nil"/>
              <w:right w:val="nil"/>
            </w:tcBorders>
            <w:shd w:val="clear" w:color="auto" w:fill="auto"/>
            <w:noWrap/>
            <w:vAlign w:val="bottom"/>
            <w:hideMark/>
          </w:tcPr>
          <w:p w14:paraId="5E1A60F7" w14:textId="57B2A51E" w:rsidR="00616856" w:rsidRPr="005269E6" w:rsidRDefault="00616856" w:rsidP="008D684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2 120 </w:t>
            </w:r>
          </w:p>
        </w:tc>
      </w:tr>
      <w:tr w:rsidR="00616856" w:rsidRPr="005269E6" w14:paraId="73AF11B4" w14:textId="77777777" w:rsidTr="00616856">
        <w:trPr>
          <w:trHeight w:val="255"/>
          <w:jc w:val="center"/>
        </w:trPr>
        <w:tc>
          <w:tcPr>
            <w:tcW w:w="3820" w:type="dxa"/>
            <w:tcBorders>
              <w:top w:val="nil"/>
              <w:left w:val="nil"/>
              <w:bottom w:val="nil"/>
              <w:right w:val="nil"/>
            </w:tcBorders>
            <w:shd w:val="clear" w:color="auto" w:fill="auto"/>
            <w:noWrap/>
            <w:vAlign w:val="bottom"/>
            <w:hideMark/>
          </w:tcPr>
          <w:p w14:paraId="5E0DE26F" w14:textId="1C530CDF" w:rsidR="00616856" w:rsidRPr="005269E6" w:rsidRDefault="000A71B2" w:rsidP="00726CB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 xml:space="preserve">مساهمات </w:t>
            </w:r>
            <w:r w:rsidRPr="005269E6">
              <w:rPr>
                <w:rFonts w:eastAsia="Times New Roman" w:hint="cs"/>
                <w:color w:val="000000"/>
                <w:sz w:val="18"/>
                <w:szCs w:val="18"/>
                <w:rtl/>
                <w:lang w:val="en-GB" w:eastAsia="en-GB"/>
              </w:rPr>
              <w:t>الهيئات</w:t>
            </w:r>
            <w:r w:rsidRPr="005269E6">
              <w:rPr>
                <w:rFonts w:eastAsia="Times New Roman"/>
                <w:color w:val="000000"/>
                <w:sz w:val="18"/>
                <w:szCs w:val="18"/>
                <w:rtl/>
                <w:lang w:val="en-GB" w:eastAsia="en-GB"/>
              </w:rPr>
              <w:t xml:space="preserve"> الأكاديمية</w:t>
            </w:r>
          </w:p>
        </w:tc>
        <w:tc>
          <w:tcPr>
            <w:tcW w:w="1600" w:type="dxa"/>
            <w:tcBorders>
              <w:top w:val="nil"/>
              <w:left w:val="nil"/>
              <w:bottom w:val="nil"/>
              <w:right w:val="nil"/>
            </w:tcBorders>
            <w:shd w:val="clear" w:color="auto" w:fill="auto"/>
            <w:noWrap/>
            <w:vAlign w:val="bottom"/>
            <w:hideMark/>
          </w:tcPr>
          <w:p w14:paraId="55B4AC31" w14:textId="5AD2F8EB" w:rsidR="00616856" w:rsidRPr="005269E6" w:rsidRDefault="00616856" w:rsidP="008D684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408 </w:t>
            </w:r>
          </w:p>
        </w:tc>
        <w:tc>
          <w:tcPr>
            <w:tcW w:w="1600" w:type="dxa"/>
            <w:tcBorders>
              <w:top w:val="nil"/>
              <w:left w:val="nil"/>
              <w:bottom w:val="nil"/>
              <w:right w:val="nil"/>
            </w:tcBorders>
            <w:shd w:val="clear" w:color="auto" w:fill="auto"/>
            <w:noWrap/>
            <w:vAlign w:val="bottom"/>
            <w:hideMark/>
          </w:tcPr>
          <w:p w14:paraId="0F3EB4E9" w14:textId="6AA43319" w:rsidR="00616856" w:rsidRPr="005269E6" w:rsidRDefault="00616856" w:rsidP="008D684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389 </w:t>
            </w:r>
          </w:p>
        </w:tc>
      </w:tr>
      <w:tr w:rsidR="00616856" w:rsidRPr="005269E6" w14:paraId="76AB5389" w14:textId="77777777" w:rsidTr="00616856">
        <w:trPr>
          <w:trHeight w:val="255"/>
          <w:jc w:val="center"/>
        </w:trPr>
        <w:tc>
          <w:tcPr>
            <w:tcW w:w="3820" w:type="dxa"/>
            <w:tcBorders>
              <w:top w:val="nil"/>
              <w:left w:val="nil"/>
              <w:bottom w:val="nil"/>
              <w:right w:val="nil"/>
            </w:tcBorders>
            <w:shd w:val="clear" w:color="auto" w:fill="auto"/>
            <w:noWrap/>
            <w:vAlign w:val="bottom"/>
            <w:hideMark/>
          </w:tcPr>
          <w:p w14:paraId="1E471609" w14:textId="556CC940" w:rsidR="00616856" w:rsidRPr="005269E6" w:rsidRDefault="000A71B2" w:rsidP="00726CB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مؤتمرات المساهمات</w:t>
            </w:r>
          </w:p>
        </w:tc>
        <w:tc>
          <w:tcPr>
            <w:tcW w:w="1600" w:type="dxa"/>
            <w:tcBorders>
              <w:top w:val="nil"/>
              <w:left w:val="nil"/>
              <w:bottom w:val="nil"/>
              <w:right w:val="nil"/>
            </w:tcBorders>
            <w:shd w:val="clear" w:color="auto" w:fill="auto"/>
            <w:noWrap/>
            <w:vAlign w:val="bottom"/>
            <w:hideMark/>
          </w:tcPr>
          <w:p w14:paraId="282523A0" w14:textId="6185DC32" w:rsidR="00616856" w:rsidRPr="005269E6" w:rsidRDefault="00616856" w:rsidP="008D684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1 935 </w:t>
            </w:r>
          </w:p>
        </w:tc>
        <w:tc>
          <w:tcPr>
            <w:tcW w:w="1600" w:type="dxa"/>
            <w:tcBorders>
              <w:top w:val="nil"/>
              <w:left w:val="nil"/>
              <w:bottom w:val="nil"/>
              <w:right w:val="nil"/>
            </w:tcBorders>
            <w:shd w:val="clear" w:color="auto" w:fill="auto"/>
            <w:noWrap/>
            <w:vAlign w:val="bottom"/>
            <w:hideMark/>
          </w:tcPr>
          <w:p w14:paraId="33D46820" w14:textId="77777777" w:rsidR="00616856" w:rsidRPr="005269E6" w:rsidRDefault="00616856" w:rsidP="008D6841">
            <w:pPr>
              <w:tabs>
                <w:tab w:val="clear" w:pos="794"/>
              </w:tabs>
              <w:spacing w:before="40" w:after="40" w:line="240" w:lineRule="exact"/>
              <w:jc w:val="left"/>
              <w:rPr>
                <w:rFonts w:eastAsia="Times New Roman"/>
                <w:color w:val="000000"/>
                <w:sz w:val="18"/>
                <w:szCs w:val="18"/>
                <w:lang w:val="en-GB" w:eastAsia="en-GB"/>
              </w:rPr>
            </w:pPr>
          </w:p>
        </w:tc>
      </w:tr>
      <w:tr w:rsidR="00616856" w:rsidRPr="005269E6" w14:paraId="1850782E" w14:textId="77777777" w:rsidTr="00616856">
        <w:trPr>
          <w:trHeight w:val="139"/>
          <w:jc w:val="center"/>
        </w:trPr>
        <w:tc>
          <w:tcPr>
            <w:tcW w:w="3820" w:type="dxa"/>
            <w:tcBorders>
              <w:top w:val="nil"/>
              <w:left w:val="nil"/>
              <w:bottom w:val="nil"/>
              <w:right w:val="nil"/>
            </w:tcBorders>
            <w:shd w:val="clear" w:color="auto" w:fill="auto"/>
            <w:noWrap/>
            <w:vAlign w:val="bottom"/>
            <w:hideMark/>
          </w:tcPr>
          <w:p w14:paraId="25B0ACA7" w14:textId="77777777" w:rsidR="00616856" w:rsidRPr="005269E6" w:rsidRDefault="00616856" w:rsidP="00726CB4">
            <w:pPr>
              <w:tabs>
                <w:tab w:val="clear" w:pos="794"/>
              </w:tabs>
              <w:spacing w:before="0" w:line="200" w:lineRule="exact"/>
              <w:jc w:val="left"/>
              <w:rPr>
                <w:rFonts w:eastAsia="Times New Roman"/>
                <w:sz w:val="18"/>
                <w:szCs w:val="18"/>
                <w:lang w:val="en-GB" w:eastAsia="en-GB"/>
              </w:rPr>
            </w:pPr>
          </w:p>
        </w:tc>
        <w:tc>
          <w:tcPr>
            <w:tcW w:w="1600" w:type="dxa"/>
            <w:tcBorders>
              <w:top w:val="nil"/>
              <w:left w:val="nil"/>
              <w:bottom w:val="nil"/>
              <w:right w:val="nil"/>
            </w:tcBorders>
            <w:shd w:val="clear" w:color="auto" w:fill="auto"/>
            <w:noWrap/>
            <w:vAlign w:val="bottom"/>
            <w:hideMark/>
          </w:tcPr>
          <w:p w14:paraId="05DC3C24" w14:textId="77777777" w:rsidR="00616856" w:rsidRPr="005269E6" w:rsidRDefault="00616856" w:rsidP="008D6841">
            <w:pPr>
              <w:tabs>
                <w:tab w:val="clear" w:pos="794"/>
              </w:tabs>
              <w:spacing w:before="0" w:line="200" w:lineRule="exact"/>
              <w:jc w:val="left"/>
              <w:rPr>
                <w:rFonts w:eastAsia="Times New Roman"/>
                <w:sz w:val="18"/>
                <w:szCs w:val="18"/>
                <w:lang w:val="en-GB" w:eastAsia="en-GB"/>
              </w:rPr>
            </w:pPr>
          </w:p>
        </w:tc>
        <w:tc>
          <w:tcPr>
            <w:tcW w:w="1600" w:type="dxa"/>
            <w:tcBorders>
              <w:top w:val="nil"/>
              <w:left w:val="nil"/>
              <w:bottom w:val="nil"/>
              <w:right w:val="nil"/>
            </w:tcBorders>
            <w:shd w:val="clear" w:color="auto" w:fill="auto"/>
            <w:noWrap/>
            <w:vAlign w:val="bottom"/>
            <w:hideMark/>
          </w:tcPr>
          <w:p w14:paraId="6CFBF0C4" w14:textId="77777777" w:rsidR="00616856" w:rsidRPr="005269E6" w:rsidRDefault="00616856" w:rsidP="008D6841">
            <w:pPr>
              <w:tabs>
                <w:tab w:val="clear" w:pos="794"/>
              </w:tabs>
              <w:spacing w:before="0" w:line="200" w:lineRule="exact"/>
              <w:jc w:val="left"/>
              <w:rPr>
                <w:rFonts w:eastAsia="Times New Roman"/>
                <w:sz w:val="18"/>
                <w:szCs w:val="18"/>
                <w:lang w:val="en-GB" w:eastAsia="en-GB"/>
              </w:rPr>
            </w:pPr>
          </w:p>
        </w:tc>
      </w:tr>
      <w:tr w:rsidR="00616856" w:rsidRPr="005269E6" w14:paraId="4153BE6B" w14:textId="77777777" w:rsidTr="00726CB4">
        <w:trPr>
          <w:trHeight w:val="292"/>
          <w:jc w:val="center"/>
        </w:trPr>
        <w:tc>
          <w:tcPr>
            <w:tcW w:w="3820" w:type="dxa"/>
            <w:tcBorders>
              <w:top w:val="nil"/>
              <w:left w:val="nil"/>
              <w:bottom w:val="nil"/>
              <w:right w:val="nil"/>
            </w:tcBorders>
            <w:shd w:val="clear" w:color="000000" w:fill="538DD5"/>
            <w:noWrap/>
            <w:vAlign w:val="center"/>
            <w:hideMark/>
          </w:tcPr>
          <w:p w14:paraId="621F429E" w14:textId="236DF79A" w:rsidR="00616856" w:rsidRPr="005269E6" w:rsidRDefault="000A71B2" w:rsidP="00726CB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مجموع</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 xml:space="preserve"> </w:t>
            </w:r>
            <w:r w:rsidR="008D6841" w:rsidRPr="005269E6">
              <w:rPr>
                <w:rFonts w:eastAsia="Times New Roman" w:hint="cs"/>
                <w:b/>
                <w:bCs/>
                <w:color w:val="000000"/>
                <w:sz w:val="18"/>
                <w:szCs w:val="18"/>
                <w:rtl/>
                <w:lang w:val="en-GB" w:eastAsia="en-GB"/>
              </w:rPr>
              <w:t>المساهمات</w:t>
            </w:r>
            <w:r w:rsidRPr="005269E6">
              <w:rPr>
                <w:rFonts w:eastAsia="Times New Roman"/>
                <w:b/>
                <w:bCs/>
                <w:color w:val="000000"/>
                <w:sz w:val="18"/>
                <w:szCs w:val="18"/>
                <w:rtl/>
                <w:lang w:val="en-GB" w:eastAsia="en-GB"/>
              </w:rPr>
              <w:t xml:space="preserve"> المقررة</w:t>
            </w:r>
          </w:p>
        </w:tc>
        <w:tc>
          <w:tcPr>
            <w:tcW w:w="1600" w:type="dxa"/>
            <w:tcBorders>
              <w:top w:val="nil"/>
              <w:left w:val="nil"/>
              <w:bottom w:val="nil"/>
              <w:right w:val="nil"/>
            </w:tcBorders>
            <w:shd w:val="clear" w:color="000000" w:fill="538DD5"/>
            <w:noWrap/>
            <w:vAlign w:val="center"/>
            <w:hideMark/>
          </w:tcPr>
          <w:p w14:paraId="644B934B" w14:textId="02E68AEF" w:rsidR="00616856" w:rsidRPr="005269E6" w:rsidRDefault="00616856" w:rsidP="008D684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127 613 </w:t>
            </w:r>
          </w:p>
        </w:tc>
        <w:tc>
          <w:tcPr>
            <w:tcW w:w="1600" w:type="dxa"/>
            <w:tcBorders>
              <w:top w:val="nil"/>
              <w:left w:val="nil"/>
              <w:bottom w:val="nil"/>
              <w:right w:val="nil"/>
            </w:tcBorders>
            <w:shd w:val="clear" w:color="000000" w:fill="538DD5"/>
            <w:noWrap/>
            <w:vAlign w:val="center"/>
            <w:hideMark/>
          </w:tcPr>
          <w:p w14:paraId="425E93AA" w14:textId="1D438B88" w:rsidR="00616856" w:rsidRPr="005269E6" w:rsidRDefault="00616856" w:rsidP="008D684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125 611 </w:t>
            </w:r>
          </w:p>
        </w:tc>
      </w:tr>
    </w:tbl>
    <w:p w14:paraId="5F40BC2A" w14:textId="0B41E43D" w:rsidR="00C543C6" w:rsidRPr="005269E6" w:rsidRDefault="000A71B2" w:rsidP="00C543C6">
      <w:pPr>
        <w:spacing w:before="240"/>
        <w:rPr>
          <w:lang w:bidi="ar-EG"/>
        </w:rPr>
      </w:pPr>
      <w:bookmarkStart w:id="589" w:name="_Toc306236974"/>
      <w:bookmarkEnd w:id="580"/>
      <w:bookmarkEnd w:id="581"/>
      <w:bookmarkEnd w:id="582"/>
      <w:bookmarkEnd w:id="583"/>
      <w:bookmarkEnd w:id="584"/>
      <w:bookmarkEnd w:id="585"/>
      <w:bookmarkEnd w:id="586"/>
      <w:bookmarkEnd w:id="587"/>
      <w:bookmarkEnd w:id="588"/>
      <w:r w:rsidRPr="005269E6">
        <w:rPr>
          <w:rFonts w:hint="cs"/>
          <w:rtl/>
          <w:lang w:bidi="ar-EG"/>
        </w:rPr>
        <w:t>و</w:t>
      </w:r>
      <w:r w:rsidR="00C543C6" w:rsidRPr="005269E6">
        <w:rPr>
          <w:rtl/>
          <w:lang w:bidi="ar-EG"/>
        </w:rPr>
        <w:t>أقر المجلس، في </w:t>
      </w:r>
      <w:r w:rsidR="00C543C6" w:rsidRPr="005269E6">
        <w:rPr>
          <w:rFonts w:hint="cs"/>
          <w:rtl/>
          <w:lang w:bidi="ar-EG"/>
        </w:rPr>
        <w:t>ال</w:t>
      </w:r>
      <w:r w:rsidR="00C543C6" w:rsidRPr="005269E6">
        <w:rPr>
          <w:rtl/>
          <w:lang w:bidi="ar-EG"/>
        </w:rPr>
        <w:t xml:space="preserve">قرار </w:t>
      </w:r>
      <w:r w:rsidR="00E46AE6" w:rsidRPr="005269E6">
        <w:rPr>
          <w:lang w:bidi="ar-EG"/>
        </w:rPr>
        <w:t>1405</w:t>
      </w:r>
      <w:r w:rsidR="00C543C6" w:rsidRPr="005269E6">
        <w:rPr>
          <w:rtl/>
          <w:lang w:bidi="ar-EG"/>
        </w:rPr>
        <w:t xml:space="preserve"> الذي اعتمده في دورته لعام </w:t>
      </w:r>
      <w:r w:rsidR="00E46AE6" w:rsidRPr="005269E6">
        <w:rPr>
          <w:lang w:bidi="ar-EG"/>
        </w:rPr>
        <w:t>2021</w:t>
      </w:r>
      <w:r w:rsidR="00C543C6" w:rsidRPr="005269E6">
        <w:rPr>
          <w:rtl/>
          <w:lang w:bidi="ar-EG"/>
        </w:rPr>
        <w:t xml:space="preserve">، ميزانية الاتحاد للفترة </w:t>
      </w:r>
      <w:r w:rsidR="00E46AE6" w:rsidRPr="005269E6">
        <w:rPr>
          <w:lang w:bidi="ar-EG"/>
        </w:rPr>
        <w:t>2023-2022</w:t>
      </w:r>
      <w:r w:rsidR="00C543C6" w:rsidRPr="005269E6">
        <w:rPr>
          <w:rtl/>
          <w:lang w:bidi="ar-EG"/>
        </w:rPr>
        <w:t>.</w:t>
      </w:r>
      <w:bookmarkEnd w:id="589"/>
    </w:p>
    <w:p w14:paraId="517F901E" w14:textId="4DE46BA2" w:rsidR="00C543C6" w:rsidRPr="005269E6" w:rsidRDefault="00C543C6" w:rsidP="00C543C6">
      <w:pPr>
        <w:spacing w:line="204" w:lineRule="auto"/>
        <w:rPr>
          <w:lang w:bidi="ar-EG"/>
        </w:rPr>
      </w:pPr>
      <w:r w:rsidRPr="005269E6">
        <w:rPr>
          <w:rtl/>
          <w:lang w:bidi="ar-EG"/>
        </w:rPr>
        <w:t xml:space="preserve">وحدد المجلس مبلغ وحدة المساهمة للدول الأعضاء بمقدار </w:t>
      </w:r>
      <w:r w:rsidRPr="005269E6">
        <w:rPr>
          <w:lang w:bidi="ar-EG"/>
        </w:rPr>
        <w:t>318 000</w:t>
      </w:r>
      <w:r w:rsidRPr="005269E6">
        <w:rPr>
          <w:rtl/>
          <w:lang w:bidi="ar-EG"/>
        </w:rPr>
        <w:t xml:space="preserve"> فرنك سويسري لكل من </w:t>
      </w:r>
      <w:r w:rsidR="00E46AE6" w:rsidRPr="005269E6">
        <w:rPr>
          <w:lang w:bidi="ar-EG"/>
        </w:rPr>
        <w:t>2022</w:t>
      </w:r>
      <w:r w:rsidRPr="005269E6">
        <w:rPr>
          <w:rtl/>
          <w:lang w:bidi="ar-EG"/>
        </w:rPr>
        <w:t xml:space="preserve"> و</w:t>
      </w:r>
      <w:r w:rsidR="00E46AE6" w:rsidRPr="005269E6">
        <w:rPr>
          <w:lang w:bidi="ar-EG"/>
        </w:rPr>
        <w:t>2023</w:t>
      </w:r>
      <w:r w:rsidRPr="005269E6">
        <w:rPr>
          <w:rtl/>
          <w:lang w:bidi="ar-EG"/>
        </w:rPr>
        <w:t>، على أساس</w:t>
      </w:r>
      <w:r w:rsidRPr="005269E6">
        <w:rPr>
          <w:rFonts w:hint="cs"/>
          <w:rtl/>
          <w:lang w:bidi="ar-EG"/>
        </w:rPr>
        <w:t> </w:t>
      </w:r>
      <w:r w:rsidRPr="005269E6">
        <w:rPr>
          <w:szCs w:val="24"/>
        </w:rPr>
        <w:t>343 11/16</w:t>
      </w:r>
      <w:r w:rsidRPr="005269E6">
        <w:rPr>
          <w:rtl/>
          <w:lang w:bidi="ar-EG"/>
        </w:rPr>
        <w:t xml:space="preserve"> وحدة. وفي القرار ذاته، حدد المجلس بمقدار </w:t>
      </w:r>
      <w:r w:rsidRPr="005269E6">
        <w:rPr>
          <w:lang w:bidi="ar-EG"/>
        </w:rPr>
        <w:t>63 600</w:t>
      </w:r>
      <w:r w:rsidRPr="005269E6">
        <w:rPr>
          <w:rtl/>
          <w:lang w:bidi="ar-EG"/>
        </w:rPr>
        <w:t xml:space="preserve"> فرنك سويسري </w:t>
      </w:r>
      <w:r w:rsidRPr="005269E6">
        <w:rPr>
          <w:rFonts w:hint="cs"/>
          <w:rtl/>
          <w:lang w:bidi="ar-EG"/>
        </w:rPr>
        <w:t xml:space="preserve">مبلغ </w:t>
      </w:r>
      <w:r w:rsidRPr="005269E6">
        <w:rPr>
          <w:rtl/>
          <w:lang w:bidi="ar-EG"/>
        </w:rPr>
        <w:t>وحدة المساهمة لأعضاء القطاعات لكل من </w:t>
      </w:r>
      <w:r w:rsidRPr="005269E6">
        <w:rPr>
          <w:lang w:bidi="ar-EG"/>
        </w:rPr>
        <w:t>2020</w:t>
      </w:r>
      <w:r w:rsidRPr="005269E6">
        <w:rPr>
          <w:rtl/>
          <w:lang w:bidi="ar-EG"/>
        </w:rPr>
        <w:t xml:space="preserve"> و</w:t>
      </w:r>
      <w:r w:rsidRPr="005269E6">
        <w:rPr>
          <w:lang w:bidi="ar-EG"/>
        </w:rPr>
        <w:t>2021</w:t>
      </w:r>
      <w:r w:rsidRPr="005269E6">
        <w:rPr>
          <w:rtl/>
          <w:lang w:bidi="ar-EG"/>
        </w:rPr>
        <w:t>، أي</w:t>
      </w:r>
      <w:r w:rsidRPr="005269E6">
        <w:rPr>
          <w:rFonts w:hint="cs"/>
          <w:rtl/>
          <w:lang w:bidi="ar-EG"/>
        </w:rPr>
        <w:t xml:space="preserve"> </w:t>
      </w:r>
      <w:r w:rsidRPr="005269E6">
        <w:rPr>
          <w:lang w:val="en-GB" w:bidi="ar-EG"/>
        </w:rPr>
        <w:t>1/5</w:t>
      </w:r>
      <w:r w:rsidRPr="005269E6">
        <w:rPr>
          <w:rtl/>
          <w:lang w:bidi="ar-EG"/>
        </w:rPr>
        <w:t xml:space="preserve"> وحدة مساهمة الدول الأعضاء. وحددت المساهمة المالية للمنتسبين كما يلي: </w:t>
      </w:r>
      <w:r w:rsidRPr="005269E6">
        <w:rPr>
          <w:lang w:bidi="ar-EG"/>
        </w:rPr>
        <w:t>10 600</w:t>
      </w:r>
      <w:r w:rsidRPr="005269E6">
        <w:rPr>
          <w:rtl/>
          <w:lang w:bidi="ar-EG"/>
        </w:rPr>
        <w:t xml:space="preserve"> فرنك سويسري للمنتسبين المشاركين في أعمال قطاع الاتصالات الراديوية وقطاع تقييس الاتصالات، ومبلغ </w:t>
      </w:r>
      <w:r w:rsidRPr="005269E6">
        <w:rPr>
          <w:lang w:bidi="ar-EG"/>
        </w:rPr>
        <w:t>3 975</w:t>
      </w:r>
      <w:r w:rsidRPr="005269E6">
        <w:rPr>
          <w:rtl/>
          <w:lang w:bidi="ar-EG"/>
        </w:rPr>
        <w:t xml:space="preserve"> فرنكاً سويسرياً للمنتسبين المشاركين في أعمال قطاع تنمية الاتصالات، ومبلغ </w:t>
      </w:r>
      <w:r w:rsidRPr="005269E6">
        <w:rPr>
          <w:lang w:bidi="ar-EG"/>
        </w:rPr>
        <w:t>1 987,50</w:t>
      </w:r>
      <w:r w:rsidRPr="005269E6">
        <w:rPr>
          <w:rtl/>
          <w:lang w:bidi="ar-EG"/>
        </w:rPr>
        <w:t xml:space="preserve"> </w:t>
      </w:r>
      <w:r w:rsidRPr="005269E6">
        <w:rPr>
          <w:rFonts w:hint="cs"/>
          <w:rtl/>
          <w:lang w:bidi="ar-EG"/>
        </w:rPr>
        <w:t xml:space="preserve">فرنك سويسري للمنتسبين المشاركين في أعمال قطاع تنمية الاتصالات في حالة المنتسبين من البلدان النامية. وحددت المساهمات المالية للهيئات الأكاديمية والجامعات ومعاهد البحوث المرتبطة بها على النحو التالي: </w:t>
      </w:r>
      <w:r w:rsidRPr="005269E6">
        <w:rPr>
          <w:lang w:val="en-CA" w:bidi="ar-EG"/>
        </w:rPr>
        <w:t>3 975</w:t>
      </w:r>
      <w:r w:rsidRPr="005269E6">
        <w:rPr>
          <w:rtl/>
          <w:lang w:bidi="ar-EG"/>
        </w:rPr>
        <w:t xml:space="preserve"> فرنكاً سويسرياً للبلدان المتقدمة و</w:t>
      </w:r>
      <w:r w:rsidRPr="005269E6">
        <w:rPr>
          <w:lang w:val="en-CA" w:bidi="ar-EG"/>
        </w:rPr>
        <w:t>1 987,50</w:t>
      </w:r>
      <w:r w:rsidRPr="005269E6">
        <w:rPr>
          <w:rtl/>
          <w:lang w:bidi="ar-EG"/>
        </w:rPr>
        <w:t xml:space="preserve"> للبلدان النامية المشاركة في عمل القطاعات الثلاثة.</w:t>
      </w:r>
    </w:p>
    <w:p w14:paraId="25C8A837" w14:textId="27E1ADB8" w:rsidR="00C543C6" w:rsidRPr="005269E6" w:rsidRDefault="00C543C6" w:rsidP="00C543C6">
      <w:pPr>
        <w:rPr>
          <w:rtl/>
          <w:lang w:bidi="ar-EG"/>
        </w:rPr>
      </w:pPr>
      <w:r w:rsidRPr="005269E6">
        <w:rPr>
          <w:rFonts w:hint="cs"/>
          <w:rtl/>
          <w:lang w:bidi="ar-EG"/>
        </w:rPr>
        <w:t>و</w:t>
      </w:r>
      <w:r w:rsidRPr="005269E6">
        <w:rPr>
          <w:rtl/>
          <w:lang w:bidi="ar-EG"/>
        </w:rPr>
        <w:t xml:space="preserve">تتماشى </w:t>
      </w:r>
      <w:r w:rsidRPr="005269E6">
        <w:rPr>
          <w:rFonts w:hint="cs"/>
          <w:rtl/>
          <w:lang w:bidi="ar-EG"/>
        </w:rPr>
        <w:t>إيرادات</w:t>
      </w:r>
      <w:r w:rsidRPr="005269E6">
        <w:rPr>
          <w:rtl/>
          <w:lang w:bidi="ar-EG"/>
        </w:rPr>
        <w:t xml:space="preserve"> عام </w:t>
      </w:r>
      <w:r w:rsidR="00FF09AB" w:rsidRPr="005269E6">
        <w:rPr>
          <w:lang w:bidi="ar-EG"/>
        </w:rPr>
        <w:t>2022</w:t>
      </w:r>
      <w:r w:rsidRPr="005269E6">
        <w:rPr>
          <w:rtl/>
          <w:lang w:bidi="ar-EG"/>
        </w:rPr>
        <w:t xml:space="preserve"> من الدول الأعضاء مع الخطة المالية كما </w:t>
      </w:r>
      <w:r w:rsidRPr="005269E6">
        <w:rPr>
          <w:rFonts w:hint="cs"/>
          <w:rtl/>
          <w:lang w:bidi="ar-EG"/>
        </w:rPr>
        <w:t>عرضت</w:t>
      </w:r>
      <w:r w:rsidRPr="005269E6">
        <w:rPr>
          <w:rtl/>
          <w:lang w:bidi="ar-EG"/>
        </w:rPr>
        <w:t xml:space="preserve"> في مؤتمر المندوبين المفوضين لعام 2018. </w:t>
      </w:r>
      <w:r w:rsidRPr="005269E6">
        <w:rPr>
          <w:rFonts w:hint="cs"/>
          <w:rtl/>
          <w:lang w:bidi="ar-EG"/>
        </w:rPr>
        <w:t>وتقوم</w:t>
      </w:r>
      <w:r w:rsidRPr="005269E6">
        <w:rPr>
          <w:rtl/>
          <w:lang w:bidi="ar-EG"/>
        </w:rPr>
        <w:t xml:space="preserve"> </w:t>
      </w:r>
      <w:r w:rsidRPr="005269E6">
        <w:rPr>
          <w:rFonts w:hint="cs"/>
          <w:rtl/>
          <w:lang w:bidi="ar-EG"/>
        </w:rPr>
        <w:t>المساهمات</w:t>
      </w:r>
      <w:r w:rsidRPr="005269E6">
        <w:rPr>
          <w:rtl/>
          <w:lang w:bidi="ar-EG"/>
        </w:rPr>
        <w:t xml:space="preserve"> المقررة </w:t>
      </w:r>
      <w:r w:rsidRPr="005269E6">
        <w:rPr>
          <w:rFonts w:hint="cs"/>
          <w:rtl/>
          <w:lang w:bidi="ar-EG"/>
        </w:rPr>
        <w:t>من</w:t>
      </w:r>
      <w:r w:rsidRPr="005269E6">
        <w:rPr>
          <w:rtl/>
          <w:lang w:bidi="ar-EG"/>
        </w:rPr>
        <w:t xml:space="preserve"> الدول الأعضاء </w:t>
      </w:r>
      <w:r w:rsidRPr="005269E6">
        <w:rPr>
          <w:rFonts w:hint="cs"/>
          <w:rtl/>
          <w:lang w:bidi="ar-EG"/>
        </w:rPr>
        <w:t>على أساس</w:t>
      </w:r>
      <w:r w:rsidRPr="005269E6">
        <w:rPr>
          <w:rtl/>
          <w:lang w:bidi="ar-EG"/>
        </w:rPr>
        <w:t xml:space="preserve"> </w:t>
      </w:r>
      <w:r w:rsidRPr="005269E6">
        <w:rPr>
          <w:szCs w:val="24"/>
        </w:rPr>
        <w:t>343 11/16</w:t>
      </w:r>
      <w:r w:rsidRPr="005269E6">
        <w:rPr>
          <w:rtl/>
          <w:lang w:bidi="ar-EG"/>
        </w:rPr>
        <w:t xml:space="preserve"> وحدة.</w:t>
      </w:r>
    </w:p>
    <w:p w14:paraId="2E0808B8" w14:textId="18F9AB11" w:rsidR="00FF09AB" w:rsidRPr="005269E6" w:rsidRDefault="00F6241C" w:rsidP="00F6241C">
      <w:pPr>
        <w:rPr>
          <w:rtl/>
          <w:lang w:bidi="ar-SY"/>
        </w:rPr>
      </w:pPr>
      <w:bookmarkStart w:id="590" w:name="_Toc452156650"/>
      <w:bookmarkStart w:id="591" w:name="_Toc419484090"/>
      <w:bookmarkStart w:id="592" w:name="_Toc74061591"/>
      <w:r w:rsidRPr="005269E6">
        <w:rPr>
          <w:rFonts w:hint="cs"/>
          <w:rtl/>
          <w:lang w:bidi="ar-SY"/>
        </w:rPr>
        <w:t xml:space="preserve">ثُبِّتت </w:t>
      </w:r>
      <w:r w:rsidRPr="005269E6">
        <w:rPr>
          <w:rtl/>
          <w:lang w:bidi="ar-SY"/>
        </w:rPr>
        <w:t>مساهمات من أجل:</w:t>
      </w:r>
    </w:p>
    <w:p w14:paraId="3DCD622A" w14:textId="0965381B" w:rsidR="00FF09AB" w:rsidRPr="005269E6" w:rsidRDefault="00F6241C" w:rsidP="00726CB4">
      <w:pPr>
        <w:rPr>
          <w:rtl/>
          <w:lang w:bidi="ar-SY"/>
        </w:rPr>
      </w:pPr>
      <w:r w:rsidRPr="005269E6">
        <w:rPr>
          <w:rtl/>
          <w:lang w:bidi="ar-SY"/>
        </w:rPr>
        <w:t>مؤتمر تنمية الاتصالات (</w:t>
      </w:r>
      <w:r w:rsidRPr="005269E6">
        <w:rPr>
          <w:lang w:bidi="ar-SY"/>
        </w:rPr>
        <w:t>WTDC</w:t>
      </w:r>
      <w:r w:rsidRPr="005269E6">
        <w:rPr>
          <w:rtl/>
          <w:lang w:bidi="ar-SY"/>
        </w:rPr>
        <w:t xml:space="preserve">) في كيغالي، رواندا. وغطت الحكومة الرواندية تكاليف النقل والإقامة لجميع موظفي الاتحاد الذين سافروا إلى هناك. </w:t>
      </w:r>
      <w:r w:rsidRPr="005269E6">
        <w:rPr>
          <w:rFonts w:hint="cs"/>
          <w:rtl/>
          <w:lang w:bidi="ar-SY"/>
        </w:rPr>
        <w:t>وقدمت</w:t>
      </w:r>
      <w:r w:rsidRPr="005269E6">
        <w:rPr>
          <w:rtl/>
          <w:lang w:bidi="ar-SY"/>
        </w:rPr>
        <w:t xml:space="preserve"> الحكومة الرواندية</w:t>
      </w:r>
      <w:r w:rsidRPr="005269E6">
        <w:rPr>
          <w:rFonts w:hint="cs"/>
          <w:rtl/>
          <w:lang w:bidi="ar-SY"/>
        </w:rPr>
        <w:t xml:space="preserve"> أيضاً</w:t>
      </w:r>
      <w:r w:rsidRPr="005269E6">
        <w:rPr>
          <w:rtl/>
          <w:lang w:bidi="ar-SY"/>
        </w:rPr>
        <w:t xml:space="preserve"> بشكل مباشر اللوجستيات والأمن لجميع المشاركين.</w:t>
      </w:r>
    </w:p>
    <w:p w14:paraId="14BBE6A6" w14:textId="20407BE8" w:rsidR="00F6241C" w:rsidRPr="005269E6" w:rsidRDefault="00F6241C" w:rsidP="00726CB4">
      <w:pPr>
        <w:rPr>
          <w:rtl/>
          <w:lang w:bidi="ar-SY"/>
        </w:rPr>
      </w:pPr>
      <w:r w:rsidRPr="005269E6">
        <w:rPr>
          <w:rtl/>
          <w:lang w:bidi="ar-SY"/>
        </w:rPr>
        <w:t xml:space="preserve">مؤتمر المندوبين المفوضين، في بوخارست، رومانيا. ومولت الحكومة الرومانية التكاليف المتعلقة بنقل وإقامة موظفي الاتحاد الذين شاركوا في هذا المؤتمر. </w:t>
      </w:r>
      <w:r w:rsidRPr="005269E6">
        <w:rPr>
          <w:rFonts w:hint="cs"/>
          <w:rtl/>
          <w:lang w:bidi="ar-SY"/>
        </w:rPr>
        <w:t>وقدمت</w:t>
      </w:r>
      <w:r w:rsidRPr="005269E6">
        <w:rPr>
          <w:rtl/>
          <w:lang w:bidi="ar-SY"/>
        </w:rPr>
        <w:t xml:space="preserve"> رومانيا أيضاً بشكل مباشر اللوجستيات والأمن لجميع المشاركين.</w:t>
      </w:r>
    </w:p>
    <w:p w14:paraId="35A17A11" w14:textId="69097A84" w:rsidR="00FF09AB" w:rsidRPr="005269E6" w:rsidRDefault="00F6241C" w:rsidP="00F6241C">
      <w:pPr>
        <w:pStyle w:val="Headingb"/>
        <w:rPr>
          <w:lang w:bidi="ar-SY"/>
        </w:rPr>
      </w:pPr>
      <w:r w:rsidRPr="005269E6">
        <w:rPr>
          <w:rtl/>
          <w:lang w:bidi="ar-SY"/>
        </w:rPr>
        <w:t xml:space="preserve">الصناديق الأخرى </w:t>
      </w:r>
      <w:r w:rsidR="008F35E4" w:rsidRPr="005269E6">
        <w:rPr>
          <w:rFonts w:hint="cs"/>
          <w:rtl/>
          <w:lang w:bidi="ar-SY"/>
        </w:rPr>
        <w:t>والأموال</w:t>
      </w:r>
      <w:r w:rsidRPr="005269E6">
        <w:rPr>
          <w:rtl/>
          <w:lang w:bidi="ar-SY"/>
        </w:rPr>
        <w:t xml:space="preserve"> الخارجة عن الميزانية</w:t>
      </w:r>
    </w:p>
    <w:p w14:paraId="2F9CFDE0" w14:textId="1429A034" w:rsidR="00C543C6" w:rsidRPr="005269E6" w:rsidRDefault="00777275" w:rsidP="00777275">
      <w:pPr>
        <w:spacing w:after="120"/>
        <w:rPr>
          <w:spacing w:val="6"/>
          <w:rtl/>
          <w:lang w:bidi="ar-EG"/>
        </w:rPr>
      </w:pPr>
      <w:bookmarkStart w:id="593" w:name="_Toc306236976"/>
      <w:bookmarkEnd w:id="590"/>
      <w:bookmarkEnd w:id="591"/>
      <w:bookmarkEnd w:id="592"/>
      <w:r w:rsidRPr="005269E6">
        <w:rPr>
          <w:spacing w:val="6"/>
          <w:rtl/>
          <w:lang w:bidi="ar-EG"/>
        </w:rPr>
        <w:t xml:space="preserve">تعد </w:t>
      </w:r>
      <w:r w:rsidR="00C543C6" w:rsidRPr="005269E6">
        <w:rPr>
          <w:spacing w:val="6"/>
          <w:rtl/>
          <w:lang w:bidi="ar-EG"/>
        </w:rPr>
        <w:t>المساهمات الطوعية</w:t>
      </w:r>
      <w:r w:rsidR="00F6241C" w:rsidRPr="005269E6">
        <w:rPr>
          <w:rFonts w:hint="cs"/>
          <w:spacing w:val="6"/>
          <w:rtl/>
          <w:lang w:bidi="ar-EG"/>
        </w:rPr>
        <w:t xml:space="preserve"> ومشاريع</w:t>
      </w:r>
      <w:r w:rsidR="00C543C6" w:rsidRPr="005269E6">
        <w:rPr>
          <w:spacing w:val="6"/>
          <w:rtl/>
          <w:lang w:bidi="ar-EG"/>
        </w:rPr>
        <w:t xml:space="preserve"> </w:t>
      </w:r>
      <w:r w:rsidRPr="005269E6">
        <w:rPr>
          <w:spacing w:val="6"/>
          <w:rtl/>
          <w:lang w:bidi="ar-EG"/>
        </w:rPr>
        <w:t xml:space="preserve">الصناديق الاستئمانية </w:t>
      </w:r>
      <w:r w:rsidR="00F6241C" w:rsidRPr="005269E6">
        <w:rPr>
          <w:spacing w:val="6"/>
          <w:rtl/>
          <w:lang w:bidi="ar-EG"/>
        </w:rPr>
        <w:t>(</w:t>
      </w:r>
      <w:r w:rsidR="00F6241C" w:rsidRPr="005269E6">
        <w:rPr>
          <w:spacing w:val="6"/>
          <w:lang w:bidi="ar-EG"/>
        </w:rPr>
        <w:t>FIT</w:t>
      </w:r>
      <w:r w:rsidR="00F6241C" w:rsidRPr="005269E6">
        <w:rPr>
          <w:spacing w:val="6"/>
          <w:rtl/>
          <w:lang w:bidi="ar-EG"/>
        </w:rPr>
        <w:t xml:space="preserve">) </w:t>
      </w:r>
      <w:r w:rsidRPr="005269E6">
        <w:rPr>
          <w:spacing w:val="6"/>
          <w:rtl/>
          <w:lang w:bidi="ar-EG"/>
        </w:rPr>
        <w:t xml:space="preserve">بمثابة </w:t>
      </w:r>
      <w:r w:rsidR="00C543C6" w:rsidRPr="005269E6">
        <w:rPr>
          <w:spacing w:val="6"/>
          <w:rtl/>
          <w:lang w:bidi="ar-EG"/>
        </w:rPr>
        <w:t xml:space="preserve">مصادر تمويل من جهات خارجية لمساندة الاتحاد في تنفيذ مشاريع التنمية </w:t>
      </w:r>
      <w:r w:rsidRPr="005269E6">
        <w:rPr>
          <w:rFonts w:hint="cs"/>
          <w:spacing w:val="6"/>
          <w:rtl/>
          <w:lang w:bidi="ar-EG"/>
        </w:rPr>
        <w:t>لمصلحة</w:t>
      </w:r>
      <w:r w:rsidR="00F6241C" w:rsidRPr="005269E6">
        <w:rPr>
          <w:rFonts w:hint="cs"/>
          <w:spacing w:val="6"/>
          <w:rtl/>
          <w:lang w:bidi="ar-EG"/>
        </w:rPr>
        <w:t xml:space="preserve"> </w:t>
      </w:r>
      <w:r w:rsidRPr="005269E6">
        <w:rPr>
          <w:spacing w:val="6"/>
          <w:rtl/>
          <w:lang w:bidi="ar-EG"/>
        </w:rPr>
        <w:t xml:space="preserve">البلدان النامية وأقل </w:t>
      </w:r>
      <w:r w:rsidR="00C543C6" w:rsidRPr="005269E6">
        <w:rPr>
          <w:spacing w:val="6"/>
          <w:rtl/>
          <w:lang w:bidi="ar-EG"/>
        </w:rPr>
        <w:t>البلدان نمواً التي حددتها الأمم المتحدة</w:t>
      </w:r>
      <w:r w:rsidRPr="005269E6">
        <w:rPr>
          <w:rFonts w:hint="cs"/>
          <w:spacing w:val="6"/>
          <w:rtl/>
          <w:lang w:bidi="ar-EG"/>
        </w:rPr>
        <w:t>،</w:t>
      </w:r>
      <w:r w:rsidRPr="005269E6">
        <w:rPr>
          <w:spacing w:val="6"/>
          <w:rtl/>
          <w:lang w:bidi="ar-EG"/>
        </w:rPr>
        <w:t xml:space="preserve"> ولكن أيضاً لاستكمال ميزانية الاتحاد المخصصة للأنشطة العادية.</w:t>
      </w:r>
      <w:r w:rsidR="00C543C6" w:rsidRPr="005269E6">
        <w:rPr>
          <w:spacing w:val="6"/>
          <w:rtl/>
          <w:lang w:bidi="ar-EG"/>
        </w:rPr>
        <w:t xml:space="preserve"> و</w:t>
      </w:r>
      <w:r w:rsidR="00C543C6" w:rsidRPr="005269E6">
        <w:rPr>
          <w:rFonts w:hint="cs"/>
          <w:spacing w:val="6"/>
          <w:rtl/>
          <w:lang w:bidi="ar-EG"/>
        </w:rPr>
        <w:t xml:space="preserve">قد </w:t>
      </w:r>
      <w:r w:rsidR="00C543C6" w:rsidRPr="005269E6">
        <w:rPr>
          <w:spacing w:val="6"/>
          <w:rtl/>
          <w:lang w:bidi="ar-EG"/>
        </w:rPr>
        <w:t xml:space="preserve">بلغ مجموع المساهمات الطوعية </w:t>
      </w:r>
      <w:r w:rsidR="000A4EA3" w:rsidRPr="005269E6">
        <w:rPr>
          <w:spacing w:val="6"/>
          <w:lang w:bidi="ar-EG"/>
        </w:rPr>
        <w:t>18</w:t>
      </w:r>
      <w:r w:rsidR="00C543C6" w:rsidRPr="005269E6">
        <w:rPr>
          <w:spacing w:val="6"/>
          <w:rtl/>
          <w:lang w:bidi="ar-SY"/>
        </w:rPr>
        <w:t> </w:t>
      </w:r>
      <w:r w:rsidR="00C543C6" w:rsidRPr="005269E6">
        <w:rPr>
          <w:rFonts w:hint="cs"/>
          <w:spacing w:val="6"/>
          <w:rtl/>
          <w:lang w:bidi="ar-SY"/>
        </w:rPr>
        <w:t>مل</w:t>
      </w:r>
      <w:r w:rsidR="000A4EA3" w:rsidRPr="005269E6">
        <w:rPr>
          <w:rFonts w:hint="cs"/>
          <w:spacing w:val="6"/>
          <w:rtl/>
          <w:lang w:bidi="ar-SY"/>
        </w:rPr>
        <w:t xml:space="preserve">يون </w:t>
      </w:r>
      <w:r w:rsidR="00C543C6" w:rsidRPr="005269E6">
        <w:rPr>
          <w:spacing w:val="6"/>
          <w:rtl/>
          <w:lang w:bidi="ar-SY"/>
        </w:rPr>
        <w:t>فرنك سويسري في </w:t>
      </w:r>
      <w:r w:rsidR="000A4EA3" w:rsidRPr="005269E6">
        <w:rPr>
          <w:spacing w:val="6"/>
          <w:lang w:bidi="ar-EG"/>
        </w:rPr>
        <w:t>2022</w:t>
      </w:r>
      <w:r w:rsidR="000A4EA3" w:rsidRPr="005269E6">
        <w:rPr>
          <w:rFonts w:hint="cs"/>
          <w:spacing w:val="6"/>
          <w:rtl/>
          <w:lang w:bidi="ar-SY"/>
        </w:rPr>
        <w:t xml:space="preserve"> </w:t>
      </w:r>
      <w:r w:rsidR="00C543C6" w:rsidRPr="005269E6">
        <w:rPr>
          <w:spacing w:val="6"/>
          <w:rtl/>
          <w:lang w:bidi="ar-SY"/>
        </w:rPr>
        <w:t xml:space="preserve">(مقابل </w:t>
      </w:r>
      <w:r w:rsidR="000A4EA3" w:rsidRPr="005269E6">
        <w:rPr>
          <w:spacing w:val="6"/>
          <w:lang w:bidi="ar-EG"/>
        </w:rPr>
        <w:t>13,4</w:t>
      </w:r>
      <w:r w:rsidR="00C543C6" w:rsidRPr="005269E6">
        <w:rPr>
          <w:rFonts w:hint="cs"/>
          <w:spacing w:val="6"/>
          <w:rtl/>
          <w:lang w:bidi="ar-SY"/>
        </w:rPr>
        <w:t> </w:t>
      </w:r>
      <w:r w:rsidR="000A4EA3" w:rsidRPr="005269E6">
        <w:rPr>
          <w:rFonts w:hint="cs"/>
          <w:spacing w:val="6"/>
          <w:rtl/>
          <w:lang w:bidi="ar-SY"/>
        </w:rPr>
        <w:t>مليون</w:t>
      </w:r>
      <w:r w:rsidR="00C543C6" w:rsidRPr="005269E6">
        <w:rPr>
          <w:spacing w:val="6"/>
          <w:rtl/>
          <w:lang w:bidi="ar-SY"/>
        </w:rPr>
        <w:t xml:space="preserve"> فرنك سويسري في </w:t>
      </w:r>
      <w:r w:rsidR="000A4EA3" w:rsidRPr="005269E6">
        <w:rPr>
          <w:spacing w:val="6"/>
          <w:lang w:bidi="ar-EG"/>
        </w:rPr>
        <w:t>2021</w:t>
      </w:r>
      <w:r w:rsidR="00C543C6" w:rsidRPr="005269E6">
        <w:rPr>
          <w:spacing w:val="6"/>
          <w:rtl/>
          <w:lang w:bidi="ar-SY"/>
        </w:rPr>
        <w:t>)</w:t>
      </w:r>
      <w:r w:rsidR="00C543C6" w:rsidRPr="005269E6">
        <w:rPr>
          <w:spacing w:val="6"/>
          <w:rtl/>
          <w:lang w:bidi="ar-EG"/>
        </w:rPr>
        <w:t>.</w:t>
      </w:r>
      <w:bookmarkEnd w:id="593"/>
    </w:p>
    <w:tbl>
      <w:tblPr>
        <w:bidiVisual/>
        <w:tblW w:w="7080" w:type="dxa"/>
        <w:jc w:val="center"/>
        <w:tblLook w:val="04A0" w:firstRow="1" w:lastRow="0" w:firstColumn="1" w:lastColumn="0" w:noHBand="0" w:noVBand="1"/>
      </w:tblPr>
      <w:tblGrid>
        <w:gridCol w:w="4000"/>
        <w:gridCol w:w="1540"/>
        <w:gridCol w:w="1540"/>
      </w:tblGrid>
      <w:tr w:rsidR="008F35E4" w:rsidRPr="005269E6" w14:paraId="5AD26F84" w14:textId="77777777" w:rsidTr="0021598E">
        <w:trPr>
          <w:trHeight w:val="540"/>
          <w:jc w:val="center"/>
        </w:trPr>
        <w:tc>
          <w:tcPr>
            <w:tcW w:w="4000" w:type="dxa"/>
            <w:tcBorders>
              <w:top w:val="nil"/>
              <w:left w:val="nil"/>
              <w:bottom w:val="nil"/>
              <w:right w:val="nil"/>
            </w:tcBorders>
            <w:shd w:val="clear" w:color="000000" w:fill="538DD5"/>
            <w:vAlign w:val="center"/>
            <w:hideMark/>
          </w:tcPr>
          <w:p w14:paraId="5CEB1C87" w14:textId="5864ECF5" w:rsidR="008F35E4" w:rsidRPr="005269E6" w:rsidRDefault="008F35E4" w:rsidP="008F35E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540" w:type="dxa"/>
            <w:tcBorders>
              <w:top w:val="nil"/>
              <w:left w:val="nil"/>
              <w:bottom w:val="nil"/>
              <w:right w:val="nil"/>
            </w:tcBorders>
            <w:shd w:val="clear" w:color="000000" w:fill="538DD5"/>
            <w:vAlign w:val="center"/>
            <w:hideMark/>
          </w:tcPr>
          <w:p w14:paraId="42B2575C" w14:textId="56F9213B" w:rsidR="008F35E4" w:rsidRPr="005269E6" w:rsidRDefault="008F35E4" w:rsidP="008F35E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540" w:type="dxa"/>
            <w:tcBorders>
              <w:top w:val="nil"/>
              <w:left w:val="nil"/>
              <w:bottom w:val="nil"/>
              <w:right w:val="nil"/>
            </w:tcBorders>
            <w:shd w:val="clear" w:color="000000" w:fill="538DD5"/>
            <w:vAlign w:val="center"/>
            <w:hideMark/>
          </w:tcPr>
          <w:p w14:paraId="4ECE48FA" w14:textId="0155F82C" w:rsidR="008F35E4" w:rsidRPr="005269E6" w:rsidRDefault="008F35E4" w:rsidP="008F35E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21598E" w:rsidRPr="005269E6" w14:paraId="0DAE2CA8" w14:textId="77777777" w:rsidTr="0021598E">
        <w:trPr>
          <w:trHeight w:val="162"/>
          <w:jc w:val="center"/>
        </w:trPr>
        <w:tc>
          <w:tcPr>
            <w:tcW w:w="4000" w:type="dxa"/>
            <w:tcBorders>
              <w:top w:val="nil"/>
              <w:left w:val="nil"/>
              <w:bottom w:val="nil"/>
              <w:right w:val="nil"/>
            </w:tcBorders>
            <w:shd w:val="clear" w:color="auto" w:fill="auto"/>
            <w:noWrap/>
            <w:vAlign w:val="bottom"/>
            <w:hideMark/>
          </w:tcPr>
          <w:p w14:paraId="560D0CD8" w14:textId="77777777" w:rsidR="0021598E" w:rsidRPr="005269E6" w:rsidRDefault="0021598E" w:rsidP="0021598E">
            <w:pPr>
              <w:tabs>
                <w:tab w:val="clear" w:pos="794"/>
              </w:tabs>
              <w:spacing w:before="40" w:after="40" w:line="240" w:lineRule="exact"/>
              <w:jc w:val="center"/>
              <w:rPr>
                <w:rFonts w:eastAsia="Times New Roman"/>
                <w:b/>
                <w:bCs/>
                <w:color w:val="000000"/>
                <w:sz w:val="18"/>
                <w:szCs w:val="18"/>
                <w:lang w:val="en-GB" w:eastAsia="en-GB"/>
              </w:rPr>
            </w:pPr>
          </w:p>
        </w:tc>
        <w:tc>
          <w:tcPr>
            <w:tcW w:w="1540" w:type="dxa"/>
            <w:tcBorders>
              <w:top w:val="nil"/>
              <w:left w:val="nil"/>
              <w:bottom w:val="nil"/>
              <w:right w:val="nil"/>
            </w:tcBorders>
            <w:shd w:val="clear" w:color="auto" w:fill="auto"/>
            <w:noWrap/>
            <w:vAlign w:val="bottom"/>
            <w:hideMark/>
          </w:tcPr>
          <w:p w14:paraId="4DB297E7" w14:textId="77777777" w:rsidR="0021598E" w:rsidRPr="005269E6" w:rsidRDefault="0021598E" w:rsidP="00364D3C">
            <w:pPr>
              <w:tabs>
                <w:tab w:val="clear" w:pos="794"/>
              </w:tabs>
              <w:spacing w:before="40" w:after="40" w:line="240" w:lineRule="exact"/>
              <w:jc w:val="left"/>
              <w:rPr>
                <w:rFonts w:eastAsia="Times New Roman"/>
                <w:sz w:val="18"/>
                <w:szCs w:val="18"/>
                <w:lang w:val="en-GB" w:eastAsia="en-GB"/>
              </w:rPr>
            </w:pPr>
          </w:p>
        </w:tc>
        <w:tc>
          <w:tcPr>
            <w:tcW w:w="1540" w:type="dxa"/>
            <w:tcBorders>
              <w:top w:val="nil"/>
              <w:left w:val="nil"/>
              <w:bottom w:val="nil"/>
              <w:right w:val="nil"/>
            </w:tcBorders>
            <w:shd w:val="clear" w:color="auto" w:fill="auto"/>
            <w:noWrap/>
            <w:vAlign w:val="bottom"/>
            <w:hideMark/>
          </w:tcPr>
          <w:p w14:paraId="577A662A" w14:textId="77777777" w:rsidR="0021598E" w:rsidRPr="005269E6" w:rsidRDefault="0021598E" w:rsidP="00364D3C">
            <w:pPr>
              <w:tabs>
                <w:tab w:val="clear" w:pos="794"/>
              </w:tabs>
              <w:spacing w:before="40" w:after="40" w:line="240" w:lineRule="exact"/>
              <w:jc w:val="left"/>
              <w:rPr>
                <w:rFonts w:eastAsia="Times New Roman"/>
                <w:sz w:val="18"/>
                <w:szCs w:val="18"/>
                <w:lang w:val="en-GB" w:eastAsia="en-GB"/>
              </w:rPr>
            </w:pPr>
          </w:p>
        </w:tc>
      </w:tr>
      <w:tr w:rsidR="0021598E" w:rsidRPr="005269E6" w14:paraId="6FB59B3E" w14:textId="77777777" w:rsidTr="0021598E">
        <w:trPr>
          <w:trHeight w:val="255"/>
          <w:jc w:val="center"/>
        </w:trPr>
        <w:tc>
          <w:tcPr>
            <w:tcW w:w="4000" w:type="dxa"/>
            <w:tcBorders>
              <w:top w:val="nil"/>
              <w:left w:val="nil"/>
              <w:bottom w:val="nil"/>
              <w:right w:val="nil"/>
            </w:tcBorders>
            <w:shd w:val="clear" w:color="auto" w:fill="auto"/>
            <w:noWrap/>
            <w:vAlign w:val="bottom"/>
            <w:hideMark/>
          </w:tcPr>
          <w:p w14:paraId="6DF3E2E0" w14:textId="4FAE23D6" w:rsidR="0021598E" w:rsidRPr="005269E6" w:rsidRDefault="008F35E4" w:rsidP="0021598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lastRenderedPageBreak/>
              <w:t>المساهمات الخارجة عن الميزانية</w:t>
            </w:r>
          </w:p>
        </w:tc>
        <w:tc>
          <w:tcPr>
            <w:tcW w:w="1540" w:type="dxa"/>
            <w:tcBorders>
              <w:top w:val="nil"/>
              <w:left w:val="nil"/>
              <w:bottom w:val="nil"/>
              <w:right w:val="nil"/>
            </w:tcBorders>
            <w:shd w:val="clear" w:color="auto" w:fill="auto"/>
            <w:noWrap/>
            <w:vAlign w:val="bottom"/>
            <w:hideMark/>
          </w:tcPr>
          <w:p w14:paraId="40538DE8" w14:textId="77777777" w:rsidR="0021598E" w:rsidRPr="005269E6" w:rsidRDefault="0021598E" w:rsidP="00364D3C">
            <w:pPr>
              <w:tabs>
                <w:tab w:val="clear" w:pos="794"/>
              </w:tabs>
              <w:spacing w:before="40" w:after="40" w:line="240" w:lineRule="exact"/>
              <w:jc w:val="left"/>
              <w:rPr>
                <w:rFonts w:eastAsia="Times New Roman"/>
                <w:color w:val="000000"/>
                <w:sz w:val="18"/>
                <w:szCs w:val="18"/>
                <w:lang w:val="en-GB" w:eastAsia="en-GB"/>
              </w:rPr>
            </w:pPr>
          </w:p>
        </w:tc>
        <w:tc>
          <w:tcPr>
            <w:tcW w:w="1540" w:type="dxa"/>
            <w:tcBorders>
              <w:top w:val="nil"/>
              <w:left w:val="nil"/>
              <w:bottom w:val="nil"/>
              <w:right w:val="nil"/>
            </w:tcBorders>
            <w:shd w:val="clear" w:color="auto" w:fill="auto"/>
            <w:noWrap/>
            <w:vAlign w:val="bottom"/>
            <w:hideMark/>
          </w:tcPr>
          <w:p w14:paraId="6077D1B9" w14:textId="77777777" w:rsidR="0021598E" w:rsidRPr="005269E6" w:rsidRDefault="0021598E" w:rsidP="00364D3C">
            <w:pPr>
              <w:tabs>
                <w:tab w:val="clear" w:pos="794"/>
              </w:tabs>
              <w:spacing w:before="40" w:after="40" w:line="240" w:lineRule="exact"/>
              <w:jc w:val="left"/>
              <w:rPr>
                <w:rFonts w:eastAsia="Times New Roman"/>
                <w:sz w:val="18"/>
                <w:szCs w:val="18"/>
                <w:lang w:val="en-GB" w:eastAsia="en-GB"/>
              </w:rPr>
            </w:pPr>
          </w:p>
        </w:tc>
      </w:tr>
      <w:tr w:rsidR="0021598E" w:rsidRPr="005269E6" w14:paraId="55DE7954" w14:textId="77777777" w:rsidTr="0021598E">
        <w:trPr>
          <w:trHeight w:val="255"/>
          <w:jc w:val="center"/>
        </w:trPr>
        <w:tc>
          <w:tcPr>
            <w:tcW w:w="4000" w:type="dxa"/>
            <w:tcBorders>
              <w:top w:val="nil"/>
              <w:left w:val="nil"/>
              <w:bottom w:val="nil"/>
              <w:right w:val="nil"/>
            </w:tcBorders>
            <w:shd w:val="clear" w:color="auto" w:fill="auto"/>
            <w:noWrap/>
            <w:vAlign w:val="bottom"/>
            <w:hideMark/>
          </w:tcPr>
          <w:p w14:paraId="25118F17" w14:textId="7E4A151B" w:rsidR="0021598E" w:rsidRPr="005269E6" w:rsidRDefault="00726CB4" w:rsidP="004719AC">
            <w:pPr>
              <w:tabs>
                <w:tab w:val="clear" w:pos="794"/>
                <w:tab w:val="left" w:pos="269"/>
              </w:tabs>
              <w:spacing w:before="40" w:after="40" w:line="240" w:lineRule="exact"/>
              <w:rPr>
                <w:rFonts w:eastAsia="Times New Roman"/>
                <w:color w:val="000000"/>
                <w:sz w:val="18"/>
                <w:szCs w:val="18"/>
                <w:lang w:val="en-GB" w:eastAsia="en-GB"/>
              </w:rPr>
            </w:pPr>
            <w:r w:rsidRPr="005269E6">
              <w:rPr>
                <w:rFonts w:eastAsia="Times New Roman" w:hint="cs"/>
                <w:color w:val="000000"/>
                <w:sz w:val="18"/>
                <w:szCs w:val="18"/>
                <w:rtl/>
                <w:lang w:val="en-GB" w:eastAsia="en-GB"/>
              </w:rPr>
              <w:t>-</w:t>
            </w:r>
            <w:r w:rsidR="004719AC" w:rsidRPr="005269E6">
              <w:rPr>
                <w:rFonts w:eastAsia="Times New Roman"/>
                <w:color w:val="000000"/>
                <w:sz w:val="18"/>
                <w:szCs w:val="18"/>
                <w:rtl/>
                <w:lang w:val="en-GB" w:eastAsia="en-GB"/>
              </w:rPr>
              <w:tab/>
            </w:r>
            <w:r w:rsidR="008F35E4" w:rsidRPr="005269E6">
              <w:rPr>
                <w:rFonts w:eastAsia="Times New Roman"/>
                <w:color w:val="000000"/>
                <w:sz w:val="18"/>
                <w:szCs w:val="18"/>
                <w:rtl/>
                <w:lang w:val="en-GB" w:eastAsia="en-GB"/>
              </w:rPr>
              <w:t>المساهمات الطوعية</w:t>
            </w:r>
          </w:p>
        </w:tc>
        <w:tc>
          <w:tcPr>
            <w:tcW w:w="1540" w:type="dxa"/>
            <w:tcBorders>
              <w:top w:val="nil"/>
              <w:left w:val="nil"/>
              <w:bottom w:val="nil"/>
              <w:right w:val="nil"/>
            </w:tcBorders>
            <w:shd w:val="clear" w:color="auto" w:fill="auto"/>
            <w:noWrap/>
            <w:vAlign w:val="bottom"/>
            <w:hideMark/>
          </w:tcPr>
          <w:p w14:paraId="2DAB18AF" w14:textId="7DCB619A" w:rsidR="0021598E" w:rsidRPr="005269E6" w:rsidRDefault="0021598E" w:rsidP="00364D3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3 947 </w:t>
            </w:r>
          </w:p>
        </w:tc>
        <w:tc>
          <w:tcPr>
            <w:tcW w:w="1540" w:type="dxa"/>
            <w:tcBorders>
              <w:top w:val="nil"/>
              <w:left w:val="nil"/>
              <w:bottom w:val="nil"/>
              <w:right w:val="nil"/>
            </w:tcBorders>
            <w:shd w:val="clear" w:color="auto" w:fill="auto"/>
            <w:noWrap/>
            <w:vAlign w:val="bottom"/>
            <w:hideMark/>
          </w:tcPr>
          <w:p w14:paraId="17DEB550" w14:textId="1CED8B11" w:rsidR="0021598E" w:rsidRPr="005269E6" w:rsidRDefault="0021598E" w:rsidP="00364D3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2 850 </w:t>
            </w:r>
          </w:p>
        </w:tc>
      </w:tr>
      <w:tr w:rsidR="0021598E" w:rsidRPr="005269E6" w14:paraId="523504BD" w14:textId="77777777" w:rsidTr="0021598E">
        <w:trPr>
          <w:trHeight w:val="360"/>
          <w:jc w:val="center"/>
        </w:trPr>
        <w:tc>
          <w:tcPr>
            <w:tcW w:w="4000" w:type="dxa"/>
            <w:tcBorders>
              <w:top w:val="nil"/>
              <w:left w:val="nil"/>
              <w:bottom w:val="nil"/>
              <w:right w:val="nil"/>
            </w:tcBorders>
            <w:shd w:val="clear" w:color="auto" w:fill="auto"/>
            <w:noWrap/>
            <w:vAlign w:val="bottom"/>
            <w:hideMark/>
          </w:tcPr>
          <w:p w14:paraId="52E17F5B" w14:textId="1F54371E" w:rsidR="0021598E" w:rsidRPr="005269E6" w:rsidRDefault="00726CB4" w:rsidP="004719AC">
            <w:pPr>
              <w:tabs>
                <w:tab w:val="clear" w:pos="794"/>
                <w:tab w:val="left" w:pos="269"/>
              </w:tabs>
              <w:spacing w:before="40" w:after="40" w:line="240" w:lineRule="exact"/>
              <w:rPr>
                <w:rFonts w:eastAsia="Times New Roman"/>
                <w:color w:val="000000"/>
                <w:sz w:val="18"/>
                <w:szCs w:val="18"/>
                <w:lang w:val="en-GB" w:eastAsia="en-GB"/>
              </w:rPr>
            </w:pPr>
            <w:r w:rsidRPr="005269E6">
              <w:rPr>
                <w:rFonts w:eastAsia="Times New Roman" w:hint="cs"/>
                <w:color w:val="000000"/>
                <w:sz w:val="18"/>
                <w:szCs w:val="18"/>
                <w:rtl/>
                <w:lang w:val="en-GB" w:eastAsia="en-GB"/>
              </w:rPr>
              <w:t>-</w:t>
            </w:r>
            <w:r w:rsidR="004719AC" w:rsidRPr="005269E6">
              <w:rPr>
                <w:rFonts w:eastAsia="Times New Roman"/>
                <w:color w:val="000000"/>
                <w:sz w:val="18"/>
                <w:szCs w:val="18"/>
                <w:rtl/>
                <w:lang w:val="en-GB" w:eastAsia="en-GB"/>
              </w:rPr>
              <w:tab/>
            </w:r>
            <w:r w:rsidR="008F35E4" w:rsidRPr="005269E6">
              <w:rPr>
                <w:rFonts w:eastAsia="Times New Roman"/>
                <w:color w:val="000000"/>
                <w:sz w:val="18"/>
                <w:szCs w:val="18"/>
                <w:rtl/>
                <w:lang w:val="en-GB" w:eastAsia="en-GB"/>
              </w:rPr>
              <w:t>مساهمات الصناديق الاستئمانية</w:t>
            </w:r>
          </w:p>
        </w:tc>
        <w:tc>
          <w:tcPr>
            <w:tcW w:w="1540" w:type="dxa"/>
            <w:tcBorders>
              <w:top w:val="nil"/>
              <w:left w:val="nil"/>
              <w:bottom w:val="nil"/>
              <w:right w:val="nil"/>
            </w:tcBorders>
            <w:shd w:val="clear" w:color="auto" w:fill="auto"/>
            <w:noWrap/>
            <w:vAlign w:val="bottom"/>
            <w:hideMark/>
          </w:tcPr>
          <w:p w14:paraId="2FDF98DB" w14:textId="0263ADB8" w:rsidR="0021598E" w:rsidRPr="005269E6" w:rsidRDefault="0021598E" w:rsidP="00364D3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14 018 </w:t>
            </w:r>
          </w:p>
        </w:tc>
        <w:tc>
          <w:tcPr>
            <w:tcW w:w="1540" w:type="dxa"/>
            <w:tcBorders>
              <w:top w:val="nil"/>
              <w:left w:val="nil"/>
              <w:bottom w:val="nil"/>
              <w:right w:val="nil"/>
            </w:tcBorders>
            <w:shd w:val="clear" w:color="auto" w:fill="auto"/>
            <w:noWrap/>
            <w:vAlign w:val="bottom"/>
            <w:hideMark/>
          </w:tcPr>
          <w:p w14:paraId="2FF7D862" w14:textId="7ACA391A" w:rsidR="0021598E" w:rsidRPr="005269E6" w:rsidRDefault="0021598E" w:rsidP="00364D3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11 273 </w:t>
            </w:r>
          </w:p>
        </w:tc>
      </w:tr>
      <w:tr w:rsidR="0021598E" w:rsidRPr="005269E6" w14:paraId="3373F730" w14:textId="77777777" w:rsidTr="0021598E">
        <w:trPr>
          <w:trHeight w:val="150"/>
          <w:jc w:val="center"/>
        </w:trPr>
        <w:tc>
          <w:tcPr>
            <w:tcW w:w="4000" w:type="dxa"/>
            <w:tcBorders>
              <w:top w:val="nil"/>
              <w:left w:val="nil"/>
              <w:bottom w:val="nil"/>
              <w:right w:val="nil"/>
            </w:tcBorders>
            <w:shd w:val="clear" w:color="auto" w:fill="auto"/>
            <w:noWrap/>
            <w:vAlign w:val="bottom"/>
            <w:hideMark/>
          </w:tcPr>
          <w:p w14:paraId="57039808" w14:textId="77777777" w:rsidR="0021598E" w:rsidRPr="005269E6" w:rsidRDefault="0021598E" w:rsidP="0021598E">
            <w:pPr>
              <w:tabs>
                <w:tab w:val="clear" w:pos="794"/>
              </w:tabs>
              <w:spacing w:before="40" w:after="40" w:line="240" w:lineRule="exact"/>
              <w:jc w:val="left"/>
              <w:rPr>
                <w:rFonts w:eastAsia="Times New Roman"/>
                <w:color w:val="000000"/>
                <w:sz w:val="18"/>
                <w:szCs w:val="18"/>
                <w:lang w:val="en-GB" w:eastAsia="en-GB"/>
              </w:rPr>
            </w:pPr>
          </w:p>
        </w:tc>
        <w:tc>
          <w:tcPr>
            <w:tcW w:w="1540" w:type="dxa"/>
            <w:tcBorders>
              <w:top w:val="nil"/>
              <w:left w:val="nil"/>
              <w:bottom w:val="nil"/>
              <w:right w:val="nil"/>
            </w:tcBorders>
            <w:shd w:val="clear" w:color="auto" w:fill="auto"/>
            <w:noWrap/>
            <w:vAlign w:val="bottom"/>
            <w:hideMark/>
          </w:tcPr>
          <w:p w14:paraId="3FEC4EC9" w14:textId="77777777" w:rsidR="0021598E" w:rsidRPr="005269E6" w:rsidRDefault="0021598E" w:rsidP="00364D3C">
            <w:pPr>
              <w:tabs>
                <w:tab w:val="clear" w:pos="794"/>
              </w:tabs>
              <w:spacing w:before="40" w:after="40" w:line="240" w:lineRule="exact"/>
              <w:jc w:val="left"/>
              <w:rPr>
                <w:rFonts w:eastAsia="Times New Roman"/>
                <w:sz w:val="18"/>
                <w:szCs w:val="18"/>
                <w:lang w:val="en-GB" w:eastAsia="en-GB"/>
              </w:rPr>
            </w:pPr>
          </w:p>
        </w:tc>
        <w:tc>
          <w:tcPr>
            <w:tcW w:w="1540" w:type="dxa"/>
            <w:tcBorders>
              <w:top w:val="nil"/>
              <w:left w:val="nil"/>
              <w:bottom w:val="nil"/>
              <w:right w:val="nil"/>
            </w:tcBorders>
            <w:shd w:val="clear" w:color="auto" w:fill="auto"/>
            <w:noWrap/>
            <w:vAlign w:val="bottom"/>
            <w:hideMark/>
          </w:tcPr>
          <w:p w14:paraId="679753BA" w14:textId="77777777" w:rsidR="0021598E" w:rsidRPr="005269E6" w:rsidRDefault="0021598E" w:rsidP="00364D3C">
            <w:pPr>
              <w:tabs>
                <w:tab w:val="clear" w:pos="794"/>
              </w:tabs>
              <w:spacing w:before="40" w:after="40" w:line="240" w:lineRule="exact"/>
              <w:jc w:val="left"/>
              <w:rPr>
                <w:rFonts w:eastAsia="Times New Roman"/>
                <w:sz w:val="18"/>
                <w:szCs w:val="18"/>
                <w:lang w:val="en-GB" w:eastAsia="en-GB"/>
              </w:rPr>
            </w:pPr>
          </w:p>
        </w:tc>
      </w:tr>
      <w:tr w:rsidR="0021598E" w:rsidRPr="005269E6" w14:paraId="39D89A99" w14:textId="77777777" w:rsidTr="004C39BB">
        <w:trPr>
          <w:trHeight w:val="347"/>
          <w:jc w:val="center"/>
        </w:trPr>
        <w:tc>
          <w:tcPr>
            <w:tcW w:w="4000" w:type="dxa"/>
            <w:tcBorders>
              <w:top w:val="nil"/>
              <w:left w:val="nil"/>
              <w:bottom w:val="nil"/>
              <w:right w:val="nil"/>
            </w:tcBorders>
            <w:shd w:val="clear" w:color="000000" w:fill="538DD5"/>
            <w:noWrap/>
            <w:vAlign w:val="center"/>
            <w:hideMark/>
          </w:tcPr>
          <w:p w14:paraId="02DEC681" w14:textId="5428255E" w:rsidR="0021598E" w:rsidRPr="005269E6" w:rsidRDefault="008F35E4" w:rsidP="0021598E">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مجموع - الأموال الخارجة عن الميزانية</w:t>
            </w:r>
          </w:p>
        </w:tc>
        <w:tc>
          <w:tcPr>
            <w:tcW w:w="1540" w:type="dxa"/>
            <w:tcBorders>
              <w:top w:val="nil"/>
              <w:left w:val="nil"/>
              <w:bottom w:val="nil"/>
              <w:right w:val="nil"/>
            </w:tcBorders>
            <w:shd w:val="clear" w:color="000000" w:fill="538DD5"/>
            <w:noWrap/>
            <w:vAlign w:val="center"/>
            <w:hideMark/>
          </w:tcPr>
          <w:p w14:paraId="37720314" w14:textId="2C81D6E1" w:rsidR="0021598E" w:rsidRPr="005269E6" w:rsidRDefault="0021598E" w:rsidP="00364D3C">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17 965 </w:t>
            </w:r>
          </w:p>
        </w:tc>
        <w:tc>
          <w:tcPr>
            <w:tcW w:w="1540" w:type="dxa"/>
            <w:tcBorders>
              <w:top w:val="nil"/>
              <w:left w:val="nil"/>
              <w:bottom w:val="nil"/>
              <w:right w:val="nil"/>
            </w:tcBorders>
            <w:shd w:val="clear" w:color="000000" w:fill="538DD5"/>
            <w:noWrap/>
            <w:vAlign w:val="center"/>
            <w:hideMark/>
          </w:tcPr>
          <w:p w14:paraId="2BECE34C" w14:textId="5B185739" w:rsidR="0021598E" w:rsidRPr="005269E6" w:rsidRDefault="0021598E" w:rsidP="00364D3C">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14 123 </w:t>
            </w:r>
          </w:p>
        </w:tc>
      </w:tr>
    </w:tbl>
    <w:p w14:paraId="34C4386B" w14:textId="77777777" w:rsidR="00C543C6" w:rsidRPr="005269E6" w:rsidRDefault="00C543C6" w:rsidP="00364D3C">
      <w:pPr>
        <w:pStyle w:val="Headingb"/>
        <w:spacing w:after="120"/>
      </w:pPr>
      <w:bookmarkStart w:id="594" w:name="_Toc452156651"/>
      <w:bookmarkStart w:id="595" w:name="_Toc358648567"/>
      <w:bookmarkStart w:id="596" w:name="_Toc358648368"/>
      <w:bookmarkStart w:id="597" w:name="_Toc329296040"/>
      <w:bookmarkStart w:id="598" w:name="_Toc74061592"/>
      <w:r w:rsidRPr="005269E6">
        <w:rPr>
          <w:rtl/>
        </w:rPr>
        <w:t>إيرادات التشغيل الأخرى</w:t>
      </w:r>
      <w:bookmarkEnd w:id="594"/>
      <w:bookmarkEnd w:id="595"/>
      <w:bookmarkEnd w:id="596"/>
      <w:bookmarkEnd w:id="597"/>
      <w:bookmarkEnd w:id="598"/>
    </w:p>
    <w:tbl>
      <w:tblPr>
        <w:bidiVisual/>
        <w:tblW w:w="7160" w:type="dxa"/>
        <w:jc w:val="center"/>
        <w:tblLook w:val="04A0" w:firstRow="1" w:lastRow="0" w:firstColumn="1" w:lastColumn="0" w:noHBand="0" w:noVBand="1"/>
      </w:tblPr>
      <w:tblGrid>
        <w:gridCol w:w="4440"/>
        <w:gridCol w:w="1300"/>
        <w:gridCol w:w="1420"/>
      </w:tblGrid>
      <w:tr w:rsidR="00726CB4" w:rsidRPr="005269E6" w14:paraId="73F2CA8A" w14:textId="77777777" w:rsidTr="004B73CC">
        <w:trPr>
          <w:trHeight w:val="552"/>
          <w:jc w:val="center"/>
        </w:trPr>
        <w:tc>
          <w:tcPr>
            <w:tcW w:w="4440" w:type="dxa"/>
            <w:tcBorders>
              <w:top w:val="nil"/>
              <w:left w:val="nil"/>
              <w:bottom w:val="nil"/>
              <w:right w:val="nil"/>
            </w:tcBorders>
            <w:shd w:val="clear" w:color="000000" w:fill="538DD5"/>
            <w:vAlign w:val="center"/>
            <w:hideMark/>
          </w:tcPr>
          <w:p w14:paraId="597D874C" w14:textId="75F81184" w:rsidR="00726CB4" w:rsidRPr="005269E6" w:rsidRDefault="00726CB4" w:rsidP="00726CB4">
            <w:pPr>
              <w:tabs>
                <w:tab w:val="clear" w:pos="794"/>
              </w:tabs>
              <w:bidi w:val="0"/>
              <w:spacing w:before="40" w:after="40" w:line="240" w:lineRule="exact"/>
              <w:jc w:val="right"/>
              <w:rPr>
                <w:rFonts w:eastAsia="Times New Roman"/>
                <w:b/>
                <w:bCs/>
                <w:color w:val="000000"/>
                <w:sz w:val="18"/>
                <w:szCs w:val="18"/>
                <w:lang w:val="en-GB" w:eastAsia="en-GB"/>
              </w:rPr>
            </w:pPr>
            <w:bookmarkStart w:id="599" w:name="_Toc452156652"/>
            <w:bookmarkStart w:id="600" w:name="_Toc74061593"/>
            <w:r w:rsidRPr="005269E6">
              <w:rPr>
                <w:rFonts w:eastAsia="Times New Roman"/>
                <w:b/>
                <w:bCs/>
                <w:color w:val="000000"/>
                <w:sz w:val="18"/>
                <w:szCs w:val="18"/>
                <w:rtl/>
                <w:lang w:val="en-GB" w:eastAsia="en-GB"/>
              </w:rPr>
              <w:t>الوصف (بآلاف الفرنكات السويسرية)</w:t>
            </w:r>
          </w:p>
        </w:tc>
        <w:tc>
          <w:tcPr>
            <w:tcW w:w="1300" w:type="dxa"/>
            <w:tcBorders>
              <w:top w:val="nil"/>
              <w:left w:val="nil"/>
              <w:bottom w:val="nil"/>
              <w:right w:val="nil"/>
            </w:tcBorders>
            <w:shd w:val="clear" w:color="000000" w:fill="538DD5"/>
            <w:vAlign w:val="center"/>
            <w:hideMark/>
          </w:tcPr>
          <w:p w14:paraId="3FBC4574" w14:textId="06D08836" w:rsidR="00726CB4" w:rsidRPr="005269E6" w:rsidRDefault="00726CB4" w:rsidP="00726CB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420" w:type="dxa"/>
            <w:tcBorders>
              <w:top w:val="nil"/>
              <w:left w:val="nil"/>
              <w:bottom w:val="nil"/>
              <w:right w:val="nil"/>
            </w:tcBorders>
            <w:shd w:val="clear" w:color="000000" w:fill="538DD5"/>
            <w:vAlign w:val="center"/>
            <w:hideMark/>
          </w:tcPr>
          <w:p w14:paraId="34C13AA0" w14:textId="42052896" w:rsidR="00726CB4" w:rsidRPr="005269E6" w:rsidRDefault="00726CB4" w:rsidP="00726CB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4B73CC" w:rsidRPr="005269E6" w14:paraId="6C948572" w14:textId="77777777" w:rsidTr="004B73CC">
        <w:trPr>
          <w:trHeight w:val="162"/>
          <w:jc w:val="center"/>
        </w:trPr>
        <w:tc>
          <w:tcPr>
            <w:tcW w:w="4440" w:type="dxa"/>
            <w:tcBorders>
              <w:top w:val="nil"/>
              <w:left w:val="nil"/>
              <w:bottom w:val="nil"/>
              <w:right w:val="nil"/>
            </w:tcBorders>
            <w:shd w:val="clear" w:color="auto" w:fill="auto"/>
            <w:vAlign w:val="center"/>
            <w:hideMark/>
          </w:tcPr>
          <w:p w14:paraId="4450F5BC" w14:textId="77777777" w:rsidR="004B73CC" w:rsidRPr="005269E6" w:rsidRDefault="004B73CC" w:rsidP="00726CB4">
            <w:pPr>
              <w:tabs>
                <w:tab w:val="clear" w:pos="794"/>
              </w:tabs>
              <w:spacing w:before="0" w:line="200" w:lineRule="exact"/>
              <w:jc w:val="left"/>
              <w:rPr>
                <w:rFonts w:eastAsia="Times New Roman"/>
                <w:b/>
                <w:bCs/>
                <w:color w:val="000000"/>
                <w:sz w:val="18"/>
                <w:szCs w:val="18"/>
                <w:lang w:val="en-GB" w:eastAsia="en-GB"/>
              </w:rPr>
            </w:pPr>
          </w:p>
        </w:tc>
        <w:tc>
          <w:tcPr>
            <w:tcW w:w="1300" w:type="dxa"/>
            <w:tcBorders>
              <w:top w:val="nil"/>
              <w:left w:val="nil"/>
              <w:bottom w:val="nil"/>
              <w:right w:val="nil"/>
            </w:tcBorders>
            <w:shd w:val="clear" w:color="auto" w:fill="auto"/>
            <w:vAlign w:val="center"/>
            <w:hideMark/>
          </w:tcPr>
          <w:p w14:paraId="70F012D2" w14:textId="77777777" w:rsidR="004B73CC" w:rsidRPr="005269E6" w:rsidRDefault="004B73CC" w:rsidP="00726CB4">
            <w:pPr>
              <w:tabs>
                <w:tab w:val="clear" w:pos="794"/>
              </w:tabs>
              <w:spacing w:before="0" w:line="200" w:lineRule="exact"/>
              <w:rPr>
                <w:rFonts w:eastAsia="Times New Roman"/>
                <w:b/>
                <w:bCs/>
                <w:color w:val="000000"/>
                <w:sz w:val="18"/>
                <w:szCs w:val="18"/>
                <w:lang w:val="en-GB" w:eastAsia="en-GB"/>
              </w:rPr>
            </w:pPr>
          </w:p>
        </w:tc>
        <w:tc>
          <w:tcPr>
            <w:tcW w:w="1420" w:type="dxa"/>
            <w:tcBorders>
              <w:top w:val="nil"/>
              <w:left w:val="nil"/>
              <w:bottom w:val="nil"/>
              <w:right w:val="nil"/>
            </w:tcBorders>
            <w:shd w:val="clear" w:color="auto" w:fill="auto"/>
            <w:vAlign w:val="center"/>
            <w:hideMark/>
          </w:tcPr>
          <w:p w14:paraId="450F0736" w14:textId="77777777" w:rsidR="004B73CC" w:rsidRPr="005269E6" w:rsidRDefault="004B73CC" w:rsidP="00726CB4">
            <w:pPr>
              <w:tabs>
                <w:tab w:val="clear" w:pos="794"/>
              </w:tabs>
              <w:spacing w:before="0" w:line="200" w:lineRule="exact"/>
              <w:jc w:val="left"/>
              <w:rPr>
                <w:rFonts w:eastAsia="Times New Roman"/>
                <w:b/>
                <w:bCs/>
                <w:color w:val="000000"/>
                <w:sz w:val="18"/>
                <w:szCs w:val="18"/>
                <w:lang w:val="en-GB" w:eastAsia="en-GB"/>
              </w:rPr>
            </w:pPr>
          </w:p>
        </w:tc>
      </w:tr>
      <w:tr w:rsidR="004B73CC" w:rsidRPr="005269E6" w14:paraId="3CB2C547" w14:textId="77777777" w:rsidTr="00726CB4">
        <w:trPr>
          <w:trHeight w:val="237"/>
          <w:jc w:val="center"/>
        </w:trPr>
        <w:tc>
          <w:tcPr>
            <w:tcW w:w="4440" w:type="dxa"/>
            <w:tcBorders>
              <w:top w:val="nil"/>
              <w:left w:val="nil"/>
              <w:bottom w:val="nil"/>
              <w:right w:val="nil"/>
            </w:tcBorders>
            <w:shd w:val="clear" w:color="auto" w:fill="auto"/>
            <w:noWrap/>
            <w:vAlign w:val="bottom"/>
            <w:hideMark/>
          </w:tcPr>
          <w:p w14:paraId="18D056A9" w14:textId="2A593855" w:rsidR="004B73CC" w:rsidRPr="005269E6" w:rsidRDefault="003C52E8" w:rsidP="00726CB4">
            <w:pPr>
              <w:tabs>
                <w:tab w:val="clear" w:pos="794"/>
              </w:tabs>
              <w:spacing w:before="40" w:after="40" w:line="240" w:lineRule="exact"/>
              <w:rPr>
                <w:rFonts w:eastAsia="Times New Roman"/>
                <w:color w:val="000000"/>
                <w:sz w:val="18"/>
                <w:szCs w:val="18"/>
                <w:lang w:val="en-GB" w:eastAsia="en-GB"/>
              </w:rPr>
            </w:pPr>
            <w:r w:rsidRPr="005269E6">
              <w:rPr>
                <w:rFonts w:eastAsia="Times New Roman"/>
                <w:color w:val="000000"/>
                <w:sz w:val="18"/>
                <w:szCs w:val="18"/>
                <w:rtl/>
                <w:lang w:val="en-GB" w:eastAsia="en-GB"/>
              </w:rPr>
              <w:t>إيرادات استرداد التكاليف</w:t>
            </w:r>
          </w:p>
        </w:tc>
        <w:tc>
          <w:tcPr>
            <w:tcW w:w="1300" w:type="dxa"/>
            <w:tcBorders>
              <w:top w:val="nil"/>
              <w:left w:val="nil"/>
              <w:bottom w:val="nil"/>
              <w:right w:val="nil"/>
            </w:tcBorders>
            <w:shd w:val="clear" w:color="auto" w:fill="auto"/>
            <w:noWrap/>
            <w:vAlign w:val="bottom"/>
            <w:hideMark/>
          </w:tcPr>
          <w:p w14:paraId="0B9948C5" w14:textId="77777777" w:rsidR="004B73CC" w:rsidRPr="005269E6" w:rsidRDefault="004B73CC" w:rsidP="00364D3C">
            <w:pPr>
              <w:tabs>
                <w:tab w:val="clear" w:pos="794"/>
              </w:tabs>
              <w:spacing w:before="40" w:after="40" w:line="240" w:lineRule="exact"/>
              <w:jc w:val="left"/>
              <w:rPr>
                <w:rFonts w:eastAsia="Times New Roman"/>
                <w:color w:val="000000"/>
                <w:sz w:val="18"/>
                <w:szCs w:val="18"/>
                <w:lang w:val="en-GB" w:eastAsia="en-GB"/>
              </w:rPr>
            </w:pPr>
          </w:p>
        </w:tc>
        <w:tc>
          <w:tcPr>
            <w:tcW w:w="1420" w:type="dxa"/>
            <w:tcBorders>
              <w:top w:val="nil"/>
              <w:left w:val="nil"/>
              <w:bottom w:val="nil"/>
              <w:right w:val="nil"/>
            </w:tcBorders>
            <w:shd w:val="clear" w:color="auto" w:fill="auto"/>
            <w:noWrap/>
            <w:vAlign w:val="bottom"/>
            <w:hideMark/>
          </w:tcPr>
          <w:p w14:paraId="128969F6" w14:textId="77777777" w:rsidR="004B73CC" w:rsidRPr="005269E6" w:rsidRDefault="004B73CC" w:rsidP="00364D3C">
            <w:pPr>
              <w:tabs>
                <w:tab w:val="clear" w:pos="794"/>
              </w:tabs>
              <w:spacing w:before="40" w:after="40" w:line="240" w:lineRule="exact"/>
              <w:jc w:val="left"/>
              <w:rPr>
                <w:rFonts w:eastAsia="Times New Roman"/>
                <w:sz w:val="18"/>
                <w:szCs w:val="18"/>
                <w:lang w:val="en-GB" w:eastAsia="en-GB"/>
              </w:rPr>
            </w:pPr>
          </w:p>
        </w:tc>
      </w:tr>
      <w:tr w:rsidR="004B73CC" w:rsidRPr="005269E6" w14:paraId="51D1FA0E" w14:textId="77777777" w:rsidTr="004B73CC">
        <w:trPr>
          <w:trHeight w:val="255"/>
          <w:jc w:val="center"/>
        </w:trPr>
        <w:tc>
          <w:tcPr>
            <w:tcW w:w="4440" w:type="dxa"/>
            <w:tcBorders>
              <w:top w:val="nil"/>
              <w:left w:val="nil"/>
              <w:bottom w:val="nil"/>
              <w:right w:val="nil"/>
            </w:tcBorders>
            <w:shd w:val="clear" w:color="auto" w:fill="auto"/>
            <w:noWrap/>
            <w:vAlign w:val="bottom"/>
            <w:hideMark/>
          </w:tcPr>
          <w:p w14:paraId="31471680" w14:textId="69207656" w:rsidR="004B73CC" w:rsidRPr="005269E6" w:rsidRDefault="00726CB4" w:rsidP="004719AC">
            <w:pPr>
              <w:tabs>
                <w:tab w:val="clear" w:pos="794"/>
                <w:tab w:val="left" w:pos="269"/>
              </w:tabs>
              <w:spacing w:before="40" w:after="40" w:line="240" w:lineRule="exact"/>
              <w:rPr>
                <w:rFonts w:eastAsia="Times New Roman"/>
                <w:color w:val="000000"/>
                <w:sz w:val="18"/>
                <w:szCs w:val="18"/>
                <w:lang w:val="en-GB" w:eastAsia="en-GB"/>
              </w:rPr>
            </w:pPr>
            <w:r w:rsidRPr="005269E6">
              <w:rPr>
                <w:rFonts w:eastAsia="Times New Roman" w:hint="cs"/>
                <w:color w:val="000000"/>
                <w:sz w:val="18"/>
                <w:szCs w:val="18"/>
                <w:rtl/>
                <w:lang w:val="en-GB" w:eastAsia="en-GB"/>
              </w:rPr>
              <w:t>-</w:t>
            </w:r>
            <w:r w:rsidR="004719AC" w:rsidRPr="005269E6">
              <w:rPr>
                <w:rFonts w:eastAsia="Times New Roman"/>
                <w:color w:val="000000"/>
                <w:sz w:val="18"/>
                <w:szCs w:val="18"/>
                <w:rtl/>
                <w:lang w:val="en-GB" w:eastAsia="en-GB" w:bidi="ar-SY"/>
              </w:rPr>
              <w:tab/>
            </w:r>
            <w:r w:rsidR="003C52E8" w:rsidRPr="005269E6">
              <w:rPr>
                <w:rFonts w:eastAsia="Times New Roman"/>
                <w:color w:val="000000"/>
                <w:sz w:val="18"/>
                <w:szCs w:val="18"/>
                <w:rtl/>
                <w:lang w:val="en-GB" w:eastAsia="en-GB"/>
              </w:rPr>
              <w:t>المنشورات</w:t>
            </w:r>
          </w:p>
        </w:tc>
        <w:tc>
          <w:tcPr>
            <w:tcW w:w="1300" w:type="dxa"/>
            <w:tcBorders>
              <w:top w:val="nil"/>
              <w:left w:val="nil"/>
              <w:bottom w:val="nil"/>
              <w:right w:val="nil"/>
            </w:tcBorders>
            <w:shd w:val="clear" w:color="auto" w:fill="auto"/>
            <w:noWrap/>
            <w:vAlign w:val="bottom"/>
            <w:hideMark/>
          </w:tcPr>
          <w:p w14:paraId="0F3700F3" w14:textId="583D2CB6" w:rsidR="004B73CC" w:rsidRPr="005269E6" w:rsidRDefault="004B73CC" w:rsidP="00364D3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14 604 </w:t>
            </w:r>
          </w:p>
        </w:tc>
        <w:tc>
          <w:tcPr>
            <w:tcW w:w="1420" w:type="dxa"/>
            <w:tcBorders>
              <w:top w:val="nil"/>
              <w:left w:val="nil"/>
              <w:bottom w:val="nil"/>
              <w:right w:val="nil"/>
            </w:tcBorders>
            <w:shd w:val="clear" w:color="auto" w:fill="auto"/>
            <w:noWrap/>
            <w:vAlign w:val="bottom"/>
            <w:hideMark/>
          </w:tcPr>
          <w:p w14:paraId="4C2C1297" w14:textId="32BFD93B" w:rsidR="004B73CC" w:rsidRPr="005269E6" w:rsidRDefault="004B73CC" w:rsidP="00364D3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19 411 </w:t>
            </w:r>
          </w:p>
        </w:tc>
      </w:tr>
      <w:tr w:rsidR="004B73CC" w:rsidRPr="005269E6" w14:paraId="5EB92B91" w14:textId="77777777" w:rsidTr="004B73CC">
        <w:trPr>
          <w:trHeight w:val="255"/>
          <w:jc w:val="center"/>
        </w:trPr>
        <w:tc>
          <w:tcPr>
            <w:tcW w:w="4440" w:type="dxa"/>
            <w:tcBorders>
              <w:top w:val="nil"/>
              <w:left w:val="nil"/>
              <w:bottom w:val="nil"/>
              <w:right w:val="nil"/>
            </w:tcBorders>
            <w:shd w:val="clear" w:color="auto" w:fill="auto"/>
            <w:noWrap/>
            <w:vAlign w:val="bottom"/>
            <w:hideMark/>
          </w:tcPr>
          <w:p w14:paraId="7F72C4B2" w14:textId="1CC1A940" w:rsidR="004B73CC" w:rsidRPr="005269E6" w:rsidRDefault="00726CB4" w:rsidP="004719AC">
            <w:pPr>
              <w:tabs>
                <w:tab w:val="clear" w:pos="794"/>
                <w:tab w:val="left" w:pos="269"/>
              </w:tabs>
              <w:spacing w:before="40" w:after="40" w:line="240" w:lineRule="exact"/>
              <w:rPr>
                <w:rFonts w:eastAsia="Times New Roman"/>
                <w:color w:val="000000"/>
                <w:sz w:val="18"/>
                <w:szCs w:val="18"/>
                <w:lang w:val="en-GB" w:eastAsia="en-GB"/>
              </w:rPr>
            </w:pPr>
            <w:r w:rsidRPr="005269E6">
              <w:rPr>
                <w:rFonts w:eastAsia="Times New Roman" w:hint="cs"/>
                <w:color w:val="000000"/>
                <w:sz w:val="18"/>
                <w:szCs w:val="18"/>
                <w:rtl/>
                <w:lang w:val="en-GB" w:eastAsia="en-GB"/>
              </w:rPr>
              <w:t>-</w:t>
            </w:r>
            <w:r w:rsidR="004719AC" w:rsidRPr="005269E6">
              <w:rPr>
                <w:rFonts w:eastAsia="Times New Roman"/>
                <w:color w:val="000000"/>
                <w:sz w:val="18"/>
                <w:szCs w:val="18"/>
                <w:rtl/>
                <w:lang w:val="en-GB" w:eastAsia="en-GB"/>
              </w:rPr>
              <w:tab/>
            </w:r>
            <w:r w:rsidR="003C52E8" w:rsidRPr="005269E6">
              <w:rPr>
                <w:rFonts w:eastAsia="Times New Roman"/>
                <w:color w:val="000000"/>
                <w:sz w:val="18"/>
                <w:szCs w:val="18"/>
                <w:rtl/>
                <w:lang w:val="en-GB" w:eastAsia="en-GB"/>
              </w:rPr>
              <w:t>بطاقات التبليغ عن الشبكات الساتلية (</w:t>
            </w:r>
            <w:r w:rsidR="003C52E8" w:rsidRPr="005269E6">
              <w:rPr>
                <w:rFonts w:eastAsia="Times New Roman"/>
                <w:color w:val="000000"/>
                <w:sz w:val="18"/>
                <w:szCs w:val="18"/>
                <w:lang w:val="en-GB" w:eastAsia="en-GB"/>
              </w:rPr>
              <w:t>SNF</w:t>
            </w:r>
            <w:r w:rsidR="003C52E8" w:rsidRPr="005269E6">
              <w:rPr>
                <w:rFonts w:eastAsia="Times New Roman"/>
                <w:color w:val="000000"/>
                <w:sz w:val="18"/>
                <w:szCs w:val="18"/>
                <w:rtl/>
                <w:lang w:val="en-GB" w:eastAsia="en-GB"/>
              </w:rPr>
              <w:t>)</w:t>
            </w:r>
          </w:p>
        </w:tc>
        <w:tc>
          <w:tcPr>
            <w:tcW w:w="1300" w:type="dxa"/>
            <w:tcBorders>
              <w:top w:val="nil"/>
              <w:left w:val="nil"/>
              <w:bottom w:val="nil"/>
              <w:right w:val="nil"/>
            </w:tcBorders>
            <w:shd w:val="clear" w:color="auto" w:fill="auto"/>
            <w:noWrap/>
            <w:vAlign w:val="bottom"/>
            <w:hideMark/>
          </w:tcPr>
          <w:p w14:paraId="70F0EA28" w14:textId="08ED6CF5" w:rsidR="004B73CC" w:rsidRPr="005269E6" w:rsidRDefault="004B73CC" w:rsidP="00364D3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10 285 </w:t>
            </w:r>
          </w:p>
        </w:tc>
        <w:tc>
          <w:tcPr>
            <w:tcW w:w="1420" w:type="dxa"/>
            <w:tcBorders>
              <w:top w:val="nil"/>
              <w:left w:val="nil"/>
              <w:bottom w:val="nil"/>
              <w:right w:val="nil"/>
            </w:tcBorders>
            <w:shd w:val="clear" w:color="auto" w:fill="auto"/>
            <w:noWrap/>
            <w:vAlign w:val="bottom"/>
            <w:hideMark/>
          </w:tcPr>
          <w:p w14:paraId="6553E65B" w14:textId="2F6D9FF2" w:rsidR="004B73CC" w:rsidRPr="005269E6" w:rsidRDefault="004B73CC" w:rsidP="00364D3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11 240 </w:t>
            </w:r>
          </w:p>
        </w:tc>
      </w:tr>
      <w:tr w:rsidR="004B73CC" w:rsidRPr="005269E6" w14:paraId="127796D2" w14:textId="77777777" w:rsidTr="004B73CC">
        <w:trPr>
          <w:trHeight w:val="255"/>
          <w:jc w:val="center"/>
        </w:trPr>
        <w:tc>
          <w:tcPr>
            <w:tcW w:w="4440" w:type="dxa"/>
            <w:tcBorders>
              <w:top w:val="nil"/>
              <w:left w:val="nil"/>
              <w:bottom w:val="nil"/>
              <w:right w:val="nil"/>
            </w:tcBorders>
            <w:shd w:val="clear" w:color="auto" w:fill="auto"/>
            <w:noWrap/>
            <w:vAlign w:val="bottom"/>
            <w:hideMark/>
          </w:tcPr>
          <w:p w14:paraId="00C932D8" w14:textId="29197512" w:rsidR="004B73CC" w:rsidRPr="005269E6" w:rsidRDefault="00726CB4" w:rsidP="004719AC">
            <w:pPr>
              <w:tabs>
                <w:tab w:val="clear" w:pos="794"/>
                <w:tab w:val="left" w:pos="269"/>
              </w:tabs>
              <w:spacing w:before="40" w:after="40" w:line="240" w:lineRule="exact"/>
              <w:rPr>
                <w:rFonts w:eastAsia="Times New Roman"/>
                <w:color w:val="000000"/>
                <w:sz w:val="18"/>
                <w:szCs w:val="18"/>
                <w:lang w:val="en-GB" w:eastAsia="en-GB"/>
              </w:rPr>
            </w:pPr>
            <w:r w:rsidRPr="005269E6">
              <w:rPr>
                <w:rFonts w:eastAsia="Times New Roman" w:hint="cs"/>
                <w:color w:val="000000"/>
                <w:sz w:val="18"/>
                <w:szCs w:val="18"/>
                <w:rtl/>
                <w:lang w:val="en-GB" w:eastAsia="en-GB"/>
              </w:rPr>
              <w:t>-</w:t>
            </w:r>
            <w:r w:rsidR="004719AC" w:rsidRPr="005269E6">
              <w:rPr>
                <w:rFonts w:eastAsia="Times New Roman"/>
                <w:color w:val="000000"/>
                <w:sz w:val="18"/>
                <w:szCs w:val="18"/>
                <w:rtl/>
                <w:lang w:val="en-GB" w:eastAsia="en-GB"/>
              </w:rPr>
              <w:tab/>
            </w:r>
            <w:r w:rsidR="003C52E8" w:rsidRPr="005269E6">
              <w:rPr>
                <w:rFonts w:eastAsia="Times New Roman"/>
                <w:color w:val="000000"/>
                <w:sz w:val="18"/>
                <w:szCs w:val="18"/>
                <w:rtl/>
                <w:lang w:val="en-GB" w:eastAsia="en-GB"/>
              </w:rPr>
              <w:t>إيرادات أخرى</w:t>
            </w:r>
          </w:p>
        </w:tc>
        <w:tc>
          <w:tcPr>
            <w:tcW w:w="1300" w:type="dxa"/>
            <w:tcBorders>
              <w:top w:val="nil"/>
              <w:left w:val="nil"/>
              <w:bottom w:val="nil"/>
              <w:right w:val="nil"/>
            </w:tcBorders>
            <w:shd w:val="clear" w:color="auto" w:fill="auto"/>
            <w:noWrap/>
            <w:vAlign w:val="bottom"/>
            <w:hideMark/>
          </w:tcPr>
          <w:p w14:paraId="41B041CA" w14:textId="1073F86E" w:rsidR="004B73CC" w:rsidRPr="005269E6" w:rsidRDefault="004B73CC" w:rsidP="00364D3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1 584 </w:t>
            </w:r>
          </w:p>
        </w:tc>
        <w:tc>
          <w:tcPr>
            <w:tcW w:w="1420" w:type="dxa"/>
            <w:tcBorders>
              <w:top w:val="nil"/>
              <w:left w:val="nil"/>
              <w:bottom w:val="nil"/>
              <w:right w:val="nil"/>
            </w:tcBorders>
            <w:shd w:val="clear" w:color="auto" w:fill="auto"/>
            <w:noWrap/>
            <w:vAlign w:val="bottom"/>
            <w:hideMark/>
          </w:tcPr>
          <w:p w14:paraId="21D8BA80" w14:textId="5B83DD99" w:rsidR="004B73CC" w:rsidRPr="005269E6" w:rsidRDefault="004B73CC" w:rsidP="00364D3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6 703 </w:t>
            </w:r>
          </w:p>
        </w:tc>
      </w:tr>
      <w:tr w:rsidR="004B73CC" w:rsidRPr="005269E6" w14:paraId="39EAC662" w14:textId="77777777" w:rsidTr="004B73CC">
        <w:trPr>
          <w:trHeight w:val="150"/>
          <w:jc w:val="center"/>
        </w:trPr>
        <w:tc>
          <w:tcPr>
            <w:tcW w:w="4440" w:type="dxa"/>
            <w:tcBorders>
              <w:top w:val="nil"/>
              <w:left w:val="nil"/>
              <w:bottom w:val="nil"/>
              <w:right w:val="nil"/>
            </w:tcBorders>
            <w:shd w:val="clear" w:color="auto" w:fill="auto"/>
            <w:noWrap/>
            <w:vAlign w:val="bottom"/>
            <w:hideMark/>
          </w:tcPr>
          <w:p w14:paraId="10E1B35C" w14:textId="77777777" w:rsidR="004B73CC" w:rsidRPr="005269E6" w:rsidRDefault="004B73CC" w:rsidP="004B73CC">
            <w:pPr>
              <w:tabs>
                <w:tab w:val="clear" w:pos="794"/>
              </w:tabs>
              <w:spacing w:before="0" w:line="200" w:lineRule="exact"/>
              <w:jc w:val="center"/>
              <w:rPr>
                <w:rFonts w:eastAsia="Times New Roman"/>
                <w:b/>
                <w:bCs/>
                <w:color w:val="000000"/>
                <w:sz w:val="18"/>
                <w:szCs w:val="18"/>
                <w:lang w:val="en-GB" w:eastAsia="en-GB"/>
              </w:rPr>
            </w:pPr>
          </w:p>
        </w:tc>
        <w:tc>
          <w:tcPr>
            <w:tcW w:w="1300" w:type="dxa"/>
            <w:tcBorders>
              <w:top w:val="nil"/>
              <w:left w:val="nil"/>
              <w:bottom w:val="nil"/>
              <w:right w:val="nil"/>
            </w:tcBorders>
            <w:shd w:val="clear" w:color="auto" w:fill="auto"/>
            <w:noWrap/>
            <w:vAlign w:val="bottom"/>
            <w:hideMark/>
          </w:tcPr>
          <w:p w14:paraId="3DAA8552" w14:textId="77777777" w:rsidR="004B73CC" w:rsidRPr="005269E6" w:rsidRDefault="004B73CC" w:rsidP="00364D3C">
            <w:pPr>
              <w:tabs>
                <w:tab w:val="clear" w:pos="794"/>
              </w:tabs>
              <w:spacing w:before="0" w:line="200" w:lineRule="exact"/>
              <w:jc w:val="left"/>
              <w:rPr>
                <w:rFonts w:eastAsia="Times New Roman"/>
                <w:b/>
                <w:bCs/>
                <w:color w:val="000000"/>
                <w:sz w:val="18"/>
                <w:szCs w:val="18"/>
                <w:lang w:val="en-GB" w:eastAsia="en-GB"/>
              </w:rPr>
            </w:pPr>
          </w:p>
        </w:tc>
        <w:tc>
          <w:tcPr>
            <w:tcW w:w="1420" w:type="dxa"/>
            <w:tcBorders>
              <w:top w:val="nil"/>
              <w:left w:val="nil"/>
              <w:bottom w:val="nil"/>
              <w:right w:val="nil"/>
            </w:tcBorders>
            <w:shd w:val="clear" w:color="auto" w:fill="auto"/>
            <w:noWrap/>
            <w:vAlign w:val="bottom"/>
            <w:hideMark/>
          </w:tcPr>
          <w:p w14:paraId="51C97DC5" w14:textId="77777777" w:rsidR="004B73CC" w:rsidRPr="005269E6" w:rsidRDefault="004B73CC" w:rsidP="00364D3C">
            <w:pPr>
              <w:tabs>
                <w:tab w:val="clear" w:pos="794"/>
              </w:tabs>
              <w:spacing w:before="0" w:line="200" w:lineRule="exact"/>
              <w:jc w:val="left"/>
              <w:rPr>
                <w:rFonts w:eastAsia="Times New Roman"/>
                <w:b/>
                <w:bCs/>
                <w:color w:val="000000"/>
                <w:sz w:val="18"/>
                <w:szCs w:val="18"/>
                <w:lang w:val="en-GB" w:eastAsia="en-GB"/>
              </w:rPr>
            </w:pPr>
          </w:p>
        </w:tc>
      </w:tr>
      <w:tr w:rsidR="004B73CC" w:rsidRPr="005269E6" w14:paraId="2DB2CC62" w14:textId="77777777" w:rsidTr="00726CB4">
        <w:trPr>
          <w:trHeight w:val="292"/>
          <w:jc w:val="center"/>
        </w:trPr>
        <w:tc>
          <w:tcPr>
            <w:tcW w:w="4440" w:type="dxa"/>
            <w:tcBorders>
              <w:top w:val="nil"/>
              <w:left w:val="nil"/>
              <w:bottom w:val="nil"/>
              <w:right w:val="nil"/>
            </w:tcBorders>
            <w:shd w:val="clear" w:color="000000" w:fill="538DD5"/>
            <w:noWrap/>
            <w:vAlign w:val="center"/>
            <w:hideMark/>
          </w:tcPr>
          <w:p w14:paraId="7EC972F1" w14:textId="6079CF73" w:rsidR="004B73CC" w:rsidRPr="005269E6" w:rsidRDefault="003C52E8" w:rsidP="004B73CC">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مجموع - الديون الأخرى</w:t>
            </w:r>
          </w:p>
        </w:tc>
        <w:tc>
          <w:tcPr>
            <w:tcW w:w="1300" w:type="dxa"/>
            <w:tcBorders>
              <w:top w:val="nil"/>
              <w:left w:val="nil"/>
              <w:bottom w:val="nil"/>
              <w:right w:val="nil"/>
            </w:tcBorders>
            <w:shd w:val="clear" w:color="000000" w:fill="538DD5"/>
            <w:noWrap/>
            <w:vAlign w:val="center"/>
            <w:hideMark/>
          </w:tcPr>
          <w:p w14:paraId="114B837C" w14:textId="6176ECF4" w:rsidR="004B73CC" w:rsidRPr="005269E6" w:rsidRDefault="004B73CC" w:rsidP="00364D3C">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26 473 </w:t>
            </w:r>
          </w:p>
        </w:tc>
        <w:tc>
          <w:tcPr>
            <w:tcW w:w="1420" w:type="dxa"/>
            <w:tcBorders>
              <w:top w:val="nil"/>
              <w:left w:val="nil"/>
              <w:bottom w:val="nil"/>
              <w:right w:val="nil"/>
            </w:tcBorders>
            <w:shd w:val="clear" w:color="000000" w:fill="538DD5"/>
            <w:noWrap/>
            <w:vAlign w:val="center"/>
            <w:hideMark/>
          </w:tcPr>
          <w:p w14:paraId="18FFF04F" w14:textId="39220614" w:rsidR="004B73CC" w:rsidRPr="005269E6" w:rsidRDefault="004B73CC" w:rsidP="00364D3C">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37 355 </w:t>
            </w:r>
          </w:p>
        </w:tc>
      </w:tr>
    </w:tbl>
    <w:p w14:paraId="3A34C638" w14:textId="0B09A3D1" w:rsidR="004B73CC" w:rsidRPr="005269E6" w:rsidRDefault="0041011F" w:rsidP="0041011F">
      <w:pPr>
        <w:rPr>
          <w:rtl/>
          <w:lang w:bidi="ar-SY"/>
        </w:rPr>
      </w:pPr>
      <w:r w:rsidRPr="005269E6">
        <w:rPr>
          <w:rtl/>
          <w:lang w:bidi="ar-SY"/>
        </w:rPr>
        <w:t xml:space="preserve">بلغت الإيرادات المتأتية من مبيعات المنشورات في عام 2022 </w:t>
      </w:r>
      <w:r w:rsidRPr="005269E6">
        <w:rPr>
          <w:rFonts w:hint="cs"/>
          <w:rtl/>
          <w:lang w:bidi="ar-SY"/>
        </w:rPr>
        <w:t>مبلغ</w:t>
      </w:r>
      <w:r w:rsidRPr="005269E6">
        <w:rPr>
          <w:rtl/>
          <w:lang w:bidi="ar-SY"/>
        </w:rPr>
        <w:t xml:space="preserve"> 14,6 مليون فرنك سويسري، أي 0,9 مليون فرنك سويسري أقل من الإيرادات المتوقعة في الميزانية البالغة 15,5 مليون فرنك سويسري لعام 2022.</w:t>
      </w:r>
    </w:p>
    <w:p w14:paraId="3CCA5A7A" w14:textId="32E39557" w:rsidR="008D28FB" w:rsidRPr="005269E6" w:rsidRDefault="0041011F" w:rsidP="0041011F">
      <w:pPr>
        <w:rPr>
          <w:rtl/>
          <w:lang w:bidi="ar-SY"/>
        </w:rPr>
      </w:pPr>
      <w:r w:rsidRPr="005269E6">
        <w:rPr>
          <w:rtl/>
          <w:lang w:bidi="ar-SY"/>
        </w:rPr>
        <w:t xml:space="preserve">ويعزى انخفاض التوقعات البالغ 15,5 مليون فرنك سويسري في عام 2022 مقارنة بتوقعات عام 2021 البالغة 19 مليون فرنك سويسري والمبيعات اللاحقة البالغة 19,4 مليون فرنك سويسري، مباشرة إلى الجدول الزمني الدوري </w:t>
      </w:r>
      <w:r w:rsidRPr="005269E6">
        <w:rPr>
          <w:rFonts w:hint="cs"/>
          <w:rtl/>
          <w:lang w:bidi="ar-SY"/>
        </w:rPr>
        <w:t>الفريد</w:t>
      </w:r>
      <w:r w:rsidRPr="005269E6">
        <w:rPr>
          <w:rtl/>
          <w:lang w:bidi="ar-SY"/>
        </w:rPr>
        <w:t xml:space="preserve"> للمنشورات البحرية الرائدة للاتحاد، التي تمثل أكثر من 90 في المائة من مبيعات المنشورات وحيث لا </w:t>
      </w:r>
      <w:r w:rsidRPr="005269E6">
        <w:rPr>
          <w:rFonts w:hint="cs"/>
          <w:rtl/>
          <w:lang w:bidi="ar-SY"/>
        </w:rPr>
        <w:t>يُنشر</w:t>
      </w:r>
      <w:r w:rsidRPr="005269E6">
        <w:rPr>
          <w:rtl/>
          <w:lang w:bidi="ar-SY"/>
        </w:rPr>
        <w:t xml:space="preserve"> إلا عنوان واحد</w:t>
      </w:r>
      <w:r w:rsidRPr="005269E6">
        <w:rPr>
          <w:rFonts w:hint="cs"/>
          <w:rtl/>
          <w:lang w:bidi="ar-SY"/>
        </w:rPr>
        <w:t xml:space="preserve"> من</w:t>
      </w:r>
      <w:r w:rsidRPr="005269E6">
        <w:rPr>
          <w:rtl/>
        </w:rPr>
        <w:t xml:space="preserve"> </w:t>
      </w:r>
      <w:r w:rsidRPr="005269E6">
        <w:rPr>
          <w:rtl/>
          <w:lang w:bidi="ar-SY"/>
        </w:rPr>
        <w:t>المنشورات</w:t>
      </w:r>
      <w:r w:rsidRPr="005269E6">
        <w:rPr>
          <w:rtl/>
        </w:rPr>
        <w:t xml:space="preserve"> </w:t>
      </w:r>
      <w:r w:rsidRPr="005269E6">
        <w:rPr>
          <w:rtl/>
          <w:lang w:bidi="ar-SY"/>
        </w:rPr>
        <w:t xml:space="preserve">البحرية على أساس سنوي (القائمة </w:t>
      </w:r>
      <w:r w:rsidRPr="005269E6">
        <w:rPr>
          <w:lang w:bidi="ar-SY"/>
        </w:rPr>
        <w:t>V</w:t>
      </w:r>
      <w:r w:rsidRPr="005269E6">
        <w:rPr>
          <w:rtl/>
          <w:lang w:bidi="ar-SY"/>
        </w:rPr>
        <w:t xml:space="preserve">). وكانت </w:t>
      </w:r>
      <w:r w:rsidRPr="005269E6">
        <w:rPr>
          <w:rFonts w:hint="cs"/>
          <w:rtl/>
          <w:lang w:bidi="ar-SY"/>
        </w:rPr>
        <w:t xml:space="preserve">قاطرة </w:t>
      </w:r>
      <w:r w:rsidRPr="005269E6">
        <w:rPr>
          <w:rtl/>
          <w:lang w:bidi="ar-SY"/>
        </w:rPr>
        <w:t xml:space="preserve">الإيرادات في عام 2022 </w:t>
      </w:r>
      <w:r w:rsidRPr="005269E6">
        <w:rPr>
          <w:rFonts w:hint="cs"/>
          <w:rtl/>
          <w:lang w:bidi="ar-SY"/>
        </w:rPr>
        <w:t>تنحصر</w:t>
      </w:r>
      <w:r w:rsidRPr="005269E6">
        <w:rPr>
          <w:rtl/>
          <w:lang w:bidi="ar-SY"/>
        </w:rPr>
        <w:t xml:space="preserve"> بالمبيعات القوية البالغة 9 ملايين فرنك سويسري من الإصدار الوحيد للسنة، </w:t>
      </w:r>
      <w:r w:rsidRPr="005269E6">
        <w:rPr>
          <w:rFonts w:hint="cs"/>
          <w:rtl/>
          <w:lang w:bidi="ar-SY"/>
        </w:rPr>
        <w:t xml:space="preserve">وهو </w:t>
      </w:r>
      <w:r w:rsidRPr="005269E6">
        <w:rPr>
          <w:rtl/>
          <w:lang w:bidi="ar-SY"/>
        </w:rPr>
        <w:t xml:space="preserve">القائمة </w:t>
      </w:r>
      <w:r w:rsidRPr="005269E6">
        <w:rPr>
          <w:lang w:bidi="ar-SY"/>
        </w:rPr>
        <w:t>V</w:t>
      </w:r>
      <w:r w:rsidRPr="005269E6">
        <w:rPr>
          <w:rtl/>
          <w:lang w:bidi="ar-SY"/>
        </w:rPr>
        <w:t>/قائمة محطات السفن لعام 2022.</w:t>
      </w:r>
    </w:p>
    <w:p w14:paraId="48FF2BAA" w14:textId="2280E187" w:rsidR="008D28FB" w:rsidRPr="005269E6" w:rsidRDefault="0032505C" w:rsidP="0032505C">
      <w:pPr>
        <w:rPr>
          <w:rtl/>
          <w:lang w:bidi="ar-SY"/>
        </w:rPr>
      </w:pPr>
      <w:r w:rsidRPr="005269E6">
        <w:rPr>
          <w:rFonts w:hint="cs"/>
          <w:rtl/>
          <w:lang w:bidi="ar-SY"/>
        </w:rPr>
        <w:t>و</w:t>
      </w:r>
      <w:r w:rsidRPr="005269E6">
        <w:rPr>
          <w:rtl/>
          <w:lang w:bidi="ar-SY"/>
        </w:rPr>
        <w:t>يعزى انخفاض إيرادات معالجة بطاقات التبليغ عن الشبكات الساتلية (</w:t>
      </w:r>
      <w:r w:rsidRPr="005269E6">
        <w:rPr>
          <w:lang w:bidi="ar-SY"/>
        </w:rPr>
        <w:t>SNF</w:t>
      </w:r>
      <w:r w:rsidRPr="005269E6">
        <w:rPr>
          <w:rtl/>
          <w:lang w:bidi="ar-SY"/>
        </w:rPr>
        <w:t xml:space="preserve">) في عام 2022 إلى انخفاض استرداد التكاليف نتيجة لجائحة </w:t>
      </w:r>
      <w:r w:rsidRPr="005269E6">
        <w:rPr>
          <w:rFonts w:hint="cs"/>
          <w:rtl/>
          <w:lang w:bidi="ar-SY"/>
        </w:rPr>
        <w:t>كوفيد</w:t>
      </w:r>
      <w:r w:rsidRPr="005269E6">
        <w:rPr>
          <w:rtl/>
          <w:lang w:bidi="ar-SY"/>
        </w:rPr>
        <w:t xml:space="preserve"> التي شهدت انخفاضا</w:t>
      </w:r>
      <w:r w:rsidR="00726CB4" w:rsidRPr="005269E6">
        <w:rPr>
          <w:rFonts w:hint="cs"/>
          <w:rtl/>
          <w:lang w:bidi="ar-SY"/>
        </w:rPr>
        <w:t>ً</w:t>
      </w:r>
      <w:r w:rsidRPr="005269E6">
        <w:rPr>
          <w:rtl/>
          <w:lang w:bidi="ar-SY"/>
        </w:rPr>
        <w:t xml:space="preserve"> كبيرا</w:t>
      </w:r>
      <w:r w:rsidR="00726CB4" w:rsidRPr="005269E6">
        <w:rPr>
          <w:rFonts w:hint="cs"/>
          <w:rtl/>
          <w:lang w:bidi="ar-SY"/>
        </w:rPr>
        <w:t>ً</w:t>
      </w:r>
      <w:r w:rsidRPr="005269E6">
        <w:rPr>
          <w:rtl/>
          <w:lang w:bidi="ar-SY"/>
        </w:rPr>
        <w:t xml:space="preserve"> في طلبات التبليغ. وقد أدى ذلك إلى انخفاض في الإيرادات المتوقعة. وفي الواقع، كانت ميزانية صندوق بطاقات التبليغ عن الشبكات الساتلية </w:t>
      </w:r>
      <w:r w:rsidRPr="005269E6">
        <w:rPr>
          <w:lang w:bidi="ar-SY"/>
        </w:rPr>
        <w:t>15</w:t>
      </w:r>
      <w:r w:rsidRPr="005269E6">
        <w:rPr>
          <w:rtl/>
          <w:lang w:bidi="ar-SY"/>
        </w:rPr>
        <w:t xml:space="preserve"> مليون فرنك سويسري، ولكن الإيرادات الفعلية </w:t>
      </w:r>
      <w:r w:rsidRPr="005269E6">
        <w:rPr>
          <w:rFonts w:hint="cs"/>
          <w:rtl/>
          <w:lang w:bidi="ar-SY"/>
        </w:rPr>
        <w:t>بلغت</w:t>
      </w:r>
      <w:r w:rsidRPr="005269E6">
        <w:rPr>
          <w:rtl/>
          <w:lang w:bidi="ar-SY"/>
        </w:rPr>
        <w:t xml:space="preserve"> 10,3 مليون فرنك سويسري، أي </w:t>
      </w:r>
      <w:r w:rsidR="002E4917" w:rsidRPr="005269E6">
        <w:rPr>
          <w:rFonts w:hint="cs"/>
          <w:rtl/>
          <w:lang w:bidi="ar-SY"/>
        </w:rPr>
        <w:t>بنقص</w:t>
      </w:r>
      <w:r w:rsidRPr="005269E6">
        <w:rPr>
          <w:rtl/>
          <w:lang w:bidi="ar-SY"/>
        </w:rPr>
        <w:t xml:space="preserve"> قدره 4,7 مليون فرنك سويسري عن الميزانية المعتمدة.</w:t>
      </w:r>
    </w:p>
    <w:p w14:paraId="2E748081" w14:textId="53C2AECE" w:rsidR="00884B2B" w:rsidRPr="005269E6" w:rsidRDefault="0032505C" w:rsidP="0032505C">
      <w:pPr>
        <w:rPr>
          <w:spacing w:val="4"/>
          <w:rtl/>
          <w:lang w:bidi="ar-SY"/>
        </w:rPr>
      </w:pPr>
      <w:r w:rsidRPr="005269E6">
        <w:rPr>
          <w:spacing w:val="4"/>
          <w:rtl/>
          <w:lang w:bidi="ar-SY"/>
        </w:rPr>
        <w:t xml:space="preserve">وتجدر الإشارة إلى أنه بسبب إلغاء مؤتمر المندوبين المفوضين لعام 2022 للقرار 11 فيما يتعلق بأحداث </w:t>
      </w:r>
      <w:r w:rsidR="00F90636" w:rsidRPr="005269E6">
        <w:rPr>
          <w:spacing w:val="4"/>
          <w:rtl/>
          <w:lang w:bidi="ar-SY"/>
        </w:rPr>
        <w:t>تيليكوم</w:t>
      </w:r>
      <w:r w:rsidRPr="005269E6">
        <w:rPr>
          <w:spacing w:val="4"/>
          <w:rtl/>
          <w:lang w:bidi="ar-SY"/>
        </w:rPr>
        <w:t>، لم</w:t>
      </w:r>
      <w:r w:rsidR="00E62EB8" w:rsidRPr="005269E6">
        <w:rPr>
          <w:rFonts w:hint="cs"/>
          <w:spacing w:val="4"/>
          <w:rtl/>
          <w:lang w:bidi="ar-SY"/>
        </w:rPr>
        <w:t> </w:t>
      </w:r>
      <w:r w:rsidRPr="005269E6">
        <w:rPr>
          <w:rFonts w:hint="cs"/>
          <w:spacing w:val="4"/>
          <w:rtl/>
          <w:lang w:bidi="ar-SY"/>
        </w:rPr>
        <w:t>تُسترد</w:t>
      </w:r>
      <w:r w:rsidRPr="005269E6">
        <w:rPr>
          <w:spacing w:val="4"/>
          <w:rtl/>
          <w:lang w:bidi="ar-SY"/>
        </w:rPr>
        <w:t xml:space="preserve"> التكاليف المرتبطة بهذا النشاط. وأدى ذلك إلى خسارة في الإيرادات المدرجة في الميزانية بلغت 1,5 مليون فرنك سويسري </w:t>
      </w:r>
      <w:r w:rsidRPr="005269E6">
        <w:rPr>
          <w:rFonts w:hint="cs"/>
          <w:spacing w:val="4"/>
          <w:rtl/>
          <w:lang w:bidi="ar-SY"/>
        </w:rPr>
        <w:t>عام</w:t>
      </w:r>
      <w:r w:rsidRPr="005269E6">
        <w:rPr>
          <w:spacing w:val="4"/>
          <w:rtl/>
          <w:lang w:bidi="ar-SY"/>
        </w:rPr>
        <w:t xml:space="preserve"> 2022.</w:t>
      </w:r>
    </w:p>
    <w:p w14:paraId="4AEB76AB" w14:textId="65D51288" w:rsidR="00C543C6" w:rsidRPr="005269E6" w:rsidRDefault="00C543C6" w:rsidP="00E62EB8">
      <w:pPr>
        <w:pStyle w:val="Headingb"/>
        <w:spacing w:after="120"/>
        <w:rPr>
          <w:rtl/>
        </w:rPr>
      </w:pPr>
      <w:r w:rsidRPr="005269E6">
        <w:rPr>
          <w:rtl/>
        </w:rPr>
        <w:t>الإيرادات المالية</w:t>
      </w:r>
      <w:bookmarkEnd w:id="599"/>
      <w:bookmarkEnd w:id="600"/>
    </w:p>
    <w:tbl>
      <w:tblPr>
        <w:bidiVisual/>
        <w:tblW w:w="6977" w:type="dxa"/>
        <w:jc w:val="center"/>
        <w:tblLook w:val="04A0" w:firstRow="1" w:lastRow="0" w:firstColumn="1" w:lastColumn="0" w:noHBand="0" w:noVBand="1"/>
      </w:tblPr>
      <w:tblGrid>
        <w:gridCol w:w="3060"/>
        <w:gridCol w:w="1935"/>
        <w:gridCol w:w="1982"/>
      </w:tblGrid>
      <w:tr w:rsidR="00756B5A" w:rsidRPr="005269E6" w14:paraId="2B47525E" w14:textId="77777777" w:rsidTr="00F226F7">
        <w:trPr>
          <w:trHeight w:val="559"/>
          <w:jc w:val="center"/>
        </w:trPr>
        <w:tc>
          <w:tcPr>
            <w:tcW w:w="3060" w:type="dxa"/>
            <w:tcBorders>
              <w:top w:val="nil"/>
              <w:left w:val="nil"/>
              <w:bottom w:val="nil"/>
              <w:right w:val="nil"/>
            </w:tcBorders>
            <w:shd w:val="clear" w:color="000000" w:fill="538DD5"/>
            <w:vAlign w:val="center"/>
            <w:hideMark/>
          </w:tcPr>
          <w:p w14:paraId="202FDE57" w14:textId="71EE8AEA" w:rsidR="00756B5A" w:rsidRPr="005269E6" w:rsidRDefault="00756B5A" w:rsidP="00756B5A">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935" w:type="dxa"/>
            <w:tcBorders>
              <w:top w:val="nil"/>
              <w:left w:val="nil"/>
              <w:bottom w:val="nil"/>
              <w:right w:val="nil"/>
            </w:tcBorders>
            <w:shd w:val="clear" w:color="000000" w:fill="538DD5"/>
            <w:vAlign w:val="center"/>
            <w:hideMark/>
          </w:tcPr>
          <w:p w14:paraId="677167E0" w14:textId="2534A53E" w:rsidR="00756B5A" w:rsidRPr="005269E6" w:rsidRDefault="00756B5A" w:rsidP="00756B5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982" w:type="dxa"/>
            <w:tcBorders>
              <w:top w:val="nil"/>
              <w:left w:val="nil"/>
              <w:bottom w:val="nil"/>
              <w:right w:val="nil"/>
            </w:tcBorders>
            <w:shd w:val="clear" w:color="000000" w:fill="538DD5"/>
            <w:vAlign w:val="center"/>
            <w:hideMark/>
          </w:tcPr>
          <w:p w14:paraId="04AAE607" w14:textId="66A818E0" w:rsidR="00756B5A" w:rsidRPr="005269E6" w:rsidRDefault="00756B5A" w:rsidP="00756B5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w:t>
            </w:r>
            <w:r w:rsidR="00F226F7" w:rsidRPr="005269E6">
              <w:rPr>
                <w:rFonts w:eastAsia="Times New Roman"/>
                <w:b/>
                <w:bCs/>
                <w:color w:val="000000"/>
                <w:sz w:val="18"/>
                <w:szCs w:val="18"/>
                <w:rtl/>
                <w:lang w:val="en-GB" w:eastAsia="en-GB"/>
              </w:rPr>
              <w:br/>
            </w:r>
            <w:r w:rsidRPr="005269E6">
              <w:rPr>
                <w:rFonts w:eastAsia="Times New Roman"/>
                <w:b/>
                <w:bCs/>
                <w:color w:val="000000"/>
                <w:sz w:val="18"/>
                <w:szCs w:val="18"/>
                <w:rtl/>
                <w:lang w:val="en-GB" w:eastAsia="en-GB"/>
              </w:rPr>
              <w:t>2021 (أعيد بيانه)</w:t>
            </w:r>
          </w:p>
        </w:tc>
      </w:tr>
      <w:tr w:rsidR="00310F1E" w:rsidRPr="005269E6" w14:paraId="617FCF2E" w14:textId="77777777" w:rsidTr="00F226F7">
        <w:trPr>
          <w:trHeight w:val="120"/>
          <w:jc w:val="center"/>
        </w:trPr>
        <w:tc>
          <w:tcPr>
            <w:tcW w:w="3060" w:type="dxa"/>
            <w:tcBorders>
              <w:top w:val="nil"/>
              <w:left w:val="nil"/>
              <w:bottom w:val="nil"/>
              <w:right w:val="nil"/>
            </w:tcBorders>
            <w:shd w:val="clear" w:color="auto" w:fill="auto"/>
            <w:vAlign w:val="center"/>
            <w:hideMark/>
          </w:tcPr>
          <w:p w14:paraId="6A2F9FFC" w14:textId="77777777" w:rsidR="00310F1E" w:rsidRPr="005269E6" w:rsidRDefault="00310F1E" w:rsidP="007B400F">
            <w:pPr>
              <w:tabs>
                <w:tab w:val="clear" w:pos="794"/>
              </w:tabs>
              <w:spacing w:before="0" w:line="200" w:lineRule="exact"/>
              <w:jc w:val="left"/>
              <w:rPr>
                <w:rFonts w:eastAsia="Times New Roman"/>
                <w:b/>
                <w:bCs/>
                <w:color w:val="000000"/>
                <w:sz w:val="18"/>
                <w:szCs w:val="18"/>
                <w:lang w:val="en-GB" w:eastAsia="en-GB"/>
              </w:rPr>
            </w:pPr>
          </w:p>
        </w:tc>
        <w:tc>
          <w:tcPr>
            <w:tcW w:w="1935" w:type="dxa"/>
            <w:tcBorders>
              <w:top w:val="nil"/>
              <w:left w:val="nil"/>
              <w:bottom w:val="nil"/>
              <w:right w:val="nil"/>
            </w:tcBorders>
            <w:shd w:val="clear" w:color="auto" w:fill="auto"/>
            <w:vAlign w:val="center"/>
            <w:hideMark/>
          </w:tcPr>
          <w:p w14:paraId="40197D75" w14:textId="77777777" w:rsidR="00310F1E" w:rsidRPr="005269E6" w:rsidRDefault="00310F1E" w:rsidP="007B400F">
            <w:pPr>
              <w:tabs>
                <w:tab w:val="clear" w:pos="794"/>
              </w:tabs>
              <w:spacing w:before="0" w:line="200" w:lineRule="exact"/>
              <w:jc w:val="left"/>
              <w:rPr>
                <w:rFonts w:eastAsia="Times New Roman"/>
                <w:b/>
                <w:bCs/>
                <w:color w:val="000000"/>
                <w:sz w:val="18"/>
                <w:szCs w:val="18"/>
                <w:lang w:val="en-GB" w:eastAsia="en-GB"/>
              </w:rPr>
            </w:pPr>
          </w:p>
        </w:tc>
        <w:tc>
          <w:tcPr>
            <w:tcW w:w="1982" w:type="dxa"/>
            <w:tcBorders>
              <w:top w:val="nil"/>
              <w:left w:val="nil"/>
              <w:bottom w:val="nil"/>
              <w:right w:val="nil"/>
            </w:tcBorders>
            <w:shd w:val="clear" w:color="auto" w:fill="auto"/>
            <w:vAlign w:val="center"/>
            <w:hideMark/>
          </w:tcPr>
          <w:p w14:paraId="2CEED576" w14:textId="77777777" w:rsidR="00310F1E" w:rsidRPr="005269E6" w:rsidRDefault="00310F1E" w:rsidP="007B400F">
            <w:pPr>
              <w:tabs>
                <w:tab w:val="clear" w:pos="794"/>
              </w:tabs>
              <w:spacing w:before="0" w:line="200" w:lineRule="exact"/>
              <w:jc w:val="left"/>
              <w:rPr>
                <w:rFonts w:eastAsia="Times New Roman"/>
                <w:b/>
                <w:bCs/>
                <w:color w:val="000000"/>
                <w:sz w:val="18"/>
                <w:szCs w:val="18"/>
                <w:lang w:val="en-GB" w:eastAsia="en-GB"/>
              </w:rPr>
            </w:pPr>
          </w:p>
        </w:tc>
      </w:tr>
      <w:tr w:rsidR="00310F1E" w:rsidRPr="005269E6" w14:paraId="0F82FDB8" w14:textId="77777777" w:rsidTr="00F226F7">
        <w:trPr>
          <w:trHeight w:val="255"/>
          <w:jc w:val="center"/>
        </w:trPr>
        <w:tc>
          <w:tcPr>
            <w:tcW w:w="3060" w:type="dxa"/>
            <w:tcBorders>
              <w:top w:val="nil"/>
              <w:left w:val="nil"/>
              <w:bottom w:val="nil"/>
              <w:right w:val="nil"/>
            </w:tcBorders>
            <w:shd w:val="clear" w:color="000000" w:fill="auto"/>
            <w:noWrap/>
            <w:vAlign w:val="bottom"/>
            <w:hideMark/>
          </w:tcPr>
          <w:p w14:paraId="7F3C0434" w14:textId="3519A7E2" w:rsidR="00310F1E" w:rsidRPr="005269E6" w:rsidRDefault="004A39C9" w:rsidP="00310F1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الفائدة على</w:t>
            </w:r>
            <w:r w:rsidRPr="005269E6">
              <w:rPr>
                <w:rtl/>
              </w:rPr>
              <w:t xml:space="preserve"> </w:t>
            </w:r>
            <w:r w:rsidRPr="005269E6">
              <w:rPr>
                <w:rFonts w:eastAsia="Times New Roman"/>
                <w:color w:val="000000"/>
                <w:sz w:val="18"/>
                <w:szCs w:val="18"/>
                <w:rtl/>
                <w:lang w:val="en-GB" w:eastAsia="en-GB"/>
              </w:rPr>
              <w:t>الاستثمار</w:t>
            </w:r>
            <w:r w:rsidRPr="005269E6">
              <w:rPr>
                <w:rFonts w:eastAsia="Times New Roman" w:hint="cs"/>
                <w:color w:val="000000"/>
                <w:sz w:val="18"/>
                <w:szCs w:val="18"/>
                <w:rtl/>
                <w:lang w:val="en-GB" w:eastAsia="en-GB"/>
              </w:rPr>
              <w:t>ات</w:t>
            </w:r>
          </w:p>
        </w:tc>
        <w:tc>
          <w:tcPr>
            <w:tcW w:w="1935" w:type="dxa"/>
            <w:tcBorders>
              <w:top w:val="nil"/>
              <w:left w:val="nil"/>
              <w:bottom w:val="nil"/>
              <w:right w:val="nil"/>
            </w:tcBorders>
            <w:shd w:val="clear" w:color="auto" w:fill="auto"/>
            <w:noWrap/>
            <w:vAlign w:val="bottom"/>
            <w:hideMark/>
          </w:tcPr>
          <w:p w14:paraId="3C7A3FB1" w14:textId="51AE16DB" w:rsidR="00310F1E" w:rsidRPr="005269E6" w:rsidRDefault="00310F1E" w:rsidP="00E62EB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1 523 </w:t>
            </w:r>
          </w:p>
        </w:tc>
        <w:tc>
          <w:tcPr>
            <w:tcW w:w="1982" w:type="dxa"/>
            <w:tcBorders>
              <w:top w:val="nil"/>
              <w:left w:val="nil"/>
              <w:bottom w:val="nil"/>
              <w:right w:val="nil"/>
            </w:tcBorders>
            <w:shd w:val="clear" w:color="auto" w:fill="auto"/>
            <w:noWrap/>
            <w:vAlign w:val="bottom"/>
            <w:hideMark/>
          </w:tcPr>
          <w:p w14:paraId="38EA4C6F" w14:textId="76DAA67E" w:rsidR="00310F1E" w:rsidRPr="005269E6" w:rsidRDefault="00310F1E" w:rsidP="00E62EB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241 </w:t>
            </w:r>
          </w:p>
        </w:tc>
      </w:tr>
      <w:tr w:rsidR="00310F1E" w:rsidRPr="005269E6" w14:paraId="6F8AF5BB" w14:textId="77777777" w:rsidTr="00F226F7">
        <w:trPr>
          <w:trHeight w:val="255"/>
          <w:jc w:val="center"/>
        </w:trPr>
        <w:tc>
          <w:tcPr>
            <w:tcW w:w="3060" w:type="dxa"/>
            <w:tcBorders>
              <w:top w:val="nil"/>
              <w:left w:val="nil"/>
              <w:bottom w:val="nil"/>
              <w:right w:val="nil"/>
            </w:tcBorders>
            <w:shd w:val="clear" w:color="000000" w:fill="auto"/>
            <w:noWrap/>
            <w:vAlign w:val="bottom"/>
            <w:hideMark/>
          </w:tcPr>
          <w:p w14:paraId="2F4C2295" w14:textId="707C59BE" w:rsidR="00310F1E" w:rsidRPr="005269E6" w:rsidRDefault="004A39C9" w:rsidP="00310F1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مكاسب/(خسائر) سعر الصرف المحققة</w:t>
            </w:r>
          </w:p>
        </w:tc>
        <w:tc>
          <w:tcPr>
            <w:tcW w:w="1935" w:type="dxa"/>
            <w:tcBorders>
              <w:top w:val="nil"/>
              <w:left w:val="nil"/>
              <w:bottom w:val="nil"/>
              <w:right w:val="nil"/>
            </w:tcBorders>
            <w:shd w:val="clear" w:color="auto" w:fill="auto"/>
            <w:noWrap/>
            <w:vAlign w:val="bottom"/>
            <w:hideMark/>
          </w:tcPr>
          <w:p w14:paraId="16D78473" w14:textId="486D46BE" w:rsidR="00310F1E" w:rsidRPr="005269E6" w:rsidRDefault="00310F1E" w:rsidP="00E62EB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(954)</w:t>
            </w:r>
          </w:p>
        </w:tc>
        <w:tc>
          <w:tcPr>
            <w:tcW w:w="1982" w:type="dxa"/>
            <w:tcBorders>
              <w:top w:val="nil"/>
              <w:left w:val="nil"/>
              <w:bottom w:val="nil"/>
              <w:right w:val="nil"/>
            </w:tcBorders>
            <w:shd w:val="clear" w:color="auto" w:fill="auto"/>
            <w:noWrap/>
            <w:vAlign w:val="bottom"/>
            <w:hideMark/>
          </w:tcPr>
          <w:p w14:paraId="6500ECD8" w14:textId="3D322975" w:rsidR="00310F1E" w:rsidRPr="005269E6" w:rsidRDefault="00310F1E" w:rsidP="00E62EB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203 </w:t>
            </w:r>
          </w:p>
        </w:tc>
      </w:tr>
      <w:tr w:rsidR="00310F1E" w:rsidRPr="005269E6" w14:paraId="1EA7F219" w14:textId="77777777" w:rsidTr="00F226F7">
        <w:trPr>
          <w:trHeight w:val="255"/>
          <w:jc w:val="center"/>
        </w:trPr>
        <w:tc>
          <w:tcPr>
            <w:tcW w:w="3060" w:type="dxa"/>
            <w:tcBorders>
              <w:top w:val="nil"/>
              <w:left w:val="nil"/>
              <w:bottom w:val="nil"/>
              <w:right w:val="nil"/>
            </w:tcBorders>
            <w:shd w:val="clear" w:color="000000" w:fill="auto"/>
            <w:noWrap/>
            <w:vAlign w:val="bottom"/>
            <w:hideMark/>
          </w:tcPr>
          <w:p w14:paraId="4101E9EA" w14:textId="2448BD4A" w:rsidR="00310F1E" w:rsidRPr="005269E6" w:rsidRDefault="004A39C9" w:rsidP="00310F1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 xml:space="preserve">مكاسب/(خسائر) سعر الصرف </w:t>
            </w:r>
            <w:r w:rsidRPr="005269E6">
              <w:rPr>
                <w:rFonts w:eastAsia="Times New Roman" w:hint="cs"/>
                <w:color w:val="000000"/>
                <w:sz w:val="18"/>
                <w:szCs w:val="18"/>
                <w:rtl/>
                <w:lang w:val="en-GB" w:eastAsia="en-GB"/>
              </w:rPr>
              <w:t xml:space="preserve">غير </w:t>
            </w:r>
            <w:r w:rsidRPr="005269E6">
              <w:rPr>
                <w:rFonts w:eastAsia="Times New Roman"/>
                <w:color w:val="000000"/>
                <w:sz w:val="18"/>
                <w:szCs w:val="18"/>
                <w:rtl/>
                <w:lang w:val="en-GB" w:eastAsia="en-GB"/>
              </w:rPr>
              <w:t>المحققة</w:t>
            </w:r>
          </w:p>
        </w:tc>
        <w:tc>
          <w:tcPr>
            <w:tcW w:w="1935" w:type="dxa"/>
            <w:tcBorders>
              <w:top w:val="nil"/>
              <w:left w:val="nil"/>
              <w:bottom w:val="nil"/>
              <w:right w:val="nil"/>
            </w:tcBorders>
            <w:shd w:val="clear" w:color="auto" w:fill="auto"/>
            <w:noWrap/>
            <w:vAlign w:val="bottom"/>
            <w:hideMark/>
          </w:tcPr>
          <w:p w14:paraId="01778DE7" w14:textId="3D898A4C" w:rsidR="00310F1E" w:rsidRPr="005269E6" w:rsidRDefault="00310F1E" w:rsidP="00E62EB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166 </w:t>
            </w:r>
          </w:p>
        </w:tc>
        <w:tc>
          <w:tcPr>
            <w:tcW w:w="1982" w:type="dxa"/>
            <w:tcBorders>
              <w:top w:val="nil"/>
              <w:left w:val="nil"/>
              <w:bottom w:val="nil"/>
              <w:right w:val="nil"/>
            </w:tcBorders>
            <w:shd w:val="clear" w:color="auto" w:fill="auto"/>
            <w:noWrap/>
            <w:vAlign w:val="bottom"/>
            <w:hideMark/>
          </w:tcPr>
          <w:p w14:paraId="628B8CDD" w14:textId="608B5E79" w:rsidR="00310F1E" w:rsidRPr="005269E6" w:rsidRDefault="00310F1E" w:rsidP="00E62EB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604 </w:t>
            </w:r>
          </w:p>
        </w:tc>
      </w:tr>
      <w:tr w:rsidR="00310F1E" w:rsidRPr="005269E6" w14:paraId="159DCF73" w14:textId="77777777" w:rsidTr="00F226F7">
        <w:trPr>
          <w:trHeight w:val="255"/>
          <w:jc w:val="center"/>
        </w:trPr>
        <w:tc>
          <w:tcPr>
            <w:tcW w:w="3060" w:type="dxa"/>
            <w:tcBorders>
              <w:top w:val="nil"/>
              <w:left w:val="nil"/>
              <w:bottom w:val="nil"/>
              <w:right w:val="nil"/>
            </w:tcBorders>
            <w:shd w:val="clear" w:color="000000" w:fill="auto"/>
            <w:noWrap/>
            <w:vAlign w:val="bottom"/>
            <w:hideMark/>
          </w:tcPr>
          <w:p w14:paraId="2BFF7908" w14:textId="49A73A63" w:rsidR="00310F1E" w:rsidRPr="005269E6" w:rsidRDefault="004A39C9" w:rsidP="00310F1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الرسوم المصرفية</w:t>
            </w:r>
          </w:p>
        </w:tc>
        <w:tc>
          <w:tcPr>
            <w:tcW w:w="1935" w:type="dxa"/>
            <w:tcBorders>
              <w:top w:val="nil"/>
              <w:left w:val="nil"/>
              <w:bottom w:val="nil"/>
              <w:right w:val="nil"/>
            </w:tcBorders>
            <w:shd w:val="clear" w:color="auto" w:fill="auto"/>
            <w:noWrap/>
            <w:vAlign w:val="bottom"/>
            <w:hideMark/>
          </w:tcPr>
          <w:p w14:paraId="02D2FA7B" w14:textId="64F40496" w:rsidR="00310F1E" w:rsidRPr="005269E6" w:rsidRDefault="00310F1E" w:rsidP="00E62EB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(422)</w:t>
            </w:r>
          </w:p>
        </w:tc>
        <w:tc>
          <w:tcPr>
            <w:tcW w:w="1982" w:type="dxa"/>
            <w:tcBorders>
              <w:top w:val="nil"/>
              <w:left w:val="nil"/>
              <w:bottom w:val="nil"/>
              <w:right w:val="nil"/>
            </w:tcBorders>
            <w:shd w:val="clear" w:color="auto" w:fill="auto"/>
            <w:noWrap/>
            <w:vAlign w:val="bottom"/>
            <w:hideMark/>
          </w:tcPr>
          <w:p w14:paraId="72DFFA9A" w14:textId="5DB43221" w:rsidR="00310F1E" w:rsidRPr="005269E6" w:rsidRDefault="00310F1E" w:rsidP="00E62EB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(550)</w:t>
            </w:r>
          </w:p>
        </w:tc>
      </w:tr>
      <w:tr w:rsidR="00310F1E" w:rsidRPr="005269E6" w14:paraId="5508135E" w14:textId="77777777" w:rsidTr="00F226F7">
        <w:trPr>
          <w:trHeight w:val="139"/>
          <w:jc w:val="center"/>
        </w:trPr>
        <w:tc>
          <w:tcPr>
            <w:tcW w:w="3060" w:type="dxa"/>
            <w:tcBorders>
              <w:top w:val="nil"/>
              <w:left w:val="nil"/>
              <w:bottom w:val="nil"/>
              <w:right w:val="nil"/>
            </w:tcBorders>
            <w:shd w:val="clear" w:color="auto" w:fill="auto"/>
            <w:noWrap/>
            <w:vAlign w:val="bottom"/>
            <w:hideMark/>
          </w:tcPr>
          <w:p w14:paraId="622C2FBD" w14:textId="77777777" w:rsidR="00310F1E" w:rsidRPr="005269E6" w:rsidRDefault="00310F1E" w:rsidP="007B400F">
            <w:pPr>
              <w:tabs>
                <w:tab w:val="clear" w:pos="794"/>
              </w:tabs>
              <w:spacing w:before="0" w:line="200" w:lineRule="exact"/>
              <w:jc w:val="left"/>
              <w:rPr>
                <w:rFonts w:eastAsia="Times New Roman"/>
                <w:b/>
                <w:bCs/>
                <w:color w:val="000000"/>
                <w:sz w:val="18"/>
                <w:szCs w:val="18"/>
                <w:lang w:val="en-GB" w:eastAsia="en-GB"/>
              </w:rPr>
            </w:pPr>
          </w:p>
        </w:tc>
        <w:tc>
          <w:tcPr>
            <w:tcW w:w="1935" w:type="dxa"/>
            <w:tcBorders>
              <w:top w:val="nil"/>
              <w:left w:val="nil"/>
              <w:bottom w:val="nil"/>
              <w:right w:val="nil"/>
            </w:tcBorders>
            <w:shd w:val="clear" w:color="auto" w:fill="auto"/>
            <w:noWrap/>
            <w:vAlign w:val="bottom"/>
            <w:hideMark/>
          </w:tcPr>
          <w:p w14:paraId="54305201" w14:textId="77777777" w:rsidR="00310F1E" w:rsidRPr="005269E6" w:rsidRDefault="00310F1E" w:rsidP="00E62EB8">
            <w:pPr>
              <w:tabs>
                <w:tab w:val="clear" w:pos="794"/>
              </w:tabs>
              <w:spacing w:before="0" w:line="200" w:lineRule="exact"/>
              <w:jc w:val="left"/>
              <w:rPr>
                <w:rFonts w:eastAsia="Times New Roman"/>
                <w:b/>
                <w:bCs/>
                <w:color w:val="000000"/>
                <w:sz w:val="18"/>
                <w:szCs w:val="18"/>
                <w:lang w:val="en-GB" w:eastAsia="en-GB"/>
              </w:rPr>
            </w:pPr>
          </w:p>
        </w:tc>
        <w:tc>
          <w:tcPr>
            <w:tcW w:w="1982" w:type="dxa"/>
            <w:tcBorders>
              <w:top w:val="nil"/>
              <w:left w:val="nil"/>
              <w:bottom w:val="nil"/>
              <w:right w:val="nil"/>
            </w:tcBorders>
            <w:shd w:val="clear" w:color="auto" w:fill="auto"/>
            <w:noWrap/>
            <w:vAlign w:val="bottom"/>
            <w:hideMark/>
          </w:tcPr>
          <w:p w14:paraId="5CC6E33A" w14:textId="77777777" w:rsidR="00310F1E" w:rsidRPr="005269E6" w:rsidRDefault="00310F1E" w:rsidP="00E62EB8">
            <w:pPr>
              <w:tabs>
                <w:tab w:val="clear" w:pos="794"/>
              </w:tabs>
              <w:spacing w:before="0" w:line="200" w:lineRule="exact"/>
              <w:jc w:val="left"/>
              <w:rPr>
                <w:rFonts w:eastAsia="Times New Roman"/>
                <w:b/>
                <w:bCs/>
                <w:color w:val="000000"/>
                <w:sz w:val="18"/>
                <w:szCs w:val="18"/>
                <w:lang w:val="en-GB" w:eastAsia="en-GB"/>
              </w:rPr>
            </w:pPr>
          </w:p>
        </w:tc>
      </w:tr>
      <w:tr w:rsidR="00310F1E" w:rsidRPr="005269E6" w14:paraId="56A6A1E5" w14:textId="77777777" w:rsidTr="007B400F">
        <w:trPr>
          <w:trHeight w:val="292"/>
          <w:jc w:val="center"/>
        </w:trPr>
        <w:tc>
          <w:tcPr>
            <w:tcW w:w="3060" w:type="dxa"/>
            <w:tcBorders>
              <w:top w:val="nil"/>
              <w:left w:val="nil"/>
              <w:bottom w:val="nil"/>
              <w:right w:val="nil"/>
            </w:tcBorders>
            <w:shd w:val="clear" w:color="000000" w:fill="538DD5"/>
            <w:noWrap/>
            <w:vAlign w:val="center"/>
            <w:hideMark/>
          </w:tcPr>
          <w:p w14:paraId="31DBDB2F" w14:textId="03D734C4" w:rsidR="00310F1E" w:rsidRPr="005269E6" w:rsidRDefault="004A39C9" w:rsidP="00E62EB8">
            <w:pPr>
              <w:tabs>
                <w:tab w:val="clear" w:pos="794"/>
              </w:tabs>
              <w:spacing w:after="120" w:line="240" w:lineRule="exact"/>
              <w:jc w:val="left"/>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مجموع</w:t>
            </w:r>
            <w:r w:rsidRPr="005269E6">
              <w:rPr>
                <w:rFonts w:eastAsia="Times New Roman"/>
                <w:b/>
                <w:bCs/>
                <w:color w:val="000000"/>
                <w:sz w:val="18"/>
                <w:szCs w:val="18"/>
                <w:rtl/>
                <w:lang w:val="en-GB" w:eastAsia="en-GB"/>
              </w:rPr>
              <w:t xml:space="preserve"> - إيرادات التمويل</w:t>
            </w:r>
          </w:p>
        </w:tc>
        <w:tc>
          <w:tcPr>
            <w:tcW w:w="1935" w:type="dxa"/>
            <w:tcBorders>
              <w:top w:val="nil"/>
              <w:left w:val="nil"/>
              <w:bottom w:val="nil"/>
              <w:right w:val="nil"/>
            </w:tcBorders>
            <w:shd w:val="clear" w:color="000000" w:fill="538DD5"/>
            <w:noWrap/>
            <w:vAlign w:val="center"/>
            <w:hideMark/>
          </w:tcPr>
          <w:p w14:paraId="5A747257" w14:textId="0060DE37" w:rsidR="00310F1E" w:rsidRPr="005269E6" w:rsidRDefault="00310F1E" w:rsidP="00E62EB8">
            <w:pPr>
              <w:tabs>
                <w:tab w:val="clear" w:pos="794"/>
              </w:tabs>
              <w:spacing w:after="12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313 </w:t>
            </w:r>
          </w:p>
        </w:tc>
        <w:tc>
          <w:tcPr>
            <w:tcW w:w="1982" w:type="dxa"/>
            <w:tcBorders>
              <w:top w:val="nil"/>
              <w:left w:val="nil"/>
              <w:bottom w:val="nil"/>
              <w:right w:val="nil"/>
            </w:tcBorders>
            <w:shd w:val="clear" w:color="000000" w:fill="538DD5"/>
            <w:noWrap/>
            <w:vAlign w:val="center"/>
            <w:hideMark/>
          </w:tcPr>
          <w:p w14:paraId="40534C65" w14:textId="1F3990CA" w:rsidR="00310F1E" w:rsidRPr="005269E6" w:rsidRDefault="00310F1E" w:rsidP="00E62EB8">
            <w:pPr>
              <w:tabs>
                <w:tab w:val="clear" w:pos="794"/>
              </w:tabs>
              <w:spacing w:after="12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497 </w:t>
            </w:r>
          </w:p>
        </w:tc>
      </w:tr>
    </w:tbl>
    <w:p w14:paraId="0116F4D4" w14:textId="7C733A65" w:rsidR="00310F1E" w:rsidRPr="005269E6" w:rsidRDefault="004A39C9" w:rsidP="00576A55">
      <w:pPr>
        <w:spacing w:before="240"/>
        <w:rPr>
          <w:rtl/>
          <w:lang w:bidi="ar-SY"/>
        </w:rPr>
      </w:pPr>
      <w:r w:rsidRPr="005269E6">
        <w:rPr>
          <w:rtl/>
          <w:lang w:bidi="ar-SY"/>
        </w:rPr>
        <w:t>ارتفع سعر الفائدة على الودائع قصيرة الأجل بالدولار الأمريكي في عام 2022 وهو ما يفسر الزيادة مقارنة بعام 2021.</w:t>
      </w:r>
    </w:p>
    <w:p w14:paraId="083A1BFA" w14:textId="77777777" w:rsidR="00C543C6" w:rsidRPr="005269E6" w:rsidRDefault="00C543C6" w:rsidP="00696AA6">
      <w:pPr>
        <w:pStyle w:val="Heading5"/>
        <w:rPr>
          <w:rtl/>
          <w:lang w:bidi="ar-EG"/>
        </w:rPr>
      </w:pPr>
      <w:bookmarkStart w:id="601" w:name="_Toc452156653"/>
      <w:bookmarkStart w:id="602" w:name="_Toc419484092"/>
      <w:bookmarkStart w:id="603" w:name="_Toc387338371"/>
      <w:bookmarkStart w:id="604" w:name="_Toc387263396"/>
      <w:bookmarkStart w:id="605" w:name="_Toc482792228"/>
      <w:bookmarkStart w:id="606" w:name="_Toc482793733"/>
      <w:bookmarkStart w:id="607" w:name="_Toc511402249"/>
      <w:bookmarkStart w:id="608" w:name="_Toc511756686"/>
      <w:bookmarkStart w:id="609" w:name="_Toc9614804"/>
      <w:bookmarkStart w:id="610" w:name="_Toc42013558"/>
      <w:bookmarkStart w:id="611" w:name="_Toc42014561"/>
      <w:bookmarkStart w:id="612" w:name="_Toc74061594"/>
      <w:bookmarkStart w:id="613" w:name="_Toc162520641"/>
      <w:bookmarkStart w:id="614" w:name="_Toc358648569"/>
      <w:bookmarkStart w:id="615" w:name="_Toc358648370"/>
      <w:bookmarkStart w:id="616" w:name="_Toc329296042"/>
      <w:r w:rsidRPr="005269E6">
        <w:rPr>
          <w:rtl/>
          <w:lang w:bidi="ar-SY"/>
        </w:rPr>
        <w:lastRenderedPageBreak/>
        <w:t xml:space="preserve">الملاحظة </w:t>
      </w:r>
      <w:r w:rsidRPr="005269E6">
        <w:t>23</w:t>
      </w:r>
      <w:r w:rsidRPr="005269E6">
        <w:rPr>
          <w:rtl/>
          <w:lang w:bidi="ar-SY"/>
        </w:rPr>
        <w:tab/>
        <w:t>النفقات</w:t>
      </w:r>
      <w:bookmarkEnd w:id="601"/>
      <w:bookmarkEnd w:id="602"/>
      <w:bookmarkEnd w:id="603"/>
      <w:bookmarkEnd w:id="604"/>
      <w:bookmarkEnd w:id="605"/>
      <w:bookmarkEnd w:id="606"/>
      <w:bookmarkEnd w:id="607"/>
      <w:bookmarkEnd w:id="608"/>
      <w:bookmarkEnd w:id="609"/>
      <w:bookmarkEnd w:id="610"/>
      <w:bookmarkEnd w:id="611"/>
      <w:bookmarkEnd w:id="612"/>
      <w:bookmarkEnd w:id="613"/>
    </w:p>
    <w:p w14:paraId="38500D87" w14:textId="77777777" w:rsidR="00C543C6" w:rsidRPr="005269E6" w:rsidRDefault="00C543C6" w:rsidP="00F226F7">
      <w:pPr>
        <w:pStyle w:val="Headingb"/>
        <w:rPr>
          <w:rtl/>
        </w:rPr>
      </w:pPr>
      <w:bookmarkStart w:id="617" w:name="_Toc452156654"/>
      <w:bookmarkStart w:id="618" w:name="_Toc419484093"/>
      <w:bookmarkStart w:id="619" w:name="_Toc74061595"/>
      <w:r w:rsidRPr="005269E6">
        <w:rPr>
          <w:rtl/>
        </w:rPr>
        <w:t>تكاليف الموظفين</w:t>
      </w:r>
      <w:bookmarkEnd w:id="614"/>
      <w:bookmarkEnd w:id="615"/>
      <w:bookmarkEnd w:id="616"/>
      <w:bookmarkEnd w:id="617"/>
      <w:bookmarkEnd w:id="618"/>
      <w:bookmarkEnd w:id="619"/>
    </w:p>
    <w:p w14:paraId="7223C75C" w14:textId="67F2164B" w:rsidR="00C543C6" w:rsidRPr="005269E6" w:rsidRDefault="00C543C6" w:rsidP="00C543C6">
      <w:pPr>
        <w:spacing w:after="120"/>
        <w:rPr>
          <w:rtl/>
          <w:lang w:bidi="ar-EG"/>
        </w:rPr>
      </w:pPr>
      <w:r w:rsidRPr="005269E6">
        <w:rPr>
          <w:rtl/>
          <w:lang w:bidi="ar-EG"/>
        </w:rPr>
        <w:t>تشمل تكاليف الموظفين كل المكافآت التي تدفع إلى أصحاب الوظائف الدائمة وإلى كل موظفي المؤتمرات أو أصحاب العقود القصيرة الأجل، من قبيل المرتبات الأساسية وتسويات مقر العمل وعلاوات اللغة وبدل الاغتراب وبدل الإعالة والساعات الإضافية وغير ذلك من نفقات الموظفين.</w:t>
      </w:r>
    </w:p>
    <w:tbl>
      <w:tblPr>
        <w:bidiVisual/>
        <w:tblW w:w="7320" w:type="dxa"/>
        <w:jc w:val="center"/>
        <w:tblLook w:val="04A0" w:firstRow="1" w:lastRow="0" w:firstColumn="1" w:lastColumn="0" w:noHBand="0" w:noVBand="1"/>
      </w:tblPr>
      <w:tblGrid>
        <w:gridCol w:w="4096"/>
        <w:gridCol w:w="1636"/>
        <w:gridCol w:w="1588"/>
      </w:tblGrid>
      <w:tr w:rsidR="0026688F" w:rsidRPr="005269E6" w14:paraId="237B60F3" w14:textId="77777777" w:rsidTr="00B539DE">
        <w:trPr>
          <w:trHeight w:val="660"/>
          <w:jc w:val="center"/>
        </w:trPr>
        <w:tc>
          <w:tcPr>
            <w:tcW w:w="4096" w:type="dxa"/>
            <w:tcBorders>
              <w:top w:val="nil"/>
              <w:left w:val="nil"/>
              <w:bottom w:val="nil"/>
              <w:right w:val="nil"/>
            </w:tcBorders>
            <w:shd w:val="clear" w:color="000000" w:fill="538DD5"/>
            <w:noWrap/>
            <w:vAlign w:val="center"/>
            <w:hideMark/>
          </w:tcPr>
          <w:p w14:paraId="41D474CE" w14:textId="19A8EC86" w:rsidR="0026688F" w:rsidRPr="005269E6" w:rsidRDefault="0026688F" w:rsidP="0049623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636" w:type="dxa"/>
            <w:tcBorders>
              <w:top w:val="nil"/>
              <w:left w:val="nil"/>
              <w:bottom w:val="nil"/>
              <w:right w:val="nil"/>
            </w:tcBorders>
            <w:shd w:val="clear" w:color="000000" w:fill="538DD5"/>
            <w:noWrap/>
            <w:vAlign w:val="center"/>
            <w:hideMark/>
          </w:tcPr>
          <w:p w14:paraId="0E91E6CB" w14:textId="45B0AB5F" w:rsidR="0026688F" w:rsidRPr="005269E6" w:rsidRDefault="0026688F" w:rsidP="0049623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588" w:type="dxa"/>
            <w:tcBorders>
              <w:top w:val="nil"/>
              <w:left w:val="nil"/>
              <w:bottom w:val="nil"/>
              <w:right w:val="nil"/>
            </w:tcBorders>
            <w:shd w:val="clear" w:color="000000" w:fill="538DD5"/>
            <w:vAlign w:val="center"/>
            <w:hideMark/>
          </w:tcPr>
          <w:p w14:paraId="0E4FB910" w14:textId="364142C7" w:rsidR="0026688F" w:rsidRPr="005269E6" w:rsidRDefault="0026688F" w:rsidP="0049623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B539DE" w:rsidRPr="005269E6" w14:paraId="053079FF" w14:textId="77777777" w:rsidTr="00B539DE">
        <w:trPr>
          <w:trHeight w:val="255"/>
          <w:jc w:val="center"/>
        </w:trPr>
        <w:tc>
          <w:tcPr>
            <w:tcW w:w="4096" w:type="dxa"/>
            <w:tcBorders>
              <w:top w:val="nil"/>
              <w:left w:val="nil"/>
              <w:bottom w:val="nil"/>
              <w:right w:val="nil"/>
            </w:tcBorders>
            <w:shd w:val="clear" w:color="000000" w:fill="auto"/>
            <w:noWrap/>
            <w:vAlign w:val="bottom"/>
            <w:hideMark/>
          </w:tcPr>
          <w:p w14:paraId="4F42FE5A" w14:textId="5D401BA7" w:rsidR="00B539DE" w:rsidRPr="005269E6" w:rsidRDefault="00B539DE" w:rsidP="0049623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r w:rsidR="0026688F" w:rsidRPr="005269E6">
              <w:rPr>
                <w:rFonts w:eastAsia="Times New Roman"/>
                <w:b/>
                <w:bCs/>
                <w:color w:val="000000"/>
                <w:sz w:val="18"/>
                <w:szCs w:val="18"/>
                <w:rtl/>
                <w:lang w:val="en-GB" w:eastAsia="en-GB"/>
              </w:rPr>
              <w:t>الرواتب والبدلات</w:t>
            </w:r>
          </w:p>
        </w:tc>
        <w:tc>
          <w:tcPr>
            <w:tcW w:w="1636" w:type="dxa"/>
            <w:tcBorders>
              <w:top w:val="nil"/>
              <w:left w:val="nil"/>
              <w:bottom w:val="nil"/>
              <w:right w:val="nil"/>
            </w:tcBorders>
            <w:shd w:val="clear" w:color="000000" w:fill="auto"/>
            <w:noWrap/>
            <w:vAlign w:val="bottom"/>
            <w:hideMark/>
          </w:tcPr>
          <w:p w14:paraId="5824A5C0" w14:textId="76B4987D" w:rsidR="00B539DE" w:rsidRPr="005269E6" w:rsidRDefault="00B539DE" w:rsidP="00580D08">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101 037</w:t>
            </w:r>
          </w:p>
        </w:tc>
        <w:tc>
          <w:tcPr>
            <w:tcW w:w="1588" w:type="dxa"/>
            <w:tcBorders>
              <w:top w:val="nil"/>
              <w:left w:val="nil"/>
              <w:bottom w:val="nil"/>
              <w:right w:val="nil"/>
            </w:tcBorders>
            <w:shd w:val="clear" w:color="000000" w:fill="auto"/>
            <w:noWrap/>
            <w:vAlign w:val="bottom"/>
            <w:hideMark/>
          </w:tcPr>
          <w:p w14:paraId="10F7958A" w14:textId="18EF9C8D" w:rsidR="00B539DE" w:rsidRPr="005269E6" w:rsidRDefault="00B539DE" w:rsidP="00580D08">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98 136</w:t>
            </w:r>
          </w:p>
        </w:tc>
      </w:tr>
      <w:tr w:rsidR="00B539DE" w:rsidRPr="005269E6" w14:paraId="28BAF4A0" w14:textId="77777777" w:rsidTr="00B539DE">
        <w:trPr>
          <w:trHeight w:val="120"/>
          <w:jc w:val="center"/>
        </w:trPr>
        <w:tc>
          <w:tcPr>
            <w:tcW w:w="4096" w:type="dxa"/>
            <w:tcBorders>
              <w:top w:val="nil"/>
              <w:left w:val="nil"/>
              <w:bottom w:val="nil"/>
              <w:right w:val="nil"/>
            </w:tcBorders>
            <w:shd w:val="clear" w:color="000000" w:fill="auto"/>
            <w:noWrap/>
            <w:vAlign w:val="bottom"/>
            <w:hideMark/>
          </w:tcPr>
          <w:p w14:paraId="2FC4DB38" w14:textId="77777777" w:rsidR="00B539DE" w:rsidRPr="005269E6" w:rsidRDefault="00B539DE" w:rsidP="007B400F">
            <w:pPr>
              <w:tabs>
                <w:tab w:val="clear" w:pos="794"/>
              </w:tabs>
              <w:spacing w:before="0" w:line="200" w:lineRule="exact"/>
              <w:jc w:val="left"/>
              <w:rPr>
                <w:rFonts w:eastAsia="Times New Roman"/>
                <w:b/>
                <w:bCs/>
                <w:color w:val="000000"/>
                <w:sz w:val="18"/>
                <w:szCs w:val="18"/>
                <w:lang w:val="en-GB" w:eastAsia="en-GB"/>
              </w:rPr>
            </w:pPr>
          </w:p>
        </w:tc>
        <w:tc>
          <w:tcPr>
            <w:tcW w:w="1636" w:type="dxa"/>
            <w:tcBorders>
              <w:top w:val="nil"/>
              <w:left w:val="nil"/>
              <w:bottom w:val="nil"/>
              <w:right w:val="nil"/>
            </w:tcBorders>
            <w:shd w:val="clear" w:color="000000" w:fill="auto"/>
            <w:noWrap/>
            <w:vAlign w:val="bottom"/>
            <w:hideMark/>
          </w:tcPr>
          <w:p w14:paraId="2E1AB3EF" w14:textId="77777777" w:rsidR="00B539DE" w:rsidRPr="005269E6" w:rsidRDefault="00B539DE" w:rsidP="00580D08">
            <w:pPr>
              <w:tabs>
                <w:tab w:val="clear" w:pos="794"/>
              </w:tabs>
              <w:spacing w:before="0" w:line="200" w:lineRule="exact"/>
              <w:jc w:val="left"/>
              <w:rPr>
                <w:rFonts w:eastAsia="Times New Roman"/>
                <w:b/>
                <w:bCs/>
                <w:color w:val="000000"/>
                <w:sz w:val="18"/>
                <w:szCs w:val="18"/>
                <w:lang w:val="en-GB" w:eastAsia="en-GB"/>
              </w:rPr>
            </w:pPr>
          </w:p>
        </w:tc>
        <w:tc>
          <w:tcPr>
            <w:tcW w:w="1588" w:type="dxa"/>
            <w:tcBorders>
              <w:top w:val="nil"/>
              <w:left w:val="nil"/>
              <w:bottom w:val="nil"/>
              <w:right w:val="nil"/>
            </w:tcBorders>
            <w:shd w:val="clear" w:color="000000" w:fill="auto"/>
            <w:noWrap/>
            <w:vAlign w:val="bottom"/>
            <w:hideMark/>
          </w:tcPr>
          <w:p w14:paraId="5175A154" w14:textId="77777777" w:rsidR="00B539DE" w:rsidRPr="005269E6" w:rsidRDefault="00B539DE" w:rsidP="00580D08">
            <w:pPr>
              <w:tabs>
                <w:tab w:val="clear" w:pos="794"/>
              </w:tabs>
              <w:spacing w:before="0" w:line="200" w:lineRule="exact"/>
              <w:jc w:val="left"/>
              <w:rPr>
                <w:rFonts w:eastAsia="Times New Roman"/>
                <w:b/>
                <w:bCs/>
                <w:color w:val="000000"/>
                <w:sz w:val="18"/>
                <w:szCs w:val="18"/>
                <w:lang w:val="en-GB" w:eastAsia="en-GB"/>
              </w:rPr>
            </w:pPr>
          </w:p>
        </w:tc>
      </w:tr>
      <w:tr w:rsidR="00B539DE" w:rsidRPr="005269E6" w14:paraId="7A414DDB" w14:textId="77777777" w:rsidTr="00B539DE">
        <w:trPr>
          <w:trHeight w:val="255"/>
          <w:jc w:val="center"/>
        </w:trPr>
        <w:tc>
          <w:tcPr>
            <w:tcW w:w="4096" w:type="dxa"/>
            <w:tcBorders>
              <w:top w:val="nil"/>
              <w:left w:val="nil"/>
              <w:bottom w:val="nil"/>
              <w:right w:val="nil"/>
            </w:tcBorders>
            <w:shd w:val="clear" w:color="000000" w:fill="auto"/>
            <w:noWrap/>
            <w:vAlign w:val="bottom"/>
            <w:hideMark/>
          </w:tcPr>
          <w:p w14:paraId="27476130" w14:textId="7944A637" w:rsidR="00B539DE" w:rsidRPr="005269E6" w:rsidRDefault="00496233" w:rsidP="00496233">
            <w:pPr>
              <w:tabs>
                <w:tab w:val="clear" w:pos="794"/>
                <w:tab w:val="left" w:pos="269"/>
              </w:tabs>
              <w:spacing w:before="40" w:after="40" w:line="240" w:lineRule="exact"/>
              <w:ind w:left="266" w:hanging="266"/>
              <w:rPr>
                <w:rFonts w:eastAsia="Times New Roman"/>
                <w:color w:val="000000"/>
                <w:sz w:val="18"/>
                <w:szCs w:val="18"/>
                <w:lang w:val="en-GB" w:eastAsia="en-GB"/>
              </w:rPr>
            </w:pP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ab/>
            </w:r>
            <w:r w:rsidR="0026688F" w:rsidRPr="005269E6">
              <w:rPr>
                <w:rFonts w:eastAsia="Times New Roman"/>
                <w:color w:val="000000"/>
                <w:sz w:val="18"/>
                <w:szCs w:val="18"/>
                <w:rtl/>
                <w:lang w:val="en-GB" w:eastAsia="en-GB"/>
              </w:rPr>
              <w:t>الاستقرار/الإعادة إلى الوطن</w:t>
            </w:r>
            <w:r w:rsidR="00B539DE" w:rsidRPr="005269E6">
              <w:rPr>
                <w:rFonts w:eastAsia="Times New Roman"/>
                <w:color w:val="000000"/>
                <w:sz w:val="18"/>
                <w:szCs w:val="18"/>
                <w:lang w:val="en-GB" w:eastAsia="en-GB"/>
              </w:rPr>
              <w:t xml:space="preserve"> </w:t>
            </w:r>
          </w:p>
        </w:tc>
        <w:tc>
          <w:tcPr>
            <w:tcW w:w="1636" w:type="dxa"/>
            <w:tcBorders>
              <w:top w:val="nil"/>
              <w:left w:val="nil"/>
              <w:bottom w:val="nil"/>
              <w:right w:val="nil"/>
            </w:tcBorders>
            <w:shd w:val="clear" w:color="000000" w:fill="auto"/>
            <w:noWrap/>
            <w:vAlign w:val="bottom"/>
            <w:hideMark/>
          </w:tcPr>
          <w:p w14:paraId="786837B7" w14:textId="59E3C873"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1 085</w:t>
            </w:r>
          </w:p>
        </w:tc>
        <w:tc>
          <w:tcPr>
            <w:tcW w:w="1588" w:type="dxa"/>
            <w:tcBorders>
              <w:top w:val="nil"/>
              <w:left w:val="nil"/>
              <w:bottom w:val="nil"/>
              <w:right w:val="nil"/>
            </w:tcBorders>
            <w:shd w:val="clear" w:color="000000" w:fill="auto"/>
            <w:noWrap/>
            <w:vAlign w:val="bottom"/>
            <w:hideMark/>
          </w:tcPr>
          <w:p w14:paraId="512E5A0C" w14:textId="63488137"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2 005</w:t>
            </w:r>
          </w:p>
        </w:tc>
      </w:tr>
      <w:tr w:rsidR="00B539DE" w:rsidRPr="005269E6" w14:paraId="0F55BC91" w14:textId="77777777" w:rsidTr="00B539DE">
        <w:trPr>
          <w:trHeight w:val="255"/>
          <w:jc w:val="center"/>
        </w:trPr>
        <w:tc>
          <w:tcPr>
            <w:tcW w:w="4096" w:type="dxa"/>
            <w:tcBorders>
              <w:top w:val="nil"/>
              <w:left w:val="nil"/>
              <w:bottom w:val="nil"/>
              <w:right w:val="nil"/>
            </w:tcBorders>
            <w:shd w:val="clear" w:color="000000" w:fill="auto"/>
            <w:noWrap/>
            <w:vAlign w:val="bottom"/>
            <w:hideMark/>
          </w:tcPr>
          <w:p w14:paraId="3654C00C" w14:textId="659184E3" w:rsidR="00B539DE" w:rsidRPr="005269E6" w:rsidRDefault="00496233" w:rsidP="00496233">
            <w:pPr>
              <w:tabs>
                <w:tab w:val="clear" w:pos="794"/>
                <w:tab w:val="left" w:pos="269"/>
              </w:tabs>
              <w:spacing w:before="40" w:after="40" w:line="240" w:lineRule="exact"/>
              <w:ind w:left="266" w:hanging="266"/>
              <w:rPr>
                <w:rFonts w:eastAsia="Times New Roman"/>
                <w:color w:val="000000"/>
                <w:sz w:val="18"/>
                <w:szCs w:val="18"/>
                <w:lang w:val="en-GB" w:eastAsia="en-GB"/>
              </w:rPr>
            </w:pP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ab/>
            </w:r>
            <w:r w:rsidR="0026688F" w:rsidRPr="005269E6">
              <w:rPr>
                <w:rFonts w:eastAsia="Times New Roman"/>
                <w:color w:val="000000"/>
                <w:sz w:val="18"/>
                <w:szCs w:val="18"/>
                <w:rtl/>
                <w:lang w:val="en-GB" w:eastAsia="en-GB"/>
              </w:rPr>
              <w:t>منحة التعليم</w:t>
            </w:r>
          </w:p>
        </w:tc>
        <w:tc>
          <w:tcPr>
            <w:tcW w:w="1636" w:type="dxa"/>
            <w:tcBorders>
              <w:top w:val="nil"/>
              <w:left w:val="nil"/>
              <w:bottom w:val="nil"/>
              <w:right w:val="nil"/>
            </w:tcBorders>
            <w:shd w:val="clear" w:color="000000" w:fill="auto"/>
            <w:noWrap/>
            <w:vAlign w:val="bottom"/>
            <w:hideMark/>
          </w:tcPr>
          <w:p w14:paraId="6C585F01" w14:textId="4F1BFA6F"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3 736</w:t>
            </w:r>
          </w:p>
        </w:tc>
        <w:tc>
          <w:tcPr>
            <w:tcW w:w="1588" w:type="dxa"/>
            <w:tcBorders>
              <w:top w:val="nil"/>
              <w:left w:val="nil"/>
              <w:bottom w:val="nil"/>
              <w:right w:val="nil"/>
            </w:tcBorders>
            <w:shd w:val="clear" w:color="000000" w:fill="auto"/>
            <w:noWrap/>
            <w:vAlign w:val="bottom"/>
            <w:hideMark/>
          </w:tcPr>
          <w:p w14:paraId="1541909E" w14:textId="1E674231"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3 576</w:t>
            </w:r>
          </w:p>
        </w:tc>
      </w:tr>
      <w:tr w:rsidR="00B539DE" w:rsidRPr="005269E6" w14:paraId="35771323" w14:textId="77777777" w:rsidTr="00B539DE">
        <w:trPr>
          <w:trHeight w:val="255"/>
          <w:jc w:val="center"/>
        </w:trPr>
        <w:tc>
          <w:tcPr>
            <w:tcW w:w="4096" w:type="dxa"/>
            <w:tcBorders>
              <w:top w:val="nil"/>
              <w:left w:val="nil"/>
              <w:bottom w:val="nil"/>
              <w:right w:val="nil"/>
            </w:tcBorders>
            <w:shd w:val="clear" w:color="000000" w:fill="auto"/>
            <w:noWrap/>
            <w:vAlign w:val="bottom"/>
            <w:hideMark/>
          </w:tcPr>
          <w:p w14:paraId="672FBEDF" w14:textId="43B38DCA" w:rsidR="00B539DE" w:rsidRPr="005269E6" w:rsidRDefault="00496233" w:rsidP="00496233">
            <w:pPr>
              <w:tabs>
                <w:tab w:val="clear" w:pos="794"/>
                <w:tab w:val="left" w:pos="269"/>
              </w:tabs>
              <w:spacing w:before="40" w:after="40" w:line="240" w:lineRule="exact"/>
              <w:ind w:left="266" w:hanging="266"/>
              <w:rPr>
                <w:rFonts w:eastAsia="Times New Roman"/>
                <w:color w:val="000000"/>
                <w:sz w:val="18"/>
                <w:szCs w:val="18"/>
                <w:lang w:val="en-GB" w:eastAsia="en-GB"/>
              </w:rPr>
            </w:pP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ab/>
            </w:r>
            <w:r w:rsidR="0026688F" w:rsidRPr="005269E6">
              <w:rPr>
                <w:rFonts w:eastAsia="Times New Roman"/>
                <w:color w:val="000000"/>
                <w:sz w:val="18"/>
                <w:szCs w:val="18"/>
                <w:rtl/>
                <w:lang w:val="en-GB" w:eastAsia="en-GB"/>
              </w:rPr>
              <w:t>إجازة زيارة الوطن</w:t>
            </w:r>
            <w:r w:rsidR="00B539DE" w:rsidRPr="005269E6">
              <w:rPr>
                <w:rFonts w:eastAsia="Times New Roman"/>
                <w:color w:val="000000"/>
                <w:sz w:val="18"/>
                <w:szCs w:val="18"/>
                <w:lang w:val="en-GB" w:eastAsia="en-GB"/>
              </w:rPr>
              <w:t xml:space="preserve"> </w:t>
            </w:r>
          </w:p>
        </w:tc>
        <w:tc>
          <w:tcPr>
            <w:tcW w:w="1636" w:type="dxa"/>
            <w:tcBorders>
              <w:top w:val="nil"/>
              <w:left w:val="nil"/>
              <w:bottom w:val="nil"/>
              <w:right w:val="nil"/>
            </w:tcBorders>
            <w:shd w:val="clear" w:color="000000" w:fill="auto"/>
            <w:noWrap/>
            <w:vAlign w:val="bottom"/>
            <w:hideMark/>
          </w:tcPr>
          <w:p w14:paraId="2DBA53B2" w14:textId="77777777"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741</w:t>
            </w:r>
          </w:p>
        </w:tc>
        <w:tc>
          <w:tcPr>
            <w:tcW w:w="1588" w:type="dxa"/>
            <w:tcBorders>
              <w:top w:val="nil"/>
              <w:left w:val="nil"/>
              <w:bottom w:val="nil"/>
              <w:right w:val="nil"/>
            </w:tcBorders>
            <w:shd w:val="clear" w:color="000000" w:fill="auto"/>
            <w:noWrap/>
            <w:vAlign w:val="bottom"/>
            <w:hideMark/>
          </w:tcPr>
          <w:p w14:paraId="60298F9B" w14:textId="77777777"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805</w:t>
            </w:r>
          </w:p>
        </w:tc>
      </w:tr>
      <w:tr w:rsidR="00B539DE" w:rsidRPr="005269E6" w14:paraId="56A809C2" w14:textId="77777777" w:rsidTr="00B539DE">
        <w:trPr>
          <w:trHeight w:val="255"/>
          <w:jc w:val="center"/>
        </w:trPr>
        <w:tc>
          <w:tcPr>
            <w:tcW w:w="4096" w:type="dxa"/>
            <w:tcBorders>
              <w:top w:val="nil"/>
              <w:left w:val="nil"/>
              <w:bottom w:val="nil"/>
              <w:right w:val="nil"/>
            </w:tcBorders>
            <w:shd w:val="clear" w:color="000000" w:fill="auto"/>
            <w:noWrap/>
            <w:vAlign w:val="bottom"/>
            <w:hideMark/>
          </w:tcPr>
          <w:p w14:paraId="3425F9C9" w14:textId="2A18A044" w:rsidR="00B539DE" w:rsidRPr="005269E6" w:rsidRDefault="00496233" w:rsidP="00496233">
            <w:pPr>
              <w:tabs>
                <w:tab w:val="clear" w:pos="794"/>
                <w:tab w:val="left" w:pos="269"/>
              </w:tabs>
              <w:spacing w:before="40" w:after="40" w:line="240" w:lineRule="exact"/>
              <w:ind w:left="266" w:hanging="266"/>
              <w:rPr>
                <w:rFonts w:eastAsia="Times New Roman"/>
                <w:color w:val="000000"/>
                <w:sz w:val="18"/>
                <w:szCs w:val="18"/>
                <w:lang w:val="en-GB" w:eastAsia="en-GB"/>
              </w:rPr>
            </w:pP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ab/>
            </w:r>
            <w:r w:rsidR="0026688F" w:rsidRPr="005269E6">
              <w:rPr>
                <w:rFonts w:eastAsia="Times New Roman"/>
                <w:color w:val="000000"/>
                <w:sz w:val="18"/>
                <w:szCs w:val="18"/>
                <w:rtl/>
                <w:lang w:val="en-GB" w:eastAsia="en-GB"/>
              </w:rPr>
              <w:t>الإجازات المتراكمة</w:t>
            </w:r>
            <w:r w:rsidR="00B539DE" w:rsidRPr="005269E6">
              <w:rPr>
                <w:rFonts w:eastAsia="Times New Roman"/>
                <w:color w:val="000000"/>
                <w:sz w:val="18"/>
                <w:szCs w:val="18"/>
                <w:lang w:val="en-GB" w:eastAsia="en-GB"/>
              </w:rPr>
              <w:t xml:space="preserve"> </w:t>
            </w:r>
          </w:p>
        </w:tc>
        <w:tc>
          <w:tcPr>
            <w:tcW w:w="1636" w:type="dxa"/>
            <w:tcBorders>
              <w:top w:val="nil"/>
              <w:left w:val="nil"/>
              <w:bottom w:val="nil"/>
              <w:right w:val="nil"/>
            </w:tcBorders>
            <w:shd w:val="clear" w:color="000000" w:fill="auto"/>
            <w:noWrap/>
            <w:vAlign w:val="bottom"/>
            <w:hideMark/>
          </w:tcPr>
          <w:p w14:paraId="2FEC6638" w14:textId="479F9A7E"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1 680</w:t>
            </w:r>
          </w:p>
        </w:tc>
        <w:tc>
          <w:tcPr>
            <w:tcW w:w="1588" w:type="dxa"/>
            <w:tcBorders>
              <w:top w:val="nil"/>
              <w:left w:val="nil"/>
              <w:bottom w:val="nil"/>
              <w:right w:val="nil"/>
            </w:tcBorders>
            <w:shd w:val="clear" w:color="000000" w:fill="auto"/>
            <w:noWrap/>
            <w:vAlign w:val="bottom"/>
            <w:hideMark/>
          </w:tcPr>
          <w:p w14:paraId="1B1A2FCA" w14:textId="252112AC"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1 007</w:t>
            </w:r>
          </w:p>
        </w:tc>
      </w:tr>
      <w:tr w:rsidR="00B539DE" w:rsidRPr="005269E6" w14:paraId="4C33F2FA" w14:textId="77777777" w:rsidTr="00B539DE">
        <w:trPr>
          <w:trHeight w:val="255"/>
          <w:jc w:val="center"/>
        </w:trPr>
        <w:tc>
          <w:tcPr>
            <w:tcW w:w="4096" w:type="dxa"/>
            <w:tcBorders>
              <w:top w:val="nil"/>
              <w:left w:val="nil"/>
              <w:bottom w:val="nil"/>
              <w:right w:val="nil"/>
            </w:tcBorders>
            <w:shd w:val="clear" w:color="000000" w:fill="auto"/>
            <w:noWrap/>
            <w:vAlign w:val="bottom"/>
            <w:hideMark/>
          </w:tcPr>
          <w:p w14:paraId="078B4C38" w14:textId="4C621A4C" w:rsidR="00B539DE" w:rsidRPr="005269E6" w:rsidRDefault="00496233" w:rsidP="00496233">
            <w:pPr>
              <w:tabs>
                <w:tab w:val="clear" w:pos="794"/>
                <w:tab w:val="left" w:pos="269"/>
              </w:tabs>
              <w:spacing w:before="40" w:after="40" w:line="240" w:lineRule="exact"/>
              <w:ind w:left="266" w:hanging="266"/>
              <w:rPr>
                <w:rFonts w:eastAsia="Times New Roman"/>
                <w:color w:val="000000"/>
                <w:sz w:val="18"/>
                <w:szCs w:val="18"/>
                <w:lang w:val="en-GB" w:eastAsia="en-GB"/>
              </w:rPr>
            </w:pP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ab/>
            </w:r>
            <w:r w:rsidR="0026688F" w:rsidRPr="005269E6">
              <w:rPr>
                <w:rFonts w:eastAsia="Times New Roman"/>
                <w:color w:val="000000"/>
                <w:sz w:val="18"/>
                <w:szCs w:val="18"/>
                <w:rtl/>
                <w:lang w:val="en-GB" w:eastAsia="en-GB"/>
              </w:rPr>
              <w:t>التأمين الصحي والتأمين ضد الحوادث</w:t>
            </w:r>
            <w:r w:rsidR="00B539DE" w:rsidRPr="005269E6">
              <w:rPr>
                <w:rFonts w:eastAsia="Times New Roman"/>
                <w:color w:val="000000"/>
                <w:sz w:val="18"/>
                <w:szCs w:val="18"/>
                <w:lang w:val="en-GB" w:eastAsia="en-GB"/>
              </w:rPr>
              <w:t xml:space="preserve"> </w:t>
            </w:r>
          </w:p>
        </w:tc>
        <w:tc>
          <w:tcPr>
            <w:tcW w:w="1636" w:type="dxa"/>
            <w:tcBorders>
              <w:top w:val="nil"/>
              <w:left w:val="nil"/>
              <w:bottom w:val="nil"/>
              <w:right w:val="nil"/>
            </w:tcBorders>
            <w:shd w:val="clear" w:color="000000" w:fill="auto"/>
            <w:noWrap/>
            <w:vAlign w:val="bottom"/>
            <w:hideMark/>
          </w:tcPr>
          <w:p w14:paraId="05F7B3AC" w14:textId="2E937855"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11 785</w:t>
            </w:r>
          </w:p>
        </w:tc>
        <w:tc>
          <w:tcPr>
            <w:tcW w:w="1588" w:type="dxa"/>
            <w:tcBorders>
              <w:top w:val="nil"/>
              <w:left w:val="nil"/>
              <w:bottom w:val="nil"/>
              <w:right w:val="nil"/>
            </w:tcBorders>
            <w:shd w:val="clear" w:color="000000" w:fill="auto"/>
            <w:noWrap/>
            <w:vAlign w:val="bottom"/>
            <w:hideMark/>
          </w:tcPr>
          <w:p w14:paraId="0AB49139" w14:textId="36CEC067"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11 293</w:t>
            </w:r>
          </w:p>
        </w:tc>
      </w:tr>
      <w:tr w:rsidR="00B539DE" w:rsidRPr="005269E6" w14:paraId="51119750" w14:textId="77777777" w:rsidTr="00B539DE">
        <w:trPr>
          <w:trHeight w:val="255"/>
          <w:jc w:val="center"/>
        </w:trPr>
        <w:tc>
          <w:tcPr>
            <w:tcW w:w="4096" w:type="dxa"/>
            <w:tcBorders>
              <w:top w:val="nil"/>
              <w:left w:val="nil"/>
              <w:bottom w:val="nil"/>
              <w:right w:val="nil"/>
            </w:tcBorders>
            <w:shd w:val="clear" w:color="000000" w:fill="auto"/>
            <w:noWrap/>
            <w:vAlign w:val="bottom"/>
            <w:hideMark/>
          </w:tcPr>
          <w:p w14:paraId="7FFD2E4B" w14:textId="48097A30" w:rsidR="00B539DE" w:rsidRPr="005269E6" w:rsidRDefault="00496233" w:rsidP="00496233">
            <w:pPr>
              <w:tabs>
                <w:tab w:val="clear" w:pos="794"/>
                <w:tab w:val="left" w:pos="269"/>
              </w:tabs>
              <w:spacing w:before="40" w:after="40" w:line="240" w:lineRule="exact"/>
              <w:ind w:left="266" w:hanging="266"/>
              <w:rPr>
                <w:rFonts w:eastAsia="Times New Roman"/>
                <w:color w:val="000000"/>
                <w:sz w:val="18"/>
                <w:szCs w:val="18"/>
                <w:lang w:val="en-GB" w:eastAsia="en-GB"/>
              </w:rPr>
            </w:pP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ab/>
            </w:r>
            <w:r w:rsidR="0026688F" w:rsidRPr="005269E6">
              <w:rPr>
                <w:rFonts w:eastAsia="Times New Roman" w:hint="cs"/>
                <w:color w:val="000000"/>
                <w:sz w:val="18"/>
                <w:szCs w:val="18"/>
                <w:rtl/>
                <w:lang w:val="en-GB" w:eastAsia="en-GB"/>
              </w:rPr>
              <w:t>ال</w:t>
            </w:r>
            <w:r w:rsidR="0026688F" w:rsidRPr="005269E6">
              <w:rPr>
                <w:rFonts w:eastAsia="Times New Roman"/>
                <w:color w:val="000000"/>
                <w:sz w:val="18"/>
                <w:szCs w:val="18"/>
                <w:rtl/>
                <w:lang w:val="en-GB" w:eastAsia="en-GB"/>
              </w:rPr>
              <w:t>مساهمة</w:t>
            </w:r>
            <w:r w:rsidR="0026688F" w:rsidRPr="005269E6">
              <w:rPr>
                <w:rFonts w:eastAsia="Times New Roman" w:hint="cs"/>
                <w:color w:val="000000"/>
                <w:sz w:val="18"/>
                <w:szCs w:val="18"/>
                <w:rtl/>
                <w:lang w:val="en-GB" w:eastAsia="en-GB"/>
              </w:rPr>
              <w:t xml:space="preserve"> في</w:t>
            </w:r>
            <w:r w:rsidR="0026688F" w:rsidRPr="005269E6">
              <w:rPr>
                <w:rFonts w:eastAsia="Times New Roman"/>
                <w:color w:val="000000"/>
                <w:sz w:val="18"/>
                <w:szCs w:val="18"/>
                <w:rtl/>
                <w:lang w:val="en-GB" w:eastAsia="en-GB"/>
              </w:rPr>
              <w:t xml:space="preserve"> الصندوق المشترك للمعاشات التقاعدية لموظفي الأمم المتحدة</w:t>
            </w:r>
            <w:r w:rsidR="00B539DE" w:rsidRPr="005269E6">
              <w:rPr>
                <w:rFonts w:eastAsia="Times New Roman"/>
                <w:color w:val="000000"/>
                <w:sz w:val="18"/>
                <w:szCs w:val="18"/>
                <w:lang w:val="en-GB" w:eastAsia="en-GB"/>
              </w:rPr>
              <w:t xml:space="preserve"> </w:t>
            </w:r>
          </w:p>
        </w:tc>
        <w:tc>
          <w:tcPr>
            <w:tcW w:w="1636" w:type="dxa"/>
            <w:tcBorders>
              <w:top w:val="nil"/>
              <w:left w:val="nil"/>
              <w:bottom w:val="nil"/>
              <w:right w:val="nil"/>
            </w:tcBorders>
            <w:shd w:val="clear" w:color="auto" w:fill="auto"/>
            <w:noWrap/>
            <w:vAlign w:val="bottom"/>
            <w:hideMark/>
          </w:tcPr>
          <w:p w14:paraId="2EE5EC68" w14:textId="0F290A1D"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19 138</w:t>
            </w:r>
          </w:p>
        </w:tc>
        <w:tc>
          <w:tcPr>
            <w:tcW w:w="1588" w:type="dxa"/>
            <w:tcBorders>
              <w:top w:val="nil"/>
              <w:left w:val="nil"/>
              <w:bottom w:val="nil"/>
              <w:right w:val="nil"/>
            </w:tcBorders>
            <w:shd w:val="clear" w:color="000000" w:fill="auto"/>
            <w:noWrap/>
            <w:vAlign w:val="bottom"/>
            <w:hideMark/>
          </w:tcPr>
          <w:p w14:paraId="45AB20AE" w14:textId="23FFFF7A"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17 631</w:t>
            </w:r>
          </w:p>
        </w:tc>
      </w:tr>
      <w:tr w:rsidR="00B539DE" w:rsidRPr="005269E6" w14:paraId="4B9BF2F0" w14:textId="77777777" w:rsidTr="00B539DE">
        <w:trPr>
          <w:trHeight w:val="255"/>
          <w:jc w:val="center"/>
        </w:trPr>
        <w:tc>
          <w:tcPr>
            <w:tcW w:w="4096" w:type="dxa"/>
            <w:tcBorders>
              <w:top w:val="nil"/>
              <w:left w:val="nil"/>
              <w:bottom w:val="nil"/>
              <w:right w:val="nil"/>
            </w:tcBorders>
            <w:shd w:val="clear" w:color="000000" w:fill="auto"/>
            <w:noWrap/>
            <w:vAlign w:val="bottom"/>
            <w:hideMark/>
          </w:tcPr>
          <w:p w14:paraId="2AE6CBAE" w14:textId="4CB762A3" w:rsidR="00B539DE" w:rsidRPr="005269E6" w:rsidRDefault="00496233" w:rsidP="00496233">
            <w:pPr>
              <w:tabs>
                <w:tab w:val="clear" w:pos="794"/>
                <w:tab w:val="left" w:pos="269"/>
              </w:tabs>
              <w:spacing w:before="40" w:after="40" w:line="240" w:lineRule="exact"/>
              <w:rPr>
                <w:rFonts w:eastAsia="Times New Roman"/>
                <w:color w:val="000000"/>
                <w:sz w:val="18"/>
                <w:szCs w:val="18"/>
                <w:lang w:val="en-GB" w:eastAsia="en-GB"/>
              </w:rPr>
            </w:pPr>
            <w:r w:rsidRPr="005269E6">
              <w:rPr>
                <w:rFonts w:eastAsia="Times New Roman" w:hint="cs"/>
                <w:color w:val="000000"/>
                <w:sz w:val="18"/>
                <w:szCs w:val="18"/>
                <w:rtl/>
                <w:lang w:val="en-GB" w:eastAsia="en-GB"/>
              </w:rPr>
              <w:t>-</w:t>
            </w:r>
            <w:r w:rsidRPr="005269E6">
              <w:rPr>
                <w:rFonts w:eastAsia="Times New Roman"/>
                <w:color w:val="000000"/>
                <w:sz w:val="18"/>
                <w:szCs w:val="18"/>
                <w:rtl/>
                <w:lang w:val="en-GB" w:eastAsia="en-GB"/>
              </w:rPr>
              <w:tab/>
            </w:r>
            <w:r w:rsidR="0026688F" w:rsidRPr="005269E6">
              <w:rPr>
                <w:rFonts w:eastAsia="Times New Roman"/>
                <w:color w:val="000000"/>
                <w:sz w:val="18"/>
                <w:szCs w:val="18"/>
                <w:rtl/>
                <w:lang w:val="en-GB" w:eastAsia="en-GB"/>
              </w:rPr>
              <w:t>مصاريف أخرى</w:t>
            </w:r>
          </w:p>
        </w:tc>
        <w:tc>
          <w:tcPr>
            <w:tcW w:w="1636" w:type="dxa"/>
            <w:tcBorders>
              <w:top w:val="nil"/>
              <w:left w:val="nil"/>
              <w:bottom w:val="nil"/>
              <w:right w:val="nil"/>
            </w:tcBorders>
            <w:shd w:val="clear" w:color="000000" w:fill="auto"/>
            <w:noWrap/>
            <w:vAlign w:val="bottom"/>
            <w:hideMark/>
          </w:tcPr>
          <w:p w14:paraId="73209019" w14:textId="77777777"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331</w:t>
            </w:r>
          </w:p>
        </w:tc>
        <w:tc>
          <w:tcPr>
            <w:tcW w:w="1588" w:type="dxa"/>
            <w:tcBorders>
              <w:top w:val="nil"/>
              <w:left w:val="nil"/>
              <w:bottom w:val="nil"/>
              <w:right w:val="nil"/>
            </w:tcBorders>
            <w:shd w:val="clear" w:color="000000" w:fill="auto"/>
            <w:noWrap/>
            <w:vAlign w:val="bottom"/>
            <w:hideMark/>
          </w:tcPr>
          <w:p w14:paraId="434510A2" w14:textId="77777777"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181</w:t>
            </w:r>
          </w:p>
        </w:tc>
      </w:tr>
      <w:tr w:rsidR="00B539DE" w:rsidRPr="005269E6" w14:paraId="65F44345" w14:textId="77777777" w:rsidTr="00B539DE">
        <w:trPr>
          <w:trHeight w:val="255"/>
          <w:jc w:val="center"/>
        </w:trPr>
        <w:tc>
          <w:tcPr>
            <w:tcW w:w="4096" w:type="dxa"/>
            <w:tcBorders>
              <w:top w:val="nil"/>
              <w:left w:val="nil"/>
              <w:bottom w:val="nil"/>
              <w:right w:val="nil"/>
            </w:tcBorders>
            <w:shd w:val="clear" w:color="000000" w:fill="auto"/>
            <w:noWrap/>
            <w:vAlign w:val="bottom"/>
            <w:hideMark/>
          </w:tcPr>
          <w:p w14:paraId="38C3C418" w14:textId="1DD6F8E0" w:rsidR="00B539DE" w:rsidRPr="005269E6" w:rsidRDefault="00496233" w:rsidP="00496233">
            <w:pPr>
              <w:tabs>
                <w:tab w:val="clear" w:pos="794"/>
                <w:tab w:val="left" w:pos="269"/>
              </w:tabs>
              <w:spacing w:before="40" w:after="40" w:line="240" w:lineRule="exact"/>
              <w:rPr>
                <w:sz w:val="18"/>
                <w:szCs w:val="18"/>
                <w:lang w:val="en-GB" w:eastAsia="en-GB"/>
              </w:rPr>
            </w:pPr>
            <w:r w:rsidRPr="005269E6">
              <w:rPr>
                <w:rFonts w:hint="cs"/>
                <w:sz w:val="18"/>
                <w:szCs w:val="18"/>
                <w:rtl/>
                <w:lang w:val="en-GB" w:eastAsia="en-GB"/>
              </w:rPr>
              <w:t>-</w:t>
            </w:r>
            <w:r w:rsidRPr="005269E6">
              <w:rPr>
                <w:sz w:val="18"/>
                <w:szCs w:val="18"/>
                <w:rtl/>
                <w:lang w:val="en-GB" w:eastAsia="en-GB"/>
              </w:rPr>
              <w:tab/>
            </w:r>
            <w:r w:rsidR="0026688F" w:rsidRPr="005269E6">
              <w:rPr>
                <w:rFonts w:hint="cs"/>
                <w:sz w:val="18"/>
                <w:szCs w:val="18"/>
                <w:rtl/>
                <w:lang w:val="en-GB" w:eastAsia="en-GB"/>
              </w:rPr>
              <w:t>تسوية</w:t>
            </w:r>
            <w:r w:rsidR="00B539DE" w:rsidRPr="005269E6">
              <w:rPr>
                <w:sz w:val="18"/>
                <w:szCs w:val="18"/>
                <w:lang w:val="en-GB" w:eastAsia="en-GB"/>
              </w:rPr>
              <w:t xml:space="preserve"> </w:t>
            </w:r>
            <w:r w:rsidR="0026688F" w:rsidRPr="005269E6">
              <w:rPr>
                <w:sz w:val="18"/>
                <w:szCs w:val="18"/>
                <w:rtl/>
                <w:lang w:val="en-GB" w:eastAsia="en-GB"/>
              </w:rPr>
              <w:t xml:space="preserve">التأمين الصحي </w:t>
            </w:r>
            <w:r w:rsidR="0016425F" w:rsidRPr="005269E6">
              <w:rPr>
                <w:sz w:val="18"/>
                <w:szCs w:val="18"/>
                <w:rtl/>
                <w:lang w:val="en-GB" w:eastAsia="en-GB"/>
              </w:rPr>
              <w:t>بعد انتهاء الخدمة</w:t>
            </w:r>
            <w:r w:rsidR="0026688F" w:rsidRPr="005269E6">
              <w:rPr>
                <w:sz w:val="18"/>
                <w:szCs w:val="18"/>
                <w:rtl/>
                <w:lang w:val="en-GB" w:eastAsia="en-GB"/>
              </w:rPr>
              <w:t xml:space="preserve"> (</w:t>
            </w:r>
            <w:r w:rsidR="0026688F" w:rsidRPr="005269E6">
              <w:rPr>
                <w:sz w:val="18"/>
                <w:szCs w:val="18"/>
                <w:lang w:val="en-GB" w:eastAsia="en-GB"/>
              </w:rPr>
              <w:t>ASHI</w:t>
            </w:r>
            <w:r w:rsidR="0026688F" w:rsidRPr="005269E6">
              <w:rPr>
                <w:sz w:val="18"/>
                <w:szCs w:val="18"/>
                <w:rtl/>
                <w:lang w:val="en-GB" w:eastAsia="en-GB"/>
              </w:rPr>
              <w:t>)</w:t>
            </w:r>
          </w:p>
        </w:tc>
        <w:tc>
          <w:tcPr>
            <w:tcW w:w="1636" w:type="dxa"/>
            <w:tcBorders>
              <w:top w:val="nil"/>
              <w:left w:val="nil"/>
              <w:bottom w:val="nil"/>
              <w:right w:val="nil"/>
            </w:tcBorders>
            <w:shd w:val="clear" w:color="000000" w:fill="auto"/>
            <w:noWrap/>
            <w:vAlign w:val="bottom"/>
            <w:hideMark/>
          </w:tcPr>
          <w:p w14:paraId="49469D91" w14:textId="14CB1472"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13 977</w:t>
            </w:r>
          </w:p>
        </w:tc>
        <w:tc>
          <w:tcPr>
            <w:tcW w:w="1588" w:type="dxa"/>
            <w:tcBorders>
              <w:top w:val="nil"/>
              <w:left w:val="nil"/>
              <w:bottom w:val="nil"/>
              <w:right w:val="nil"/>
            </w:tcBorders>
            <w:shd w:val="clear" w:color="000000" w:fill="auto"/>
            <w:noWrap/>
            <w:vAlign w:val="bottom"/>
            <w:hideMark/>
          </w:tcPr>
          <w:p w14:paraId="35179D24" w14:textId="0F6B670B" w:rsidR="00B539DE" w:rsidRPr="005269E6" w:rsidRDefault="00B539DE" w:rsidP="00580D08">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17 265</w:t>
            </w:r>
          </w:p>
        </w:tc>
      </w:tr>
      <w:tr w:rsidR="00B539DE" w:rsidRPr="005269E6" w14:paraId="059E69AE" w14:textId="77777777" w:rsidTr="00B539DE">
        <w:trPr>
          <w:trHeight w:val="255"/>
          <w:jc w:val="center"/>
        </w:trPr>
        <w:tc>
          <w:tcPr>
            <w:tcW w:w="4096" w:type="dxa"/>
            <w:tcBorders>
              <w:top w:val="nil"/>
              <w:left w:val="nil"/>
              <w:bottom w:val="nil"/>
              <w:right w:val="nil"/>
            </w:tcBorders>
            <w:shd w:val="clear" w:color="000000" w:fill="auto"/>
            <w:noWrap/>
            <w:vAlign w:val="bottom"/>
            <w:hideMark/>
          </w:tcPr>
          <w:p w14:paraId="66C59C0F" w14:textId="38C9BA48" w:rsidR="00B539DE" w:rsidRPr="005269E6" w:rsidRDefault="0026688F" w:rsidP="0049623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مصاريف الموظفين الأخرى</w:t>
            </w:r>
          </w:p>
        </w:tc>
        <w:tc>
          <w:tcPr>
            <w:tcW w:w="1636" w:type="dxa"/>
            <w:tcBorders>
              <w:top w:val="nil"/>
              <w:left w:val="nil"/>
              <w:bottom w:val="nil"/>
              <w:right w:val="nil"/>
            </w:tcBorders>
            <w:shd w:val="clear" w:color="000000" w:fill="auto"/>
            <w:noWrap/>
            <w:vAlign w:val="bottom"/>
            <w:hideMark/>
          </w:tcPr>
          <w:p w14:paraId="4600DE2A" w14:textId="52B5E76D" w:rsidR="00B539DE" w:rsidRPr="005269E6" w:rsidRDefault="00B539DE" w:rsidP="00580D08">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52 473</w:t>
            </w:r>
          </w:p>
        </w:tc>
        <w:tc>
          <w:tcPr>
            <w:tcW w:w="1588" w:type="dxa"/>
            <w:tcBorders>
              <w:top w:val="nil"/>
              <w:left w:val="nil"/>
              <w:bottom w:val="nil"/>
              <w:right w:val="nil"/>
            </w:tcBorders>
            <w:shd w:val="clear" w:color="000000" w:fill="auto"/>
            <w:noWrap/>
            <w:vAlign w:val="bottom"/>
            <w:hideMark/>
          </w:tcPr>
          <w:p w14:paraId="2A57CE9F" w14:textId="60709C73" w:rsidR="00B539DE" w:rsidRPr="005269E6" w:rsidRDefault="00B539DE" w:rsidP="00580D08">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53 763</w:t>
            </w:r>
          </w:p>
        </w:tc>
      </w:tr>
      <w:tr w:rsidR="00B539DE" w:rsidRPr="005269E6" w14:paraId="388D9FE7" w14:textId="77777777" w:rsidTr="00B539DE">
        <w:trPr>
          <w:trHeight w:val="120"/>
          <w:jc w:val="center"/>
        </w:trPr>
        <w:tc>
          <w:tcPr>
            <w:tcW w:w="4096" w:type="dxa"/>
            <w:tcBorders>
              <w:top w:val="nil"/>
              <w:left w:val="nil"/>
              <w:bottom w:val="nil"/>
              <w:right w:val="nil"/>
            </w:tcBorders>
            <w:shd w:val="clear" w:color="000000" w:fill="auto"/>
            <w:noWrap/>
            <w:vAlign w:val="bottom"/>
            <w:hideMark/>
          </w:tcPr>
          <w:p w14:paraId="2948E95E" w14:textId="77777777" w:rsidR="00B539DE" w:rsidRPr="005269E6" w:rsidRDefault="00B539DE" w:rsidP="007B400F">
            <w:pPr>
              <w:tabs>
                <w:tab w:val="clear" w:pos="794"/>
              </w:tabs>
              <w:spacing w:before="0" w:line="200" w:lineRule="exact"/>
              <w:jc w:val="left"/>
              <w:rPr>
                <w:rFonts w:eastAsia="Times New Roman"/>
                <w:b/>
                <w:bCs/>
                <w:color w:val="000000"/>
                <w:sz w:val="18"/>
                <w:szCs w:val="18"/>
                <w:lang w:val="en-GB" w:eastAsia="en-GB"/>
              </w:rPr>
            </w:pPr>
          </w:p>
        </w:tc>
        <w:tc>
          <w:tcPr>
            <w:tcW w:w="1636" w:type="dxa"/>
            <w:tcBorders>
              <w:top w:val="nil"/>
              <w:left w:val="nil"/>
              <w:bottom w:val="nil"/>
              <w:right w:val="nil"/>
            </w:tcBorders>
            <w:shd w:val="clear" w:color="000000" w:fill="auto"/>
            <w:noWrap/>
            <w:vAlign w:val="bottom"/>
            <w:hideMark/>
          </w:tcPr>
          <w:p w14:paraId="6D2D749E" w14:textId="77777777" w:rsidR="00B539DE" w:rsidRPr="005269E6" w:rsidRDefault="00B539DE" w:rsidP="00580D08">
            <w:pPr>
              <w:tabs>
                <w:tab w:val="clear" w:pos="794"/>
              </w:tabs>
              <w:spacing w:before="0" w:line="200" w:lineRule="exact"/>
              <w:jc w:val="left"/>
              <w:rPr>
                <w:rFonts w:eastAsia="Times New Roman"/>
                <w:b/>
                <w:bCs/>
                <w:color w:val="000000"/>
                <w:sz w:val="18"/>
                <w:szCs w:val="18"/>
                <w:lang w:val="en-GB" w:eastAsia="en-GB"/>
              </w:rPr>
            </w:pPr>
          </w:p>
        </w:tc>
        <w:tc>
          <w:tcPr>
            <w:tcW w:w="1588" w:type="dxa"/>
            <w:tcBorders>
              <w:top w:val="nil"/>
              <w:left w:val="nil"/>
              <w:bottom w:val="nil"/>
              <w:right w:val="nil"/>
            </w:tcBorders>
            <w:shd w:val="clear" w:color="000000" w:fill="auto"/>
            <w:noWrap/>
            <w:vAlign w:val="bottom"/>
            <w:hideMark/>
          </w:tcPr>
          <w:p w14:paraId="03DFB774" w14:textId="77777777" w:rsidR="00B539DE" w:rsidRPr="005269E6" w:rsidRDefault="00B539DE" w:rsidP="00580D08">
            <w:pPr>
              <w:tabs>
                <w:tab w:val="clear" w:pos="794"/>
              </w:tabs>
              <w:spacing w:before="0" w:line="200" w:lineRule="exact"/>
              <w:jc w:val="left"/>
              <w:rPr>
                <w:rFonts w:eastAsia="Times New Roman"/>
                <w:b/>
                <w:bCs/>
                <w:color w:val="000000"/>
                <w:sz w:val="18"/>
                <w:szCs w:val="18"/>
                <w:lang w:val="en-GB" w:eastAsia="en-GB"/>
              </w:rPr>
            </w:pPr>
          </w:p>
        </w:tc>
      </w:tr>
      <w:tr w:rsidR="00B539DE" w:rsidRPr="005269E6" w14:paraId="3C0290F7" w14:textId="77777777" w:rsidTr="007B400F">
        <w:trPr>
          <w:trHeight w:val="319"/>
          <w:jc w:val="center"/>
        </w:trPr>
        <w:tc>
          <w:tcPr>
            <w:tcW w:w="4096" w:type="dxa"/>
            <w:tcBorders>
              <w:top w:val="nil"/>
              <w:left w:val="nil"/>
              <w:bottom w:val="nil"/>
              <w:right w:val="nil"/>
            </w:tcBorders>
            <w:shd w:val="clear" w:color="000000" w:fill="538DD5"/>
            <w:noWrap/>
            <w:vAlign w:val="center"/>
            <w:hideMark/>
          </w:tcPr>
          <w:p w14:paraId="2C3C34B0" w14:textId="06B6EAF5" w:rsidR="00B539DE" w:rsidRPr="005269E6" w:rsidRDefault="0026688F" w:rsidP="0049623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مجموع</w:t>
            </w:r>
            <w:r w:rsidRPr="005269E6">
              <w:rPr>
                <w:rFonts w:eastAsia="Times New Roman"/>
                <w:b/>
                <w:bCs/>
                <w:color w:val="000000"/>
                <w:sz w:val="18"/>
                <w:szCs w:val="18"/>
                <w:rtl/>
                <w:lang w:val="en-GB" w:eastAsia="en-GB"/>
              </w:rPr>
              <w:t xml:space="preserve"> - مصاريف الموظفين</w:t>
            </w:r>
            <w:r w:rsidR="00B539DE" w:rsidRPr="005269E6">
              <w:rPr>
                <w:rFonts w:eastAsia="Times New Roman"/>
                <w:b/>
                <w:bCs/>
                <w:color w:val="000000"/>
                <w:sz w:val="18"/>
                <w:szCs w:val="18"/>
                <w:lang w:val="en-GB" w:eastAsia="en-GB"/>
              </w:rPr>
              <w:t xml:space="preserve"> </w:t>
            </w:r>
          </w:p>
        </w:tc>
        <w:tc>
          <w:tcPr>
            <w:tcW w:w="1636" w:type="dxa"/>
            <w:tcBorders>
              <w:top w:val="nil"/>
              <w:left w:val="nil"/>
              <w:bottom w:val="nil"/>
              <w:right w:val="nil"/>
            </w:tcBorders>
            <w:shd w:val="clear" w:color="000000" w:fill="538DD5"/>
            <w:noWrap/>
            <w:vAlign w:val="center"/>
            <w:hideMark/>
          </w:tcPr>
          <w:p w14:paraId="1CBE20A0" w14:textId="303BC8BB" w:rsidR="00B539DE" w:rsidRPr="005269E6" w:rsidRDefault="00B539DE" w:rsidP="00580D08">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153 510</w:t>
            </w:r>
          </w:p>
        </w:tc>
        <w:tc>
          <w:tcPr>
            <w:tcW w:w="1588" w:type="dxa"/>
            <w:tcBorders>
              <w:top w:val="nil"/>
              <w:left w:val="nil"/>
              <w:bottom w:val="nil"/>
              <w:right w:val="nil"/>
            </w:tcBorders>
            <w:shd w:val="clear" w:color="000000" w:fill="538DD5"/>
            <w:noWrap/>
            <w:vAlign w:val="center"/>
            <w:hideMark/>
          </w:tcPr>
          <w:p w14:paraId="44F6680D" w14:textId="3FECD42F" w:rsidR="00B539DE" w:rsidRPr="005269E6" w:rsidRDefault="00B539DE" w:rsidP="00580D08">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151 899</w:t>
            </w:r>
          </w:p>
        </w:tc>
      </w:tr>
    </w:tbl>
    <w:p w14:paraId="4A9F5B3A" w14:textId="4A901E3A" w:rsidR="004E76B0" w:rsidRPr="005269E6" w:rsidRDefault="0026688F" w:rsidP="00580D08">
      <w:pPr>
        <w:spacing w:before="240" w:after="240"/>
        <w:rPr>
          <w:rtl/>
          <w:lang w:bidi="ar-SY"/>
        </w:rPr>
      </w:pPr>
      <w:r w:rsidRPr="005269E6">
        <w:rPr>
          <w:rtl/>
          <w:lang w:bidi="ar-SY"/>
        </w:rPr>
        <w:t xml:space="preserve">ظلت نفقات الموظفين مستقرة على الصعيد العالمي في عام 2022. </w:t>
      </w:r>
      <w:r w:rsidR="003159D1" w:rsidRPr="005269E6">
        <w:rPr>
          <w:rFonts w:hint="cs"/>
          <w:rtl/>
          <w:lang w:bidi="ar-SY"/>
        </w:rPr>
        <w:t>ولكن يجدر ذكر</w:t>
      </w:r>
      <w:r w:rsidRPr="005269E6">
        <w:rPr>
          <w:rtl/>
          <w:lang w:bidi="ar-SY"/>
        </w:rPr>
        <w:t xml:space="preserve"> </w:t>
      </w:r>
      <w:r w:rsidR="003159D1" w:rsidRPr="005269E6">
        <w:rPr>
          <w:rFonts w:hint="cs"/>
          <w:rtl/>
          <w:lang w:bidi="ar-SY"/>
        </w:rPr>
        <w:t>ال</w:t>
      </w:r>
      <w:r w:rsidRPr="005269E6">
        <w:rPr>
          <w:rtl/>
          <w:lang w:bidi="ar-SY"/>
        </w:rPr>
        <w:t xml:space="preserve">زيادة في المرتبات والبدلات نتيجة لزيادة بنسبة 2,9 في المائة في المرتب الأساسي لموظفي فئة الخدمات العامة. </w:t>
      </w:r>
      <w:r w:rsidR="003159D1" w:rsidRPr="005269E6">
        <w:rPr>
          <w:rFonts w:hint="cs"/>
          <w:rtl/>
          <w:lang w:bidi="ar-SY"/>
        </w:rPr>
        <w:t>و</w:t>
      </w:r>
      <w:r w:rsidRPr="005269E6">
        <w:rPr>
          <w:rtl/>
          <w:lang w:bidi="ar-SY"/>
        </w:rPr>
        <w:t>أدت هذه الزيادة</w:t>
      </w:r>
      <w:r w:rsidR="003159D1" w:rsidRPr="005269E6">
        <w:rPr>
          <w:rFonts w:hint="cs"/>
          <w:rtl/>
          <w:lang w:bidi="ar-SY"/>
        </w:rPr>
        <w:t xml:space="preserve"> أيضاً</w:t>
      </w:r>
      <w:r w:rsidRPr="005269E6">
        <w:rPr>
          <w:rtl/>
          <w:lang w:bidi="ar-SY"/>
        </w:rPr>
        <w:t xml:space="preserve"> إلى زيادة في مساهمة التأمين الصحي والمعاشات التقاعدية. وقد عوضت هذه الزيادات بزيادة في معدل الخصم، مما أدى إلى انخفاض تسوية التأمين الصحي </w:t>
      </w:r>
      <w:r w:rsidR="0016425F" w:rsidRPr="005269E6">
        <w:rPr>
          <w:rtl/>
          <w:lang w:bidi="ar-SY"/>
        </w:rPr>
        <w:t>بعد انتهاء الخدمة</w:t>
      </w:r>
      <w:r w:rsidR="002F1ACD" w:rsidRPr="005269E6">
        <w:rPr>
          <w:rtl/>
        </w:rPr>
        <w:t xml:space="preserve"> </w:t>
      </w:r>
      <w:r w:rsidR="002F1ACD" w:rsidRPr="005269E6">
        <w:rPr>
          <w:rtl/>
          <w:lang w:bidi="ar-SY"/>
        </w:rPr>
        <w:t>المسجلة في إطار تكاليف الموظفين.</w:t>
      </w:r>
      <w:r w:rsidRPr="005269E6">
        <w:rPr>
          <w:rtl/>
          <w:lang w:bidi="ar-SY"/>
        </w:rPr>
        <w:t xml:space="preserve"> بمقدار 3,3 مليون فرنك سويسري</w:t>
      </w:r>
      <w:r w:rsidR="002F1ACD" w:rsidRPr="005269E6">
        <w:rPr>
          <w:rFonts w:hint="cs"/>
          <w:rtl/>
          <w:lang w:bidi="ar-SY"/>
        </w:rPr>
        <w:t>.</w:t>
      </w:r>
    </w:p>
    <w:tbl>
      <w:tblPr>
        <w:bidiVisual/>
        <w:tblW w:w="8240" w:type="dxa"/>
        <w:jc w:val="center"/>
        <w:tblLook w:val="04A0" w:firstRow="1" w:lastRow="0" w:firstColumn="1" w:lastColumn="0" w:noHBand="0" w:noVBand="1"/>
      </w:tblPr>
      <w:tblGrid>
        <w:gridCol w:w="4896"/>
        <w:gridCol w:w="1696"/>
        <w:gridCol w:w="1648"/>
      </w:tblGrid>
      <w:tr w:rsidR="002F1ACD" w:rsidRPr="005269E6" w14:paraId="4ECC5586" w14:textId="77777777" w:rsidTr="00E41F86">
        <w:trPr>
          <w:trHeight w:val="642"/>
          <w:jc w:val="center"/>
        </w:trPr>
        <w:tc>
          <w:tcPr>
            <w:tcW w:w="4896" w:type="dxa"/>
            <w:tcBorders>
              <w:top w:val="nil"/>
              <w:left w:val="nil"/>
              <w:bottom w:val="nil"/>
              <w:right w:val="nil"/>
            </w:tcBorders>
            <w:shd w:val="clear" w:color="000000" w:fill="538DD5"/>
            <w:noWrap/>
            <w:vAlign w:val="center"/>
            <w:hideMark/>
          </w:tcPr>
          <w:p w14:paraId="6E11FE4E" w14:textId="22DC98F3" w:rsidR="002F1ACD" w:rsidRPr="005269E6" w:rsidRDefault="002F1ACD" w:rsidP="002F1ACD">
            <w:pPr>
              <w:tabs>
                <w:tab w:val="clear" w:pos="794"/>
              </w:tabs>
              <w:spacing w:before="0" w:line="240" w:lineRule="auto"/>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696" w:type="dxa"/>
            <w:tcBorders>
              <w:top w:val="nil"/>
              <w:left w:val="nil"/>
              <w:bottom w:val="nil"/>
              <w:right w:val="nil"/>
            </w:tcBorders>
            <w:shd w:val="clear" w:color="000000" w:fill="538DD5"/>
            <w:noWrap/>
            <w:vAlign w:val="center"/>
            <w:hideMark/>
          </w:tcPr>
          <w:p w14:paraId="4355E30F" w14:textId="6B640BA4" w:rsidR="002F1ACD" w:rsidRPr="005269E6" w:rsidRDefault="002F1ACD" w:rsidP="002F1ACD">
            <w:pPr>
              <w:tabs>
                <w:tab w:val="clear" w:pos="794"/>
              </w:tabs>
              <w:spacing w:before="0" w:line="240" w:lineRule="auto"/>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1648" w:type="dxa"/>
            <w:tcBorders>
              <w:top w:val="nil"/>
              <w:left w:val="nil"/>
              <w:bottom w:val="nil"/>
              <w:right w:val="nil"/>
            </w:tcBorders>
            <w:shd w:val="clear" w:color="000000" w:fill="538DD5"/>
            <w:vAlign w:val="center"/>
            <w:hideMark/>
          </w:tcPr>
          <w:p w14:paraId="50F47F81" w14:textId="6ED30E74" w:rsidR="002F1ACD" w:rsidRPr="005269E6" w:rsidRDefault="002F1ACD" w:rsidP="002F1ACD">
            <w:pPr>
              <w:tabs>
                <w:tab w:val="clear" w:pos="794"/>
              </w:tabs>
              <w:spacing w:before="0" w:line="240" w:lineRule="auto"/>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2021 (أعيد بيانه)</w:t>
            </w:r>
          </w:p>
        </w:tc>
      </w:tr>
      <w:tr w:rsidR="00E41F86" w:rsidRPr="005269E6" w14:paraId="6C8D568B" w14:textId="77777777" w:rsidTr="00E41F86">
        <w:trPr>
          <w:trHeight w:val="139"/>
          <w:jc w:val="center"/>
        </w:trPr>
        <w:tc>
          <w:tcPr>
            <w:tcW w:w="4896" w:type="dxa"/>
            <w:tcBorders>
              <w:top w:val="nil"/>
              <w:left w:val="nil"/>
              <w:bottom w:val="nil"/>
              <w:right w:val="nil"/>
            </w:tcBorders>
            <w:shd w:val="clear" w:color="000000" w:fill="auto"/>
            <w:noWrap/>
            <w:vAlign w:val="bottom"/>
            <w:hideMark/>
          </w:tcPr>
          <w:p w14:paraId="0FF9D178" w14:textId="77777777" w:rsidR="00E41F86" w:rsidRPr="005269E6" w:rsidRDefault="00E41F86" w:rsidP="007B400F">
            <w:pPr>
              <w:tabs>
                <w:tab w:val="clear" w:pos="794"/>
              </w:tabs>
              <w:spacing w:before="0" w:line="200" w:lineRule="exact"/>
              <w:jc w:val="left"/>
              <w:rPr>
                <w:rFonts w:eastAsia="Times New Roman"/>
                <w:b/>
                <w:bCs/>
                <w:color w:val="000000"/>
                <w:sz w:val="18"/>
                <w:szCs w:val="18"/>
                <w:lang w:val="en-GB" w:eastAsia="en-GB"/>
              </w:rPr>
            </w:pPr>
          </w:p>
        </w:tc>
        <w:tc>
          <w:tcPr>
            <w:tcW w:w="1696" w:type="dxa"/>
            <w:tcBorders>
              <w:top w:val="nil"/>
              <w:left w:val="nil"/>
              <w:bottom w:val="nil"/>
              <w:right w:val="nil"/>
            </w:tcBorders>
            <w:shd w:val="clear" w:color="000000" w:fill="auto"/>
            <w:noWrap/>
            <w:vAlign w:val="bottom"/>
            <w:hideMark/>
          </w:tcPr>
          <w:p w14:paraId="7DE5AF9F" w14:textId="77777777" w:rsidR="00E41F86" w:rsidRPr="005269E6" w:rsidRDefault="00E41F86" w:rsidP="007B400F">
            <w:pPr>
              <w:tabs>
                <w:tab w:val="clear" w:pos="794"/>
              </w:tabs>
              <w:spacing w:before="0" w:line="200" w:lineRule="exact"/>
              <w:jc w:val="left"/>
              <w:rPr>
                <w:rFonts w:eastAsia="Times New Roman"/>
                <w:b/>
                <w:bCs/>
                <w:color w:val="000000"/>
                <w:sz w:val="18"/>
                <w:szCs w:val="18"/>
                <w:lang w:val="en-GB" w:eastAsia="en-GB"/>
              </w:rPr>
            </w:pPr>
          </w:p>
        </w:tc>
        <w:tc>
          <w:tcPr>
            <w:tcW w:w="1648" w:type="dxa"/>
            <w:tcBorders>
              <w:top w:val="nil"/>
              <w:left w:val="nil"/>
              <w:bottom w:val="nil"/>
              <w:right w:val="nil"/>
            </w:tcBorders>
            <w:shd w:val="clear" w:color="000000" w:fill="auto"/>
            <w:noWrap/>
            <w:vAlign w:val="bottom"/>
            <w:hideMark/>
          </w:tcPr>
          <w:p w14:paraId="6F8F6E74" w14:textId="77777777" w:rsidR="00E41F86" w:rsidRPr="005269E6" w:rsidRDefault="00E41F86" w:rsidP="007B400F">
            <w:pPr>
              <w:tabs>
                <w:tab w:val="clear" w:pos="794"/>
              </w:tabs>
              <w:spacing w:before="0" w:line="200" w:lineRule="exact"/>
              <w:jc w:val="left"/>
              <w:rPr>
                <w:rFonts w:eastAsia="Times New Roman"/>
                <w:b/>
                <w:bCs/>
                <w:color w:val="000000"/>
                <w:sz w:val="18"/>
                <w:szCs w:val="18"/>
                <w:lang w:val="en-GB" w:eastAsia="en-GB"/>
              </w:rPr>
            </w:pPr>
          </w:p>
        </w:tc>
      </w:tr>
      <w:tr w:rsidR="00E41F86" w:rsidRPr="005269E6" w14:paraId="67C35FC7" w14:textId="77777777" w:rsidTr="00E41F86">
        <w:trPr>
          <w:trHeight w:val="255"/>
          <w:jc w:val="center"/>
        </w:trPr>
        <w:tc>
          <w:tcPr>
            <w:tcW w:w="4896" w:type="dxa"/>
            <w:tcBorders>
              <w:top w:val="nil"/>
              <w:left w:val="nil"/>
              <w:bottom w:val="nil"/>
              <w:right w:val="nil"/>
            </w:tcBorders>
            <w:shd w:val="clear" w:color="auto" w:fill="auto"/>
            <w:noWrap/>
            <w:vAlign w:val="bottom"/>
            <w:hideMark/>
          </w:tcPr>
          <w:p w14:paraId="053DFCD3" w14:textId="494DEF4C" w:rsidR="00E41F86" w:rsidRPr="005269E6" w:rsidRDefault="00B40F62" w:rsidP="00E41F86">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rtl/>
                <w:lang w:val="en-GB" w:eastAsia="en-GB"/>
              </w:rPr>
              <w:t>نفقات المهام الرسمية</w:t>
            </w:r>
          </w:p>
        </w:tc>
        <w:tc>
          <w:tcPr>
            <w:tcW w:w="1696" w:type="dxa"/>
            <w:tcBorders>
              <w:top w:val="nil"/>
              <w:left w:val="nil"/>
              <w:bottom w:val="nil"/>
              <w:right w:val="nil"/>
            </w:tcBorders>
            <w:shd w:val="clear" w:color="auto" w:fill="auto"/>
            <w:noWrap/>
            <w:vAlign w:val="bottom"/>
            <w:hideMark/>
          </w:tcPr>
          <w:p w14:paraId="3618D48A" w14:textId="6C5914FF" w:rsidR="00E41F86" w:rsidRPr="005269E6" w:rsidRDefault="00E41F86" w:rsidP="00580D08">
            <w:pPr>
              <w:tabs>
                <w:tab w:val="clear" w:pos="794"/>
              </w:tabs>
              <w:spacing w:before="0" w:line="240" w:lineRule="auto"/>
              <w:jc w:val="left"/>
              <w:rPr>
                <w:rFonts w:eastAsia="Times New Roman"/>
                <w:color w:val="1D1B10"/>
                <w:sz w:val="18"/>
                <w:szCs w:val="18"/>
                <w:lang w:val="en-GB" w:eastAsia="en-GB"/>
              </w:rPr>
            </w:pPr>
            <w:r w:rsidRPr="005269E6">
              <w:rPr>
                <w:rFonts w:eastAsia="Times New Roman"/>
                <w:color w:val="1D1B10"/>
                <w:sz w:val="18"/>
                <w:szCs w:val="18"/>
                <w:lang w:val="en-GB" w:eastAsia="en-GB"/>
              </w:rPr>
              <w:t xml:space="preserve">5 589 </w:t>
            </w:r>
          </w:p>
        </w:tc>
        <w:tc>
          <w:tcPr>
            <w:tcW w:w="1648" w:type="dxa"/>
            <w:tcBorders>
              <w:top w:val="nil"/>
              <w:left w:val="nil"/>
              <w:bottom w:val="nil"/>
              <w:right w:val="nil"/>
            </w:tcBorders>
            <w:shd w:val="clear" w:color="auto" w:fill="auto"/>
            <w:noWrap/>
            <w:vAlign w:val="bottom"/>
            <w:hideMark/>
          </w:tcPr>
          <w:p w14:paraId="719E7A36" w14:textId="17866557"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443 </w:t>
            </w:r>
          </w:p>
        </w:tc>
      </w:tr>
      <w:tr w:rsidR="00E41F86" w:rsidRPr="005269E6" w14:paraId="54CCC5E6" w14:textId="77777777" w:rsidTr="00E41F86">
        <w:trPr>
          <w:trHeight w:val="255"/>
          <w:jc w:val="center"/>
        </w:trPr>
        <w:tc>
          <w:tcPr>
            <w:tcW w:w="4896" w:type="dxa"/>
            <w:tcBorders>
              <w:top w:val="nil"/>
              <w:left w:val="nil"/>
              <w:bottom w:val="nil"/>
              <w:right w:val="nil"/>
            </w:tcBorders>
            <w:shd w:val="clear" w:color="auto" w:fill="auto"/>
            <w:noWrap/>
            <w:vAlign w:val="bottom"/>
            <w:hideMark/>
          </w:tcPr>
          <w:p w14:paraId="4D3E405D" w14:textId="112F509C" w:rsidR="00E41F86" w:rsidRPr="005269E6" w:rsidRDefault="00EF3A84" w:rsidP="00E41F86">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rtl/>
                <w:lang w:val="en-GB" w:eastAsia="en-GB"/>
              </w:rPr>
              <w:t>الخدمات التعاقدية</w:t>
            </w:r>
          </w:p>
        </w:tc>
        <w:tc>
          <w:tcPr>
            <w:tcW w:w="1696" w:type="dxa"/>
            <w:tcBorders>
              <w:top w:val="nil"/>
              <w:left w:val="nil"/>
              <w:bottom w:val="nil"/>
              <w:right w:val="nil"/>
            </w:tcBorders>
            <w:shd w:val="clear" w:color="auto" w:fill="auto"/>
            <w:noWrap/>
            <w:vAlign w:val="bottom"/>
            <w:hideMark/>
          </w:tcPr>
          <w:p w14:paraId="68381F47" w14:textId="57F0B93F"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20 527 </w:t>
            </w:r>
          </w:p>
        </w:tc>
        <w:tc>
          <w:tcPr>
            <w:tcW w:w="1648" w:type="dxa"/>
            <w:tcBorders>
              <w:top w:val="nil"/>
              <w:left w:val="nil"/>
              <w:bottom w:val="nil"/>
              <w:right w:val="nil"/>
            </w:tcBorders>
            <w:shd w:val="clear" w:color="auto" w:fill="auto"/>
            <w:noWrap/>
            <w:vAlign w:val="bottom"/>
            <w:hideMark/>
          </w:tcPr>
          <w:p w14:paraId="4C14CB6C" w14:textId="0D88EC19"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21 262 </w:t>
            </w:r>
          </w:p>
        </w:tc>
      </w:tr>
      <w:tr w:rsidR="00E41F86" w:rsidRPr="005269E6" w14:paraId="53AAE582" w14:textId="77777777" w:rsidTr="00E41F86">
        <w:trPr>
          <w:trHeight w:val="255"/>
          <w:jc w:val="center"/>
        </w:trPr>
        <w:tc>
          <w:tcPr>
            <w:tcW w:w="4896" w:type="dxa"/>
            <w:tcBorders>
              <w:top w:val="nil"/>
              <w:left w:val="nil"/>
              <w:bottom w:val="nil"/>
              <w:right w:val="nil"/>
            </w:tcBorders>
            <w:shd w:val="clear" w:color="auto" w:fill="auto"/>
            <w:noWrap/>
            <w:vAlign w:val="bottom"/>
            <w:hideMark/>
          </w:tcPr>
          <w:p w14:paraId="4ED0F653" w14:textId="2AA05A37" w:rsidR="00E41F86" w:rsidRPr="005269E6" w:rsidRDefault="00EF3A84" w:rsidP="00E41F86">
            <w:pPr>
              <w:tabs>
                <w:tab w:val="clear" w:pos="794"/>
              </w:tabs>
              <w:spacing w:before="0" w:line="240" w:lineRule="auto"/>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استئجار</w:t>
            </w:r>
            <w:r w:rsidRPr="005269E6">
              <w:rPr>
                <w:rFonts w:eastAsia="Times New Roman"/>
                <w:color w:val="000000"/>
                <w:sz w:val="18"/>
                <w:szCs w:val="18"/>
                <w:rtl/>
                <w:lang w:val="en-GB" w:eastAsia="en-GB"/>
              </w:rPr>
              <w:t xml:space="preserve"> وصيانة </w:t>
            </w:r>
            <w:r w:rsidR="00B40F62" w:rsidRPr="005269E6">
              <w:rPr>
                <w:rFonts w:eastAsia="Times New Roman"/>
                <w:color w:val="000000"/>
                <w:sz w:val="18"/>
                <w:szCs w:val="18"/>
                <w:rtl/>
                <w:lang w:val="en-GB" w:eastAsia="en-GB"/>
              </w:rPr>
              <w:t xml:space="preserve">الأماكن </w:t>
            </w:r>
            <w:r w:rsidRPr="005269E6">
              <w:rPr>
                <w:rFonts w:eastAsia="Times New Roman"/>
                <w:color w:val="000000"/>
                <w:sz w:val="18"/>
                <w:szCs w:val="18"/>
                <w:rtl/>
                <w:lang w:val="en-GB" w:eastAsia="en-GB"/>
              </w:rPr>
              <w:t>والمعدات</w:t>
            </w:r>
          </w:p>
        </w:tc>
        <w:tc>
          <w:tcPr>
            <w:tcW w:w="1696" w:type="dxa"/>
            <w:tcBorders>
              <w:top w:val="nil"/>
              <w:left w:val="nil"/>
              <w:bottom w:val="nil"/>
              <w:right w:val="nil"/>
            </w:tcBorders>
            <w:shd w:val="clear" w:color="auto" w:fill="auto"/>
            <w:noWrap/>
            <w:vAlign w:val="bottom"/>
            <w:hideMark/>
          </w:tcPr>
          <w:p w14:paraId="4186ABF6" w14:textId="2D09C702"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2 860 </w:t>
            </w:r>
          </w:p>
        </w:tc>
        <w:tc>
          <w:tcPr>
            <w:tcW w:w="1648" w:type="dxa"/>
            <w:tcBorders>
              <w:top w:val="nil"/>
              <w:left w:val="nil"/>
              <w:bottom w:val="nil"/>
              <w:right w:val="nil"/>
            </w:tcBorders>
            <w:shd w:val="clear" w:color="auto" w:fill="auto"/>
            <w:noWrap/>
            <w:vAlign w:val="bottom"/>
            <w:hideMark/>
          </w:tcPr>
          <w:p w14:paraId="667FE617" w14:textId="6F48434E"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1 847 </w:t>
            </w:r>
          </w:p>
        </w:tc>
      </w:tr>
      <w:tr w:rsidR="00E41F86" w:rsidRPr="005269E6" w14:paraId="24B99850" w14:textId="77777777" w:rsidTr="00E41F86">
        <w:trPr>
          <w:trHeight w:val="255"/>
          <w:jc w:val="center"/>
        </w:trPr>
        <w:tc>
          <w:tcPr>
            <w:tcW w:w="4896" w:type="dxa"/>
            <w:tcBorders>
              <w:top w:val="nil"/>
              <w:left w:val="nil"/>
              <w:bottom w:val="nil"/>
              <w:right w:val="nil"/>
            </w:tcBorders>
            <w:shd w:val="clear" w:color="auto" w:fill="auto"/>
            <w:noWrap/>
            <w:vAlign w:val="bottom"/>
            <w:hideMark/>
          </w:tcPr>
          <w:p w14:paraId="5E338E4E" w14:textId="10F01EF6" w:rsidR="00E41F86" w:rsidRPr="005269E6" w:rsidRDefault="00EF3A84" w:rsidP="00EF3A84">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المعدات واللوازم</w:t>
            </w:r>
          </w:p>
        </w:tc>
        <w:tc>
          <w:tcPr>
            <w:tcW w:w="1696" w:type="dxa"/>
            <w:tcBorders>
              <w:top w:val="nil"/>
              <w:left w:val="nil"/>
              <w:bottom w:val="nil"/>
              <w:right w:val="nil"/>
            </w:tcBorders>
            <w:shd w:val="clear" w:color="auto" w:fill="auto"/>
            <w:noWrap/>
            <w:vAlign w:val="bottom"/>
            <w:hideMark/>
          </w:tcPr>
          <w:p w14:paraId="7AE73D9E" w14:textId="4F2E7BC4"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2 460 </w:t>
            </w:r>
          </w:p>
        </w:tc>
        <w:tc>
          <w:tcPr>
            <w:tcW w:w="1648" w:type="dxa"/>
            <w:tcBorders>
              <w:top w:val="nil"/>
              <w:left w:val="nil"/>
              <w:bottom w:val="nil"/>
              <w:right w:val="nil"/>
            </w:tcBorders>
            <w:shd w:val="clear" w:color="auto" w:fill="auto"/>
            <w:noWrap/>
            <w:vAlign w:val="bottom"/>
            <w:hideMark/>
          </w:tcPr>
          <w:p w14:paraId="1433DD33" w14:textId="7DDE2E89"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2 297 </w:t>
            </w:r>
          </w:p>
        </w:tc>
      </w:tr>
      <w:tr w:rsidR="00E41F86" w:rsidRPr="005269E6" w14:paraId="03697096" w14:textId="77777777" w:rsidTr="00E41F86">
        <w:trPr>
          <w:trHeight w:val="255"/>
          <w:jc w:val="center"/>
        </w:trPr>
        <w:tc>
          <w:tcPr>
            <w:tcW w:w="4896" w:type="dxa"/>
            <w:tcBorders>
              <w:top w:val="nil"/>
              <w:left w:val="nil"/>
              <w:bottom w:val="nil"/>
              <w:right w:val="nil"/>
            </w:tcBorders>
            <w:shd w:val="clear" w:color="auto" w:fill="auto"/>
            <w:noWrap/>
            <w:vAlign w:val="bottom"/>
            <w:hideMark/>
          </w:tcPr>
          <w:p w14:paraId="7F150409" w14:textId="58636B94" w:rsidR="00E41F86" w:rsidRPr="005269E6" w:rsidRDefault="00EF3A84" w:rsidP="00E41F86">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rtl/>
                <w:lang w:val="en-GB" w:eastAsia="en-GB"/>
              </w:rPr>
              <w:t>الإهلاك وخسائر انخفاض القيمة</w:t>
            </w:r>
          </w:p>
        </w:tc>
        <w:tc>
          <w:tcPr>
            <w:tcW w:w="1696" w:type="dxa"/>
            <w:tcBorders>
              <w:top w:val="nil"/>
              <w:left w:val="nil"/>
              <w:bottom w:val="nil"/>
              <w:right w:val="nil"/>
            </w:tcBorders>
            <w:shd w:val="clear" w:color="auto" w:fill="auto"/>
            <w:noWrap/>
            <w:vAlign w:val="bottom"/>
            <w:hideMark/>
          </w:tcPr>
          <w:p w14:paraId="6448B857" w14:textId="1FC954A6"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9 495 </w:t>
            </w:r>
          </w:p>
        </w:tc>
        <w:tc>
          <w:tcPr>
            <w:tcW w:w="1648" w:type="dxa"/>
            <w:tcBorders>
              <w:top w:val="nil"/>
              <w:left w:val="nil"/>
              <w:bottom w:val="nil"/>
              <w:right w:val="nil"/>
            </w:tcBorders>
            <w:shd w:val="clear" w:color="auto" w:fill="auto"/>
            <w:noWrap/>
            <w:vAlign w:val="bottom"/>
            <w:hideMark/>
          </w:tcPr>
          <w:p w14:paraId="54D4D12C" w14:textId="52E7A0BA"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9 693 </w:t>
            </w:r>
          </w:p>
        </w:tc>
      </w:tr>
      <w:tr w:rsidR="00E41F86" w:rsidRPr="005269E6" w14:paraId="7D4EC026" w14:textId="77777777" w:rsidTr="00E41F86">
        <w:trPr>
          <w:trHeight w:val="255"/>
          <w:jc w:val="center"/>
        </w:trPr>
        <w:tc>
          <w:tcPr>
            <w:tcW w:w="4896" w:type="dxa"/>
            <w:tcBorders>
              <w:top w:val="nil"/>
              <w:left w:val="nil"/>
              <w:bottom w:val="nil"/>
              <w:right w:val="nil"/>
            </w:tcBorders>
            <w:shd w:val="clear" w:color="auto" w:fill="auto"/>
            <w:noWrap/>
            <w:vAlign w:val="bottom"/>
            <w:hideMark/>
          </w:tcPr>
          <w:p w14:paraId="7F10D7AC" w14:textId="2E97F66F" w:rsidR="00E41F86" w:rsidRPr="005269E6" w:rsidRDefault="00EF3A84" w:rsidP="00E41F86">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rtl/>
                <w:lang w:val="en-GB" w:eastAsia="en-GB"/>
              </w:rPr>
              <w:t>نفقات</w:t>
            </w:r>
            <w:r w:rsidRPr="005269E6">
              <w:rPr>
                <w:rFonts w:eastAsia="Times New Roman" w:hint="cs"/>
                <w:color w:val="000000"/>
                <w:sz w:val="18"/>
                <w:szCs w:val="18"/>
                <w:rtl/>
                <w:lang w:val="en-GB" w:eastAsia="en-GB"/>
              </w:rPr>
              <w:t xml:space="preserve"> ال</w:t>
            </w:r>
            <w:r w:rsidRPr="005269E6">
              <w:rPr>
                <w:rFonts w:eastAsia="Times New Roman"/>
                <w:color w:val="000000"/>
                <w:sz w:val="18"/>
                <w:szCs w:val="18"/>
                <w:rtl/>
                <w:lang w:val="en-GB" w:eastAsia="en-GB"/>
              </w:rPr>
              <w:t xml:space="preserve">شحن </w:t>
            </w:r>
            <w:r w:rsidRPr="005269E6">
              <w:rPr>
                <w:rFonts w:eastAsia="Times New Roman" w:hint="cs"/>
                <w:color w:val="000000"/>
                <w:sz w:val="18"/>
                <w:szCs w:val="18"/>
                <w:rtl/>
                <w:lang w:val="en-GB" w:eastAsia="en-GB"/>
              </w:rPr>
              <w:t>و</w:t>
            </w:r>
            <w:r w:rsidRPr="005269E6">
              <w:rPr>
                <w:rFonts w:eastAsia="Times New Roman"/>
                <w:color w:val="000000"/>
                <w:sz w:val="18"/>
                <w:szCs w:val="18"/>
                <w:rtl/>
                <w:lang w:val="en-GB" w:eastAsia="en-GB"/>
              </w:rPr>
              <w:t>الاتصالات والخدم</w:t>
            </w:r>
            <w:r w:rsidRPr="005269E6">
              <w:rPr>
                <w:rFonts w:eastAsia="Times New Roman" w:hint="cs"/>
                <w:color w:val="000000"/>
                <w:sz w:val="18"/>
                <w:szCs w:val="18"/>
                <w:rtl/>
                <w:lang w:val="en-GB" w:eastAsia="en-GB"/>
              </w:rPr>
              <w:t>ات</w:t>
            </w:r>
          </w:p>
        </w:tc>
        <w:tc>
          <w:tcPr>
            <w:tcW w:w="1696" w:type="dxa"/>
            <w:tcBorders>
              <w:top w:val="nil"/>
              <w:left w:val="nil"/>
              <w:bottom w:val="nil"/>
              <w:right w:val="nil"/>
            </w:tcBorders>
            <w:shd w:val="clear" w:color="auto" w:fill="auto"/>
            <w:noWrap/>
            <w:vAlign w:val="bottom"/>
            <w:hideMark/>
          </w:tcPr>
          <w:p w14:paraId="442ECFA1" w14:textId="2D91CFB0"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2 242 </w:t>
            </w:r>
          </w:p>
        </w:tc>
        <w:tc>
          <w:tcPr>
            <w:tcW w:w="1648" w:type="dxa"/>
            <w:tcBorders>
              <w:top w:val="nil"/>
              <w:left w:val="nil"/>
              <w:bottom w:val="nil"/>
              <w:right w:val="nil"/>
            </w:tcBorders>
            <w:shd w:val="clear" w:color="auto" w:fill="auto"/>
            <w:noWrap/>
            <w:vAlign w:val="bottom"/>
            <w:hideMark/>
          </w:tcPr>
          <w:p w14:paraId="52E02DED" w14:textId="2529CE44"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1 505 </w:t>
            </w:r>
          </w:p>
        </w:tc>
      </w:tr>
      <w:tr w:rsidR="00E41F86" w:rsidRPr="005269E6" w14:paraId="0CC01CEA" w14:textId="77777777" w:rsidTr="00E41F86">
        <w:trPr>
          <w:trHeight w:val="255"/>
          <w:jc w:val="center"/>
        </w:trPr>
        <w:tc>
          <w:tcPr>
            <w:tcW w:w="4896" w:type="dxa"/>
            <w:tcBorders>
              <w:top w:val="nil"/>
              <w:left w:val="nil"/>
              <w:bottom w:val="nil"/>
              <w:right w:val="nil"/>
            </w:tcBorders>
            <w:shd w:val="clear" w:color="auto" w:fill="auto"/>
            <w:noWrap/>
            <w:vAlign w:val="bottom"/>
            <w:hideMark/>
          </w:tcPr>
          <w:p w14:paraId="512E76F4" w14:textId="7CFF8584" w:rsidR="00E41F86" w:rsidRPr="005269E6" w:rsidRDefault="00EF3A84" w:rsidP="00EF3A84">
            <w:pPr>
              <w:jc w:val="left"/>
              <w:rPr>
                <w:rFonts w:eastAsia="Times New Roman"/>
                <w:color w:val="000000"/>
                <w:sz w:val="18"/>
                <w:szCs w:val="18"/>
                <w:lang w:val="en-GB" w:eastAsia="en-GB"/>
              </w:rPr>
            </w:pPr>
            <w:r w:rsidRPr="005269E6">
              <w:rPr>
                <w:rFonts w:eastAsia="Times New Roman"/>
                <w:color w:val="000000"/>
                <w:sz w:val="18"/>
                <w:szCs w:val="18"/>
                <w:rtl/>
                <w:lang w:val="en-GB" w:eastAsia="en-GB"/>
              </w:rPr>
              <w:t>مصاريف أخرى</w:t>
            </w:r>
          </w:p>
        </w:tc>
        <w:tc>
          <w:tcPr>
            <w:tcW w:w="1696" w:type="dxa"/>
            <w:tcBorders>
              <w:top w:val="nil"/>
              <w:left w:val="nil"/>
              <w:bottom w:val="nil"/>
              <w:right w:val="nil"/>
            </w:tcBorders>
            <w:shd w:val="clear" w:color="auto" w:fill="auto"/>
            <w:noWrap/>
            <w:vAlign w:val="bottom"/>
            <w:hideMark/>
          </w:tcPr>
          <w:p w14:paraId="7E963FEF" w14:textId="048CAD22"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122 </w:t>
            </w:r>
          </w:p>
        </w:tc>
        <w:tc>
          <w:tcPr>
            <w:tcW w:w="1648" w:type="dxa"/>
            <w:tcBorders>
              <w:top w:val="nil"/>
              <w:left w:val="nil"/>
              <w:bottom w:val="nil"/>
              <w:right w:val="nil"/>
            </w:tcBorders>
            <w:shd w:val="clear" w:color="auto" w:fill="auto"/>
            <w:noWrap/>
            <w:vAlign w:val="bottom"/>
            <w:hideMark/>
          </w:tcPr>
          <w:p w14:paraId="651FB719" w14:textId="17B4AAE6" w:rsidR="00E41F86" w:rsidRPr="005269E6" w:rsidRDefault="00E41F86" w:rsidP="00580D08">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1 936 </w:t>
            </w:r>
          </w:p>
        </w:tc>
      </w:tr>
      <w:tr w:rsidR="00E41F86" w:rsidRPr="005269E6" w14:paraId="000D7AA7" w14:textId="77777777" w:rsidTr="00E41F86">
        <w:trPr>
          <w:trHeight w:val="169"/>
          <w:jc w:val="center"/>
        </w:trPr>
        <w:tc>
          <w:tcPr>
            <w:tcW w:w="4896" w:type="dxa"/>
            <w:tcBorders>
              <w:top w:val="nil"/>
              <w:left w:val="nil"/>
              <w:bottom w:val="nil"/>
              <w:right w:val="nil"/>
            </w:tcBorders>
            <w:shd w:val="clear" w:color="auto" w:fill="auto"/>
            <w:noWrap/>
            <w:hideMark/>
          </w:tcPr>
          <w:p w14:paraId="412206E3" w14:textId="77777777" w:rsidR="00E41F86" w:rsidRPr="005269E6" w:rsidRDefault="00E41F86" w:rsidP="007B400F">
            <w:pPr>
              <w:tabs>
                <w:tab w:val="clear" w:pos="794"/>
              </w:tabs>
              <w:spacing w:before="0" w:line="200" w:lineRule="exact"/>
              <w:jc w:val="left"/>
              <w:rPr>
                <w:rFonts w:eastAsia="Times New Roman"/>
                <w:b/>
                <w:bCs/>
                <w:color w:val="000000"/>
                <w:sz w:val="18"/>
                <w:szCs w:val="18"/>
                <w:lang w:val="en-GB" w:eastAsia="en-GB"/>
              </w:rPr>
            </w:pPr>
          </w:p>
        </w:tc>
        <w:tc>
          <w:tcPr>
            <w:tcW w:w="1696" w:type="dxa"/>
            <w:tcBorders>
              <w:top w:val="nil"/>
              <w:left w:val="nil"/>
              <w:bottom w:val="nil"/>
              <w:right w:val="nil"/>
            </w:tcBorders>
            <w:shd w:val="clear" w:color="auto" w:fill="auto"/>
            <w:noWrap/>
            <w:vAlign w:val="bottom"/>
            <w:hideMark/>
          </w:tcPr>
          <w:p w14:paraId="516F100D" w14:textId="77777777" w:rsidR="00E41F86" w:rsidRPr="005269E6" w:rsidRDefault="00E41F86" w:rsidP="00580D08">
            <w:pPr>
              <w:tabs>
                <w:tab w:val="clear" w:pos="794"/>
              </w:tabs>
              <w:spacing w:before="0" w:line="200" w:lineRule="exact"/>
              <w:jc w:val="left"/>
              <w:rPr>
                <w:rFonts w:eastAsia="Times New Roman"/>
                <w:b/>
                <w:bCs/>
                <w:color w:val="000000"/>
                <w:sz w:val="18"/>
                <w:szCs w:val="18"/>
                <w:lang w:val="en-GB" w:eastAsia="en-GB"/>
              </w:rPr>
            </w:pPr>
          </w:p>
        </w:tc>
        <w:tc>
          <w:tcPr>
            <w:tcW w:w="1648" w:type="dxa"/>
            <w:tcBorders>
              <w:top w:val="nil"/>
              <w:left w:val="nil"/>
              <w:bottom w:val="nil"/>
              <w:right w:val="nil"/>
            </w:tcBorders>
            <w:shd w:val="clear" w:color="auto" w:fill="auto"/>
            <w:noWrap/>
            <w:vAlign w:val="bottom"/>
            <w:hideMark/>
          </w:tcPr>
          <w:p w14:paraId="2CC7978B" w14:textId="77777777" w:rsidR="00E41F86" w:rsidRPr="005269E6" w:rsidRDefault="00E41F86" w:rsidP="00580D08">
            <w:pPr>
              <w:tabs>
                <w:tab w:val="clear" w:pos="794"/>
              </w:tabs>
              <w:spacing w:before="0" w:line="200" w:lineRule="exact"/>
              <w:jc w:val="left"/>
              <w:rPr>
                <w:rFonts w:eastAsia="Times New Roman"/>
                <w:b/>
                <w:bCs/>
                <w:color w:val="000000"/>
                <w:sz w:val="18"/>
                <w:szCs w:val="18"/>
                <w:lang w:val="en-GB" w:eastAsia="en-GB"/>
              </w:rPr>
            </w:pPr>
          </w:p>
        </w:tc>
      </w:tr>
      <w:tr w:rsidR="00E41F86" w:rsidRPr="005269E6" w14:paraId="72494C0C" w14:textId="77777777" w:rsidTr="007B400F">
        <w:trPr>
          <w:trHeight w:val="249"/>
          <w:jc w:val="center"/>
        </w:trPr>
        <w:tc>
          <w:tcPr>
            <w:tcW w:w="4896" w:type="dxa"/>
            <w:tcBorders>
              <w:top w:val="nil"/>
              <w:left w:val="nil"/>
              <w:bottom w:val="nil"/>
              <w:right w:val="nil"/>
            </w:tcBorders>
            <w:shd w:val="clear" w:color="auto" w:fill="538DD5"/>
            <w:noWrap/>
            <w:vAlign w:val="center"/>
            <w:hideMark/>
          </w:tcPr>
          <w:p w14:paraId="20271344" w14:textId="28BC15FC" w:rsidR="00E41F86" w:rsidRPr="005269E6" w:rsidRDefault="00E41F86" w:rsidP="00496233">
            <w:pPr>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w:t>
            </w:r>
            <w:r w:rsidR="00B40F62" w:rsidRPr="005269E6">
              <w:rPr>
                <w:rFonts w:eastAsia="Times New Roman"/>
                <w:b/>
                <w:bCs/>
                <w:color w:val="000000"/>
                <w:sz w:val="18"/>
                <w:szCs w:val="18"/>
                <w:rtl/>
                <w:lang w:val="en-GB" w:eastAsia="en-GB"/>
              </w:rPr>
              <w:t>إجمالي</w:t>
            </w:r>
            <w:r w:rsidR="00B40F62" w:rsidRPr="005269E6">
              <w:rPr>
                <w:rFonts w:eastAsia="Times New Roman" w:hint="cs"/>
                <w:b/>
                <w:bCs/>
                <w:color w:val="000000"/>
                <w:sz w:val="18"/>
                <w:szCs w:val="18"/>
                <w:rtl/>
                <w:lang w:val="en-GB" w:eastAsia="en-GB"/>
              </w:rPr>
              <w:t xml:space="preserve"> -</w:t>
            </w:r>
            <w:r w:rsidR="00B40F62" w:rsidRPr="005269E6">
              <w:rPr>
                <w:rFonts w:eastAsia="Times New Roman"/>
                <w:b/>
                <w:bCs/>
                <w:color w:val="000000"/>
                <w:sz w:val="18"/>
                <w:szCs w:val="18"/>
                <w:rtl/>
                <w:lang w:val="en-GB" w:eastAsia="en-GB"/>
              </w:rPr>
              <w:t xml:space="preserve"> التكاليف غير المتعلقة بالموظفين</w:t>
            </w:r>
          </w:p>
        </w:tc>
        <w:tc>
          <w:tcPr>
            <w:tcW w:w="1696" w:type="dxa"/>
            <w:tcBorders>
              <w:top w:val="nil"/>
              <w:left w:val="nil"/>
              <w:bottom w:val="nil"/>
              <w:right w:val="nil"/>
            </w:tcBorders>
            <w:shd w:val="clear" w:color="000000" w:fill="538DD5"/>
            <w:noWrap/>
            <w:vAlign w:val="center"/>
            <w:hideMark/>
          </w:tcPr>
          <w:p w14:paraId="161ACCD5" w14:textId="52C83CBA" w:rsidR="00E41F86" w:rsidRPr="005269E6" w:rsidRDefault="00E41F86" w:rsidP="00580D08">
            <w:pPr>
              <w:tabs>
                <w:tab w:val="clear" w:pos="794"/>
              </w:tabs>
              <w:spacing w:before="0" w:line="240" w:lineRule="auto"/>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43 296</w:t>
            </w:r>
          </w:p>
        </w:tc>
        <w:tc>
          <w:tcPr>
            <w:tcW w:w="1648" w:type="dxa"/>
            <w:tcBorders>
              <w:top w:val="nil"/>
              <w:left w:val="nil"/>
              <w:bottom w:val="nil"/>
              <w:right w:val="nil"/>
            </w:tcBorders>
            <w:shd w:val="clear" w:color="000000" w:fill="538DD5"/>
            <w:noWrap/>
            <w:vAlign w:val="center"/>
            <w:hideMark/>
          </w:tcPr>
          <w:p w14:paraId="1D30C02D" w14:textId="1FEBB043" w:rsidR="00E41F86" w:rsidRPr="005269E6" w:rsidRDefault="00E41F86" w:rsidP="00580D08">
            <w:pPr>
              <w:tabs>
                <w:tab w:val="clear" w:pos="794"/>
              </w:tabs>
              <w:spacing w:before="0" w:line="240" w:lineRule="auto"/>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38 984</w:t>
            </w:r>
          </w:p>
        </w:tc>
      </w:tr>
    </w:tbl>
    <w:p w14:paraId="3ADFCF22" w14:textId="77777777" w:rsidR="00C543C6" w:rsidRPr="005269E6" w:rsidRDefault="00C543C6" w:rsidP="00496233">
      <w:pPr>
        <w:pStyle w:val="Headingb"/>
        <w:rPr>
          <w:rtl/>
        </w:rPr>
      </w:pPr>
      <w:bookmarkStart w:id="620" w:name="_Toc452156655"/>
      <w:bookmarkStart w:id="621" w:name="_Toc74061596"/>
      <w:r w:rsidRPr="005269E6">
        <w:rPr>
          <w:rFonts w:hint="cs"/>
          <w:rtl/>
        </w:rPr>
        <w:t>نفقات</w:t>
      </w:r>
      <w:r w:rsidRPr="005269E6">
        <w:rPr>
          <w:rtl/>
        </w:rPr>
        <w:t> </w:t>
      </w:r>
      <w:r w:rsidRPr="005269E6">
        <w:rPr>
          <w:rFonts w:hint="cs"/>
          <w:rtl/>
        </w:rPr>
        <w:t>ال</w:t>
      </w:r>
      <w:r w:rsidRPr="005269E6">
        <w:rPr>
          <w:rtl/>
        </w:rPr>
        <w:t xml:space="preserve">مهام </w:t>
      </w:r>
      <w:r w:rsidRPr="005269E6">
        <w:rPr>
          <w:rFonts w:hint="cs"/>
          <w:rtl/>
        </w:rPr>
        <w:t>ال</w:t>
      </w:r>
      <w:r w:rsidRPr="005269E6">
        <w:rPr>
          <w:rtl/>
        </w:rPr>
        <w:t>رسمية</w:t>
      </w:r>
      <w:bookmarkEnd w:id="620"/>
      <w:bookmarkEnd w:id="621"/>
    </w:p>
    <w:p w14:paraId="371A2B1C" w14:textId="1B1C9F0F" w:rsidR="00C543C6" w:rsidRPr="005269E6" w:rsidRDefault="00B40F62" w:rsidP="00C543C6">
      <w:pPr>
        <w:rPr>
          <w:spacing w:val="-2"/>
          <w:rtl/>
          <w:lang w:bidi="ar-SY"/>
        </w:rPr>
      </w:pPr>
      <w:r w:rsidRPr="005269E6">
        <w:rPr>
          <w:spacing w:val="-2"/>
          <w:rtl/>
          <w:lang w:bidi="ar-SY"/>
        </w:rPr>
        <w:t>في عام 2022، رُفعت معظم القيود المفروضة على السفر بسبب جائحة كوفيد-19 مما سمح بإيفاد بعثات على النحو المخطط له.</w:t>
      </w:r>
    </w:p>
    <w:p w14:paraId="01F4B043" w14:textId="77777777" w:rsidR="00C543C6" w:rsidRPr="005269E6" w:rsidRDefault="00C543C6" w:rsidP="00496233">
      <w:pPr>
        <w:pStyle w:val="Headingb"/>
        <w:rPr>
          <w:rtl/>
        </w:rPr>
      </w:pPr>
      <w:bookmarkStart w:id="622" w:name="_Toc452156656"/>
      <w:bookmarkStart w:id="623" w:name="_Toc74061597"/>
      <w:r w:rsidRPr="005269E6">
        <w:rPr>
          <w:rtl/>
        </w:rPr>
        <w:lastRenderedPageBreak/>
        <w:t>الخدمات التعاقدية</w:t>
      </w:r>
      <w:bookmarkEnd w:id="622"/>
      <w:bookmarkEnd w:id="623"/>
    </w:p>
    <w:p w14:paraId="231A9AB6" w14:textId="2C696605" w:rsidR="00C543C6" w:rsidRPr="005269E6" w:rsidRDefault="00C543C6" w:rsidP="00C543C6">
      <w:pPr>
        <w:rPr>
          <w:rtl/>
          <w:lang w:bidi="ar-EG"/>
        </w:rPr>
      </w:pPr>
      <w:r w:rsidRPr="005269E6">
        <w:rPr>
          <w:rtl/>
          <w:lang w:bidi="ar-EG"/>
        </w:rPr>
        <w:t>تدخل في هذه الفئة كل الأتعاب والرسوم والنفقات التي ت</w:t>
      </w:r>
      <w:r w:rsidRPr="005269E6">
        <w:rPr>
          <w:rFonts w:hint="cs"/>
          <w:rtl/>
          <w:lang w:bidi="ar-EG"/>
        </w:rPr>
        <w:t>ُ</w:t>
      </w:r>
      <w:r w:rsidRPr="005269E6">
        <w:rPr>
          <w:rtl/>
          <w:lang w:bidi="ar-EG"/>
        </w:rPr>
        <w:t xml:space="preserve">دفع إلى الشركات التي تزود </w:t>
      </w:r>
      <w:r w:rsidRPr="005269E6">
        <w:rPr>
          <w:rFonts w:hint="cs"/>
          <w:rtl/>
          <w:lang w:bidi="ar-EG"/>
        </w:rPr>
        <w:t>الاستشاريين</w:t>
      </w:r>
      <w:r w:rsidRPr="005269E6">
        <w:rPr>
          <w:rtl/>
          <w:lang w:bidi="ar-EG"/>
        </w:rPr>
        <w:t xml:space="preserve"> في إطار اتفاقات وأحكام تعاقدية. وتدخل في هذه الفئة أيضاً عقود الخدمات الخاصة والنفقات المرتبطة بدورات تدريس اللغات في إطار التدريب المهني، وكذلك تكاليف خدمات التعاقد من الباطن. </w:t>
      </w:r>
      <w:r w:rsidRPr="005269E6">
        <w:rPr>
          <w:rFonts w:hint="cs"/>
          <w:rtl/>
          <w:lang w:bidi="ar-SY"/>
        </w:rPr>
        <w:t xml:space="preserve">وترد حالة مفصلة في </w:t>
      </w:r>
      <w:r w:rsidRPr="005269E6">
        <w:rPr>
          <w:color w:val="000000"/>
          <w:rtl/>
        </w:rPr>
        <w:t xml:space="preserve">المعلومات بحسب الأبواب </w:t>
      </w:r>
      <w:r w:rsidRPr="005269E6">
        <w:rPr>
          <w:rFonts w:hint="cs"/>
          <w:rtl/>
          <w:lang w:bidi="ar-SY"/>
        </w:rPr>
        <w:t xml:space="preserve">(الملاحظة </w:t>
      </w:r>
      <w:r w:rsidRPr="005269E6">
        <w:rPr>
          <w:lang w:bidi="ar-SY"/>
        </w:rPr>
        <w:t>24</w:t>
      </w:r>
      <w:r w:rsidRPr="005269E6">
        <w:rPr>
          <w:rFonts w:hint="cs"/>
          <w:rtl/>
          <w:lang w:bidi="ar-SY"/>
        </w:rPr>
        <w:t>).</w:t>
      </w:r>
    </w:p>
    <w:p w14:paraId="4EADFD94" w14:textId="77777777" w:rsidR="00C543C6" w:rsidRPr="005269E6" w:rsidRDefault="00C543C6" w:rsidP="003D7167">
      <w:pPr>
        <w:pStyle w:val="Headingb"/>
        <w:rPr>
          <w:rtl/>
        </w:rPr>
      </w:pPr>
      <w:bookmarkStart w:id="624" w:name="_Toc452156657"/>
      <w:bookmarkStart w:id="625" w:name="_Toc419484096"/>
      <w:bookmarkStart w:id="626" w:name="_Toc358648572"/>
      <w:bookmarkStart w:id="627" w:name="_Toc358648373"/>
      <w:bookmarkStart w:id="628" w:name="_Toc329296045"/>
      <w:bookmarkStart w:id="629" w:name="_Toc74061598"/>
      <w:r w:rsidRPr="005269E6">
        <w:rPr>
          <w:rtl/>
        </w:rPr>
        <w:t>استئجار وصيانة الأماكن والمعدات</w:t>
      </w:r>
      <w:bookmarkEnd w:id="624"/>
      <w:bookmarkEnd w:id="625"/>
      <w:bookmarkEnd w:id="626"/>
      <w:bookmarkEnd w:id="627"/>
      <w:bookmarkEnd w:id="628"/>
      <w:bookmarkEnd w:id="629"/>
    </w:p>
    <w:p w14:paraId="03E5EFDC" w14:textId="4B2F3245" w:rsidR="00C543C6" w:rsidRPr="005269E6" w:rsidRDefault="00C543C6" w:rsidP="00C543C6">
      <w:pPr>
        <w:rPr>
          <w:rtl/>
          <w:lang w:bidi="ar-SY"/>
        </w:rPr>
      </w:pPr>
      <w:r w:rsidRPr="005269E6">
        <w:rPr>
          <w:rtl/>
          <w:lang w:bidi="ar-EG"/>
        </w:rPr>
        <w:t>بلغت تكاليف الاستئجار والمعدات</w:t>
      </w:r>
      <w:r w:rsidRPr="005269E6">
        <w:rPr>
          <w:rFonts w:hint="cs"/>
          <w:rtl/>
          <w:lang w:bidi="ar-EG"/>
        </w:rPr>
        <w:t xml:space="preserve"> </w:t>
      </w:r>
      <w:r w:rsidR="00E41F86" w:rsidRPr="005269E6">
        <w:rPr>
          <w:lang w:bidi="ar-EG"/>
        </w:rPr>
        <w:t>2,8</w:t>
      </w:r>
      <w:r w:rsidR="00E41F86" w:rsidRPr="005269E6">
        <w:rPr>
          <w:rFonts w:hint="cs"/>
          <w:rtl/>
          <w:lang w:bidi="ar-SY"/>
        </w:rPr>
        <w:t xml:space="preserve"> مليون </w:t>
      </w:r>
      <w:r w:rsidRPr="005269E6">
        <w:rPr>
          <w:rtl/>
          <w:lang w:bidi="ar-SY"/>
        </w:rPr>
        <w:t>فرنك سويسري</w:t>
      </w:r>
      <w:r w:rsidRPr="005269E6">
        <w:rPr>
          <w:rFonts w:hint="cs"/>
          <w:rtl/>
          <w:lang w:bidi="ar-EG"/>
        </w:rPr>
        <w:t xml:space="preserve"> في</w:t>
      </w:r>
      <w:r w:rsidRPr="005269E6">
        <w:rPr>
          <w:rFonts w:hint="eastAsia"/>
          <w:rtl/>
          <w:lang w:bidi="ar-EG"/>
        </w:rPr>
        <w:t> </w:t>
      </w:r>
      <w:r w:rsidR="00E41F86" w:rsidRPr="005269E6">
        <w:rPr>
          <w:lang w:bidi="ar-EG"/>
        </w:rPr>
        <w:t>2022</w:t>
      </w:r>
      <w:r w:rsidR="00E41F86" w:rsidRPr="005269E6">
        <w:rPr>
          <w:rFonts w:hint="cs"/>
          <w:rtl/>
          <w:lang w:bidi="ar-EG"/>
        </w:rPr>
        <w:t xml:space="preserve"> </w:t>
      </w:r>
      <w:r w:rsidRPr="005269E6">
        <w:rPr>
          <w:rFonts w:hint="cs"/>
          <w:rtl/>
          <w:lang w:bidi="ar-EG"/>
        </w:rPr>
        <w:t>(مقابل</w:t>
      </w:r>
      <w:r w:rsidRPr="005269E6">
        <w:rPr>
          <w:rtl/>
          <w:lang w:bidi="ar-EG"/>
        </w:rPr>
        <w:t xml:space="preserve"> </w:t>
      </w:r>
      <w:r w:rsidR="00E41F86" w:rsidRPr="005269E6">
        <w:rPr>
          <w:lang w:bidi="ar-SY"/>
        </w:rPr>
        <w:t>1,8</w:t>
      </w:r>
      <w:r w:rsidRPr="005269E6">
        <w:rPr>
          <w:rtl/>
          <w:lang w:bidi="ar-SY"/>
        </w:rPr>
        <w:t> </w:t>
      </w:r>
      <w:r w:rsidR="00E41F86" w:rsidRPr="005269E6">
        <w:rPr>
          <w:rFonts w:hint="cs"/>
          <w:rtl/>
          <w:lang w:bidi="ar-SY"/>
        </w:rPr>
        <w:t>مليون</w:t>
      </w:r>
      <w:r w:rsidRPr="005269E6">
        <w:rPr>
          <w:rtl/>
          <w:lang w:bidi="ar-SY"/>
        </w:rPr>
        <w:t xml:space="preserve"> فرنك سويسري في </w:t>
      </w:r>
      <w:r w:rsidR="00E41F86" w:rsidRPr="005269E6">
        <w:rPr>
          <w:lang w:bidi="ar-SY"/>
        </w:rPr>
        <w:t>20</w:t>
      </w:r>
      <w:r w:rsidR="000738A7" w:rsidRPr="005269E6">
        <w:rPr>
          <w:lang w:bidi="ar-SY"/>
        </w:rPr>
        <w:t>21</w:t>
      </w:r>
      <w:r w:rsidRPr="005269E6">
        <w:rPr>
          <w:rFonts w:hint="cs"/>
          <w:rtl/>
          <w:lang w:bidi="ar-SY"/>
        </w:rPr>
        <w:t>)</w:t>
      </w:r>
      <w:r w:rsidRPr="005269E6">
        <w:rPr>
          <w:rtl/>
          <w:lang w:bidi="ar-SY"/>
        </w:rPr>
        <w:t>.</w:t>
      </w:r>
      <w:r w:rsidR="000738A7" w:rsidRPr="005269E6">
        <w:rPr>
          <w:rFonts w:hint="cs"/>
          <w:rtl/>
          <w:lang w:bidi="ar-SY"/>
        </w:rPr>
        <w:t xml:space="preserve"> </w:t>
      </w:r>
      <w:r w:rsidR="00A4446E" w:rsidRPr="005269E6">
        <w:rPr>
          <w:rtl/>
          <w:lang w:bidi="ar-SY"/>
        </w:rPr>
        <w:t>وهذه الزيادة بنسبة 50 في المائة تفسر بمؤتمر الجمعية العالمية لتقييس الاتصالات الذي عقد في مركز جنيف الدولي للمؤتمرات حيث استؤجر المكان وكذلك المعدات السمعية المرئية.</w:t>
      </w:r>
    </w:p>
    <w:p w14:paraId="05601BA4" w14:textId="77777777" w:rsidR="00C543C6" w:rsidRPr="005269E6" w:rsidRDefault="00C543C6" w:rsidP="00C543C6">
      <w:pPr>
        <w:rPr>
          <w:rtl/>
          <w:lang w:bidi="ar-EG"/>
        </w:rPr>
        <w:sectPr w:rsidR="00C543C6" w:rsidRPr="005269E6" w:rsidSect="00DF0C9F">
          <w:headerReference w:type="default" r:id="rId30"/>
          <w:footerReference w:type="default" r:id="rId31"/>
          <w:headerReference w:type="first" r:id="rId32"/>
          <w:footerReference w:type="first" r:id="rId33"/>
          <w:type w:val="oddPage"/>
          <w:pgSz w:w="11907" w:h="16840" w:code="9"/>
          <w:pgMar w:top="1418" w:right="1134" w:bottom="1134" w:left="1134" w:header="709" w:footer="709" w:gutter="0"/>
          <w:cols w:space="708"/>
          <w:titlePg/>
          <w:docGrid w:linePitch="360"/>
        </w:sectPr>
      </w:pPr>
    </w:p>
    <w:p w14:paraId="53112138" w14:textId="30ED4B20" w:rsidR="00C543C6" w:rsidRPr="005269E6" w:rsidRDefault="00C543C6" w:rsidP="00696AA6">
      <w:pPr>
        <w:pStyle w:val="Heading5"/>
        <w:rPr>
          <w:lang w:bidi="ar-SY"/>
        </w:rPr>
      </w:pPr>
      <w:bookmarkStart w:id="630" w:name="_Toc74061602"/>
      <w:bookmarkStart w:id="631" w:name="_Toc162520642"/>
      <w:r w:rsidRPr="005269E6">
        <w:rPr>
          <w:spacing w:val="-4"/>
          <w:rtl/>
          <w:lang w:bidi="ar-SY"/>
        </w:rPr>
        <w:lastRenderedPageBreak/>
        <w:t xml:space="preserve">الملاحظة </w:t>
      </w:r>
      <w:r w:rsidRPr="005269E6">
        <w:rPr>
          <w:spacing w:val="-4"/>
        </w:rPr>
        <w:t>24</w:t>
      </w:r>
      <w:r w:rsidRPr="005269E6">
        <w:rPr>
          <w:rtl/>
          <w:lang w:bidi="ar-SY"/>
        </w:rPr>
        <w:tab/>
      </w:r>
      <w:r w:rsidRPr="005269E6">
        <w:rPr>
          <w:rFonts w:hint="cs"/>
          <w:rtl/>
          <w:lang w:bidi="ar-SY"/>
        </w:rPr>
        <w:t xml:space="preserve">الإبلاغ بحسب الأبواب </w:t>
      </w:r>
      <w:r w:rsidRPr="005269E6">
        <w:rPr>
          <w:rtl/>
          <w:lang w:bidi="ar-SY"/>
        </w:rPr>
        <w:t>–</w:t>
      </w:r>
      <w:r w:rsidRPr="005269E6">
        <w:rPr>
          <w:rFonts w:hint="cs"/>
          <w:rtl/>
          <w:lang w:bidi="ar-SY"/>
        </w:rPr>
        <w:t xml:space="preserve"> بيان الأداء المالي </w:t>
      </w:r>
      <w:bookmarkEnd w:id="630"/>
      <w:r w:rsidR="00CF7764" w:rsidRPr="005269E6">
        <w:rPr>
          <w:lang w:bidi="ar-SY"/>
        </w:rPr>
        <w:t>2022</w:t>
      </w:r>
      <w:bookmarkEnd w:id="631"/>
    </w:p>
    <w:tbl>
      <w:tblPr>
        <w:tblpPr w:leftFromText="180" w:rightFromText="180" w:vertAnchor="text" w:tblpXSpec="center" w:tblpY="1"/>
        <w:tblOverlap w:val="never"/>
        <w:bidiVisual/>
        <w:tblW w:w="4997" w:type="pct"/>
        <w:jc w:val="center"/>
        <w:tblLayout w:type="fixed"/>
        <w:tblLook w:val="04A0" w:firstRow="1" w:lastRow="0" w:firstColumn="1" w:lastColumn="0" w:noHBand="0" w:noVBand="1"/>
      </w:tblPr>
      <w:tblGrid>
        <w:gridCol w:w="2417"/>
        <w:gridCol w:w="1438"/>
        <w:gridCol w:w="1432"/>
        <w:gridCol w:w="1554"/>
        <w:gridCol w:w="1537"/>
        <w:gridCol w:w="1732"/>
        <w:gridCol w:w="1428"/>
        <w:gridCol w:w="1337"/>
        <w:gridCol w:w="1337"/>
        <w:gridCol w:w="1475"/>
      </w:tblGrid>
      <w:tr w:rsidR="00846FDC" w:rsidRPr="005269E6" w14:paraId="3AAC395B" w14:textId="77777777" w:rsidTr="00666023">
        <w:trPr>
          <w:trHeight w:val="675"/>
          <w:jc w:val="center"/>
        </w:trPr>
        <w:tc>
          <w:tcPr>
            <w:tcW w:w="770" w:type="pct"/>
            <w:tcBorders>
              <w:top w:val="single" w:sz="4" w:space="0" w:color="auto"/>
              <w:left w:val="single" w:sz="4" w:space="0" w:color="auto"/>
              <w:bottom w:val="single" w:sz="4" w:space="0" w:color="auto"/>
              <w:right w:val="nil"/>
            </w:tcBorders>
            <w:shd w:val="clear" w:color="auto" w:fill="538DD5"/>
            <w:noWrap/>
            <w:vAlign w:val="center"/>
            <w:hideMark/>
          </w:tcPr>
          <w:p w14:paraId="7C401588" w14:textId="77777777" w:rsidR="00846FDC" w:rsidRPr="005269E6" w:rsidRDefault="00846FDC" w:rsidP="00666023">
            <w:pPr>
              <w:keepNext/>
              <w:spacing w:before="20" w:after="20" w:line="260" w:lineRule="exact"/>
              <w:jc w:val="center"/>
              <w:rPr>
                <w:b/>
                <w:bCs/>
                <w:position w:val="2"/>
                <w:sz w:val="16"/>
                <w:szCs w:val="16"/>
                <w:lang w:eastAsia="en-US" w:bidi="ar-EG"/>
              </w:rPr>
            </w:pPr>
            <w:r w:rsidRPr="005269E6">
              <w:rPr>
                <w:b/>
                <w:bCs/>
                <w:position w:val="2"/>
                <w:sz w:val="16"/>
                <w:szCs w:val="16"/>
                <w:rtl/>
                <w:lang w:eastAsia="en-US" w:bidi="ar-EG"/>
              </w:rPr>
              <w:t>بآلاف الفرنكات السويسرية</w:t>
            </w:r>
          </w:p>
        </w:tc>
        <w:tc>
          <w:tcPr>
            <w:tcW w:w="458" w:type="pct"/>
            <w:tcBorders>
              <w:top w:val="single" w:sz="4" w:space="0" w:color="auto"/>
              <w:left w:val="single" w:sz="4" w:space="0" w:color="auto"/>
              <w:bottom w:val="single" w:sz="4" w:space="0" w:color="auto"/>
              <w:right w:val="nil"/>
            </w:tcBorders>
            <w:shd w:val="clear" w:color="auto" w:fill="538DD5"/>
            <w:vAlign w:val="center"/>
            <w:hideMark/>
          </w:tcPr>
          <w:p w14:paraId="41870C59" w14:textId="77777777" w:rsidR="00846FDC" w:rsidRPr="005269E6" w:rsidRDefault="00846FDC" w:rsidP="00666023">
            <w:pPr>
              <w:keepNext/>
              <w:spacing w:before="20" w:after="20" w:line="260" w:lineRule="exact"/>
              <w:jc w:val="center"/>
              <w:rPr>
                <w:b/>
                <w:bCs/>
                <w:position w:val="2"/>
                <w:sz w:val="16"/>
                <w:szCs w:val="16"/>
                <w:lang w:eastAsia="en-US" w:bidi="ar-EG"/>
              </w:rPr>
            </w:pPr>
            <w:r w:rsidRPr="005269E6">
              <w:rPr>
                <w:b/>
                <w:bCs/>
                <w:position w:val="2"/>
                <w:sz w:val="16"/>
                <w:szCs w:val="16"/>
                <w:rtl/>
                <w:lang w:eastAsia="en-US" w:bidi="ar-EG"/>
              </w:rPr>
              <w:t>الأمانة العامة</w:t>
            </w:r>
          </w:p>
        </w:tc>
        <w:tc>
          <w:tcPr>
            <w:tcW w:w="456" w:type="pct"/>
            <w:tcBorders>
              <w:top w:val="single" w:sz="4" w:space="0" w:color="auto"/>
              <w:left w:val="single" w:sz="4" w:space="0" w:color="auto"/>
              <w:bottom w:val="single" w:sz="4" w:space="0" w:color="auto"/>
              <w:right w:val="nil"/>
            </w:tcBorders>
            <w:shd w:val="clear" w:color="auto" w:fill="538DD5"/>
            <w:vAlign w:val="center"/>
            <w:hideMark/>
          </w:tcPr>
          <w:p w14:paraId="74F19B9A" w14:textId="77777777" w:rsidR="00846FDC" w:rsidRPr="005269E6" w:rsidRDefault="00846FDC" w:rsidP="00666023">
            <w:pPr>
              <w:keepNext/>
              <w:spacing w:before="20" w:after="20" w:line="260" w:lineRule="exact"/>
              <w:jc w:val="center"/>
              <w:rPr>
                <w:b/>
                <w:bCs/>
                <w:position w:val="2"/>
                <w:sz w:val="16"/>
                <w:szCs w:val="16"/>
                <w:lang w:eastAsia="en-US" w:bidi="ar-EG"/>
              </w:rPr>
            </w:pPr>
            <w:r w:rsidRPr="005269E6">
              <w:rPr>
                <w:b/>
                <w:bCs/>
                <w:position w:val="2"/>
                <w:sz w:val="16"/>
                <w:szCs w:val="16"/>
                <w:rtl/>
                <w:lang w:eastAsia="en-US" w:bidi="ar-EG"/>
              </w:rPr>
              <w:t>قطاع الاتصالات الراديوية</w:t>
            </w:r>
          </w:p>
        </w:tc>
        <w:tc>
          <w:tcPr>
            <w:tcW w:w="495" w:type="pct"/>
            <w:tcBorders>
              <w:top w:val="single" w:sz="4" w:space="0" w:color="auto"/>
              <w:left w:val="single" w:sz="4" w:space="0" w:color="auto"/>
              <w:bottom w:val="single" w:sz="4" w:space="0" w:color="auto"/>
              <w:right w:val="nil"/>
            </w:tcBorders>
            <w:shd w:val="clear" w:color="auto" w:fill="538DD5"/>
            <w:vAlign w:val="center"/>
            <w:hideMark/>
          </w:tcPr>
          <w:p w14:paraId="73EB6B03" w14:textId="77777777" w:rsidR="00846FDC" w:rsidRPr="005269E6" w:rsidRDefault="00846FDC" w:rsidP="00666023">
            <w:pPr>
              <w:keepNext/>
              <w:spacing w:before="20" w:after="20" w:line="260" w:lineRule="exact"/>
              <w:jc w:val="center"/>
              <w:rPr>
                <w:b/>
                <w:bCs/>
                <w:position w:val="2"/>
                <w:sz w:val="16"/>
                <w:szCs w:val="16"/>
                <w:lang w:eastAsia="en-US" w:bidi="ar-EG"/>
              </w:rPr>
            </w:pPr>
            <w:r w:rsidRPr="005269E6">
              <w:rPr>
                <w:b/>
                <w:bCs/>
                <w:position w:val="2"/>
                <w:sz w:val="16"/>
                <w:szCs w:val="16"/>
                <w:rtl/>
                <w:lang w:eastAsia="en-US" w:bidi="ar-EG"/>
              </w:rPr>
              <w:t>قطاع تقييس الاتصالات</w:t>
            </w:r>
          </w:p>
        </w:tc>
        <w:tc>
          <w:tcPr>
            <w:tcW w:w="490" w:type="pct"/>
            <w:tcBorders>
              <w:top w:val="single" w:sz="4" w:space="0" w:color="auto"/>
              <w:left w:val="single" w:sz="4" w:space="0" w:color="auto"/>
              <w:bottom w:val="single" w:sz="4" w:space="0" w:color="auto"/>
              <w:right w:val="single" w:sz="4" w:space="0" w:color="auto"/>
            </w:tcBorders>
            <w:shd w:val="clear" w:color="auto" w:fill="538DD5"/>
            <w:vAlign w:val="center"/>
            <w:hideMark/>
          </w:tcPr>
          <w:p w14:paraId="29754CE6" w14:textId="77777777" w:rsidR="00846FDC" w:rsidRPr="005269E6" w:rsidRDefault="00846FDC" w:rsidP="00666023">
            <w:pPr>
              <w:keepNext/>
              <w:spacing w:before="20" w:after="20" w:line="260" w:lineRule="exact"/>
              <w:jc w:val="center"/>
              <w:rPr>
                <w:b/>
                <w:bCs/>
                <w:position w:val="2"/>
                <w:sz w:val="16"/>
                <w:szCs w:val="16"/>
                <w:lang w:eastAsia="en-US" w:bidi="ar-EG"/>
              </w:rPr>
            </w:pPr>
            <w:r w:rsidRPr="005269E6">
              <w:rPr>
                <w:b/>
                <w:bCs/>
                <w:position w:val="2"/>
                <w:sz w:val="16"/>
                <w:szCs w:val="16"/>
                <w:rtl/>
                <w:lang w:eastAsia="en-US" w:bidi="ar-EG"/>
              </w:rPr>
              <w:t>قطاع تنمية الاتصالات</w:t>
            </w:r>
          </w:p>
        </w:tc>
        <w:tc>
          <w:tcPr>
            <w:tcW w:w="552" w:type="pct"/>
            <w:tcBorders>
              <w:top w:val="single" w:sz="4" w:space="0" w:color="auto"/>
              <w:left w:val="single" w:sz="4" w:space="0" w:color="auto"/>
              <w:bottom w:val="single" w:sz="4" w:space="0" w:color="auto"/>
              <w:right w:val="single" w:sz="4" w:space="0" w:color="auto"/>
            </w:tcBorders>
            <w:shd w:val="clear" w:color="auto" w:fill="538DD5"/>
            <w:vAlign w:val="center"/>
            <w:hideMark/>
          </w:tcPr>
          <w:p w14:paraId="1413E24F" w14:textId="542B2916" w:rsidR="00846FDC" w:rsidRPr="005269E6" w:rsidRDefault="00BB0BBD" w:rsidP="00666023">
            <w:pPr>
              <w:keepNext/>
              <w:spacing w:before="20" w:after="20" w:line="260" w:lineRule="exact"/>
              <w:jc w:val="center"/>
              <w:rPr>
                <w:b/>
                <w:bCs/>
                <w:position w:val="2"/>
                <w:sz w:val="16"/>
                <w:szCs w:val="16"/>
                <w:lang w:eastAsia="en-US" w:bidi="ar-EG"/>
              </w:rPr>
            </w:pPr>
            <w:r w:rsidRPr="005269E6">
              <w:rPr>
                <w:b/>
                <w:bCs/>
                <w:position w:val="2"/>
                <w:sz w:val="16"/>
                <w:szCs w:val="16"/>
                <w:rtl/>
                <w:lang w:eastAsia="en-US" w:bidi="ar-EG"/>
              </w:rPr>
              <w:t>إجمالي الأموال العادية</w:t>
            </w:r>
          </w:p>
        </w:tc>
        <w:tc>
          <w:tcPr>
            <w:tcW w:w="455" w:type="pct"/>
            <w:tcBorders>
              <w:top w:val="single" w:sz="4" w:space="0" w:color="auto"/>
              <w:left w:val="nil"/>
              <w:bottom w:val="single" w:sz="4" w:space="0" w:color="auto"/>
              <w:right w:val="single" w:sz="4" w:space="0" w:color="auto"/>
            </w:tcBorders>
            <w:shd w:val="clear" w:color="auto" w:fill="538DD5"/>
            <w:vAlign w:val="center"/>
            <w:hideMark/>
          </w:tcPr>
          <w:p w14:paraId="59DDA081" w14:textId="77777777" w:rsidR="00846FDC" w:rsidRPr="005269E6" w:rsidRDefault="00846FDC" w:rsidP="00666023">
            <w:pPr>
              <w:keepNext/>
              <w:spacing w:before="20" w:after="20" w:line="260" w:lineRule="exact"/>
              <w:jc w:val="center"/>
              <w:rPr>
                <w:b/>
                <w:bCs/>
                <w:position w:val="2"/>
                <w:sz w:val="16"/>
                <w:szCs w:val="16"/>
                <w:lang w:eastAsia="en-US" w:bidi="ar-EG"/>
              </w:rPr>
            </w:pPr>
            <w:r w:rsidRPr="005269E6">
              <w:rPr>
                <w:b/>
                <w:bCs/>
                <w:position w:val="2"/>
                <w:sz w:val="16"/>
                <w:szCs w:val="16"/>
                <w:rtl/>
                <w:lang w:eastAsia="en-US" w:bidi="ar-EG"/>
              </w:rPr>
              <w:t>صندوق المبنى الجديد</w:t>
            </w:r>
          </w:p>
        </w:tc>
        <w:tc>
          <w:tcPr>
            <w:tcW w:w="426" w:type="pct"/>
            <w:tcBorders>
              <w:top w:val="single" w:sz="4" w:space="0" w:color="auto"/>
              <w:left w:val="nil"/>
              <w:bottom w:val="single" w:sz="4" w:space="0" w:color="auto"/>
              <w:right w:val="single" w:sz="4" w:space="0" w:color="auto"/>
            </w:tcBorders>
            <w:shd w:val="clear" w:color="auto" w:fill="538DD5"/>
            <w:vAlign w:val="center"/>
            <w:hideMark/>
          </w:tcPr>
          <w:p w14:paraId="26634A5C" w14:textId="77777777" w:rsidR="00846FDC" w:rsidRPr="005269E6" w:rsidRDefault="00846FDC" w:rsidP="00666023">
            <w:pPr>
              <w:keepNext/>
              <w:spacing w:before="20" w:after="20" w:line="260" w:lineRule="exact"/>
              <w:jc w:val="center"/>
              <w:rPr>
                <w:b/>
                <w:bCs/>
                <w:position w:val="2"/>
                <w:sz w:val="16"/>
                <w:szCs w:val="16"/>
                <w:lang w:eastAsia="en-US" w:bidi="ar-EG"/>
              </w:rPr>
            </w:pPr>
            <w:r w:rsidRPr="005269E6">
              <w:rPr>
                <w:b/>
                <w:bCs/>
                <w:position w:val="2"/>
                <w:sz w:val="16"/>
                <w:szCs w:val="16"/>
                <w:rtl/>
                <w:lang w:eastAsia="en-US" w:bidi="ar-EG"/>
              </w:rPr>
              <w:t>التأمين</w:t>
            </w:r>
          </w:p>
        </w:tc>
        <w:tc>
          <w:tcPr>
            <w:tcW w:w="426" w:type="pct"/>
            <w:tcBorders>
              <w:top w:val="single" w:sz="4" w:space="0" w:color="auto"/>
              <w:left w:val="nil"/>
              <w:bottom w:val="single" w:sz="4" w:space="0" w:color="auto"/>
              <w:right w:val="single" w:sz="4" w:space="0" w:color="auto"/>
            </w:tcBorders>
            <w:shd w:val="clear" w:color="auto" w:fill="538DD5"/>
            <w:vAlign w:val="center"/>
            <w:hideMark/>
          </w:tcPr>
          <w:p w14:paraId="4A286890" w14:textId="7F92BEAB" w:rsidR="00846FDC" w:rsidRPr="005269E6" w:rsidRDefault="00BB0BBD" w:rsidP="00666023">
            <w:pPr>
              <w:keepNext/>
              <w:spacing w:before="20" w:after="20" w:line="260" w:lineRule="exact"/>
              <w:jc w:val="center"/>
              <w:rPr>
                <w:b/>
                <w:bCs/>
                <w:position w:val="2"/>
                <w:sz w:val="16"/>
                <w:szCs w:val="16"/>
                <w:lang w:eastAsia="en-US" w:bidi="ar-EG"/>
              </w:rPr>
            </w:pPr>
            <w:r w:rsidRPr="005269E6">
              <w:rPr>
                <w:b/>
                <w:bCs/>
                <w:position w:val="2"/>
                <w:sz w:val="16"/>
                <w:szCs w:val="16"/>
                <w:rtl/>
                <w:lang w:eastAsia="en-US" w:bidi="ar-EG"/>
              </w:rPr>
              <w:t>إجمالي الأموال من خارج الميزانية</w:t>
            </w:r>
          </w:p>
        </w:tc>
        <w:tc>
          <w:tcPr>
            <w:tcW w:w="470" w:type="pct"/>
            <w:tcBorders>
              <w:top w:val="single" w:sz="4" w:space="0" w:color="auto"/>
              <w:left w:val="nil"/>
              <w:bottom w:val="single" w:sz="4" w:space="0" w:color="auto"/>
              <w:right w:val="single" w:sz="4" w:space="0" w:color="auto"/>
            </w:tcBorders>
            <w:shd w:val="clear" w:color="auto" w:fill="538DD5"/>
            <w:vAlign w:val="center"/>
            <w:hideMark/>
          </w:tcPr>
          <w:p w14:paraId="0B403E8C" w14:textId="77777777" w:rsidR="00846FDC" w:rsidRPr="005269E6" w:rsidRDefault="00846FDC" w:rsidP="00666023">
            <w:pPr>
              <w:keepNext/>
              <w:spacing w:before="20" w:after="20" w:line="260" w:lineRule="exact"/>
              <w:jc w:val="center"/>
              <w:rPr>
                <w:b/>
                <w:bCs/>
                <w:position w:val="2"/>
                <w:sz w:val="16"/>
                <w:szCs w:val="16"/>
                <w:lang w:eastAsia="en-US" w:bidi="ar-EG"/>
              </w:rPr>
            </w:pPr>
            <w:r w:rsidRPr="005269E6">
              <w:rPr>
                <w:b/>
                <w:bCs/>
                <w:position w:val="2"/>
                <w:sz w:val="16"/>
                <w:szCs w:val="16"/>
                <w:rtl/>
                <w:lang w:eastAsia="en-US" w:bidi="ar-EG"/>
              </w:rPr>
              <w:t>المجموع</w:t>
            </w:r>
          </w:p>
        </w:tc>
      </w:tr>
      <w:tr w:rsidR="00846FDC" w:rsidRPr="005269E6" w14:paraId="6D605D0F" w14:textId="77777777" w:rsidTr="00666023">
        <w:trPr>
          <w:trHeight w:hRule="exact" w:val="76"/>
          <w:jc w:val="center"/>
        </w:trPr>
        <w:tc>
          <w:tcPr>
            <w:tcW w:w="770" w:type="pct"/>
            <w:tcBorders>
              <w:top w:val="nil"/>
              <w:left w:val="single" w:sz="4" w:space="0" w:color="auto"/>
              <w:bottom w:val="nil"/>
              <w:right w:val="nil"/>
            </w:tcBorders>
            <w:shd w:val="clear" w:color="auto" w:fill="auto"/>
            <w:hideMark/>
          </w:tcPr>
          <w:p w14:paraId="7C21303F" w14:textId="77777777" w:rsidR="00846FDC" w:rsidRPr="005269E6" w:rsidRDefault="00846FDC" w:rsidP="00666023">
            <w:pPr>
              <w:tabs>
                <w:tab w:val="clear" w:pos="794"/>
              </w:tabs>
              <w:spacing w:before="20" w:after="20" w:line="40" w:lineRule="exact"/>
              <w:jc w:val="left"/>
              <w:rPr>
                <w:rFonts w:eastAsia="Times New Roman"/>
                <w:color w:val="000000"/>
                <w:position w:val="2"/>
                <w:sz w:val="16"/>
                <w:szCs w:val="16"/>
                <w:rtl/>
                <w:lang w:val="en-GB" w:eastAsia="en-GB"/>
              </w:rPr>
            </w:pPr>
            <w:r w:rsidRPr="005269E6">
              <w:rPr>
                <w:rFonts w:eastAsia="Times New Roman"/>
                <w:color w:val="000000"/>
                <w:position w:val="2"/>
                <w:sz w:val="16"/>
                <w:szCs w:val="16"/>
                <w:lang w:val="en-GB" w:eastAsia="en-GB"/>
              </w:rPr>
              <w:t> </w:t>
            </w:r>
          </w:p>
        </w:tc>
        <w:tc>
          <w:tcPr>
            <w:tcW w:w="458" w:type="pct"/>
            <w:tcBorders>
              <w:top w:val="nil"/>
              <w:left w:val="single" w:sz="4" w:space="0" w:color="auto"/>
              <w:bottom w:val="nil"/>
              <w:right w:val="single" w:sz="4" w:space="0" w:color="auto"/>
            </w:tcBorders>
            <w:shd w:val="clear" w:color="auto" w:fill="auto"/>
            <w:hideMark/>
          </w:tcPr>
          <w:p w14:paraId="2044D913" w14:textId="77777777" w:rsidR="00846FDC" w:rsidRPr="005269E6" w:rsidRDefault="00846FDC" w:rsidP="00666023">
            <w:pPr>
              <w:tabs>
                <w:tab w:val="clear" w:pos="794"/>
              </w:tabs>
              <w:spacing w:before="20" w:after="20" w:line="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 </w:t>
            </w:r>
          </w:p>
        </w:tc>
        <w:tc>
          <w:tcPr>
            <w:tcW w:w="456" w:type="pct"/>
            <w:tcBorders>
              <w:top w:val="nil"/>
              <w:left w:val="nil"/>
              <w:bottom w:val="nil"/>
              <w:right w:val="single" w:sz="4" w:space="0" w:color="auto"/>
            </w:tcBorders>
            <w:shd w:val="clear" w:color="auto" w:fill="auto"/>
            <w:noWrap/>
            <w:vAlign w:val="bottom"/>
            <w:hideMark/>
          </w:tcPr>
          <w:p w14:paraId="0C486EDE" w14:textId="77777777" w:rsidR="00846FDC" w:rsidRPr="005269E6" w:rsidRDefault="00846FDC" w:rsidP="00666023">
            <w:pPr>
              <w:tabs>
                <w:tab w:val="clear" w:pos="794"/>
              </w:tabs>
              <w:spacing w:before="20" w:after="20" w:line="80" w:lineRule="exact"/>
              <w:jc w:val="left"/>
              <w:rPr>
                <w:rFonts w:eastAsia="Times New Roman"/>
                <w:color w:val="000000"/>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bottom"/>
            <w:hideMark/>
          </w:tcPr>
          <w:p w14:paraId="51D200A1" w14:textId="77777777" w:rsidR="00846FDC" w:rsidRPr="005269E6" w:rsidRDefault="00846FDC" w:rsidP="00666023">
            <w:pPr>
              <w:tabs>
                <w:tab w:val="clear" w:pos="794"/>
              </w:tabs>
              <w:spacing w:before="20" w:after="20" w:line="80" w:lineRule="exact"/>
              <w:jc w:val="left"/>
              <w:rPr>
                <w:rFonts w:eastAsia="Times New Roman"/>
                <w:color w:val="000000"/>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bottom"/>
            <w:hideMark/>
          </w:tcPr>
          <w:p w14:paraId="006F135C" w14:textId="77777777" w:rsidR="00846FDC" w:rsidRPr="005269E6" w:rsidRDefault="00846FDC" w:rsidP="00666023">
            <w:pPr>
              <w:tabs>
                <w:tab w:val="clear" w:pos="794"/>
              </w:tabs>
              <w:spacing w:before="20" w:after="20" w:line="80" w:lineRule="exact"/>
              <w:jc w:val="left"/>
              <w:rPr>
                <w:rFonts w:eastAsia="Times New Roman"/>
                <w:color w:val="000000"/>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bottom"/>
            <w:hideMark/>
          </w:tcPr>
          <w:p w14:paraId="40464EFE" w14:textId="77777777" w:rsidR="00846FDC" w:rsidRPr="005269E6" w:rsidRDefault="00846FDC" w:rsidP="00666023">
            <w:pPr>
              <w:tabs>
                <w:tab w:val="clear" w:pos="794"/>
              </w:tabs>
              <w:spacing w:before="20" w:after="20" w:line="80" w:lineRule="exact"/>
              <w:jc w:val="left"/>
              <w:rPr>
                <w:rFonts w:eastAsia="Times New Roman"/>
                <w:color w:val="000000"/>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bottom"/>
            <w:hideMark/>
          </w:tcPr>
          <w:p w14:paraId="6451444F" w14:textId="77777777" w:rsidR="00846FDC" w:rsidRPr="005269E6" w:rsidRDefault="00846FDC" w:rsidP="00666023">
            <w:pPr>
              <w:tabs>
                <w:tab w:val="clear" w:pos="794"/>
              </w:tabs>
              <w:spacing w:before="20" w:after="20" w:line="8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bottom"/>
            <w:hideMark/>
          </w:tcPr>
          <w:p w14:paraId="1CB66E6E" w14:textId="77777777" w:rsidR="00846FDC" w:rsidRPr="005269E6" w:rsidRDefault="00846FDC" w:rsidP="00666023">
            <w:pPr>
              <w:tabs>
                <w:tab w:val="clear" w:pos="794"/>
              </w:tabs>
              <w:spacing w:before="20" w:after="20" w:line="8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bottom"/>
            <w:hideMark/>
          </w:tcPr>
          <w:p w14:paraId="1DB742BC" w14:textId="77777777" w:rsidR="00846FDC" w:rsidRPr="005269E6" w:rsidRDefault="00846FDC" w:rsidP="00666023">
            <w:pPr>
              <w:tabs>
                <w:tab w:val="clear" w:pos="794"/>
              </w:tabs>
              <w:spacing w:before="20" w:after="20" w:line="80" w:lineRule="exact"/>
              <w:jc w:val="left"/>
              <w:rPr>
                <w:rFonts w:eastAsia="Times New Roman"/>
                <w:color w:val="000000"/>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bottom"/>
            <w:hideMark/>
          </w:tcPr>
          <w:p w14:paraId="1A87F8CC" w14:textId="77777777" w:rsidR="00846FDC" w:rsidRPr="005269E6" w:rsidRDefault="00846FDC" w:rsidP="00666023">
            <w:pPr>
              <w:tabs>
                <w:tab w:val="clear" w:pos="794"/>
              </w:tabs>
              <w:spacing w:before="20" w:after="20" w:line="80" w:lineRule="exact"/>
              <w:jc w:val="left"/>
              <w:rPr>
                <w:rFonts w:eastAsia="Times New Roman"/>
                <w:color w:val="000000"/>
                <w:position w:val="2"/>
                <w:sz w:val="16"/>
                <w:szCs w:val="16"/>
                <w:lang w:val="en-GB" w:eastAsia="en-GB"/>
              </w:rPr>
            </w:pPr>
          </w:p>
        </w:tc>
      </w:tr>
      <w:tr w:rsidR="00846FDC" w:rsidRPr="005269E6" w14:paraId="66328FB0"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24DEF612" w14:textId="77777777" w:rsidR="00846FDC" w:rsidRPr="005269E6" w:rsidRDefault="00846FDC" w:rsidP="00666023">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position w:val="2"/>
                <w:sz w:val="16"/>
                <w:szCs w:val="16"/>
                <w:rtl/>
                <w:lang w:val="fr-FR" w:eastAsia="en-US" w:bidi="ar-EG"/>
              </w:rPr>
              <w:t>الإيرادات</w:t>
            </w:r>
          </w:p>
        </w:tc>
        <w:tc>
          <w:tcPr>
            <w:tcW w:w="458" w:type="pct"/>
            <w:tcBorders>
              <w:top w:val="nil"/>
              <w:left w:val="single" w:sz="4" w:space="0" w:color="auto"/>
              <w:bottom w:val="nil"/>
              <w:right w:val="single" w:sz="4" w:space="0" w:color="auto"/>
            </w:tcBorders>
            <w:shd w:val="clear" w:color="auto" w:fill="auto"/>
            <w:noWrap/>
            <w:vAlign w:val="bottom"/>
            <w:hideMark/>
          </w:tcPr>
          <w:p w14:paraId="1892E07E"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 </w:t>
            </w:r>
          </w:p>
        </w:tc>
        <w:tc>
          <w:tcPr>
            <w:tcW w:w="456" w:type="pct"/>
            <w:tcBorders>
              <w:top w:val="nil"/>
              <w:left w:val="nil"/>
              <w:bottom w:val="nil"/>
              <w:right w:val="single" w:sz="4" w:space="0" w:color="auto"/>
            </w:tcBorders>
            <w:shd w:val="clear" w:color="auto" w:fill="auto"/>
            <w:noWrap/>
            <w:vAlign w:val="bottom"/>
            <w:hideMark/>
          </w:tcPr>
          <w:p w14:paraId="55BAEDFB"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bottom"/>
            <w:hideMark/>
          </w:tcPr>
          <w:p w14:paraId="7F489677"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bottom"/>
            <w:hideMark/>
          </w:tcPr>
          <w:p w14:paraId="1EC13CBB"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bottom"/>
            <w:hideMark/>
          </w:tcPr>
          <w:p w14:paraId="7643A22E"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bottom"/>
            <w:hideMark/>
          </w:tcPr>
          <w:p w14:paraId="1BB1AD28"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bottom"/>
            <w:hideMark/>
          </w:tcPr>
          <w:p w14:paraId="0A4CA77C"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bottom"/>
            <w:hideMark/>
          </w:tcPr>
          <w:p w14:paraId="39C1EC41"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bottom"/>
            <w:hideMark/>
          </w:tcPr>
          <w:p w14:paraId="5F9159E5"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r>
      <w:tr w:rsidR="00846FDC" w:rsidRPr="005269E6" w14:paraId="62BB0FD0"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3CBF498D"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bidi="ar-SY"/>
              </w:rPr>
            </w:pPr>
            <w:r w:rsidRPr="005269E6">
              <w:rPr>
                <w:rFonts w:eastAsia="Times New Roman"/>
                <w:position w:val="2"/>
                <w:sz w:val="16"/>
                <w:szCs w:val="16"/>
                <w:rtl/>
                <w:lang w:val="fr-FR" w:eastAsia="en-US" w:bidi="ar-EG"/>
              </w:rPr>
              <w:t>المساهمات المقررة</w:t>
            </w:r>
          </w:p>
        </w:tc>
        <w:tc>
          <w:tcPr>
            <w:tcW w:w="458" w:type="pct"/>
            <w:tcBorders>
              <w:top w:val="nil"/>
              <w:left w:val="single" w:sz="4" w:space="0" w:color="auto"/>
              <w:bottom w:val="nil"/>
              <w:right w:val="single" w:sz="4" w:space="0" w:color="auto"/>
            </w:tcBorders>
            <w:shd w:val="clear" w:color="auto" w:fill="auto"/>
            <w:noWrap/>
            <w:vAlign w:val="bottom"/>
            <w:hideMark/>
          </w:tcPr>
          <w:p w14:paraId="11756E4F"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58 721</w:t>
            </w:r>
          </w:p>
        </w:tc>
        <w:tc>
          <w:tcPr>
            <w:tcW w:w="456" w:type="pct"/>
            <w:tcBorders>
              <w:top w:val="nil"/>
              <w:left w:val="nil"/>
              <w:bottom w:val="nil"/>
              <w:right w:val="single" w:sz="4" w:space="0" w:color="auto"/>
            </w:tcBorders>
            <w:shd w:val="clear" w:color="auto" w:fill="auto"/>
            <w:noWrap/>
            <w:vAlign w:val="bottom"/>
            <w:hideMark/>
          </w:tcPr>
          <w:p w14:paraId="61157622"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28 035</w:t>
            </w:r>
          </w:p>
        </w:tc>
        <w:tc>
          <w:tcPr>
            <w:tcW w:w="495" w:type="pct"/>
            <w:tcBorders>
              <w:top w:val="nil"/>
              <w:left w:val="nil"/>
              <w:bottom w:val="nil"/>
              <w:right w:val="single" w:sz="4" w:space="0" w:color="auto"/>
            </w:tcBorders>
            <w:shd w:val="clear" w:color="auto" w:fill="auto"/>
            <w:noWrap/>
            <w:vAlign w:val="bottom"/>
            <w:hideMark/>
          </w:tcPr>
          <w:p w14:paraId="0F61E15A"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17 721</w:t>
            </w:r>
          </w:p>
        </w:tc>
        <w:tc>
          <w:tcPr>
            <w:tcW w:w="490" w:type="pct"/>
            <w:tcBorders>
              <w:top w:val="nil"/>
              <w:left w:val="nil"/>
              <w:bottom w:val="nil"/>
              <w:right w:val="single" w:sz="4" w:space="0" w:color="auto"/>
            </w:tcBorders>
            <w:shd w:val="clear" w:color="auto" w:fill="auto"/>
            <w:noWrap/>
            <w:vAlign w:val="bottom"/>
            <w:hideMark/>
          </w:tcPr>
          <w:p w14:paraId="390EFBDC"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23 137</w:t>
            </w:r>
          </w:p>
        </w:tc>
        <w:tc>
          <w:tcPr>
            <w:tcW w:w="552" w:type="pct"/>
            <w:tcBorders>
              <w:top w:val="nil"/>
              <w:left w:val="single" w:sz="4" w:space="0" w:color="auto"/>
              <w:bottom w:val="nil"/>
              <w:right w:val="single" w:sz="4" w:space="0" w:color="auto"/>
            </w:tcBorders>
            <w:shd w:val="clear" w:color="auto" w:fill="auto"/>
            <w:noWrap/>
            <w:vAlign w:val="bottom"/>
            <w:hideMark/>
          </w:tcPr>
          <w:p w14:paraId="0EE0E950"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127 613</w:t>
            </w:r>
          </w:p>
        </w:tc>
        <w:tc>
          <w:tcPr>
            <w:tcW w:w="455" w:type="pct"/>
            <w:tcBorders>
              <w:top w:val="nil"/>
              <w:left w:val="nil"/>
              <w:bottom w:val="nil"/>
              <w:right w:val="single" w:sz="4" w:space="0" w:color="auto"/>
            </w:tcBorders>
            <w:shd w:val="clear" w:color="auto" w:fill="auto"/>
            <w:noWrap/>
            <w:vAlign w:val="bottom"/>
            <w:hideMark/>
          </w:tcPr>
          <w:p w14:paraId="656352FD"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2E73A534"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259587F2" w14:textId="77777777" w:rsidR="00846FDC" w:rsidRPr="005269E6" w:rsidRDefault="00846FDC" w:rsidP="000E131C">
            <w:pPr>
              <w:tabs>
                <w:tab w:val="clear" w:pos="794"/>
              </w:tabs>
              <w:spacing w:before="20" w:after="20" w:line="180" w:lineRule="exact"/>
              <w:jc w:val="left"/>
              <w:rPr>
                <w:rFonts w:eastAsia="Times New Roman"/>
                <w:i/>
                <w:iCs/>
                <w:position w:val="2"/>
                <w:sz w:val="16"/>
                <w:szCs w:val="16"/>
                <w:lang w:val="en-GB" w:eastAsia="en-GB"/>
              </w:rPr>
            </w:pPr>
            <w:r w:rsidRPr="005269E6">
              <w:rPr>
                <w:rFonts w:eastAsia="Times New Roman"/>
                <w:i/>
                <w:iCs/>
                <w:position w:val="2"/>
                <w:sz w:val="16"/>
                <w:szCs w:val="16"/>
                <w:lang w:val="en-GB" w:eastAsia="en-GB"/>
              </w:rPr>
              <w:t>-</w:t>
            </w:r>
          </w:p>
        </w:tc>
        <w:tc>
          <w:tcPr>
            <w:tcW w:w="470" w:type="pct"/>
            <w:tcBorders>
              <w:top w:val="nil"/>
              <w:left w:val="single" w:sz="4" w:space="0" w:color="auto"/>
              <w:bottom w:val="nil"/>
              <w:right w:val="single" w:sz="4" w:space="0" w:color="auto"/>
            </w:tcBorders>
            <w:shd w:val="clear" w:color="auto" w:fill="auto"/>
            <w:noWrap/>
            <w:vAlign w:val="bottom"/>
            <w:hideMark/>
          </w:tcPr>
          <w:p w14:paraId="748D1066"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127 613</w:t>
            </w:r>
          </w:p>
        </w:tc>
      </w:tr>
      <w:tr w:rsidR="00846FDC" w:rsidRPr="005269E6" w14:paraId="206AC693"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3D5A9B05" w14:textId="7A8976E4" w:rsidR="00846FDC" w:rsidRPr="005269E6" w:rsidRDefault="00BB0BBD"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المساهمات من خارج الميزانية</w:t>
            </w:r>
          </w:p>
        </w:tc>
        <w:tc>
          <w:tcPr>
            <w:tcW w:w="458" w:type="pct"/>
            <w:tcBorders>
              <w:top w:val="nil"/>
              <w:left w:val="single" w:sz="4" w:space="0" w:color="auto"/>
              <w:bottom w:val="nil"/>
              <w:right w:val="single" w:sz="4" w:space="0" w:color="auto"/>
            </w:tcBorders>
            <w:shd w:val="clear" w:color="auto" w:fill="auto"/>
            <w:noWrap/>
            <w:vAlign w:val="bottom"/>
            <w:hideMark/>
          </w:tcPr>
          <w:p w14:paraId="57F9DD57"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 xml:space="preserve"> - </w:t>
            </w:r>
          </w:p>
        </w:tc>
        <w:tc>
          <w:tcPr>
            <w:tcW w:w="456" w:type="pct"/>
            <w:tcBorders>
              <w:top w:val="nil"/>
              <w:left w:val="nil"/>
              <w:bottom w:val="nil"/>
              <w:right w:val="single" w:sz="4" w:space="0" w:color="auto"/>
            </w:tcBorders>
            <w:shd w:val="clear" w:color="auto" w:fill="auto"/>
            <w:noWrap/>
            <w:vAlign w:val="bottom"/>
            <w:hideMark/>
          </w:tcPr>
          <w:p w14:paraId="27AD3A3C"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95" w:type="pct"/>
            <w:tcBorders>
              <w:top w:val="nil"/>
              <w:left w:val="nil"/>
              <w:bottom w:val="nil"/>
              <w:right w:val="single" w:sz="4" w:space="0" w:color="auto"/>
            </w:tcBorders>
            <w:shd w:val="clear" w:color="auto" w:fill="auto"/>
            <w:noWrap/>
            <w:vAlign w:val="bottom"/>
            <w:hideMark/>
          </w:tcPr>
          <w:p w14:paraId="3B9FCB4A"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90" w:type="pct"/>
            <w:tcBorders>
              <w:top w:val="nil"/>
              <w:left w:val="nil"/>
              <w:bottom w:val="nil"/>
              <w:right w:val="single" w:sz="4" w:space="0" w:color="auto"/>
            </w:tcBorders>
            <w:shd w:val="clear" w:color="auto" w:fill="auto"/>
            <w:noWrap/>
            <w:vAlign w:val="bottom"/>
            <w:hideMark/>
          </w:tcPr>
          <w:p w14:paraId="7C46B843"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552" w:type="pct"/>
            <w:tcBorders>
              <w:top w:val="nil"/>
              <w:left w:val="single" w:sz="4" w:space="0" w:color="auto"/>
              <w:bottom w:val="nil"/>
              <w:right w:val="single" w:sz="4" w:space="0" w:color="auto"/>
            </w:tcBorders>
            <w:shd w:val="clear" w:color="auto" w:fill="auto"/>
            <w:noWrap/>
            <w:vAlign w:val="bottom"/>
            <w:hideMark/>
          </w:tcPr>
          <w:p w14:paraId="4017CF23" w14:textId="1DFA716F" w:rsidR="00846FDC" w:rsidRPr="005269E6" w:rsidRDefault="009B7BA2"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w:t>
            </w:r>
          </w:p>
        </w:tc>
        <w:tc>
          <w:tcPr>
            <w:tcW w:w="455" w:type="pct"/>
            <w:tcBorders>
              <w:top w:val="nil"/>
              <w:left w:val="nil"/>
              <w:bottom w:val="nil"/>
              <w:right w:val="single" w:sz="4" w:space="0" w:color="auto"/>
            </w:tcBorders>
            <w:shd w:val="clear" w:color="auto" w:fill="auto"/>
            <w:noWrap/>
            <w:vAlign w:val="bottom"/>
            <w:hideMark/>
          </w:tcPr>
          <w:p w14:paraId="6C7241A9"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764DE953"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25FD1BF3" w14:textId="77777777" w:rsidR="00846FDC" w:rsidRPr="005269E6" w:rsidRDefault="00846FDC" w:rsidP="000E131C">
            <w:pPr>
              <w:tabs>
                <w:tab w:val="clear" w:pos="794"/>
              </w:tabs>
              <w:spacing w:before="20" w:after="20" w:line="180" w:lineRule="exact"/>
              <w:jc w:val="left"/>
              <w:rPr>
                <w:rFonts w:eastAsia="Times New Roman"/>
                <w:b/>
                <w:bCs/>
                <w:i/>
                <w:iCs/>
                <w:position w:val="2"/>
                <w:sz w:val="16"/>
                <w:szCs w:val="16"/>
                <w:lang w:val="en-GB" w:eastAsia="en-GB"/>
              </w:rPr>
            </w:pPr>
            <w:r w:rsidRPr="005269E6">
              <w:rPr>
                <w:rFonts w:eastAsia="Times New Roman"/>
                <w:b/>
                <w:bCs/>
                <w:i/>
                <w:iCs/>
                <w:position w:val="2"/>
                <w:sz w:val="16"/>
                <w:szCs w:val="16"/>
                <w:lang w:val="en-GB" w:eastAsia="en-GB"/>
              </w:rPr>
              <w:t>17 695</w:t>
            </w:r>
          </w:p>
        </w:tc>
        <w:tc>
          <w:tcPr>
            <w:tcW w:w="470" w:type="pct"/>
            <w:tcBorders>
              <w:top w:val="nil"/>
              <w:left w:val="nil"/>
              <w:bottom w:val="nil"/>
              <w:right w:val="single" w:sz="4" w:space="0" w:color="auto"/>
            </w:tcBorders>
            <w:shd w:val="clear" w:color="auto" w:fill="auto"/>
            <w:noWrap/>
            <w:vAlign w:val="bottom"/>
            <w:hideMark/>
          </w:tcPr>
          <w:p w14:paraId="7A260A6C"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17 965</w:t>
            </w:r>
          </w:p>
        </w:tc>
      </w:tr>
      <w:tr w:rsidR="00846FDC" w:rsidRPr="005269E6" w14:paraId="6426CB8B"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3B50BA43"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المنشورات</w:t>
            </w:r>
          </w:p>
        </w:tc>
        <w:tc>
          <w:tcPr>
            <w:tcW w:w="458" w:type="pct"/>
            <w:tcBorders>
              <w:top w:val="nil"/>
              <w:left w:val="single" w:sz="4" w:space="0" w:color="auto"/>
              <w:bottom w:val="nil"/>
              <w:right w:val="single" w:sz="4" w:space="0" w:color="auto"/>
            </w:tcBorders>
            <w:shd w:val="clear" w:color="auto" w:fill="auto"/>
            <w:noWrap/>
            <w:vAlign w:val="bottom"/>
            <w:hideMark/>
          </w:tcPr>
          <w:p w14:paraId="23067369"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 xml:space="preserve"> 39 </w:t>
            </w:r>
          </w:p>
        </w:tc>
        <w:tc>
          <w:tcPr>
            <w:tcW w:w="456" w:type="pct"/>
            <w:tcBorders>
              <w:top w:val="nil"/>
              <w:left w:val="nil"/>
              <w:bottom w:val="nil"/>
              <w:right w:val="single" w:sz="4" w:space="0" w:color="auto"/>
            </w:tcBorders>
            <w:shd w:val="clear" w:color="auto" w:fill="auto"/>
            <w:noWrap/>
            <w:vAlign w:val="bottom"/>
            <w:hideMark/>
          </w:tcPr>
          <w:p w14:paraId="4986392B"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14 518</w:t>
            </w:r>
          </w:p>
        </w:tc>
        <w:tc>
          <w:tcPr>
            <w:tcW w:w="495" w:type="pct"/>
            <w:tcBorders>
              <w:top w:val="nil"/>
              <w:left w:val="nil"/>
              <w:bottom w:val="nil"/>
              <w:right w:val="single" w:sz="4" w:space="0" w:color="auto"/>
            </w:tcBorders>
            <w:shd w:val="clear" w:color="auto" w:fill="auto"/>
            <w:noWrap/>
            <w:vAlign w:val="bottom"/>
            <w:hideMark/>
          </w:tcPr>
          <w:p w14:paraId="3D4BFF09"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3</w:t>
            </w:r>
          </w:p>
        </w:tc>
        <w:tc>
          <w:tcPr>
            <w:tcW w:w="490" w:type="pct"/>
            <w:tcBorders>
              <w:top w:val="nil"/>
              <w:left w:val="nil"/>
              <w:bottom w:val="nil"/>
              <w:right w:val="single" w:sz="4" w:space="0" w:color="auto"/>
            </w:tcBorders>
            <w:shd w:val="clear" w:color="auto" w:fill="auto"/>
            <w:noWrap/>
            <w:vAlign w:val="bottom"/>
            <w:hideMark/>
          </w:tcPr>
          <w:p w14:paraId="2783E2FF"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43</w:t>
            </w:r>
          </w:p>
        </w:tc>
        <w:tc>
          <w:tcPr>
            <w:tcW w:w="552" w:type="pct"/>
            <w:tcBorders>
              <w:top w:val="nil"/>
              <w:left w:val="single" w:sz="4" w:space="0" w:color="auto"/>
              <w:bottom w:val="nil"/>
              <w:right w:val="single" w:sz="4" w:space="0" w:color="auto"/>
            </w:tcBorders>
            <w:shd w:val="clear" w:color="auto" w:fill="auto"/>
            <w:noWrap/>
            <w:vAlign w:val="bottom"/>
            <w:hideMark/>
          </w:tcPr>
          <w:p w14:paraId="09A82B9A"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14 603</w:t>
            </w:r>
          </w:p>
        </w:tc>
        <w:tc>
          <w:tcPr>
            <w:tcW w:w="455" w:type="pct"/>
            <w:tcBorders>
              <w:top w:val="nil"/>
              <w:left w:val="nil"/>
              <w:bottom w:val="nil"/>
              <w:right w:val="single" w:sz="4" w:space="0" w:color="auto"/>
            </w:tcBorders>
            <w:shd w:val="clear" w:color="auto" w:fill="auto"/>
            <w:noWrap/>
            <w:vAlign w:val="bottom"/>
            <w:hideMark/>
          </w:tcPr>
          <w:p w14:paraId="139D7A0E"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1B602D07"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53AC1306" w14:textId="77777777" w:rsidR="00846FDC" w:rsidRPr="005269E6" w:rsidRDefault="00846FDC" w:rsidP="000E131C">
            <w:pPr>
              <w:tabs>
                <w:tab w:val="clear" w:pos="794"/>
              </w:tabs>
              <w:spacing w:before="20" w:after="20" w:line="180" w:lineRule="exact"/>
              <w:jc w:val="left"/>
              <w:rPr>
                <w:rFonts w:eastAsia="Times New Roman"/>
                <w:b/>
                <w:bCs/>
                <w:i/>
                <w:iCs/>
                <w:position w:val="2"/>
                <w:sz w:val="16"/>
                <w:szCs w:val="16"/>
                <w:lang w:val="en-GB" w:eastAsia="en-GB"/>
              </w:rPr>
            </w:pPr>
            <w:r w:rsidRPr="005269E6">
              <w:rPr>
                <w:rFonts w:eastAsia="Times New Roman"/>
                <w:b/>
                <w:bCs/>
                <w:i/>
                <w:iCs/>
                <w:position w:val="2"/>
                <w:sz w:val="16"/>
                <w:szCs w:val="16"/>
                <w:lang w:val="en-GB" w:eastAsia="en-GB"/>
              </w:rPr>
              <w:t>0</w:t>
            </w:r>
          </w:p>
        </w:tc>
        <w:tc>
          <w:tcPr>
            <w:tcW w:w="470" w:type="pct"/>
            <w:tcBorders>
              <w:top w:val="nil"/>
              <w:left w:val="nil"/>
              <w:bottom w:val="nil"/>
              <w:right w:val="single" w:sz="4" w:space="0" w:color="auto"/>
            </w:tcBorders>
            <w:shd w:val="clear" w:color="auto" w:fill="auto"/>
            <w:noWrap/>
            <w:vAlign w:val="bottom"/>
            <w:hideMark/>
          </w:tcPr>
          <w:p w14:paraId="0B62B0D6"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14 603</w:t>
            </w:r>
          </w:p>
        </w:tc>
      </w:tr>
      <w:tr w:rsidR="00846FDC" w:rsidRPr="005269E6" w14:paraId="4CECDF70"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3F5B907A"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استرداد التكاليف</w:t>
            </w:r>
          </w:p>
        </w:tc>
        <w:tc>
          <w:tcPr>
            <w:tcW w:w="458" w:type="pct"/>
            <w:tcBorders>
              <w:top w:val="nil"/>
              <w:left w:val="single" w:sz="4" w:space="0" w:color="auto"/>
              <w:bottom w:val="nil"/>
              <w:right w:val="single" w:sz="4" w:space="0" w:color="auto"/>
            </w:tcBorders>
            <w:shd w:val="clear" w:color="auto" w:fill="auto"/>
            <w:noWrap/>
            <w:vAlign w:val="bottom"/>
            <w:hideMark/>
          </w:tcPr>
          <w:p w14:paraId="36C27143"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 xml:space="preserve">3 </w:t>
            </w:r>
          </w:p>
        </w:tc>
        <w:tc>
          <w:tcPr>
            <w:tcW w:w="456" w:type="pct"/>
            <w:tcBorders>
              <w:top w:val="nil"/>
              <w:left w:val="nil"/>
              <w:bottom w:val="nil"/>
              <w:right w:val="single" w:sz="4" w:space="0" w:color="auto"/>
            </w:tcBorders>
            <w:shd w:val="clear" w:color="auto" w:fill="auto"/>
            <w:noWrap/>
            <w:vAlign w:val="bottom"/>
            <w:hideMark/>
          </w:tcPr>
          <w:p w14:paraId="5C7FE21E"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10 285</w:t>
            </w:r>
          </w:p>
        </w:tc>
        <w:tc>
          <w:tcPr>
            <w:tcW w:w="495" w:type="pct"/>
            <w:tcBorders>
              <w:top w:val="nil"/>
              <w:left w:val="nil"/>
              <w:bottom w:val="nil"/>
              <w:right w:val="single" w:sz="4" w:space="0" w:color="auto"/>
            </w:tcBorders>
            <w:shd w:val="clear" w:color="auto" w:fill="auto"/>
            <w:noWrap/>
            <w:vAlign w:val="bottom"/>
            <w:hideMark/>
          </w:tcPr>
          <w:p w14:paraId="31127D61"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313</w:t>
            </w:r>
          </w:p>
        </w:tc>
        <w:tc>
          <w:tcPr>
            <w:tcW w:w="490" w:type="pct"/>
            <w:tcBorders>
              <w:top w:val="nil"/>
              <w:left w:val="nil"/>
              <w:bottom w:val="nil"/>
              <w:right w:val="single" w:sz="4" w:space="0" w:color="auto"/>
            </w:tcBorders>
            <w:shd w:val="clear" w:color="auto" w:fill="auto"/>
            <w:noWrap/>
            <w:vAlign w:val="bottom"/>
            <w:hideMark/>
          </w:tcPr>
          <w:p w14:paraId="2D60BBF8"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w:t>
            </w:r>
          </w:p>
        </w:tc>
        <w:tc>
          <w:tcPr>
            <w:tcW w:w="552" w:type="pct"/>
            <w:tcBorders>
              <w:top w:val="nil"/>
              <w:left w:val="single" w:sz="4" w:space="0" w:color="auto"/>
              <w:bottom w:val="nil"/>
              <w:right w:val="single" w:sz="4" w:space="0" w:color="auto"/>
            </w:tcBorders>
            <w:shd w:val="clear" w:color="auto" w:fill="auto"/>
            <w:noWrap/>
            <w:vAlign w:val="bottom"/>
            <w:hideMark/>
          </w:tcPr>
          <w:p w14:paraId="7317E8BD"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10 602</w:t>
            </w:r>
          </w:p>
        </w:tc>
        <w:tc>
          <w:tcPr>
            <w:tcW w:w="455" w:type="pct"/>
            <w:tcBorders>
              <w:top w:val="nil"/>
              <w:left w:val="nil"/>
              <w:bottom w:val="nil"/>
              <w:right w:val="single" w:sz="4" w:space="0" w:color="auto"/>
            </w:tcBorders>
            <w:shd w:val="clear" w:color="auto" w:fill="auto"/>
            <w:noWrap/>
            <w:vAlign w:val="bottom"/>
            <w:hideMark/>
          </w:tcPr>
          <w:p w14:paraId="77489E15"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37E57C8C"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79E7D681" w14:textId="77777777" w:rsidR="00846FDC" w:rsidRPr="005269E6" w:rsidRDefault="00846FDC" w:rsidP="000E131C">
            <w:pPr>
              <w:tabs>
                <w:tab w:val="clear" w:pos="794"/>
              </w:tabs>
              <w:spacing w:before="20" w:after="20" w:line="180" w:lineRule="exact"/>
              <w:jc w:val="left"/>
              <w:rPr>
                <w:rFonts w:eastAsia="Times New Roman"/>
                <w:b/>
                <w:bCs/>
                <w:i/>
                <w:iCs/>
                <w:position w:val="2"/>
                <w:sz w:val="16"/>
                <w:szCs w:val="16"/>
                <w:lang w:val="en-GB" w:eastAsia="en-GB"/>
              </w:rPr>
            </w:pPr>
            <w:r w:rsidRPr="005269E6">
              <w:rPr>
                <w:rFonts w:eastAsia="Times New Roman"/>
                <w:b/>
                <w:bCs/>
                <w:i/>
                <w:iCs/>
                <w:position w:val="2"/>
                <w:sz w:val="16"/>
                <w:szCs w:val="16"/>
                <w:lang w:val="en-GB" w:eastAsia="en-GB"/>
              </w:rPr>
              <w:t>20</w:t>
            </w:r>
          </w:p>
        </w:tc>
        <w:tc>
          <w:tcPr>
            <w:tcW w:w="470" w:type="pct"/>
            <w:tcBorders>
              <w:top w:val="nil"/>
              <w:left w:val="nil"/>
              <w:bottom w:val="nil"/>
              <w:right w:val="single" w:sz="4" w:space="0" w:color="auto"/>
            </w:tcBorders>
            <w:shd w:val="clear" w:color="auto" w:fill="auto"/>
            <w:noWrap/>
            <w:vAlign w:val="bottom"/>
            <w:hideMark/>
          </w:tcPr>
          <w:p w14:paraId="4E1D1649"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10 622</w:t>
            </w:r>
          </w:p>
        </w:tc>
      </w:tr>
      <w:tr w:rsidR="00846FDC" w:rsidRPr="005269E6" w14:paraId="25FE8A00"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36449B43"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إيرادات أخرى</w:t>
            </w:r>
          </w:p>
        </w:tc>
        <w:tc>
          <w:tcPr>
            <w:tcW w:w="458" w:type="pct"/>
            <w:tcBorders>
              <w:top w:val="nil"/>
              <w:left w:val="single" w:sz="4" w:space="0" w:color="auto"/>
              <w:bottom w:val="nil"/>
              <w:right w:val="single" w:sz="4" w:space="0" w:color="auto"/>
            </w:tcBorders>
            <w:shd w:val="clear" w:color="auto" w:fill="auto"/>
            <w:noWrap/>
            <w:vAlign w:val="bottom"/>
            <w:hideMark/>
          </w:tcPr>
          <w:p w14:paraId="01052F70"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 xml:space="preserve">493 </w:t>
            </w:r>
          </w:p>
        </w:tc>
        <w:tc>
          <w:tcPr>
            <w:tcW w:w="456" w:type="pct"/>
            <w:tcBorders>
              <w:top w:val="nil"/>
              <w:left w:val="nil"/>
              <w:bottom w:val="nil"/>
              <w:right w:val="single" w:sz="4" w:space="0" w:color="auto"/>
            </w:tcBorders>
            <w:shd w:val="clear" w:color="auto" w:fill="auto"/>
            <w:noWrap/>
            <w:vAlign w:val="bottom"/>
            <w:hideMark/>
          </w:tcPr>
          <w:p w14:paraId="3EF983D9"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276</w:t>
            </w:r>
          </w:p>
        </w:tc>
        <w:tc>
          <w:tcPr>
            <w:tcW w:w="495" w:type="pct"/>
            <w:tcBorders>
              <w:top w:val="nil"/>
              <w:left w:val="nil"/>
              <w:bottom w:val="nil"/>
              <w:right w:val="single" w:sz="4" w:space="0" w:color="auto"/>
            </w:tcBorders>
            <w:shd w:val="clear" w:color="auto" w:fill="auto"/>
            <w:noWrap/>
            <w:vAlign w:val="bottom"/>
            <w:hideMark/>
          </w:tcPr>
          <w:p w14:paraId="05440377"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78</w:t>
            </w:r>
          </w:p>
        </w:tc>
        <w:tc>
          <w:tcPr>
            <w:tcW w:w="490" w:type="pct"/>
            <w:tcBorders>
              <w:top w:val="nil"/>
              <w:left w:val="nil"/>
              <w:bottom w:val="nil"/>
              <w:right w:val="single" w:sz="4" w:space="0" w:color="auto"/>
            </w:tcBorders>
            <w:shd w:val="clear" w:color="auto" w:fill="auto"/>
            <w:noWrap/>
            <w:vAlign w:val="bottom"/>
            <w:hideMark/>
          </w:tcPr>
          <w:p w14:paraId="1D458CD4"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171</w:t>
            </w:r>
          </w:p>
        </w:tc>
        <w:tc>
          <w:tcPr>
            <w:tcW w:w="552" w:type="pct"/>
            <w:tcBorders>
              <w:top w:val="nil"/>
              <w:left w:val="single" w:sz="4" w:space="0" w:color="auto"/>
              <w:bottom w:val="nil"/>
              <w:right w:val="single" w:sz="4" w:space="0" w:color="auto"/>
            </w:tcBorders>
            <w:shd w:val="clear" w:color="auto" w:fill="auto"/>
            <w:noWrap/>
            <w:vAlign w:val="bottom"/>
            <w:hideMark/>
          </w:tcPr>
          <w:p w14:paraId="10385505"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1 017</w:t>
            </w:r>
          </w:p>
        </w:tc>
        <w:tc>
          <w:tcPr>
            <w:tcW w:w="455" w:type="pct"/>
            <w:tcBorders>
              <w:top w:val="nil"/>
              <w:left w:val="nil"/>
              <w:bottom w:val="nil"/>
              <w:right w:val="single" w:sz="4" w:space="0" w:color="auto"/>
            </w:tcBorders>
            <w:shd w:val="clear" w:color="auto" w:fill="auto"/>
            <w:noWrap/>
            <w:vAlign w:val="bottom"/>
            <w:hideMark/>
          </w:tcPr>
          <w:p w14:paraId="5C22568A"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270</w:t>
            </w:r>
          </w:p>
        </w:tc>
        <w:tc>
          <w:tcPr>
            <w:tcW w:w="426" w:type="pct"/>
            <w:tcBorders>
              <w:top w:val="nil"/>
              <w:left w:val="nil"/>
              <w:bottom w:val="nil"/>
              <w:right w:val="single" w:sz="4" w:space="0" w:color="auto"/>
            </w:tcBorders>
            <w:shd w:val="clear" w:color="auto" w:fill="auto"/>
            <w:noWrap/>
            <w:vAlign w:val="bottom"/>
            <w:hideMark/>
          </w:tcPr>
          <w:p w14:paraId="2C5ECF0A"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18</w:t>
            </w:r>
          </w:p>
        </w:tc>
        <w:tc>
          <w:tcPr>
            <w:tcW w:w="426" w:type="pct"/>
            <w:tcBorders>
              <w:top w:val="nil"/>
              <w:left w:val="nil"/>
              <w:bottom w:val="nil"/>
              <w:right w:val="single" w:sz="4" w:space="0" w:color="auto"/>
            </w:tcBorders>
            <w:shd w:val="clear" w:color="auto" w:fill="auto"/>
            <w:noWrap/>
            <w:vAlign w:val="bottom"/>
            <w:hideMark/>
          </w:tcPr>
          <w:p w14:paraId="4C39837B" w14:textId="77777777" w:rsidR="00846FDC" w:rsidRPr="005269E6" w:rsidRDefault="00846FDC" w:rsidP="000E131C">
            <w:pPr>
              <w:tabs>
                <w:tab w:val="clear" w:pos="794"/>
              </w:tabs>
              <w:spacing w:before="20" w:after="20" w:line="180" w:lineRule="exact"/>
              <w:jc w:val="left"/>
              <w:rPr>
                <w:rFonts w:eastAsia="Times New Roman"/>
                <w:b/>
                <w:bCs/>
                <w:i/>
                <w:iCs/>
                <w:position w:val="2"/>
                <w:sz w:val="16"/>
                <w:szCs w:val="16"/>
                <w:lang w:val="en-GB" w:eastAsia="en-GB"/>
              </w:rPr>
            </w:pPr>
            <w:r w:rsidRPr="005269E6">
              <w:rPr>
                <w:rFonts w:eastAsia="Times New Roman"/>
                <w:b/>
                <w:bCs/>
                <w:i/>
                <w:iCs/>
                <w:position w:val="2"/>
                <w:sz w:val="16"/>
                <w:szCs w:val="16"/>
                <w:lang w:val="en-GB" w:eastAsia="en-GB"/>
              </w:rPr>
              <w:t>(58)</w:t>
            </w:r>
          </w:p>
        </w:tc>
        <w:tc>
          <w:tcPr>
            <w:tcW w:w="470" w:type="pct"/>
            <w:tcBorders>
              <w:top w:val="nil"/>
              <w:left w:val="nil"/>
              <w:bottom w:val="nil"/>
              <w:right w:val="single" w:sz="4" w:space="0" w:color="auto"/>
            </w:tcBorders>
            <w:shd w:val="clear" w:color="auto" w:fill="auto"/>
            <w:noWrap/>
            <w:vAlign w:val="bottom"/>
            <w:hideMark/>
          </w:tcPr>
          <w:p w14:paraId="5575DF26"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1 247</w:t>
            </w:r>
          </w:p>
        </w:tc>
      </w:tr>
      <w:tr w:rsidR="00846FDC" w:rsidRPr="005269E6" w14:paraId="66633EE2"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3100E9A2"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إيرادات مالية</w:t>
            </w:r>
          </w:p>
        </w:tc>
        <w:tc>
          <w:tcPr>
            <w:tcW w:w="458" w:type="pct"/>
            <w:tcBorders>
              <w:top w:val="nil"/>
              <w:left w:val="single" w:sz="4" w:space="0" w:color="auto"/>
              <w:bottom w:val="nil"/>
              <w:right w:val="single" w:sz="4" w:space="0" w:color="auto"/>
            </w:tcBorders>
            <w:shd w:val="clear" w:color="auto" w:fill="auto"/>
            <w:noWrap/>
            <w:vAlign w:val="bottom"/>
            <w:hideMark/>
          </w:tcPr>
          <w:p w14:paraId="0B0FB835"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 xml:space="preserve">198 </w:t>
            </w:r>
          </w:p>
        </w:tc>
        <w:tc>
          <w:tcPr>
            <w:tcW w:w="456" w:type="pct"/>
            <w:tcBorders>
              <w:top w:val="nil"/>
              <w:left w:val="nil"/>
              <w:bottom w:val="nil"/>
              <w:right w:val="single" w:sz="4" w:space="0" w:color="auto"/>
            </w:tcBorders>
            <w:shd w:val="clear" w:color="auto" w:fill="auto"/>
            <w:noWrap/>
            <w:vAlign w:val="bottom"/>
            <w:hideMark/>
          </w:tcPr>
          <w:p w14:paraId="751A8040"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73</w:t>
            </w:r>
          </w:p>
        </w:tc>
        <w:tc>
          <w:tcPr>
            <w:tcW w:w="495" w:type="pct"/>
            <w:tcBorders>
              <w:top w:val="nil"/>
              <w:left w:val="nil"/>
              <w:bottom w:val="nil"/>
              <w:right w:val="single" w:sz="4" w:space="0" w:color="auto"/>
            </w:tcBorders>
            <w:shd w:val="clear" w:color="auto" w:fill="auto"/>
            <w:noWrap/>
            <w:vAlign w:val="bottom"/>
            <w:hideMark/>
          </w:tcPr>
          <w:p w14:paraId="14B6FD88"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34</w:t>
            </w:r>
          </w:p>
        </w:tc>
        <w:tc>
          <w:tcPr>
            <w:tcW w:w="490" w:type="pct"/>
            <w:tcBorders>
              <w:top w:val="nil"/>
              <w:left w:val="nil"/>
              <w:bottom w:val="nil"/>
              <w:right w:val="single" w:sz="4" w:space="0" w:color="auto"/>
            </w:tcBorders>
            <w:shd w:val="clear" w:color="auto" w:fill="auto"/>
            <w:noWrap/>
            <w:vAlign w:val="bottom"/>
            <w:hideMark/>
          </w:tcPr>
          <w:p w14:paraId="4B28FBA2"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74</w:t>
            </w:r>
          </w:p>
        </w:tc>
        <w:tc>
          <w:tcPr>
            <w:tcW w:w="552" w:type="pct"/>
            <w:tcBorders>
              <w:top w:val="nil"/>
              <w:left w:val="single" w:sz="4" w:space="0" w:color="auto"/>
              <w:bottom w:val="nil"/>
              <w:right w:val="single" w:sz="4" w:space="0" w:color="auto"/>
            </w:tcBorders>
            <w:shd w:val="clear" w:color="auto" w:fill="auto"/>
            <w:noWrap/>
            <w:vAlign w:val="bottom"/>
            <w:hideMark/>
          </w:tcPr>
          <w:p w14:paraId="7E4A5CA6"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379</w:t>
            </w:r>
          </w:p>
        </w:tc>
        <w:tc>
          <w:tcPr>
            <w:tcW w:w="455" w:type="pct"/>
            <w:tcBorders>
              <w:top w:val="nil"/>
              <w:left w:val="nil"/>
              <w:bottom w:val="nil"/>
              <w:right w:val="single" w:sz="4" w:space="0" w:color="auto"/>
            </w:tcBorders>
            <w:shd w:val="clear" w:color="auto" w:fill="auto"/>
            <w:noWrap/>
            <w:vAlign w:val="bottom"/>
            <w:hideMark/>
          </w:tcPr>
          <w:p w14:paraId="05D1549A"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194</w:t>
            </w:r>
          </w:p>
        </w:tc>
        <w:tc>
          <w:tcPr>
            <w:tcW w:w="426" w:type="pct"/>
            <w:tcBorders>
              <w:top w:val="nil"/>
              <w:left w:val="nil"/>
              <w:bottom w:val="nil"/>
              <w:right w:val="single" w:sz="4" w:space="0" w:color="auto"/>
            </w:tcBorders>
            <w:shd w:val="clear" w:color="auto" w:fill="auto"/>
            <w:noWrap/>
            <w:vAlign w:val="bottom"/>
            <w:hideMark/>
          </w:tcPr>
          <w:p w14:paraId="4AA75B01"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86</w:t>
            </w:r>
          </w:p>
        </w:tc>
        <w:tc>
          <w:tcPr>
            <w:tcW w:w="426" w:type="pct"/>
            <w:tcBorders>
              <w:top w:val="nil"/>
              <w:left w:val="nil"/>
              <w:bottom w:val="nil"/>
              <w:right w:val="single" w:sz="4" w:space="0" w:color="auto"/>
            </w:tcBorders>
            <w:shd w:val="clear" w:color="auto" w:fill="auto"/>
            <w:noWrap/>
            <w:vAlign w:val="bottom"/>
            <w:hideMark/>
          </w:tcPr>
          <w:p w14:paraId="115B2502" w14:textId="77777777" w:rsidR="00846FDC" w:rsidRPr="005269E6" w:rsidRDefault="00846FDC" w:rsidP="000E131C">
            <w:pPr>
              <w:tabs>
                <w:tab w:val="clear" w:pos="794"/>
              </w:tabs>
              <w:spacing w:before="20" w:after="20" w:line="180" w:lineRule="exact"/>
              <w:jc w:val="left"/>
              <w:rPr>
                <w:rFonts w:eastAsia="Times New Roman"/>
                <w:b/>
                <w:bCs/>
                <w:i/>
                <w:iCs/>
                <w:position w:val="2"/>
                <w:sz w:val="16"/>
                <w:szCs w:val="16"/>
                <w:lang w:val="en-GB" w:eastAsia="en-GB"/>
              </w:rPr>
            </w:pPr>
            <w:r w:rsidRPr="005269E6">
              <w:rPr>
                <w:rFonts w:eastAsia="Times New Roman"/>
                <w:b/>
                <w:bCs/>
                <w:i/>
                <w:iCs/>
                <w:position w:val="2"/>
                <w:sz w:val="16"/>
                <w:szCs w:val="16"/>
                <w:lang w:val="en-GB" w:eastAsia="en-GB"/>
              </w:rPr>
              <w:t>3 295</w:t>
            </w:r>
          </w:p>
        </w:tc>
        <w:tc>
          <w:tcPr>
            <w:tcW w:w="470" w:type="pct"/>
            <w:tcBorders>
              <w:top w:val="nil"/>
              <w:left w:val="nil"/>
              <w:bottom w:val="nil"/>
              <w:right w:val="single" w:sz="4" w:space="0" w:color="auto"/>
            </w:tcBorders>
            <w:shd w:val="clear" w:color="auto" w:fill="auto"/>
            <w:noWrap/>
            <w:vAlign w:val="bottom"/>
            <w:hideMark/>
          </w:tcPr>
          <w:p w14:paraId="70A789ED"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3 955</w:t>
            </w:r>
          </w:p>
        </w:tc>
      </w:tr>
      <w:tr w:rsidR="00846FDC" w:rsidRPr="005269E6" w14:paraId="3238BBA8" w14:textId="77777777" w:rsidTr="00666023">
        <w:trPr>
          <w:trHeight w:hRule="exact" w:val="74"/>
          <w:jc w:val="center"/>
        </w:trPr>
        <w:tc>
          <w:tcPr>
            <w:tcW w:w="770" w:type="pct"/>
            <w:tcBorders>
              <w:top w:val="nil"/>
              <w:left w:val="single" w:sz="4" w:space="0" w:color="auto"/>
              <w:bottom w:val="nil"/>
              <w:right w:val="nil"/>
            </w:tcBorders>
            <w:shd w:val="clear" w:color="auto" w:fill="auto"/>
            <w:hideMark/>
          </w:tcPr>
          <w:p w14:paraId="087052A0"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 </w:t>
            </w:r>
          </w:p>
        </w:tc>
        <w:tc>
          <w:tcPr>
            <w:tcW w:w="458" w:type="pct"/>
            <w:tcBorders>
              <w:top w:val="nil"/>
              <w:left w:val="single" w:sz="4" w:space="0" w:color="auto"/>
              <w:bottom w:val="nil"/>
              <w:right w:val="single" w:sz="4" w:space="0" w:color="auto"/>
            </w:tcBorders>
            <w:shd w:val="clear" w:color="auto" w:fill="auto"/>
            <w:noWrap/>
            <w:vAlign w:val="bottom"/>
            <w:hideMark/>
          </w:tcPr>
          <w:p w14:paraId="581E7487"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 </w:t>
            </w:r>
          </w:p>
        </w:tc>
        <w:tc>
          <w:tcPr>
            <w:tcW w:w="456" w:type="pct"/>
            <w:tcBorders>
              <w:top w:val="nil"/>
              <w:left w:val="nil"/>
              <w:bottom w:val="nil"/>
              <w:right w:val="single" w:sz="4" w:space="0" w:color="auto"/>
            </w:tcBorders>
            <w:shd w:val="clear" w:color="auto" w:fill="auto"/>
            <w:noWrap/>
            <w:vAlign w:val="bottom"/>
            <w:hideMark/>
          </w:tcPr>
          <w:p w14:paraId="236945EC"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bottom"/>
            <w:hideMark/>
          </w:tcPr>
          <w:p w14:paraId="18AC3146"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bottom"/>
            <w:hideMark/>
          </w:tcPr>
          <w:p w14:paraId="20EB094C"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bottom"/>
            <w:hideMark/>
          </w:tcPr>
          <w:p w14:paraId="73D06B4B"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bottom"/>
            <w:hideMark/>
          </w:tcPr>
          <w:p w14:paraId="1DB10F6A"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bottom"/>
            <w:hideMark/>
          </w:tcPr>
          <w:p w14:paraId="2CA91007"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bottom"/>
            <w:hideMark/>
          </w:tcPr>
          <w:p w14:paraId="6CD8B10F"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bottom"/>
            <w:hideMark/>
          </w:tcPr>
          <w:p w14:paraId="500D8874"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p>
        </w:tc>
      </w:tr>
      <w:tr w:rsidR="00846FDC" w:rsidRPr="005269E6" w14:paraId="08200623" w14:textId="77777777" w:rsidTr="00666023">
        <w:trPr>
          <w:trHeight w:val="255"/>
          <w:jc w:val="center"/>
        </w:trPr>
        <w:tc>
          <w:tcPr>
            <w:tcW w:w="770" w:type="pct"/>
            <w:tcBorders>
              <w:top w:val="single" w:sz="4" w:space="0" w:color="auto"/>
              <w:left w:val="single" w:sz="4" w:space="0" w:color="auto"/>
              <w:bottom w:val="single" w:sz="4" w:space="0" w:color="auto"/>
              <w:right w:val="nil"/>
            </w:tcBorders>
            <w:shd w:val="clear" w:color="auto" w:fill="auto"/>
            <w:noWrap/>
            <w:vAlign w:val="center"/>
            <w:hideMark/>
          </w:tcPr>
          <w:p w14:paraId="4583FCFD" w14:textId="77777777" w:rsidR="00846FDC" w:rsidRPr="005269E6" w:rsidRDefault="00846FDC" w:rsidP="00666023">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position w:val="2"/>
                <w:sz w:val="16"/>
                <w:szCs w:val="16"/>
                <w:rtl/>
                <w:lang w:val="fr-FR" w:eastAsia="en-US" w:bidi="ar-EG"/>
              </w:rPr>
              <w:t>مجموع الإيرادات</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D5165"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59 256</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0F788794"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53 114</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1DF60439"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18 114</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020CAED1"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23 351</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B2C91"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153 836</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4B0989B3"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270</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47F46C65"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18</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06EF4CC4"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17 927</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2560A829"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172 051</w:t>
            </w:r>
          </w:p>
        </w:tc>
      </w:tr>
      <w:tr w:rsidR="00846FDC" w:rsidRPr="005269E6" w14:paraId="45E89D8E" w14:textId="77777777" w:rsidTr="00666023">
        <w:trPr>
          <w:trHeight w:hRule="exact" w:val="76"/>
          <w:jc w:val="center"/>
        </w:trPr>
        <w:tc>
          <w:tcPr>
            <w:tcW w:w="770" w:type="pct"/>
            <w:tcBorders>
              <w:top w:val="nil"/>
              <w:left w:val="single" w:sz="4" w:space="0" w:color="auto"/>
              <w:bottom w:val="nil"/>
              <w:right w:val="nil"/>
            </w:tcBorders>
            <w:shd w:val="clear" w:color="auto" w:fill="auto"/>
            <w:hideMark/>
          </w:tcPr>
          <w:p w14:paraId="4F982D01" w14:textId="77777777" w:rsidR="00846FDC" w:rsidRPr="005269E6" w:rsidRDefault="00846FDC" w:rsidP="00666023">
            <w:pPr>
              <w:tabs>
                <w:tab w:val="clear" w:pos="794"/>
              </w:tabs>
              <w:spacing w:before="20" w:after="20" w:line="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 </w:t>
            </w:r>
          </w:p>
        </w:tc>
        <w:tc>
          <w:tcPr>
            <w:tcW w:w="458" w:type="pct"/>
            <w:tcBorders>
              <w:top w:val="nil"/>
              <w:left w:val="single" w:sz="4" w:space="0" w:color="auto"/>
              <w:bottom w:val="nil"/>
              <w:right w:val="single" w:sz="4" w:space="0" w:color="auto"/>
            </w:tcBorders>
            <w:shd w:val="clear" w:color="auto" w:fill="auto"/>
            <w:noWrap/>
            <w:vAlign w:val="bottom"/>
            <w:hideMark/>
          </w:tcPr>
          <w:p w14:paraId="1C03535C" w14:textId="77777777" w:rsidR="00846FDC" w:rsidRPr="005269E6" w:rsidRDefault="00846FDC" w:rsidP="000E131C">
            <w:pPr>
              <w:tabs>
                <w:tab w:val="clear" w:pos="794"/>
              </w:tabs>
              <w:spacing w:before="20" w:after="20" w:line="40" w:lineRule="exact"/>
              <w:jc w:val="left"/>
              <w:rPr>
                <w:rFonts w:eastAsia="Times New Roman"/>
                <w:color w:val="000000"/>
                <w:position w:val="2"/>
                <w:sz w:val="16"/>
                <w:szCs w:val="16"/>
                <w:lang w:val="en-GB" w:eastAsia="en-GB"/>
              </w:rPr>
            </w:pPr>
          </w:p>
        </w:tc>
        <w:tc>
          <w:tcPr>
            <w:tcW w:w="456" w:type="pct"/>
            <w:tcBorders>
              <w:top w:val="nil"/>
              <w:left w:val="nil"/>
              <w:bottom w:val="nil"/>
              <w:right w:val="single" w:sz="4" w:space="0" w:color="auto"/>
            </w:tcBorders>
            <w:shd w:val="clear" w:color="auto" w:fill="auto"/>
            <w:noWrap/>
            <w:vAlign w:val="bottom"/>
            <w:hideMark/>
          </w:tcPr>
          <w:p w14:paraId="46A1BBA6" w14:textId="77777777" w:rsidR="00846FDC" w:rsidRPr="005269E6" w:rsidRDefault="00846FDC" w:rsidP="000E131C">
            <w:pPr>
              <w:tabs>
                <w:tab w:val="clear" w:pos="794"/>
              </w:tabs>
              <w:spacing w:before="20" w:after="20" w:line="40" w:lineRule="exact"/>
              <w:jc w:val="left"/>
              <w:rPr>
                <w:rFonts w:eastAsia="Times New Roman"/>
                <w:color w:val="000000"/>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bottom"/>
            <w:hideMark/>
          </w:tcPr>
          <w:p w14:paraId="45A8B73B" w14:textId="77777777" w:rsidR="00846FDC" w:rsidRPr="005269E6" w:rsidRDefault="00846FDC" w:rsidP="000E131C">
            <w:pPr>
              <w:tabs>
                <w:tab w:val="clear" w:pos="794"/>
              </w:tabs>
              <w:spacing w:before="20" w:after="20" w:line="40" w:lineRule="exact"/>
              <w:jc w:val="left"/>
              <w:rPr>
                <w:rFonts w:eastAsia="Times New Roman"/>
                <w:color w:val="000000"/>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bottom"/>
            <w:hideMark/>
          </w:tcPr>
          <w:p w14:paraId="748A29CC" w14:textId="77777777" w:rsidR="00846FDC" w:rsidRPr="005269E6" w:rsidRDefault="00846FDC" w:rsidP="000E131C">
            <w:pPr>
              <w:tabs>
                <w:tab w:val="clear" w:pos="794"/>
              </w:tabs>
              <w:spacing w:before="20" w:after="20" w:line="40" w:lineRule="exact"/>
              <w:jc w:val="left"/>
              <w:rPr>
                <w:rFonts w:eastAsia="Times New Roman"/>
                <w:color w:val="000000"/>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bottom"/>
            <w:hideMark/>
          </w:tcPr>
          <w:p w14:paraId="73726F5E" w14:textId="77777777" w:rsidR="00846FDC" w:rsidRPr="005269E6" w:rsidRDefault="00846FDC" w:rsidP="000E131C">
            <w:pPr>
              <w:tabs>
                <w:tab w:val="clear" w:pos="794"/>
              </w:tabs>
              <w:spacing w:before="20" w:after="20" w:line="40" w:lineRule="exact"/>
              <w:jc w:val="left"/>
              <w:rPr>
                <w:rFonts w:eastAsia="Times New Roman"/>
                <w:color w:val="000000"/>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bottom"/>
            <w:hideMark/>
          </w:tcPr>
          <w:p w14:paraId="08275786" w14:textId="77777777" w:rsidR="00846FDC" w:rsidRPr="005269E6" w:rsidRDefault="00846FDC" w:rsidP="000E131C">
            <w:pPr>
              <w:tabs>
                <w:tab w:val="clear" w:pos="794"/>
              </w:tabs>
              <w:spacing w:before="20" w:after="20" w:line="4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bottom"/>
            <w:hideMark/>
          </w:tcPr>
          <w:p w14:paraId="68555238" w14:textId="77777777" w:rsidR="00846FDC" w:rsidRPr="005269E6" w:rsidRDefault="00846FDC" w:rsidP="000E131C">
            <w:pPr>
              <w:tabs>
                <w:tab w:val="clear" w:pos="794"/>
              </w:tabs>
              <w:spacing w:before="20" w:after="20" w:line="4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bottom"/>
            <w:hideMark/>
          </w:tcPr>
          <w:p w14:paraId="2C40246F" w14:textId="77777777" w:rsidR="00846FDC" w:rsidRPr="005269E6" w:rsidRDefault="00846FDC" w:rsidP="000E131C">
            <w:pPr>
              <w:tabs>
                <w:tab w:val="clear" w:pos="794"/>
              </w:tabs>
              <w:spacing w:before="20" w:after="20" w:line="40" w:lineRule="exact"/>
              <w:jc w:val="left"/>
              <w:rPr>
                <w:rFonts w:eastAsia="Times New Roman"/>
                <w:color w:val="000000"/>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bottom"/>
            <w:hideMark/>
          </w:tcPr>
          <w:p w14:paraId="33C273FE" w14:textId="77777777" w:rsidR="00846FDC" w:rsidRPr="005269E6" w:rsidRDefault="00846FDC" w:rsidP="000E131C">
            <w:pPr>
              <w:tabs>
                <w:tab w:val="clear" w:pos="794"/>
              </w:tabs>
              <w:spacing w:before="20" w:after="20" w:line="40" w:lineRule="exact"/>
              <w:jc w:val="left"/>
              <w:rPr>
                <w:rFonts w:eastAsia="Times New Roman"/>
                <w:color w:val="000000"/>
                <w:position w:val="2"/>
                <w:sz w:val="16"/>
                <w:szCs w:val="16"/>
                <w:lang w:val="en-GB" w:eastAsia="en-GB"/>
              </w:rPr>
            </w:pPr>
          </w:p>
        </w:tc>
      </w:tr>
      <w:tr w:rsidR="00846FDC" w:rsidRPr="005269E6" w14:paraId="074DA8B7"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07F138F7" w14:textId="77777777" w:rsidR="00846FDC" w:rsidRPr="005269E6" w:rsidRDefault="00846FDC" w:rsidP="00666023">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position w:val="2"/>
                <w:sz w:val="16"/>
                <w:szCs w:val="16"/>
                <w:rtl/>
                <w:lang w:val="fr-FR" w:eastAsia="en-US" w:bidi="ar-EG"/>
              </w:rPr>
              <w:t>النفقات</w:t>
            </w:r>
          </w:p>
        </w:tc>
        <w:tc>
          <w:tcPr>
            <w:tcW w:w="458" w:type="pct"/>
            <w:tcBorders>
              <w:top w:val="nil"/>
              <w:left w:val="single" w:sz="4" w:space="0" w:color="auto"/>
              <w:bottom w:val="nil"/>
              <w:right w:val="single" w:sz="4" w:space="0" w:color="auto"/>
            </w:tcBorders>
            <w:shd w:val="clear" w:color="auto" w:fill="auto"/>
            <w:noWrap/>
            <w:vAlign w:val="bottom"/>
            <w:hideMark/>
          </w:tcPr>
          <w:p w14:paraId="4C23102E"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p>
        </w:tc>
        <w:tc>
          <w:tcPr>
            <w:tcW w:w="456" w:type="pct"/>
            <w:tcBorders>
              <w:top w:val="nil"/>
              <w:left w:val="nil"/>
              <w:bottom w:val="nil"/>
              <w:right w:val="single" w:sz="4" w:space="0" w:color="auto"/>
            </w:tcBorders>
            <w:shd w:val="clear" w:color="auto" w:fill="auto"/>
            <w:noWrap/>
            <w:vAlign w:val="bottom"/>
            <w:hideMark/>
          </w:tcPr>
          <w:p w14:paraId="7830943E" w14:textId="49091393"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bottom"/>
            <w:hideMark/>
          </w:tcPr>
          <w:p w14:paraId="7AB3FF10"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bottom"/>
            <w:hideMark/>
          </w:tcPr>
          <w:p w14:paraId="664D026B"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bottom"/>
            <w:hideMark/>
          </w:tcPr>
          <w:p w14:paraId="3362BB95"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 xml:space="preserve"> </w:t>
            </w:r>
          </w:p>
        </w:tc>
        <w:tc>
          <w:tcPr>
            <w:tcW w:w="455" w:type="pct"/>
            <w:tcBorders>
              <w:top w:val="nil"/>
              <w:left w:val="nil"/>
              <w:bottom w:val="nil"/>
              <w:right w:val="single" w:sz="4" w:space="0" w:color="auto"/>
            </w:tcBorders>
            <w:shd w:val="clear" w:color="auto" w:fill="auto"/>
            <w:noWrap/>
            <w:vAlign w:val="bottom"/>
            <w:hideMark/>
          </w:tcPr>
          <w:p w14:paraId="6DC30E81"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bottom"/>
            <w:hideMark/>
          </w:tcPr>
          <w:p w14:paraId="6F1060B9"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bottom"/>
            <w:hideMark/>
          </w:tcPr>
          <w:p w14:paraId="625B8EC5"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bottom"/>
            <w:hideMark/>
          </w:tcPr>
          <w:p w14:paraId="6D80F541" w14:textId="77777777" w:rsidR="00846FDC" w:rsidRPr="005269E6" w:rsidRDefault="00846FDC" w:rsidP="000E131C">
            <w:pPr>
              <w:tabs>
                <w:tab w:val="clear" w:pos="794"/>
              </w:tabs>
              <w:spacing w:before="20" w:after="20" w:line="180" w:lineRule="exact"/>
              <w:jc w:val="left"/>
              <w:rPr>
                <w:rFonts w:eastAsia="Times New Roman"/>
                <w:position w:val="2"/>
                <w:sz w:val="16"/>
                <w:szCs w:val="16"/>
                <w:lang w:val="en-GB" w:eastAsia="en-GB"/>
              </w:rPr>
            </w:pPr>
          </w:p>
        </w:tc>
      </w:tr>
      <w:tr w:rsidR="00846FDC" w:rsidRPr="005269E6" w14:paraId="66F3661D"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494E2FC0"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تكاليف الموظفين</w:t>
            </w:r>
          </w:p>
        </w:tc>
        <w:tc>
          <w:tcPr>
            <w:tcW w:w="458" w:type="pct"/>
            <w:tcBorders>
              <w:top w:val="nil"/>
              <w:left w:val="single" w:sz="4" w:space="0" w:color="auto"/>
              <w:bottom w:val="nil"/>
              <w:right w:val="single" w:sz="4" w:space="0" w:color="auto"/>
            </w:tcBorders>
            <w:shd w:val="clear" w:color="auto" w:fill="auto"/>
            <w:noWrap/>
            <w:vAlign w:val="bottom"/>
            <w:hideMark/>
          </w:tcPr>
          <w:p w14:paraId="578AA63A"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73 542</w:t>
            </w:r>
          </w:p>
        </w:tc>
        <w:tc>
          <w:tcPr>
            <w:tcW w:w="456" w:type="pct"/>
            <w:tcBorders>
              <w:top w:val="nil"/>
              <w:left w:val="nil"/>
              <w:bottom w:val="nil"/>
              <w:right w:val="single" w:sz="4" w:space="0" w:color="auto"/>
            </w:tcBorders>
            <w:shd w:val="clear" w:color="auto" w:fill="auto"/>
            <w:noWrap/>
            <w:vAlign w:val="bottom"/>
            <w:hideMark/>
          </w:tcPr>
          <w:p w14:paraId="7D17D1DD"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30 926</w:t>
            </w:r>
          </w:p>
        </w:tc>
        <w:tc>
          <w:tcPr>
            <w:tcW w:w="495" w:type="pct"/>
            <w:tcBorders>
              <w:top w:val="nil"/>
              <w:left w:val="nil"/>
              <w:bottom w:val="nil"/>
              <w:right w:val="single" w:sz="4" w:space="0" w:color="auto"/>
            </w:tcBorders>
            <w:shd w:val="clear" w:color="auto" w:fill="auto"/>
            <w:noWrap/>
            <w:vAlign w:val="bottom"/>
            <w:hideMark/>
          </w:tcPr>
          <w:p w14:paraId="15DB007A"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13 566</w:t>
            </w:r>
          </w:p>
        </w:tc>
        <w:tc>
          <w:tcPr>
            <w:tcW w:w="490" w:type="pct"/>
            <w:tcBorders>
              <w:top w:val="nil"/>
              <w:left w:val="nil"/>
              <w:bottom w:val="nil"/>
              <w:right w:val="single" w:sz="4" w:space="0" w:color="auto"/>
            </w:tcBorders>
            <w:shd w:val="clear" w:color="auto" w:fill="auto"/>
            <w:noWrap/>
            <w:vAlign w:val="bottom"/>
            <w:hideMark/>
          </w:tcPr>
          <w:p w14:paraId="0DADFF19"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27 733</w:t>
            </w:r>
          </w:p>
        </w:tc>
        <w:tc>
          <w:tcPr>
            <w:tcW w:w="552" w:type="pct"/>
            <w:tcBorders>
              <w:top w:val="nil"/>
              <w:left w:val="nil"/>
              <w:bottom w:val="nil"/>
              <w:right w:val="single" w:sz="4" w:space="0" w:color="auto"/>
            </w:tcBorders>
            <w:shd w:val="clear" w:color="auto" w:fill="auto"/>
            <w:noWrap/>
            <w:vAlign w:val="bottom"/>
            <w:hideMark/>
          </w:tcPr>
          <w:p w14:paraId="67200D17"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145 766</w:t>
            </w:r>
          </w:p>
        </w:tc>
        <w:tc>
          <w:tcPr>
            <w:tcW w:w="455" w:type="pct"/>
            <w:tcBorders>
              <w:top w:val="nil"/>
              <w:left w:val="nil"/>
              <w:bottom w:val="nil"/>
              <w:right w:val="single" w:sz="4" w:space="0" w:color="auto"/>
            </w:tcBorders>
            <w:shd w:val="clear" w:color="auto" w:fill="auto"/>
            <w:noWrap/>
            <w:vAlign w:val="bottom"/>
            <w:hideMark/>
          </w:tcPr>
          <w:p w14:paraId="53A30F3C"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318C4F82"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4</w:t>
            </w:r>
          </w:p>
        </w:tc>
        <w:tc>
          <w:tcPr>
            <w:tcW w:w="426" w:type="pct"/>
            <w:tcBorders>
              <w:top w:val="nil"/>
              <w:left w:val="nil"/>
              <w:bottom w:val="nil"/>
              <w:right w:val="single" w:sz="4" w:space="0" w:color="auto"/>
            </w:tcBorders>
            <w:shd w:val="clear" w:color="auto" w:fill="auto"/>
            <w:noWrap/>
            <w:vAlign w:val="bottom"/>
            <w:hideMark/>
          </w:tcPr>
          <w:p w14:paraId="6ED2F87A" w14:textId="77777777" w:rsidR="00846FDC" w:rsidRPr="005269E6" w:rsidRDefault="00846FDC" w:rsidP="000E131C">
            <w:pPr>
              <w:tabs>
                <w:tab w:val="clear" w:pos="794"/>
              </w:tabs>
              <w:spacing w:before="20" w:after="20" w:line="18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7 740</w:t>
            </w:r>
          </w:p>
        </w:tc>
        <w:tc>
          <w:tcPr>
            <w:tcW w:w="470" w:type="pct"/>
            <w:tcBorders>
              <w:top w:val="nil"/>
              <w:left w:val="nil"/>
              <w:bottom w:val="nil"/>
              <w:right w:val="single" w:sz="4" w:space="0" w:color="auto"/>
            </w:tcBorders>
            <w:shd w:val="clear" w:color="auto" w:fill="auto"/>
            <w:noWrap/>
            <w:vAlign w:val="bottom"/>
            <w:hideMark/>
          </w:tcPr>
          <w:p w14:paraId="2E9360C0"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153 510</w:t>
            </w:r>
          </w:p>
        </w:tc>
      </w:tr>
      <w:tr w:rsidR="00846FDC" w:rsidRPr="005269E6" w14:paraId="40FBA954"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22A14180"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نفقات المهام الرسمية</w:t>
            </w:r>
          </w:p>
        </w:tc>
        <w:tc>
          <w:tcPr>
            <w:tcW w:w="458" w:type="pct"/>
            <w:tcBorders>
              <w:top w:val="nil"/>
              <w:left w:val="single" w:sz="4" w:space="0" w:color="auto"/>
              <w:bottom w:val="nil"/>
              <w:right w:val="single" w:sz="4" w:space="0" w:color="auto"/>
            </w:tcBorders>
            <w:shd w:val="clear" w:color="auto" w:fill="auto"/>
            <w:noWrap/>
            <w:vAlign w:val="bottom"/>
            <w:hideMark/>
          </w:tcPr>
          <w:p w14:paraId="1F5A929C"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1 502</w:t>
            </w:r>
          </w:p>
        </w:tc>
        <w:tc>
          <w:tcPr>
            <w:tcW w:w="456" w:type="pct"/>
            <w:tcBorders>
              <w:top w:val="nil"/>
              <w:left w:val="nil"/>
              <w:bottom w:val="nil"/>
              <w:right w:val="single" w:sz="4" w:space="0" w:color="auto"/>
            </w:tcBorders>
            <w:shd w:val="clear" w:color="auto" w:fill="auto"/>
            <w:noWrap/>
            <w:vAlign w:val="bottom"/>
            <w:hideMark/>
          </w:tcPr>
          <w:p w14:paraId="70B72C9B"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498</w:t>
            </w:r>
          </w:p>
        </w:tc>
        <w:tc>
          <w:tcPr>
            <w:tcW w:w="495" w:type="pct"/>
            <w:tcBorders>
              <w:top w:val="nil"/>
              <w:left w:val="nil"/>
              <w:bottom w:val="nil"/>
              <w:right w:val="single" w:sz="4" w:space="0" w:color="auto"/>
            </w:tcBorders>
            <w:shd w:val="clear" w:color="auto" w:fill="auto"/>
            <w:noWrap/>
            <w:vAlign w:val="bottom"/>
            <w:hideMark/>
          </w:tcPr>
          <w:p w14:paraId="3E373084"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323</w:t>
            </w:r>
          </w:p>
        </w:tc>
        <w:tc>
          <w:tcPr>
            <w:tcW w:w="490" w:type="pct"/>
            <w:tcBorders>
              <w:top w:val="nil"/>
              <w:left w:val="nil"/>
              <w:bottom w:val="nil"/>
              <w:right w:val="single" w:sz="4" w:space="0" w:color="auto"/>
            </w:tcBorders>
            <w:shd w:val="clear" w:color="auto" w:fill="auto"/>
            <w:noWrap/>
            <w:vAlign w:val="bottom"/>
            <w:hideMark/>
          </w:tcPr>
          <w:p w14:paraId="664D1BAE"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1 671</w:t>
            </w:r>
          </w:p>
        </w:tc>
        <w:tc>
          <w:tcPr>
            <w:tcW w:w="552" w:type="pct"/>
            <w:tcBorders>
              <w:top w:val="nil"/>
              <w:left w:val="single" w:sz="4" w:space="0" w:color="auto"/>
              <w:bottom w:val="nil"/>
              <w:right w:val="single" w:sz="4" w:space="0" w:color="auto"/>
            </w:tcBorders>
            <w:shd w:val="clear" w:color="auto" w:fill="auto"/>
            <w:noWrap/>
            <w:vAlign w:val="bottom"/>
            <w:hideMark/>
          </w:tcPr>
          <w:p w14:paraId="372BD959"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3 994</w:t>
            </w:r>
          </w:p>
        </w:tc>
        <w:tc>
          <w:tcPr>
            <w:tcW w:w="455" w:type="pct"/>
            <w:tcBorders>
              <w:top w:val="nil"/>
              <w:left w:val="nil"/>
              <w:bottom w:val="nil"/>
              <w:right w:val="single" w:sz="4" w:space="0" w:color="auto"/>
            </w:tcBorders>
            <w:shd w:val="clear" w:color="auto" w:fill="auto"/>
            <w:noWrap/>
            <w:vAlign w:val="bottom"/>
            <w:hideMark/>
          </w:tcPr>
          <w:p w14:paraId="283DFDD4"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6D3F8754"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39378F23" w14:textId="77777777" w:rsidR="00846FDC" w:rsidRPr="005269E6" w:rsidRDefault="00846FDC" w:rsidP="000E131C">
            <w:pPr>
              <w:tabs>
                <w:tab w:val="clear" w:pos="794"/>
              </w:tabs>
              <w:spacing w:before="20" w:after="20" w:line="18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1 596</w:t>
            </w:r>
          </w:p>
        </w:tc>
        <w:tc>
          <w:tcPr>
            <w:tcW w:w="470" w:type="pct"/>
            <w:tcBorders>
              <w:top w:val="nil"/>
              <w:left w:val="nil"/>
              <w:bottom w:val="nil"/>
              <w:right w:val="single" w:sz="4" w:space="0" w:color="auto"/>
            </w:tcBorders>
            <w:shd w:val="clear" w:color="auto" w:fill="auto"/>
            <w:noWrap/>
            <w:vAlign w:val="bottom"/>
            <w:hideMark/>
          </w:tcPr>
          <w:p w14:paraId="237B01AA"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5 589</w:t>
            </w:r>
          </w:p>
        </w:tc>
      </w:tr>
      <w:tr w:rsidR="00846FDC" w:rsidRPr="005269E6" w14:paraId="675B14B0"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119BDBCD"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الخدمات التعاقدية</w:t>
            </w:r>
          </w:p>
        </w:tc>
        <w:tc>
          <w:tcPr>
            <w:tcW w:w="458" w:type="pct"/>
            <w:tcBorders>
              <w:top w:val="nil"/>
              <w:left w:val="single" w:sz="4" w:space="0" w:color="auto"/>
              <w:bottom w:val="nil"/>
              <w:right w:val="single" w:sz="4" w:space="0" w:color="auto"/>
            </w:tcBorders>
            <w:shd w:val="clear" w:color="auto" w:fill="auto"/>
            <w:noWrap/>
            <w:vAlign w:val="bottom"/>
            <w:hideMark/>
          </w:tcPr>
          <w:p w14:paraId="234C0A9C"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7 862</w:t>
            </w:r>
          </w:p>
        </w:tc>
        <w:tc>
          <w:tcPr>
            <w:tcW w:w="456" w:type="pct"/>
            <w:tcBorders>
              <w:top w:val="nil"/>
              <w:left w:val="nil"/>
              <w:bottom w:val="nil"/>
              <w:right w:val="single" w:sz="4" w:space="0" w:color="auto"/>
            </w:tcBorders>
            <w:shd w:val="clear" w:color="auto" w:fill="auto"/>
            <w:noWrap/>
            <w:vAlign w:val="bottom"/>
            <w:hideMark/>
          </w:tcPr>
          <w:p w14:paraId="373FD2EC"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879</w:t>
            </w:r>
          </w:p>
        </w:tc>
        <w:tc>
          <w:tcPr>
            <w:tcW w:w="495" w:type="pct"/>
            <w:tcBorders>
              <w:top w:val="nil"/>
              <w:left w:val="nil"/>
              <w:bottom w:val="nil"/>
              <w:right w:val="single" w:sz="4" w:space="0" w:color="auto"/>
            </w:tcBorders>
            <w:shd w:val="clear" w:color="auto" w:fill="auto"/>
            <w:noWrap/>
            <w:vAlign w:val="bottom"/>
            <w:hideMark/>
          </w:tcPr>
          <w:p w14:paraId="268B6FD1"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748</w:t>
            </w:r>
          </w:p>
        </w:tc>
        <w:tc>
          <w:tcPr>
            <w:tcW w:w="490" w:type="pct"/>
            <w:tcBorders>
              <w:top w:val="nil"/>
              <w:left w:val="nil"/>
              <w:bottom w:val="nil"/>
              <w:right w:val="single" w:sz="4" w:space="0" w:color="auto"/>
            </w:tcBorders>
            <w:shd w:val="clear" w:color="auto" w:fill="auto"/>
            <w:noWrap/>
            <w:vAlign w:val="bottom"/>
            <w:hideMark/>
          </w:tcPr>
          <w:p w14:paraId="4E4D74B9"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2 143</w:t>
            </w:r>
          </w:p>
        </w:tc>
        <w:tc>
          <w:tcPr>
            <w:tcW w:w="552" w:type="pct"/>
            <w:tcBorders>
              <w:top w:val="nil"/>
              <w:left w:val="single" w:sz="4" w:space="0" w:color="auto"/>
              <w:bottom w:val="nil"/>
              <w:right w:val="single" w:sz="4" w:space="0" w:color="auto"/>
            </w:tcBorders>
            <w:shd w:val="clear" w:color="auto" w:fill="auto"/>
            <w:noWrap/>
            <w:vAlign w:val="bottom"/>
            <w:hideMark/>
          </w:tcPr>
          <w:p w14:paraId="0C83C835"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11 632</w:t>
            </w:r>
          </w:p>
        </w:tc>
        <w:tc>
          <w:tcPr>
            <w:tcW w:w="455" w:type="pct"/>
            <w:tcBorders>
              <w:top w:val="nil"/>
              <w:left w:val="nil"/>
              <w:bottom w:val="nil"/>
              <w:right w:val="single" w:sz="4" w:space="0" w:color="auto"/>
            </w:tcBorders>
            <w:shd w:val="clear" w:color="auto" w:fill="auto"/>
            <w:noWrap/>
            <w:vAlign w:val="bottom"/>
            <w:hideMark/>
          </w:tcPr>
          <w:p w14:paraId="36A45B6B"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5A53DA42"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5DE8ED44" w14:textId="77777777" w:rsidR="00846FDC" w:rsidRPr="005269E6" w:rsidRDefault="00846FDC" w:rsidP="000E131C">
            <w:pPr>
              <w:tabs>
                <w:tab w:val="clear" w:pos="794"/>
              </w:tabs>
              <w:spacing w:before="20" w:after="20" w:line="18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8 896</w:t>
            </w:r>
          </w:p>
        </w:tc>
        <w:tc>
          <w:tcPr>
            <w:tcW w:w="470" w:type="pct"/>
            <w:tcBorders>
              <w:top w:val="nil"/>
              <w:left w:val="nil"/>
              <w:bottom w:val="nil"/>
              <w:right w:val="single" w:sz="4" w:space="0" w:color="auto"/>
            </w:tcBorders>
            <w:shd w:val="clear" w:color="auto" w:fill="auto"/>
            <w:noWrap/>
            <w:vAlign w:val="bottom"/>
            <w:hideMark/>
          </w:tcPr>
          <w:p w14:paraId="4BE33AFF"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20 527</w:t>
            </w:r>
          </w:p>
        </w:tc>
      </w:tr>
      <w:tr w:rsidR="00846FDC" w:rsidRPr="005269E6" w14:paraId="56A1CAAE" w14:textId="77777777" w:rsidTr="00666023">
        <w:trPr>
          <w:trHeight w:hRule="exact" w:val="373"/>
          <w:jc w:val="center"/>
        </w:trPr>
        <w:tc>
          <w:tcPr>
            <w:tcW w:w="770" w:type="pct"/>
            <w:tcBorders>
              <w:top w:val="nil"/>
              <w:left w:val="single" w:sz="4" w:space="0" w:color="auto"/>
              <w:bottom w:val="nil"/>
              <w:right w:val="nil"/>
            </w:tcBorders>
            <w:shd w:val="clear" w:color="auto" w:fill="auto"/>
            <w:hideMark/>
          </w:tcPr>
          <w:p w14:paraId="2C358BCA"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استئجار وصيانة الأماكن والمعدات</w:t>
            </w:r>
          </w:p>
        </w:tc>
        <w:tc>
          <w:tcPr>
            <w:tcW w:w="458" w:type="pct"/>
            <w:tcBorders>
              <w:top w:val="nil"/>
              <w:left w:val="single" w:sz="4" w:space="0" w:color="auto"/>
              <w:bottom w:val="nil"/>
              <w:right w:val="single" w:sz="4" w:space="0" w:color="auto"/>
            </w:tcBorders>
            <w:shd w:val="clear" w:color="auto" w:fill="auto"/>
            <w:noWrap/>
            <w:vAlign w:val="center"/>
            <w:hideMark/>
          </w:tcPr>
          <w:p w14:paraId="1D4094C9"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2 473</w:t>
            </w:r>
          </w:p>
        </w:tc>
        <w:tc>
          <w:tcPr>
            <w:tcW w:w="456" w:type="pct"/>
            <w:tcBorders>
              <w:top w:val="nil"/>
              <w:left w:val="nil"/>
              <w:bottom w:val="nil"/>
              <w:right w:val="single" w:sz="4" w:space="0" w:color="auto"/>
            </w:tcBorders>
            <w:shd w:val="clear" w:color="auto" w:fill="auto"/>
            <w:noWrap/>
            <w:vAlign w:val="center"/>
            <w:hideMark/>
          </w:tcPr>
          <w:p w14:paraId="519892AC"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75</w:t>
            </w:r>
          </w:p>
        </w:tc>
        <w:tc>
          <w:tcPr>
            <w:tcW w:w="495" w:type="pct"/>
            <w:tcBorders>
              <w:top w:val="nil"/>
              <w:left w:val="nil"/>
              <w:bottom w:val="nil"/>
              <w:right w:val="single" w:sz="4" w:space="0" w:color="auto"/>
            </w:tcBorders>
            <w:shd w:val="clear" w:color="auto" w:fill="auto"/>
            <w:noWrap/>
            <w:vAlign w:val="center"/>
            <w:hideMark/>
          </w:tcPr>
          <w:p w14:paraId="653FBE67"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174</w:t>
            </w:r>
          </w:p>
        </w:tc>
        <w:tc>
          <w:tcPr>
            <w:tcW w:w="490" w:type="pct"/>
            <w:tcBorders>
              <w:top w:val="nil"/>
              <w:left w:val="nil"/>
              <w:bottom w:val="nil"/>
              <w:right w:val="single" w:sz="4" w:space="0" w:color="auto"/>
            </w:tcBorders>
            <w:shd w:val="clear" w:color="auto" w:fill="auto"/>
            <w:noWrap/>
            <w:vAlign w:val="center"/>
            <w:hideMark/>
          </w:tcPr>
          <w:p w14:paraId="5978612A"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76</w:t>
            </w:r>
          </w:p>
        </w:tc>
        <w:tc>
          <w:tcPr>
            <w:tcW w:w="552" w:type="pct"/>
            <w:tcBorders>
              <w:top w:val="nil"/>
              <w:left w:val="single" w:sz="4" w:space="0" w:color="auto"/>
              <w:bottom w:val="nil"/>
              <w:right w:val="single" w:sz="4" w:space="0" w:color="auto"/>
            </w:tcBorders>
            <w:shd w:val="clear" w:color="auto" w:fill="auto"/>
            <w:noWrap/>
            <w:vAlign w:val="center"/>
            <w:hideMark/>
          </w:tcPr>
          <w:p w14:paraId="7A3469BC"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2 798</w:t>
            </w:r>
          </w:p>
        </w:tc>
        <w:tc>
          <w:tcPr>
            <w:tcW w:w="455" w:type="pct"/>
            <w:tcBorders>
              <w:top w:val="nil"/>
              <w:left w:val="nil"/>
              <w:bottom w:val="nil"/>
              <w:right w:val="single" w:sz="4" w:space="0" w:color="auto"/>
            </w:tcBorders>
            <w:shd w:val="clear" w:color="auto" w:fill="auto"/>
            <w:noWrap/>
            <w:vAlign w:val="center"/>
            <w:hideMark/>
          </w:tcPr>
          <w:p w14:paraId="47C95D90"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1317385A"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7CD9A2C4" w14:textId="77777777" w:rsidR="00846FDC" w:rsidRPr="005269E6" w:rsidRDefault="00846FDC" w:rsidP="000E131C">
            <w:pPr>
              <w:tabs>
                <w:tab w:val="clear" w:pos="794"/>
              </w:tabs>
              <w:spacing w:before="20" w:after="20" w:line="18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62</w:t>
            </w:r>
          </w:p>
        </w:tc>
        <w:tc>
          <w:tcPr>
            <w:tcW w:w="470" w:type="pct"/>
            <w:tcBorders>
              <w:top w:val="nil"/>
              <w:left w:val="nil"/>
              <w:bottom w:val="nil"/>
              <w:right w:val="single" w:sz="4" w:space="0" w:color="auto"/>
            </w:tcBorders>
            <w:shd w:val="clear" w:color="auto" w:fill="auto"/>
            <w:noWrap/>
            <w:vAlign w:val="center"/>
            <w:hideMark/>
          </w:tcPr>
          <w:p w14:paraId="444643BF"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2 860</w:t>
            </w:r>
          </w:p>
        </w:tc>
      </w:tr>
      <w:tr w:rsidR="00846FDC" w:rsidRPr="005269E6" w14:paraId="0CB5F21B"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17E95C51"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المعدات واللوازم</w:t>
            </w:r>
          </w:p>
        </w:tc>
        <w:tc>
          <w:tcPr>
            <w:tcW w:w="458" w:type="pct"/>
            <w:tcBorders>
              <w:top w:val="nil"/>
              <w:left w:val="single" w:sz="4" w:space="0" w:color="auto"/>
              <w:bottom w:val="nil"/>
              <w:right w:val="single" w:sz="4" w:space="0" w:color="auto"/>
            </w:tcBorders>
            <w:shd w:val="clear" w:color="auto" w:fill="auto"/>
            <w:noWrap/>
            <w:vAlign w:val="bottom"/>
            <w:hideMark/>
          </w:tcPr>
          <w:p w14:paraId="6E874080"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1 397</w:t>
            </w:r>
          </w:p>
        </w:tc>
        <w:tc>
          <w:tcPr>
            <w:tcW w:w="456" w:type="pct"/>
            <w:tcBorders>
              <w:top w:val="nil"/>
              <w:left w:val="nil"/>
              <w:bottom w:val="nil"/>
              <w:right w:val="single" w:sz="4" w:space="0" w:color="auto"/>
            </w:tcBorders>
            <w:shd w:val="clear" w:color="auto" w:fill="auto"/>
            <w:noWrap/>
            <w:vAlign w:val="bottom"/>
            <w:hideMark/>
          </w:tcPr>
          <w:p w14:paraId="55C26DBA"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286</w:t>
            </w:r>
          </w:p>
        </w:tc>
        <w:tc>
          <w:tcPr>
            <w:tcW w:w="495" w:type="pct"/>
            <w:tcBorders>
              <w:top w:val="nil"/>
              <w:left w:val="nil"/>
              <w:bottom w:val="nil"/>
              <w:right w:val="single" w:sz="4" w:space="0" w:color="auto"/>
            </w:tcBorders>
            <w:shd w:val="clear" w:color="auto" w:fill="auto"/>
            <w:noWrap/>
            <w:vAlign w:val="bottom"/>
            <w:hideMark/>
          </w:tcPr>
          <w:p w14:paraId="1EF862E5"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94</w:t>
            </w:r>
          </w:p>
        </w:tc>
        <w:tc>
          <w:tcPr>
            <w:tcW w:w="490" w:type="pct"/>
            <w:tcBorders>
              <w:top w:val="nil"/>
              <w:left w:val="nil"/>
              <w:bottom w:val="nil"/>
              <w:right w:val="single" w:sz="4" w:space="0" w:color="auto"/>
            </w:tcBorders>
            <w:shd w:val="clear" w:color="auto" w:fill="auto"/>
            <w:noWrap/>
            <w:vAlign w:val="bottom"/>
            <w:hideMark/>
          </w:tcPr>
          <w:p w14:paraId="39F6BB5E"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263</w:t>
            </w:r>
          </w:p>
        </w:tc>
        <w:tc>
          <w:tcPr>
            <w:tcW w:w="552" w:type="pct"/>
            <w:tcBorders>
              <w:top w:val="nil"/>
              <w:left w:val="single" w:sz="4" w:space="0" w:color="auto"/>
              <w:bottom w:val="nil"/>
              <w:right w:val="single" w:sz="4" w:space="0" w:color="auto"/>
            </w:tcBorders>
            <w:shd w:val="clear" w:color="auto" w:fill="auto"/>
            <w:noWrap/>
            <w:vAlign w:val="bottom"/>
            <w:hideMark/>
          </w:tcPr>
          <w:p w14:paraId="497EC643"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2 040</w:t>
            </w:r>
          </w:p>
        </w:tc>
        <w:tc>
          <w:tcPr>
            <w:tcW w:w="455" w:type="pct"/>
            <w:tcBorders>
              <w:top w:val="nil"/>
              <w:left w:val="nil"/>
              <w:bottom w:val="nil"/>
              <w:right w:val="single" w:sz="4" w:space="0" w:color="auto"/>
            </w:tcBorders>
            <w:shd w:val="clear" w:color="auto" w:fill="auto"/>
            <w:noWrap/>
            <w:vAlign w:val="bottom"/>
            <w:hideMark/>
          </w:tcPr>
          <w:p w14:paraId="1F88CC43"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5E10EA99"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4A04DBA1" w14:textId="77777777" w:rsidR="00846FDC" w:rsidRPr="005269E6" w:rsidRDefault="00846FDC" w:rsidP="000E131C">
            <w:pPr>
              <w:tabs>
                <w:tab w:val="clear" w:pos="794"/>
              </w:tabs>
              <w:spacing w:before="20" w:after="20" w:line="18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420</w:t>
            </w:r>
          </w:p>
        </w:tc>
        <w:tc>
          <w:tcPr>
            <w:tcW w:w="470" w:type="pct"/>
            <w:tcBorders>
              <w:top w:val="nil"/>
              <w:left w:val="nil"/>
              <w:bottom w:val="nil"/>
              <w:right w:val="single" w:sz="4" w:space="0" w:color="auto"/>
            </w:tcBorders>
            <w:shd w:val="clear" w:color="auto" w:fill="auto"/>
            <w:noWrap/>
            <w:vAlign w:val="bottom"/>
            <w:hideMark/>
          </w:tcPr>
          <w:p w14:paraId="376A867B"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2 460</w:t>
            </w:r>
          </w:p>
        </w:tc>
      </w:tr>
      <w:tr w:rsidR="00846FDC" w:rsidRPr="005269E6" w14:paraId="5DC68926"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3B15ABFB"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الاستهلاك</w:t>
            </w:r>
          </w:p>
        </w:tc>
        <w:tc>
          <w:tcPr>
            <w:tcW w:w="458" w:type="pct"/>
            <w:tcBorders>
              <w:top w:val="nil"/>
              <w:left w:val="single" w:sz="4" w:space="0" w:color="auto"/>
              <w:bottom w:val="nil"/>
              <w:right w:val="single" w:sz="4" w:space="0" w:color="auto"/>
            </w:tcBorders>
            <w:shd w:val="clear" w:color="auto" w:fill="auto"/>
            <w:noWrap/>
            <w:vAlign w:val="bottom"/>
            <w:hideMark/>
          </w:tcPr>
          <w:p w14:paraId="4973A289"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5 084</w:t>
            </w:r>
          </w:p>
        </w:tc>
        <w:tc>
          <w:tcPr>
            <w:tcW w:w="456" w:type="pct"/>
            <w:tcBorders>
              <w:top w:val="nil"/>
              <w:left w:val="nil"/>
              <w:bottom w:val="nil"/>
              <w:right w:val="single" w:sz="4" w:space="0" w:color="auto"/>
            </w:tcBorders>
            <w:shd w:val="clear" w:color="auto" w:fill="auto"/>
            <w:noWrap/>
            <w:vAlign w:val="bottom"/>
            <w:hideMark/>
          </w:tcPr>
          <w:p w14:paraId="742F4040"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1 795</w:t>
            </w:r>
          </w:p>
        </w:tc>
        <w:tc>
          <w:tcPr>
            <w:tcW w:w="495" w:type="pct"/>
            <w:tcBorders>
              <w:top w:val="nil"/>
              <w:left w:val="nil"/>
              <w:bottom w:val="nil"/>
              <w:right w:val="single" w:sz="4" w:space="0" w:color="auto"/>
            </w:tcBorders>
            <w:shd w:val="clear" w:color="auto" w:fill="auto"/>
            <w:noWrap/>
            <w:vAlign w:val="bottom"/>
            <w:hideMark/>
          </w:tcPr>
          <w:p w14:paraId="53C0D953"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810</w:t>
            </w:r>
          </w:p>
        </w:tc>
        <w:tc>
          <w:tcPr>
            <w:tcW w:w="490" w:type="pct"/>
            <w:tcBorders>
              <w:top w:val="nil"/>
              <w:left w:val="nil"/>
              <w:bottom w:val="nil"/>
              <w:right w:val="single" w:sz="4" w:space="0" w:color="auto"/>
            </w:tcBorders>
            <w:shd w:val="clear" w:color="auto" w:fill="auto"/>
            <w:noWrap/>
            <w:vAlign w:val="bottom"/>
            <w:hideMark/>
          </w:tcPr>
          <w:p w14:paraId="285E2B95"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1 664</w:t>
            </w:r>
          </w:p>
        </w:tc>
        <w:tc>
          <w:tcPr>
            <w:tcW w:w="552" w:type="pct"/>
            <w:tcBorders>
              <w:top w:val="nil"/>
              <w:left w:val="single" w:sz="4" w:space="0" w:color="auto"/>
              <w:bottom w:val="nil"/>
              <w:right w:val="single" w:sz="4" w:space="0" w:color="auto"/>
            </w:tcBorders>
            <w:shd w:val="clear" w:color="auto" w:fill="auto"/>
            <w:noWrap/>
            <w:vAlign w:val="bottom"/>
            <w:hideMark/>
          </w:tcPr>
          <w:p w14:paraId="3FBAB238"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9 352</w:t>
            </w:r>
          </w:p>
        </w:tc>
        <w:tc>
          <w:tcPr>
            <w:tcW w:w="455" w:type="pct"/>
            <w:tcBorders>
              <w:top w:val="nil"/>
              <w:left w:val="nil"/>
              <w:bottom w:val="nil"/>
              <w:right w:val="single" w:sz="4" w:space="0" w:color="auto"/>
            </w:tcBorders>
            <w:shd w:val="clear" w:color="auto" w:fill="auto"/>
            <w:noWrap/>
            <w:vAlign w:val="bottom"/>
            <w:hideMark/>
          </w:tcPr>
          <w:p w14:paraId="7853E5EF"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5</w:t>
            </w:r>
          </w:p>
        </w:tc>
        <w:tc>
          <w:tcPr>
            <w:tcW w:w="426" w:type="pct"/>
            <w:tcBorders>
              <w:top w:val="nil"/>
              <w:left w:val="nil"/>
              <w:bottom w:val="nil"/>
              <w:right w:val="single" w:sz="4" w:space="0" w:color="auto"/>
            </w:tcBorders>
            <w:shd w:val="clear" w:color="auto" w:fill="auto"/>
            <w:noWrap/>
            <w:vAlign w:val="bottom"/>
            <w:hideMark/>
          </w:tcPr>
          <w:p w14:paraId="45A8E8A0"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7BF1240E" w14:textId="77777777" w:rsidR="00846FDC" w:rsidRPr="005269E6" w:rsidRDefault="00846FDC" w:rsidP="000E131C">
            <w:pPr>
              <w:tabs>
                <w:tab w:val="clear" w:pos="794"/>
              </w:tabs>
              <w:spacing w:before="20" w:after="20" w:line="18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138</w:t>
            </w:r>
          </w:p>
        </w:tc>
        <w:tc>
          <w:tcPr>
            <w:tcW w:w="470" w:type="pct"/>
            <w:tcBorders>
              <w:top w:val="nil"/>
              <w:left w:val="nil"/>
              <w:bottom w:val="nil"/>
              <w:right w:val="single" w:sz="4" w:space="0" w:color="auto"/>
            </w:tcBorders>
            <w:shd w:val="clear" w:color="auto" w:fill="auto"/>
            <w:noWrap/>
            <w:vAlign w:val="bottom"/>
            <w:hideMark/>
          </w:tcPr>
          <w:p w14:paraId="6D01166F"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9 495</w:t>
            </w:r>
          </w:p>
        </w:tc>
      </w:tr>
      <w:tr w:rsidR="00846FDC" w:rsidRPr="005269E6" w14:paraId="45662A15" w14:textId="77777777" w:rsidTr="00666023">
        <w:trPr>
          <w:trHeight w:hRule="exact" w:val="374"/>
          <w:jc w:val="center"/>
        </w:trPr>
        <w:tc>
          <w:tcPr>
            <w:tcW w:w="770" w:type="pct"/>
            <w:tcBorders>
              <w:top w:val="nil"/>
              <w:left w:val="single" w:sz="4" w:space="0" w:color="auto"/>
              <w:bottom w:val="nil"/>
              <w:right w:val="nil"/>
            </w:tcBorders>
            <w:shd w:val="clear" w:color="auto" w:fill="auto"/>
            <w:vAlign w:val="bottom"/>
            <w:hideMark/>
          </w:tcPr>
          <w:p w14:paraId="24885524" w14:textId="77777777" w:rsidR="00846FDC" w:rsidRPr="005269E6" w:rsidRDefault="00846FDC" w:rsidP="00666023">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تكاليف الشحن والاتصالات الخدمات</w:t>
            </w:r>
          </w:p>
        </w:tc>
        <w:tc>
          <w:tcPr>
            <w:tcW w:w="458" w:type="pct"/>
            <w:tcBorders>
              <w:top w:val="nil"/>
              <w:left w:val="single" w:sz="4" w:space="0" w:color="auto"/>
              <w:bottom w:val="nil"/>
              <w:right w:val="single" w:sz="4" w:space="0" w:color="auto"/>
            </w:tcBorders>
            <w:shd w:val="clear" w:color="auto" w:fill="auto"/>
            <w:noWrap/>
            <w:vAlign w:val="bottom"/>
            <w:hideMark/>
          </w:tcPr>
          <w:p w14:paraId="1D3713DB"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1 759</w:t>
            </w:r>
          </w:p>
        </w:tc>
        <w:tc>
          <w:tcPr>
            <w:tcW w:w="456" w:type="pct"/>
            <w:tcBorders>
              <w:top w:val="nil"/>
              <w:left w:val="nil"/>
              <w:bottom w:val="nil"/>
              <w:right w:val="single" w:sz="4" w:space="0" w:color="auto"/>
            </w:tcBorders>
            <w:shd w:val="clear" w:color="auto" w:fill="auto"/>
            <w:noWrap/>
            <w:vAlign w:val="bottom"/>
            <w:hideMark/>
          </w:tcPr>
          <w:p w14:paraId="650180DD"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124</w:t>
            </w:r>
          </w:p>
        </w:tc>
        <w:tc>
          <w:tcPr>
            <w:tcW w:w="495" w:type="pct"/>
            <w:tcBorders>
              <w:top w:val="nil"/>
              <w:left w:val="nil"/>
              <w:bottom w:val="nil"/>
              <w:right w:val="single" w:sz="4" w:space="0" w:color="auto"/>
            </w:tcBorders>
            <w:shd w:val="clear" w:color="auto" w:fill="auto"/>
            <w:noWrap/>
            <w:vAlign w:val="bottom"/>
            <w:hideMark/>
          </w:tcPr>
          <w:p w14:paraId="05B982FE"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63</w:t>
            </w:r>
          </w:p>
        </w:tc>
        <w:tc>
          <w:tcPr>
            <w:tcW w:w="490" w:type="pct"/>
            <w:tcBorders>
              <w:top w:val="nil"/>
              <w:left w:val="nil"/>
              <w:bottom w:val="nil"/>
              <w:right w:val="single" w:sz="4" w:space="0" w:color="auto"/>
            </w:tcBorders>
            <w:shd w:val="clear" w:color="auto" w:fill="auto"/>
            <w:noWrap/>
            <w:vAlign w:val="bottom"/>
            <w:hideMark/>
          </w:tcPr>
          <w:p w14:paraId="38E3028C"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221</w:t>
            </w:r>
          </w:p>
        </w:tc>
        <w:tc>
          <w:tcPr>
            <w:tcW w:w="552" w:type="pct"/>
            <w:tcBorders>
              <w:top w:val="nil"/>
              <w:left w:val="single" w:sz="4" w:space="0" w:color="auto"/>
              <w:bottom w:val="nil"/>
              <w:right w:val="single" w:sz="4" w:space="0" w:color="auto"/>
            </w:tcBorders>
            <w:shd w:val="clear" w:color="auto" w:fill="auto"/>
            <w:noWrap/>
            <w:vAlign w:val="bottom"/>
            <w:hideMark/>
          </w:tcPr>
          <w:p w14:paraId="77E57824"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2 167</w:t>
            </w:r>
          </w:p>
        </w:tc>
        <w:tc>
          <w:tcPr>
            <w:tcW w:w="455" w:type="pct"/>
            <w:tcBorders>
              <w:top w:val="nil"/>
              <w:left w:val="nil"/>
              <w:bottom w:val="nil"/>
              <w:right w:val="single" w:sz="4" w:space="0" w:color="auto"/>
            </w:tcBorders>
            <w:shd w:val="clear" w:color="auto" w:fill="auto"/>
            <w:noWrap/>
            <w:vAlign w:val="bottom"/>
            <w:hideMark/>
          </w:tcPr>
          <w:p w14:paraId="393F01A1"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412E3D67"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25F66FF0" w14:textId="77777777" w:rsidR="00846FDC" w:rsidRPr="005269E6" w:rsidRDefault="00846FDC" w:rsidP="000E131C">
            <w:pPr>
              <w:tabs>
                <w:tab w:val="clear" w:pos="794"/>
              </w:tabs>
              <w:spacing w:before="20" w:after="20" w:line="18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76</w:t>
            </w:r>
          </w:p>
        </w:tc>
        <w:tc>
          <w:tcPr>
            <w:tcW w:w="470" w:type="pct"/>
            <w:tcBorders>
              <w:top w:val="nil"/>
              <w:left w:val="nil"/>
              <w:bottom w:val="nil"/>
              <w:right w:val="single" w:sz="4" w:space="0" w:color="auto"/>
            </w:tcBorders>
            <w:shd w:val="clear" w:color="auto" w:fill="auto"/>
            <w:noWrap/>
            <w:vAlign w:val="bottom"/>
            <w:hideMark/>
          </w:tcPr>
          <w:p w14:paraId="7A3103A7"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2 242</w:t>
            </w:r>
          </w:p>
        </w:tc>
      </w:tr>
      <w:tr w:rsidR="00846FDC" w:rsidRPr="005269E6" w14:paraId="622B53FA" w14:textId="77777777" w:rsidTr="00666023">
        <w:trPr>
          <w:trHeight w:val="480"/>
          <w:jc w:val="center"/>
        </w:trPr>
        <w:tc>
          <w:tcPr>
            <w:tcW w:w="770" w:type="pct"/>
            <w:tcBorders>
              <w:top w:val="nil"/>
              <w:left w:val="single" w:sz="4" w:space="0" w:color="auto"/>
              <w:bottom w:val="nil"/>
              <w:right w:val="nil"/>
            </w:tcBorders>
            <w:shd w:val="clear" w:color="auto" w:fill="auto"/>
            <w:hideMark/>
          </w:tcPr>
          <w:p w14:paraId="7B6950C0" w14:textId="77777777" w:rsidR="00846FDC" w:rsidRPr="005269E6" w:rsidRDefault="00846FDC" w:rsidP="00666023">
            <w:pPr>
              <w:tabs>
                <w:tab w:val="clear" w:pos="794"/>
              </w:tabs>
              <w:spacing w:before="20" w:after="20" w:line="180" w:lineRule="exact"/>
              <w:jc w:val="left"/>
              <w:rPr>
                <w:rFonts w:eastAsia="Times New Roman"/>
                <w:color w:val="000000"/>
                <w:spacing w:val="-8"/>
                <w:w w:val="99"/>
                <w:position w:val="2"/>
                <w:sz w:val="16"/>
                <w:szCs w:val="16"/>
                <w:lang w:val="en-GB" w:eastAsia="en-GB"/>
              </w:rPr>
            </w:pPr>
            <w:r w:rsidRPr="005269E6">
              <w:rPr>
                <w:rFonts w:eastAsia="Times New Roman"/>
                <w:spacing w:val="-8"/>
                <w:w w:val="99"/>
                <w:position w:val="2"/>
                <w:sz w:val="16"/>
                <w:szCs w:val="16"/>
                <w:rtl/>
                <w:lang w:val="fr-FR" w:eastAsia="en-US" w:bidi="ar-EG"/>
              </w:rPr>
              <w:t>مراجعة الحسابات والمساهمات المشتركة بين المنظمات</w:t>
            </w:r>
          </w:p>
        </w:tc>
        <w:tc>
          <w:tcPr>
            <w:tcW w:w="458" w:type="pct"/>
            <w:tcBorders>
              <w:top w:val="nil"/>
              <w:left w:val="single" w:sz="4" w:space="0" w:color="auto"/>
              <w:bottom w:val="nil"/>
              <w:right w:val="single" w:sz="4" w:space="0" w:color="auto"/>
            </w:tcBorders>
            <w:shd w:val="clear" w:color="auto" w:fill="auto"/>
            <w:noWrap/>
            <w:vAlign w:val="center"/>
          </w:tcPr>
          <w:p w14:paraId="124BCFE3"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p>
        </w:tc>
        <w:tc>
          <w:tcPr>
            <w:tcW w:w="456" w:type="pct"/>
            <w:tcBorders>
              <w:top w:val="nil"/>
              <w:left w:val="nil"/>
              <w:bottom w:val="nil"/>
              <w:right w:val="single" w:sz="4" w:space="0" w:color="auto"/>
            </w:tcBorders>
            <w:shd w:val="clear" w:color="auto" w:fill="auto"/>
            <w:noWrap/>
            <w:vAlign w:val="center"/>
          </w:tcPr>
          <w:p w14:paraId="0172EDF1"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center"/>
          </w:tcPr>
          <w:p w14:paraId="311EEC0D"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center"/>
          </w:tcPr>
          <w:p w14:paraId="0A527CBA"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center"/>
          </w:tcPr>
          <w:p w14:paraId="1987ADEC"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center"/>
          </w:tcPr>
          <w:p w14:paraId="0527F75D"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tcPr>
          <w:p w14:paraId="69496497"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rtl/>
                <w:lang w:val="en-GB" w:eastAsia="en-GB"/>
              </w:rPr>
            </w:pPr>
          </w:p>
        </w:tc>
        <w:tc>
          <w:tcPr>
            <w:tcW w:w="426" w:type="pct"/>
            <w:tcBorders>
              <w:top w:val="nil"/>
              <w:left w:val="nil"/>
              <w:bottom w:val="nil"/>
              <w:right w:val="single" w:sz="4" w:space="0" w:color="auto"/>
            </w:tcBorders>
            <w:shd w:val="clear" w:color="auto" w:fill="auto"/>
            <w:noWrap/>
            <w:vAlign w:val="center"/>
          </w:tcPr>
          <w:p w14:paraId="3FA4E716" w14:textId="77777777" w:rsidR="00846FDC" w:rsidRPr="005269E6" w:rsidRDefault="00846FDC" w:rsidP="000E131C">
            <w:pPr>
              <w:tabs>
                <w:tab w:val="clear" w:pos="794"/>
              </w:tabs>
              <w:spacing w:before="20" w:after="20" w:line="180" w:lineRule="exact"/>
              <w:jc w:val="left"/>
              <w:rPr>
                <w:rFonts w:eastAsia="Times New Roman"/>
                <w:b/>
                <w:bCs/>
                <w:i/>
                <w:iCs/>
                <w:color w:val="000000"/>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center"/>
          </w:tcPr>
          <w:p w14:paraId="3441FA47"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p>
        </w:tc>
      </w:tr>
      <w:tr w:rsidR="00846FDC" w:rsidRPr="005269E6" w14:paraId="3CA28203"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33418406" w14:textId="77777777" w:rsidR="00846FDC" w:rsidRPr="005269E6" w:rsidRDefault="00846FDC" w:rsidP="00666023">
            <w:pPr>
              <w:tabs>
                <w:tab w:val="clear" w:pos="794"/>
              </w:tabs>
              <w:spacing w:before="20" w:after="20" w:line="180" w:lineRule="exact"/>
              <w:ind w:left="271"/>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نفقات أخرى</w:t>
            </w:r>
          </w:p>
        </w:tc>
        <w:tc>
          <w:tcPr>
            <w:tcW w:w="458" w:type="pct"/>
            <w:tcBorders>
              <w:top w:val="nil"/>
              <w:left w:val="single" w:sz="4" w:space="0" w:color="auto"/>
              <w:bottom w:val="nil"/>
              <w:right w:val="single" w:sz="4" w:space="0" w:color="auto"/>
            </w:tcBorders>
            <w:shd w:val="clear" w:color="auto" w:fill="auto"/>
            <w:noWrap/>
            <w:vAlign w:val="bottom"/>
            <w:hideMark/>
          </w:tcPr>
          <w:p w14:paraId="7372AABA"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(521)</w:t>
            </w:r>
          </w:p>
        </w:tc>
        <w:tc>
          <w:tcPr>
            <w:tcW w:w="456" w:type="pct"/>
            <w:tcBorders>
              <w:top w:val="nil"/>
              <w:left w:val="nil"/>
              <w:bottom w:val="nil"/>
              <w:right w:val="single" w:sz="4" w:space="0" w:color="auto"/>
            </w:tcBorders>
            <w:shd w:val="clear" w:color="auto" w:fill="auto"/>
            <w:noWrap/>
            <w:vAlign w:val="bottom"/>
            <w:hideMark/>
          </w:tcPr>
          <w:p w14:paraId="110C8587"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(155)</w:t>
            </w:r>
          </w:p>
        </w:tc>
        <w:tc>
          <w:tcPr>
            <w:tcW w:w="495" w:type="pct"/>
            <w:tcBorders>
              <w:top w:val="nil"/>
              <w:left w:val="nil"/>
              <w:bottom w:val="nil"/>
              <w:right w:val="single" w:sz="4" w:space="0" w:color="auto"/>
            </w:tcBorders>
            <w:shd w:val="clear" w:color="auto" w:fill="auto"/>
            <w:noWrap/>
            <w:vAlign w:val="bottom"/>
            <w:hideMark/>
          </w:tcPr>
          <w:p w14:paraId="286B4B82"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(76)</w:t>
            </w:r>
          </w:p>
        </w:tc>
        <w:tc>
          <w:tcPr>
            <w:tcW w:w="490" w:type="pct"/>
            <w:tcBorders>
              <w:top w:val="nil"/>
              <w:left w:val="nil"/>
              <w:bottom w:val="nil"/>
              <w:right w:val="single" w:sz="4" w:space="0" w:color="auto"/>
            </w:tcBorders>
            <w:shd w:val="clear" w:color="auto" w:fill="auto"/>
            <w:noWrap/>
            <w:vAlign w:val="bottom"/>
            <w:hideMark/>
          </w:tcPr>
          <w:p w14:paraId="373C8E4C"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(147)</w:t>
            </w:r>
          </w:p>
        </w:tc>
        <w:tc>
          <w:tcPr>
            <w:tcW w:w="552" w:type="pct"/>
            <w:tcBorders>
              <w:top w:val="nil"/>
              <w:left w:val="single" w:sz="4" w:space="0" w:color="auto"/>
              <w:bottom w:val="nil"/>
              <w:right w:val="single" w:sz="4" w:space="0" w:color="auto"/>
            </w:tcBorders>
            <w:shd w:val="clear" w:color="auto" w:fill="auto"/>
            <w:noWrap/>
            <w:vAlign w:val="bottom"/>
            <w:hideMark/>
          </w:tcPr>
          <w:p w14:paraId="292BCBCF"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(899)</w:t>
            </w:r>
          </w:p>
        </w:tc>
        <w:tc>
          <w:tcPr>
            <w:tcW w:w="455" w:type="pct"/>
            <w:tcBorders>
              <w:top w:val="nil"/>
              <w:left w:val="nil"/>
              <w:bottom w:val="nil"/>
              <w:right w:val="single" w:sz="4" w:space="0" w:color="auto"/>
            </w:tcBorders>
            <w:shd w:val="clear" w:color="auto" w:fill="auto"/>
            <w:noWrap/>
            <w:vAlign w:val="bottom"/>
            <w:hideMark/>
          </w:tcPr>
          <w:p w14:paraId="103681A5"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16184852"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bottom"/>
            <w:hideMark/>
          </w:tcPr>
          <w:p w14:paraId="3C9B402A" w14:textId="77777777" w:rsidR="00846FDC" w:rsidRPr="005269E6" w:rsidRDefault="00846FDC" w:rsidP="000E131C">
            <w:pPr>
              <w:tabs>
                <w:tab w:val="clear" w:pos="794"/>
              </w:tabs>
              <w:spacing w:before="20" w:after="20" w:line="18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1 021</w:t>
            </w:r>
          </w:p>
        </w:tc>
        <w:tc>
          <w:tcPr>
            <w:tcW w:w="470" w:type="pct"/>
            <w:tcBorders>
              <w:top w:val="nil"/>
              <w:left w:val="nil"/>
              <w:bottom w:val="nil"/>
              <w:right w:val="single" w:sz="4" w:space="0" w:color="auto"/>
            </w:tcBorders>
            <w:shd w:val="clear" w:color="auto" w:fill="auto"/>
            <w:noWrap/>
            <w:vAlign w:val="bottom"/>
            <w:hideMark/>
          </w:tcPr>
          <w:p w14:paraId="2AF964F3"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122</w:t>
            </w:r>
          </w:p>
        </w:tc>
      </w:tr>
      <w:tr w:rsidR="00846FDC" w:rsidRPr="005269E6" w14:paraId="31FD3963" w14:textId="77777777" w:rsidTr="00666023">
        <w:trPr>
          <w:trHeight w:val="255"/>
          <w:jc w:val="center"/>
        </w:trPr>
        <w:tc>
          <w:tcPr>
            <w:tcW w:w="770" w:type="pct"/>
            <w:tcBorders>
              <w:top w:val="nil"/>
              <w:left w:val="single" w:sz="4" w:space="0" w:color="auto"/>
              <w:bottom w:val="nil"/>
              <w:right w:val="nil"/>
            </w:tcBorders>
            <w:shd w:val="clear" w:color="auto" w:fill="auto"/>
            <w:hideMark/>
          </w:tcPr>
          <w:p w14:paraId="41628EB9" w14:textId="77777777" w:rsidR="00846FDC" w:rsidRPr="005269E6" w:rsidRDefault="00846FDC" w:rsidP="00666023">
            <w:pPr>
              <w:tabs>
                <w:tab w:val="clear" w:pos="794"/>
              </w:tabs>
              <w:spacing w:before="20" w:after="20" w:line="180" w:lineRule="exact"/>
              <w:ind w:left="271"/>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نفقات مالية</w:t>
            </w:r>
          </w:p>
        </w:tc>
        <w:tc>
          <w:tcPr>
            <w:tcW w:w="458" w:type="pct"/>
            <w:tcBorders>
              <w:top w:val="nil"/>
              <w:left w:val="single" w:sz="4" w:space="0" w:color="auto"/>
              <w:bottom w:val="nil"/>
              <w:right w:val="single" w:sz="4" w:space="0" w:color="auto"/>
            </w:tcBorders>
            <w:shd w:val="clear" w:color="auto" w:fill="auto"/>
            <w:noWrap/>
            <w:vAlign w:val="bottom"/>
            <w:hideMark/>
          </w:tcPr>
          <w:p w14:paraId="7D0A1CAE"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47</w:t>
            </w:r>
          </w:p>
        </w:tc>
        <w:tc>
          <w:tcPr>
            <w:tcW w:w="456" w:type="pct"/>
            <w:tcBorders>
              <w:top w:val="nil"/>
              <w:left w:val="nil"/>
              <w:bottom w:val="nil"/>
              <w:right w:val="single" w:sz="4" w:space="0" w:color="auto"/>
            </w:tcBorders>
            <w:shd w:val="clear" w:color="auto" w:fill="auto"/>
            <w:noWrap/>
            <w:vAlign w:val="bottom"/>
            <w:hideMark/>
          </w:tcPr>
          <w:p w14:paraId="07FB3860"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w:t>
            </w:r>
          </w:p>
        </w:tc>
        <w:tc>
          <w:tcPr>
            <w:tcW w:w="495" w:type="pct"/>
            <w:tcBorders>
              <w:top w:val="nil"/>
              <w:left w:val="nil"/>
              <w:bottom w:val="nil"/>
              <w:right w:val="single" w:sz="4" w:space="0" w:color="auto"/>
            </w:tcBorders>
            <w:shd w:val="clear" w:color="auto" w:fill="auto"/>
            <w:noWrap/>
            <w:vAlign w:val="bottom"/>
            <w:hideMark/>
          </w:tcPr>
          <w:p w14:paraId="4BAE6369"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w:t>
            </w:r>
          </w:p>
        </w:tc>
        <w:tc>
          <w:tcPr>
            <w:tcW w:w="490" w:type="pct"/>
            <w:tcBorders>
              <w:top w:val="nil"/>
              <w:left w:val="nil"/>
              <w:bottom w:val="nil"/>
              <w:right w:val="single" w:sz="4" w:space="0" w:color="auto"/>
            </w:tcBorders>
            <w:shd w:val="clear" w:color="auto" w:fill="auto"/>
            <w:noWrap/>
            <w:vAlign w:val="bottom"/>
            <w:hideMark/>
          </w:tcPr>
          <w:p w14:paraId="7C28973F"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14</w:t>
            </w:r>
          </w:p>
        </w:tc>
        <w:tc>
          <w:tcPr>
            <w:tcW w:w="552" w:type="pct"/>
            <w:tcBorders>
              <w:top w:val="nil"/>
              <w:left w:val="single" w:sz="4" w:space="0" w:color="auto"/>
              <w:bottom w:val="nil"/>
              <w:right w:val="single" w:sz="4" w:space="0" w:color="auto"/>
            </w:tcBorders>
            <w:shd w:val="clear" w:color="auto" w:fill="auto"/>
            <w:noWrap/>
            <w:vAlign w:val="bottom"/>
            <w:hideMark/>
          </w:tcPr>
          <w:p w14:paraId="3C3F3F80"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64</w:t>
            </w:r>
          </w:p>
        </w:tc>
        <w:tc>
          <w:tcPr>
            <w:tcW w:w="455" w:type="pct"/>
            <w:tcBorders>
              <w:top w:val="nil"/>
              <w:left w:val="nil"/>
              <w:bottom w:val="nil"/>
              <w:right w:val="single" w:sz="4" w:space="0" w:color="auto"/>
            </w:tcBorders>
            <w:shd w:val="clear" w:color="auto" w:fill="auto"/>
            <w:noWrap/>
            <w:vAlign w:val="bottom"/>
            <w:hideMark/>
          </w:tcPr>
          <w:p w14:paraId="6173F5D4"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206</w:t>
            </w:r>
          </w:p>
        </w:tc>
        <w:tc>
          <w:tcPr>
            <w:tcW w:w="426" w:type="pct"/>
            <w:tcBorders>
              <w:top w:val="nil"/>
              <w:left w:val="nil"/>
              <w:bottom w:val="nil"/>
              <w:right w:val="single" w:sz="4" w:space="0" w:color="auto"/>
            </w:tcBorders>
            <w:shd w:val="clear" w:color="auto" w:fill="auto"/>
            <w:noWrap/>
            <w:vAlign w:val="bottom"/>
            <w:hideMark/>
          </w:tcPr>
          <w:p w14:paraId="38AAA82C" w14:textId="77777777" w:rsidR="00846FDC" w:rsidRPr="005269E6" w:rsidRDefault="00846FDC" w:rsidP="000E131C">
            <w:pPr>
              <w:tabs>
                <w:tab w:val="clear" w:pos="794"/>
              </w:tabs>
              <w:spacing w:before="20" w:after="20" w:line="18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11</w:t>
            </w:r>
          </w:p>
        </w:tc>
        <w:tc>
          <w:tcPr>
            <w:tcW w:w="426" w:type="pct"/>
            <w:tcBorders>
              <w:top w:val="nil"/>
              <w:left w:val="nil"/>
              <w:bottom w:val="nil"/>
              <w:right w:val="single" w:sz="4" w:space="0" w:color="auto"/>
            </w:tcBorders>
            <w:shd w:val="clear" w:color="auto" w:fill="auto"/>
            <w:noWrap/>
            <w:vAlign w:val="bottom"/>
            <w:hideMark/>
          </w:tcPr>
          <w:p w14:paraId="060277E1" w14:textId="77777777" w:rsidR="00846FDC" w:rsidRPr="005269E6" w:rsidRDefault="00846FDC" w:rsidP="000E131C">
            <w:pPr>
              <w:tabs>
                <w:tab w:val="clear" w:pos="794"/>
              </w:tabs>
              <w:spacing w:before="20" w:after="20" w:line="18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3 361</w:t>
            </w:r>
          </w:p>
        </w:tc>
        <w:tc>
          <w:tcPr>
            <w:tcW w:w="470" w:type="pct"/>
            <w:tcBorders>
              <w:top w:val="nil"/>
              <w:left w:val="nil"/>
              <w:bottom w:val="nil"/>
              <w:right w:val="single" w:sz="4" w:space="0" w:color="auto"/>
            </w:tcBorders>
            <w:shd w:val="clear" w:color="auto" w:fill="auto"/>
            <w:noWrap/>
            <w:vAlign w:val="bottom"/>
            <w:hideMark/>
          </w:tcPr>
          <w:p w14:paraId="27BDA8B0" w14:textId="77777777" w:rsidR="00846FDC" w:rsidRPr="005269E6" w:rsidRDefault="00846FDC" w:rsidP="000E131C">
            <w:pPr>
              <w:tabs>
                <w:tab w:val="clear" w:pos="794"/>
              </w:tabs>
              <w:spacing w:before="20" w:after="20" w:line="18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3 642</w:t>
            </w:r>
          </w:p>
        </w:tc>
      </w:tr>
      <w:tr w:rsidR="00846FDC" w:rsidRPr="005269E6" w14:paraId="16491695" w14:textId="77777777" w:rsidTr="00666023">
        <w:trPr>
          <w:trHeight w:val="255"/>
          <w:jc w:val="center"/>
        </w:trPr>
        <w:tc>
          <w:tcPr>
            <w:tcW w:w="770" w:type="pct"/>
            <w:tcBorders>
              <w:top w:val="single" w:sz="4" w:space="0" w:color="auto"/>
              <w:left w:val="single" w:sz="4" w:space="0" w:color="auto"/>
              <w:bottom w:val="single" w:sz="4" w:space="0" w:color="auto"/>
              <w:right w:val="nil"/>
            </w:tcBorders>
            <w:shd w:val="clear" w:color="auto" w:fill="auto"/>
            <w:noWrap/>
            <w:hideMark/>
          </w:tcPr>
          <w:p w14:paraId="5A8F4F73" w14:textId="77777777" w:rsidR="00846FDC" w:rsidRPr="005269E6" w:rsidRDefault="00846FDC" w:rsidP="00666023">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position w:val="2"/>
                <w:sz w:val="16"/>
                <w:szCs w:val="16"/>
                <w:rtl/>
                <w:lang w:val="fr-FR" w:eastAsia="en-US" w:bidi="ar-EG"/>
              </w:rPr>
              <w:t>مجموع النفقات</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7C95E"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96 328</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4524E5C7"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35 631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338FD9D6"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16 254</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30A4B8B7"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34 812</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14:paraId="3A4F1361"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183 025</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06A75459"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5</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5C5B8138"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4</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3D792599"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19 948</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6BA439C4"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196 805</w:t>
            </w:r>
          </w:p>
        </w:tc>
      </w:tr>
      <w:tr w:rsidR="00846FDC" w:rsidRPr="005269E6" w14:paraId="0117B77E" w14:textId="77777777" w:rsidTr="00666023">
        <w:trPr>
          <w:trHeight w:hRule="exact" w:val="76"/>
          <w:jc w:val="center"/>
        </w:trPr>
        <w:tc>
          <w:tcPr>
            <w:tcW w:w="770" w:type="pct"/>
            <w:tcBorders>
              <w:top w:val="nil"/>
              <w:left w:val="single" w:sz="4" w:space="0" w:color="auto"/>
              <w:bottom w:val="nil"/>
              <w:right w:val="nil"/>
            </w:tcBorders>
            <w:shd w:val="clear" w:color="auto" w:fill="auto"/>
            <w:hideMark/>
          </w:tcPr>
          <w:p w14:paraId="0CF407B5" w14:textId="77777777" w:rsidR="00846FDC" w:rsidRPr="005269E6" w:rsidRDefault="00846FDC" w:rsidP="00666023">
            <w:pPr>
              <w:tabs>
                <w:tab w:val="clear" w:pos="794"/>
              </w:tabs>
              <w:spacing w:before="0" w:line="2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 </w:t>
            </w:r>
          </w:p>
        </w:tc>
        <w:tc>
          <w:tcPr>
            <w:tcW w:w="458" w:type="pct"/>
            <w:tcBorders>
              <w:top w:val="nil"/>
              <w:left w:val="single" w:sz="4" w:space="0" w:color="auto"/>
              <w:bottom w:val="nil"/>
              <w:right w:val="single" w:sz="4" w:space="0" w:color="auto"/>
            </w:tcBorders>
            <w:shd w:val="clear" w:color="auto" w:fill="auto"/>
            <w:noWrap/>
            <w:vAlign w:val="center"/>
            <w:hideMark/>
          </w:tcPr>
          <w:p w14:paraId="08D8595D"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56" w:type="pct"/>
            <w:tcBorders>
              <w:top w:val="nil"/>
              <w:left w:val="nil"/>
              <w:bottom w:val="nil"/>
              <w:right w:val="single" w:sz="4" w:space="0" w:color="auto"/>
            </w:tcBorders>
            <w:shd w:val="clear" w:color="auto" w:fill="auto"/>
            <w:noWrap/>
            <w:vAlign w:val="center"/>
            <w:hideMark/>
          </w:tcPr>
          <w:p w14:paraId="6EE8F782"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center"/>
            <w:hideMark/>
          </w:tcPr>
          <w:p w14:paraId="7A6C354D"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center"/>
            <w:hideMark/>
          </w:tcPr>
          <w:p w14:paraId="2445CD93" w14:textId="77777777" w:rsidR="00846FDC" w:rsidRPr="005269E6" w:rsidRDefault="00846FDC" w:rsidP="000E131C">
            <w:pPr>
              <w:tabs>
                <w:tab w:val="clear" w:pos="794"/>
              </w:tabs>
              <w:bidi w:val="0"/>
              <w:spacing w:before="0" w:line="20" w:lineRule="exact"/>
              <w:jc w:val="left"/>
              <w:rPr>
                <w:rFonts w:eastAsia="Times New Roman"/>
                <w:b/>
                <w:bCs/>
                <w:color w:val="000000"/>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center"/>
            <w:hideMark/>
          </w:tcPr>
          <w:p w14:paraId="24EC4AF5"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center"/>
            <w:hideMark/>
          </w:tcPr>
          <w:p w14:paraId="18046895"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7C2CCBDB"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5D958572"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center"/>
            <w:hideMark/>
          </w:tcPr>
          <w:p w14:paraId="4C2D4E0A"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r>
      <w:tr w:rsidR="00846FDC" w:rsidRPr="005269E6" w14:paraId="2D38B2DC" w14:textId="77777777" w:rsidTr="00666023">
        <w:trPr>
          <w:trHeight w:val="90"/>
          <w:jc w:val="center"/>
        </w:trPr>
        <w:tc>
          <w:tcPr>
            <w:tcW w:w="770" w:type="pct"/>
            <w:tcBorders>
              <w:top w:val="single" w:sz="4" w:space="0" w:color="auto"/>
              <w:left w:val="single" w:sz="4" w:space="0" w:color="auto"/>
              <w:bottom w:val="single" w:sz="4" w:space="0" w:color="auto"/>
              <w:right w:val="nil"/>
            </w:tcBorders>
            <w:shd w:val="clear" w:color="auto" w:fill="auto"/>
            <w:hideMark/>
          </w:tcPr>
          <w:p w14:paraId="05E718CB" w14:textId="77777777" w:rsidR="00846FDC" w:rsidRPr="005269E6" w:rsidRDefault="00846FDC" w:rsidP="00666023">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position w:val="2"/>
                <w:sz w:val="16"/>
                <w:szCs w:val="16"/>
                <w:rtl/>
                <w:lang w:val="fr-FR" w:eastAsia="en-US" w:bidi="ar-EG"/>
              </w:rPr>
              <w:t>فائض/(عجز) الفترة المالية</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EEA2F"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151</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0A5AC229"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73</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56D75220"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33</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1D76809B"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59</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14:paraId="66308456"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315</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6E51C2C3"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51A9A5C7"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75</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7449B5B5"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(66)</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4ACCC89B"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313</w:t>
            </w:r>
          </w:p>
        </w:tc>
      </w:tr>
      <w:tr w:rsidR="00846FDC" w:rsidRPr="005269E6" w14:paraId="1168A64D" w14:textId="77777777" w:rsidTr="00666023">
        <w:trPr>
          <w:trHeight w:val="50"/>
          <w:jc w:val="center"/>
        </w:trPr>
        <w:tc>
          <w:tcPr>
            <w:tcW w:w="770" w:type="pct"/>
            <w:tcBorders>
              <w:top w:val="single" w:sz="4" w:space="0" w:color="auto"/>
              <w:left w:val="single" w:sz="4" w:space="0" w:color="auto"/>
              <w:bottom w:val="single" w:sz="4" w:space="0" w:color="auto"/>
              <w:right w:val="nil"/>
            </w:tcBorders>
            <w:shd w:val="clear" w:color="auto" w:fill="auto"/>
          </w:tcPr>
          <w:p w14:paraId="73325F83" w14:textId="77777777" w:rsidR="00846FDC" w:rsidRPr="005269E6" w:rsidRDefault="00846FDC" w:rsidP="00666023">
            <w:pPr>
              <w:tabs>
                <w:tab w:val="clear" w:pos="794"/>
              </w:tabs>
              <w:spacing w:before="0" w:line="20" w:lineRule="exact"/>
              <w:jc w:val="left"/>
              <w:rPr>
                <w:rFonts w:eastAsia="Times New Roman"/>
                <w:b/>
                <w:bCs/>
                <w:color w:val="000000"/>
                <w:position w:val="2"/>
                <w:sz w:val="16"/>
                <w:szCs w:val="16"/>
                <w:rtl/>
                <w:lang w:val="en-GB" w:eastAsia="en-GB"/>
              </w:rPr>
            </w:pP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70A44"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4DA1BF46"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5133C1E9"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49A2ED8C"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552" w:type="pct"/>
            <w:tcBorders>
              <w:top w:val="single" w:sz="4" w:space="0" w:color="auto"/>
              <w:left w:val="nil"/>
              <w:bottom w:val="single" w:sz="4" w:space="0" w:color="auto"/>
              <w:right w:val="single" w:sz="4" w:space="0" w:color="auto"/>
            </w:tcBorders>
            <w:shd w:val="clear" w:color="auto" w:fill="auto"/>
            <w:noWrap/>
            <w:vAlign w:val="center"/>
          </w:tcPr>
          <w:p w14:paraId="0A7FEEE7"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68FCBBA1"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42B6F3AB"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7FAEBB56"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6D55D8BC" w14:textId="77777777" w:rsidR="00846FDC" w:rsidRPr="005269E6" w:rsidRDefault="00846FDC" w:rsidP="000E131C">
            <w:pPr>
              <w:tabs>
                <w:tab w:val="clear" w:pos="794"/>
              </w:tabs>
              <w:spacing w:before="0" w:line="20" w:lineRule="exact"/>
              <w:jc w:val="left"/>
              <w:rPr>
                <w:rFonts w:eastAsia="Times New Roman"/>
                <w:b/>
                <w:bCs/>
                <w:color w:val="000000"/>
                <w:position w:val="2"/>
                <w:sz w:val="16"/>
                <w:szCs w:val="16"/>
                <w:lang w:val="en-GB" w:eastAsia="en-GB"/>
              </w:rPr>
            </w:pPr>
          </w:p>
        </w:tc>
      </w:tr>
      <w:tr w:rsidR="00846FDC" w:rsidRPr="005269E6" w14:paraId="2B3AE992" w14:textId="77777777" w:rsidTr="0043123D">
        <w:trPr>
          <w:trHeight w:val="360"/>
          <w:jc w:val="center"/>
        </w:trPr>
        <w:tc>
          <w:tcPr>
            <w:tcW w:w="770" w:type="pct"/>
            <w:tcBorders>
              <w:top w:val="single" w:sz="4" w:space="0" w:color="auto"/>
              <w:left w:val="single" w:sz="4" w:space="0" w:color="auto"/>
              <w:bottom w:val="single" w:sz="4" w:space="0" w:color="auto"/>
              <w:right w:val="nil"/>
            </w:tcBorders>
            <w:shd w:val="clear" w:color="auto" w:fill="538DD5"/>
          </w:tcPr>
          <w:p w14:paraId="76C09124" w14:textId="551DB2AB" w:rsidR="00846FDC" w:rsidRPr="005269E6" w:rsidRDefault="00BB0BBD" w:rsidP="00666023">
            <w:pPr>
              <w:tabs>
                <w:tab w:val="clear" w:pos="794"/>
              </w:tabs>
              <w:spacing w:before="20" w:after="20" w:line="180" w:lineRule="exact"/>
              <w:jc w:val="left"/>
              <w:rPr>
                <w:rFonts w:eastAsia="Times New Roman"/>
                <w:b/>
                <w:bCs/>
                <w:position w:val="2"/>
                <w:sz w:val="16"/>
                <w:szCs w:val="16"/>
                <w:rtl/>
                <w:lang w:val="fr-FR" w:eastAsia="en-US" w:bidi="ar-SY"/>
              </w:rPr>
            </w:pPr>
            <w:r w:rsidRPr="005269E6">
              <w:rPr>
                <w:rFonts w:eastAsia="Times New Roman"/>
                <w:b/>
                <w:bCs/>
                <w:position w:val="2"/>
                <w:sz w:val="16"/>
                <w:szCs w:val="16"/>
                <w:rtl/>
                <w:lang w:val="fr-FR" w:eastAsia="en-US" w:bidi="ar-SY"/>
              </w:rPr>
              <w:t>النتيجة الصافية</w:t>
            </w:r>
          </w:p>
        </w:tc>
        <w:tc>
          <w:tcPr>
            <w:tcW w:w="458" w:type="pct"/>
            <w:tcBorders>
              <w:top w:val="single" w:sz="4" w:space="0" w:color="auto"/>
              <w:left w:val="single" w:sz="4" w:space="0" w:color="auto"/>
              <w:bottom w:val="single" w:sz="4" w:space="0" w:color="auto"/>
              <w:right w:val="single" w:sz="4" w:space="0" w:color="auto"/>
            </w:tcBorders>
            <w:shd w:val="clear" w:color="auto" w:fill="538DD5"/>
            <w:noWrap/>
            <w:vAlign w:val="center"/>
          </w:tcPr>
          <w:p w14:paraId="548D029F"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eastAsia="en-GB"/>
              </w:rPr>
            </w:pPr>
            <w:r w:rsidRPr="005269E6">
              <w:rPr>
                <w:rFonts w:eastAsia="Times New Roman"/>
                <w:b/>
                <w:bCs/>
                <w:color w:val="000000"/>
                <w:position w:val="2"/>
                <w:sz w:val="16"/>
                <w:szCs w:val="16"/>
                <w:lang w:eastAsia="en-GB"/>
              </w:rPr>
              <w:t>(36 921)</w:t>
            </w:r>
          </w:p>
        </w:tc>
        <w:tc>
          <w:tcPr>
            <w:tcW w:w="456" w:type="pct"/>
            <w:tcBorders>
              <w:top w:val="single" w:sz="4" w:space="0" w:color="auto"/>
              <w:left w:val="nil"/>
              <w:bottom w:val="single" w:sz="4" w:space="0" w:color="auto"/>
              <w:right w:val="single" w:sz="4" w:space="0" w:color="auto"/>
            </w:tcBorders>
            <w:shd w:val="clear" w:color="auto" w:fill="538DD5"/>
            <w:noWrap/>
            <w:vAlign w:val="center"/>
          </w:tcPr>
          <w:p w14:paraId="40AA6102"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17 556</w:t>
            </w:r>
          </w:p>
        </w:tc>
        <w:tc>
          <w:tcPr>
            <w:tcW w:w="495" w:type="pct"/>
            <w:tcBorders>
              <w:top w:val="single" w:sz="4" w:space="0" w:color="auto"/>
              <w:left w:val="nil"/>
              <w:bottom w:val="single" w:sz="4" w:space="0" w:color="auto"/>
              <w:right w:val="single" w:sz="4" w:space="0" w:color="auto"/>
            </w:tcBorders>
            <w:shd w:val="clear" w:color="auto" w:fill="538DD5"/>
            <w:noWrap/>
            <w:vAlign w:val="center"/>
          </w:tcPr>
          <w:p w14:paraId="63585BFF"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1 893</w:t>
            </w:r>
          </w:p>
        </w:tc>
        <w:tc>
          <w:tcPr>
            <w:tcW w:w="490" w:type="pct"/>
            <w:tcBorders>
              <w:top w:val="single" w:sz="4" w:space="0" w:color="auto"/>
              <w:left w:val="nil"/>
              <w:bottom w:val="single" w:sz="4" w:space="0" w:color="auto"/>
              <w:right w:val="single" w:sz="4" w:space="0" w:color="auto"/>
            </w:tcBorders>
            <w:shd w:val="clear" w:color="auto" w:fill="538DD5"/>
            <w:noWrap/>
            <w:vAlign w:val="center"/>
          </w:tcPr>
          <w:p w14:paraId="4FCE3069"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(11 402)</w:t>
            </w:r>
          </w:p>
        </w:tc>
        <w:tc>
          <w:tcPr>
            <w:tcW w:w="552" w:type="pct"/>
            <w:tcBorders>
              <w:top w:val="single" w:sz="4" w:space="0" w:color="auto"/>
              <w:left w:val="nil"/>
              <w:bottom w:val="single" w:sz="4" w:space="0" w:color="auto"/>
              <w:right w:val="single" w:sz="4" w:space="0" w:color="auto"/>
            </w:tcBorders>
            <w:shd w:val="clear" w:color="auto" w:fill="538DD5"/>
            <w:noWrap/>
            <w:vAlign w:val="center"/>
          </w:tcPr>
          <w:p w14:paraId="3423FFC4"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(28 874)</w:t>
            </w:r>
          </w:p>
        </w:tc>
        <w:tc>
          <w:tcPr>
            <w:tcW w:w="455" w:type="pct"/>
            <w:tcBorders>
              <w:top w:val="single" w:sz="4" w:space="0" w:color="auto"/>
              <w:left w:val="nil"/>
              <w:bottom w:val="single" w:sz="4" w:space="0" w:color="auto"/>
              <w:right w:val="single" w:sz="4" w:space="0" w:color="auto"/>
            </w:tcBorders>
            <w:shd w:val="clear" w:color="auto" w:fill="538DD5"/>
            <w:noWrap/>
            <w:vAlign w:val="center"/>
          </w:tcPr>
          <w:p w14:paraId="6417D0F3"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253</w:t>
            </w:r>
          </w:p>
        </w:tc>
        <w:tc>
          <w:tcPr>
            <w:tcW w:w="426" w:type="pct"/>
            <w:tcBorders>
              <w:top w:val="single" w:sz="4" w:space="0" w:color="auto"/>
              <w:left w:val="nil"/>
              <w:bottom w:val="single" w:sz="4" w:space="0" w:color="auto"/>
              <w:right w:val="single" w:sz="4" w:space="0" w:color="auto"/>
            </w:tcBorders>
            <w:shd w:val="clear" w:color="auto" w:fill="538DD5"/>
            <w:noWrap/>
            <w:vAlign w:val="center"/>
          </w:tcPr>
          <w:p w14:paraId="00B7F6D0"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89</w:t>
            </w:r>
          </w:p>
        </w:tc>
        <w:tc>
          <w:tcPr>
            <w:tcW w:w="426" w:type="pct"/>
            <w:tcBorders>
              <w:top w:val="single" w:sz="4" w:space="0" w:color="auto"/>
              <w:left w:val="nil"/>
              <w:bottom w:val="single" w:sz="4" w:space="0" w:color="auto"/>
              <w:right w:val="single" w:sz="4" w:space="0" w:color="auto"/>
            </w:tcBorders>
            <w:shd w:val="clear" w:color="auto" w:fill="538DD5"/>
            <w:noWrap/>
            <w:vAlign w:val="center"/>
          </w:tcPr>
          <w:p w14:paraId="2C8438B2"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(2 087)</w:t>
            </w:r>
          </w:p>
        </w:tc>
        <w:tc>
          <w:tcPr>
            <w:tcW w:w="470" w:type="pct"/>
            <w:tcBorders>
              <w:top w:val="single" w:sz="4" w:space="0" w:color="auto"/>
              <w:left w:val="nil"/>
              <w:bottom w:val="single" w:sz="4" w:space="0" w:color="auto"/>
              <w:right w:val="single" w:sz="4" w:space="0" w:color="auto"/>
            </w:tcBorders>
            <w:shd w:val="clear" w:color="auto" w:fill="538DD5"/>
            <w:noWrap/>
            <w:vAlign w:val="center"/>
          </w:tcPr>
          <w:p w14:paraId="677FC1CE" w14:textId="77777777" w:rsidR="00846FDC" w:rsidRPr="005269E6" w:rsidRDefault="00846FDC" w:rsidP="000E131C">
            <w:pPr>
              <w:tabs>
                <w:tab w:val="clear" w:pos="794"/>
              </w:tabs>
              <w:spacing w:before="20" w:after="20" w:line="18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(24 442)</w:t>
            </w:r>
          </w:p>
        </w:tc>
      </w:tr>
    </w:tbl>
    <w:p w14:paraId="1C72CB4D" w14:textId="77777777" w:rsidR="00846FDC" w:rsidRPr="005269E6" w:rsidRDefault="00846FDC" w:rsidP="00846FDC">
      <w:pPr>
        <w:rPr>
          <w:rtl/>
          <w:lang w:bidi="ar-SY"/>
        </w:rPr>
      </w:pPr>
    </w:p>
    <w:p w14:paraId="3ECB13FE" w14:textId="77777777" w:rsidR="00C543C6" w:rsidRPr="005269E6" w:rsidRDefault="00C543C6" w:rsidP="00C543C6">
      <w:pPr>
        <w:rPr>
          <w:rtl/>
          <w:lang w:bidi="ar-SY"/>
        </w:rPr>
      </w:pPr>
      <w:r w:rsidRPr="005269E6">
        <w:rPr>
          <w:rtl/>
          <w:lang w:bidi="ar-EG"/>
        </w:rPr>
        <w:br w:type="page"/>
      </w:r>
    </w:p>
    <w:p w14:paraId="0FCAC6ED" w14:textId="5D588D53" w:rsidR="00C543C6" w:rsidRPr="005269E6" w:rsidRDefault="00C543C6" w:rsidP="00C543C6">
      <w:pPr>
        <w:keepNext/>
        <w:keepLines/>
        <w:spacing w:after="120"/>
        <w:ind w:left="1134" w:hanging="1134"/>
        <w:outlineLvl w:val="4"/>
        <w:rPr>
          <w:rFonts w:eastAsiaTheme="majorEastAsia"/>
          <w:b/>
          <w:bCs/>
        </w:rPr>
      </w:pPr>
      <w:bookmarkStart w:id="632" w:name="_Toc452156661"/>
      <w:bookmarkStart w:id="633" w:name="_Toc482792229"/>
      <w:bookmarkStart w:id="634" w:name="_Toc482793734"/>
      <w:bookmarkStart w:id="635" w:name="_Toc511402250"/>
      <w:bookmarkStart w:id="636" w:name="_Toc511756687"/>
      <w:r w:rsidRPr="005269E6">
        <w:rPr>
          <w:rFonts w:eastAsiaTheme="majorEastAsia" w:hint="cs"/>
          <w:b/>
          <w:bCs/>
          <w:rtl/>
        </w:rPr>
        <w:lastRenderedPageBreak/>
        <w:t>الإبلاغ بحسب الأبواب</w:t>
      </w:r>
      <w:r w:rsidRPr="005269E6">
        <w:rPr>
          <w:rFonts w:eastAsiaTheme="majorEastAsia"/>
          <w:b/>
          <w:bCs/>
          <w:rtl/>
        </w:rPr>
        <w:t xml:space="preserve"> - بيان الأداء المالي </w:t>
      </w:r>
      <w:bookmarkEnd w:id="632"/>
      <w:bookmarkEnd w:id="633"/>
      <w:bookmarkEnd w:id="634"/>
      <w:bookmarkEnd w:id="635"/>
      <w:bookmarkEnd w:id="636"/>
      <w:r w:rsidR="009826D2" w:rsidRPr="005269E6">
        <w:rPr>
          <w:rFonts w:eastAsiaTheme="majorEastAsia"/>
          <w:b/>
          <w:bCs/>
        </w:rPr>
        <w:t>2021</w:t>
      </w:r>
    </w:p>
    <w:tbl>
      <w:tblPr>
        <w:tblpPr w:leftFromText="180" w:rightFromText="180" w:vertAnchor="text" w:tblpXSpec="center" w:tblpY="1"/>
        <w:tblOverlap w:val="never"/>
        <w:bidiVisual/>
        <w:tblW w:w="4988" w:type="pct"/>
        <w:jc w:val="center"/>
        <w:tblLayout w:type="fixed"/>
        <w:tblLook w:val="04A0" w:firstRow="1" w:lastRow="0" w:firstColumn="1" w:lastColumn="0" w:noHBand="0" w:noVBand="1"/>
      </w:tblPr>
      <w:tblGrid>
        <w:gridCol w:w="2412"/>
        <w:gridCol w:w="1435"/>
        <w:gridCol w:w="1429"/>
        <w:gridCol w:w="1551"/>
        <w:gridCol w:w="1535"/>
        <w:gridCol w:w="1730"/>
        <w:gridCol w:w="1426"/>
        <w:gridCol w:w="1334"/>
        <w:gridCol w:w="1334"/>
        <w:gridCol w:w="1472"/>
      </w:tblGrid>
      <w:tr w:rsidR="00D854CD" w:rsidRPr="005269E6" w14:paraId="58A98813" w14:textId="77777777" w:rsidTr="007E5EA2">
        <w:trPr>
          <w:trHeight w:val="675"/>
          <w:jc w:val="center"/>
        </w:trPr>
        <w:tc>
          <w:tcPr>
            <w:tcW w:w="770" w:type="pct"/>
            <w:tcBorders>
              <w:top w:val="single" w:sz="4" w:space="0" w:color="auto"/>
              <w:left w:val="single" w:sz="4" w:space="0" w:color="auto"/>
              <w:bottom w:val="single" w:sz="4" w:space="0" w:color="auto"/>
              <w:right w:val="nil"/>
            </w:tcBorders>
            <w:shd w:val="clear" w:color="auto" w:fill="538DD5"/>
            <w:noWrap/>
            <w:vAlign w:val="center"/>
            <w:hideMark/>
          </w:tcPr>
          <w:p w14:paraId="713E28CB" w14:textId="77777777" w:rsidR="00D854CD" w:rsidRPr="005269E6" w:rsidRDefault="00D854CD" w:rsidP="007E5EA2">
            <w:pPr>
              <w:keepNext/>
              <w:spacing w:before="20" w:after="20" w:line="240" w:lineRule="exact"/>
              <w:jc w:val="center"/>
              <w:rPr>
                <w:b/>
                <w:bCs/>
                <w:position w:val="2"/>
                <w:sz w:val="16"/>
                <w:szCs w:val="16"/>
                <w:lang w:eastAsia="en-US" w:bidi="ar-EG"/>
              </w:rPr>
            </w:pPr>
            <w:bookmarkStart w:id="637" w:name="_Hlk72509784"/>
            <w:r w:rsidRPr="005269E6">
              <w:rPr>
                <w:b/>
                <w:bCs/>
                <w:position w:val="2"/>
                <w:sz w:val="16"/>
                <w:szCs w:val="16"/>
                <w:rtl/>
                <w:lang w:eastAsia="en-US" w:bidi="ar-EG"/>
              </w:rPr>
              <w:t>بآلاف الفرنكات السويسرية</w:t>
            </w:r>
          </w:p>
        </w:tc>
        <w:tc>
          <w:tcPr>
            <w:tcW w:w="458" w:type="pct"/>
            <w:tcBorders>
              <w:top w:val="single" w:sz="4" w:space="0" w:color="auto"/>
              <w:left w:val="single" w:sz="4" w:space="0" w:color="auto"/>
              <w:bottom w:val="single" w:sz="4" w:space="0" w:color="auto"/>
              <w:right w:val="nil"/>
            </w:tcBorders>
            <w:shd w:val="clear" w:color="auto" w:fill="538DD5"/>
            <w:vAlign w:val="center"/>
            <w:hideMark/>
          </w:tcPr>
          <w:p w14:paraId="78AFE483" w14:textId="77777777" w:rsidR="00D854CD" w:rsidRPr="005269E6" w:rsidRDefault="00D854CD" w:rsidP="007E5EA2">
            <w:pPr>
              <w:keepNext/>
              <w:spacing w:before="20" w:after="20" w:line="240" w:lineRule="exact"/>
              <w:jc w:val="center"/>
              <w:rPr>
                <w:b/>
                <w:bCs/>
                <w:position w:val="2"/>
                <w:sz w:val="16"/>
                <w:szCs w:val="16"/>
                <w:lang w:eastAsia="en-US" w:bidi="ar-EG"/>
              </w:rPr>
            </w:pPr>
            <w:r w:rsidRPr="005269E6">
              <w:rPr>
                <w:b/>
                <w:bCs/>
                <w:position w:val="2"/>
                <w:sz w:val="16"/>
                <w:szCs w:val="16"/>
                <w:rtl/>
                <w:lang w:eastAsia="en-US" w:bidi="ar-EG"/>
              </w:rPr>
              <w:t>الأمانة العامة</w:t>
            </w:r>
          </w:p>
        </w:tc>
        <w:tc>
          <w:tcPr>
            <w:tcW w:w="456" w:type="pct"/>
            <w:tcBorders>
              <w:top w:val="single" w:sz="4" w:space="0" w:color="auto"/>
              <w:left w:val="single" w:sz="4" w:space="0" w:color="auto"/>
              <w:bottom w:val="single" w:sz="4" w:space="0" w:color="auto"/>
              <w:right w:val="nil"/>
            </w:tcBorders>
            <w:shd w:val="clear" w:color="auto" w:fill="538DD5"/>
            <w:vAlign w:val="center"/>
            <w:hideMark/>
          </w:tcPr>
          <w:p w14:paraId="0EDE5DAB" w14:textId="77777777" w:rsidR="00D854CD" w:rsidRPr="005269E6" w:rsidRDefault="00D854CD" w:rsidP="007E5EA2">
            <w:pPr>
              <w:keepNext/>
              <w:spacing w:before="20" w:after="20" w:line="240" w:lineRule="exact"/>
              <w:jc w:val="center"/>
              <w:rPr>
                <w:b/>
                <w:bCs/>
                <w:position w:val="2"/>
                <w:sz w:val="16"/>
                <w:szCs w:val="16"/>
                <w:lang w:eastAsia="en-US" w:bidi="ar-EG"/>
              </w:rPr>
            </w:pPr>
            <w:r w:rsidRPr="005269E6">
              <w:rPr>
                <w:b/>
                <w:bCs/>
                <w:position w:val="2"/>
                <w:sz w:val="16"/>
                <w:szCs w:val="16"/>
                <w:rtl/>
                <w:lang w:eastAsia="en-US" w:bidi="ar-EG"/>
              </w:rPr>
              <w:t>قطاع الاتصالات الراديوية</w:t>
            </w:r>
          </w:p>
        </w:tc>
        <w:tc>
          <w:tcPr>
            <w:tcW w:w="495" w:type="pct"/>
            <w:tcBorders>
              <w:top w:val="single" w:sz="4" w:space="0" w:color="auto"/>
              <w:left w:val="single" w:sz="4" w:space="0" w:color="auto"/>
              <w:bottom w:val="single" w:sz="4" w:space="0" w:color="auto"/>
              <w:right w:val="nil"/>
            </w:tcBorders>
            <w:shd w:val="clear" w:color="auto" w:fill="538DD5"/>
            <w:vAlign w:val="center"/>
            <w:hideMark/>
          </w:tcPr>
          <w:p w14:paraId="03BC2824" w14:textId="77777777" w:rsidR="00D854CD" w:rsidRPr="005269E6" w:rsidRDefault="00D854CD" w:rsidP="007E5EA2">
            <w:pPr>
              <w:keepNext/>
              <w:spacing w:before="20" w:after="20" w:line="240" w:lineRule="exact"/>
              <w:jc w:val="center"/>
              <w:rPr>
                <w:b/>
                <w:bCs/>
                <w:position w:val="2"/>
                <w:sz w:val="16"/>
                <w:szCs w:val="16"/>
                <w:lang w:eastAsia="en-US" w:bidi="ar-EG"/>
              </w:rPr>
            </w:pPr>
            <w:r w:rsidRPr="005269E6">
              <w:rPr>
                <w:b/>
                <w:bCs/>
                <w:position w:val="2"/>
                <w:sz w:val="16"/>
                <w:szCs w:val="16"/>
                <w:rtl/>
                <w:lang w:eastAsia="en-US" w:bidi="ar-EG"/>
              </w:rPr>
              <w:t>قطاع تقييس الاتصالات</w:t>
            </w:r>
          </w:p>
        </w:tc>
        <w:tc>
          <w:tcPr>
            <w:tcW w:w="490" w:type="pct"/>
            <w:tcBorders>
              <w:top w:val="single" w:sz="4" w:space="0" w:color="auto"/>
              <w:left w:val="single" w:sz="4" w:space="0" w:color="auto"/>
              <w:bottom w:val="single" w:sz="4" w:space="0" w:color="auto"/>
              <w:right w:val="single" w:sz="4" w:space="0" w:color="auto"/>
            </w:tcBorders>
            <w:shd w:val="clear" w:color="auto" w:fill="538DD5"/>
            <w:vAlign w:val="center"/>
            <w:hideMark/>
          </w:tcPr>
          <w:p w14:paraId="645C9756" w14:textId="77777777" w:rsidR="00D854CD" w:rsidRPr="005269E6" w:rsidRDefault="00D854CD" w:rsidP="007E5EA2">
            <w:pPr>
              <w:keepNext/>
              <w:spacing w:before="20" w:after="20" w:line="240" w:lineRule="exact"/>
              <w:jc w:val="center"/>
              <w:rPr>
                <w:b/>
                <w:bCs/>
                <w:position w:val="2"/>
                <w:sz w:val="16"/>
                <w:szCs w:val="16"/>
                <w:lang w:eastAsia="en-US" w:bidi="ar-EG"/>
              </w:rPr>
            </w:pPr>
            <w:r w:rsidRPr="005269E6">
              <w:rPr>
                <w:b/>
                <w:bCs/>
                <w:position w:val="2"/>
                <w:sz w:val="16"/>
                <w:szCs w:val="16"/>
                <w:rtl/>
                <w:lang w:eastAsia="en-US" w:bidi="ar-EG"/>
              </w:rPr>
              <w:t>قطاع تنمية الاتصالات</w:t>
            </w:r>
          </w:p>
        </w:tc>
        <w:tc>
          <w:tcPr>
            <w:tcW w:w="552" w:type="pct"/>
            <w:tcBorders>
              <w:top w:val="single" w:sz="4" w:space="0" w:color="auto"/>
              <w:left w:val="single" w:sz="4" w:space="0" w:color="auto"/>
              <w:bottom w:val="single" w:sz="4" w:space="0" w:color="auto"/>
              <w:right w:val="single" w:sz="4" w:space="0" w:color="auto"/>
            </w:tcBorders>
            <w:shd w:val="clear" w:color="auto" w:fill="538DD5"/>
            <w:vAlign w:val="center"/>
            <w:hideMark/>
          </w:tcPr>
          <w:p w14:paraId="193491D1" w14:textId="6574D3F5" w:rsidR="00D854CD" w:rsidRPr="005269E6" w:rsidRDefault="00D854CD" w:rsidP="007E5EA2">
            <w:pPr>
              <w:keepNext/>
              <w:spacing w:before="20" w:after="20" w:line="240" w:lineRule="exact"/>
              <w:jc w:val="center"/>
              <w:rPr>
                <w:b/>
                <w:bCs/>
                <w:position w:val="2"/>
                <w:sz w:val="16"/>
                <w:szCs w:val="16"/>
                <w:lang w:eastAsia="en-US" w:bidi="ar-EG"/>
              </w:rPr>
            </w:pPr>
            <w:r w:rsidRPr="005269E6">
              <w:rPr>
                <w:b/>
                <w:bCs/>
                <w:position w:val="2"/>
                <w:sz w:val="16"/>
                <w:szCs w:val="16"/>
                <w:rtl/>
                <w:lang w:eastAsia="en-US" w:bidi="ar-EG"/>
              </w:rPr>
              <w:t>إجمالي الأموال العادية</w:t>
            </w:r>
          </w:p>
        </w:tc>
        <w:tc>
          <w:tcPr>
            <w:tcW w:w="455" w:type="pct"/>
            <w:tcBorders>
              <w:top w:val="single" w:sz="4" w:space="0" w:color="auto"/>
              <w:left w:val="nil"/>
              <w:bottom w:val="single" w:sz="4" w:space="0" w:color="auto"/>
              <w:right w:val="single" w:sz="4" w:space="0" w:color="auto"/>
            </w:tcBorders>
            <w:shd w:val="clear" w:color="auto" w:fill="538DD5"/>
            <w:vAlign w:val="center"/>
            <w:hideMark/>
          </w:tcPr>
          <w:p w14:paraId="10CAC570" w14:textId="77777777" w:rsidR="00D854CD" w:rsidRPr="005269E6" w:rsidRDefault="00D854CD" w:rsidP="007E5EA2">
            <w:pPr>
              <w:keepNext/>
              <w:spacing w:before="20" w:after="20" w:line="240" w:lineRule="exact"/>
              <w:jc w:val="center"/>
              <w:rPr>
                <w:b/>
                <w:bCs/>
                <w:position w:val="2"/>
                <w:sz w:val="16"/>
                <w:szCs w:val="16"/>
                <w:lang w:eastAsia="en-US" w:bidi="ar-EG"/>
              </w:rPr>
            </w:pPr>
            <w:r w:rsidRPr="005269E6">
              <w:rPr>
                <w:b/>
                <w:bCs/>
                <w:position w:val="2"/>
                <w:sz w:val="16"/>
                <w:szCs w:val="16"/>
                <w:rtl/>
                <w:lang w:eastAsia="en-US" w:bidi="ar-EG"/>
              </w:rPr>
              <w:t>صندوق المبنى الجديد</w:t>
            </w:r>
          </w:p>
        </w:tc>
        <w:tc>
          <w:tcPr>
            <w:tcW w:w="426" w:type="pct"/>
            <w:tcBorders>
              <w:top w:val="single" w:sz="4" w:space="0" w:color="auto"/>
              <w:left w:val="nil"/>
              <w:bottom w:val="single" w:sz="4" w:space="0" w:color="auto"/>
              <w:right w:val="single" w:sz="4" w:space="0" w:color="auto"/>
            </w:tcBorders>
            <w:shd w:val="clear" w:color="auto" w:fill="538DD5"/>
            <w:vAlign w:val="center"/>
            <w:hideMark/>
          </w:tcPr>
          <w:p w14:paraId="4E050A3E" w14:textId="571A1E2B" w:rsidR="00D854CD" w:rsidRPr="005269E6" w:rsidRDefault="00D854CD" w:rsidP="007E5EA2">
            <w:pPr>
              <w:keepNext/>
              <w:spacing w:before="20" w:after="20" w:line="240" w:lineRule="exact"/>
              <w:jc w:val="center"/>
              <w:rPr>
                <w:b/>
                <w:bCs/>
                <w:position w:val="2"/>
                <w:sz w:val="16"/>
                <w:szCs w:val="16"/>
                <w:lang w:eastAsia="en-US" w:bidi="ar-EG"/>
              </w:rPr>
            </w:pPr>
            <w:r w:rsidRPr="005269E6">
              <w:rPr>
                <w:rFonts w:hint="cs"/>
                <w:b/>
                <w:bCs/>
                <w:position w:val="2"/>
                <w:sz w:val="16"/>
                <w:szCs w:val="16"/>
                <w:rtl/>
                <w:lang w:eastAsia="en-US" w:bidi="ar-EG"/>
              </w:rPr>
              <w:t>التأمين</w:t>
            </w:r>
          </w:p>
        </w:tc>
        <w:tc>
          <w:tcPr>
            <w:tcW w:w="426" w:type="pct"/>
            <w:tcBorders>
              <w:top w:val="single" w:sz="4" w:space="0" w:color="auto"/>
              <w:left w:val="nil"/>
              <w:bottom w:val="single" w:sz="4" w:space="0" w:color="auto"/>
              <w:right w:val="single" w:sz="4" w:space="0" w:color="auto"/>
            </w:tcBorders>
            <w:shd w:val="clear" w:color="auto" w:fill="538DD5"/>
            <w:vAlign w:val="center"/>
            <w:hideMark/>
          </w:tcPr>
          <w:p w14:paraId="3266BAF9" w14:textId="2F588330" w:rsidR="00D854CD" w:rsidRPr="005269E6" w:rsidRDefault="00D854CD" w:rsidP="007E5EA2">
            <w:pPr>
              <w:keepNext/>
              <w:spacing w:before="20" w:after="20" w:line="240" w:lineRule="exact"/>
              <w:jc w:val="center"/>
              <w:rPr>
                <w:b/>
                <w:bCs/>
                <w:position w:val="2"/>
                <w:sz w:val="16"/>
                <w:szCs w:val="16"/>
                <w:lang w:eastAsia="en-US" w:bidi="ar-EG"/>
              </w:rPr>
            </w:pPr>
            <w:r w:rsidRPr="005269E6">
              <w:rPr>
                <w:b/>
                <w:bCs/>
                <w:position w:val="2"/>
                <w:sz w:val="16"/>
                <w:szCs w:val="16"/>
                <w:rtl/>
                <w:lang w:eastAsia="en-US" w:bidi="ar-EG"/>
              </w:rPr>
              <w:t>إجمالي الأموال</w:t>
            </w:r>
            <w:r w:rsidRPr="005269E6">
              <w:rPr>
                <w:rFonts w:hint="cs"/>
                <w:b/>
                <w:bCs/>
                <w:position w:val="2"/>
                <w:sz w:val="16"/>
                <w:szCs w:val="16"/>
                <w:rtl/>
                <w:lang w:eastAsia="en-US" w:bidi="ar-EG"/>
              </w:rPr>
              <w:t xml:space="preserve"> من خارج الميزانية</w:t>
            </w:r>
          </w:p>
        </w:tc>
        <w:tc>
          <w:tcPr>
            <w:tcW w:w="470" w:type="pct"/>
            <w:tcBorders>
              <w:top w:val="single" w:sz="4" w:space="0" w:color="auto"/>
              <w:left w:val="nil"/>
              <w:bottom w:val="single" w:sz="4" w:space="0" w:color="auto"/>
              <w:right w:val="single" w:sz="4" w:space="0" w:color="auto"/>
            </w:tcBorders>
            <w:shd w:val="clear" w:color="auto" w:fill="538DD5"/>
            <w:vAlign w:val="center"/>
            <w:hideMark/>
          </w:tcPr>
          <w:p w14:paraId="3938F205" w14:textId="77777777" w:rsidR="00D854CD" w:rsidRPr="005269E6" w:rsidRDefault="00D854CD" w:rsidP="007E5EA2">
            <w:pPr>
              <w:keepNext/>
              <w:spacing w:before="20" w:after="20" w:line="240" w:lineRule="exact"/>
              <w:jc w:val="center"/>
              <w:rPr>
                <w:b/>
                <w:bCs/>
                <w:position w:val="2"/>
                <w:sz w:val="16"/>
                <w:szCs w:val="16"/>
                <w:lang w:eastAsia="en-US" w:bidi="ar-EG"/>
              </w:rPr>
            </w:pPr>
            <w:r w:rsidRPr="005269E6">
              <w:rPr>
                <w:b/>
                <w:bCs/>
                <w:position w:val="2"/>
                <w:sz w:val="16"/>
                <w:szCs w:val="16"/>
                <w:rtl/>
                <w:lang w:eastAsia="en-US" w:bidi="ar-EG"/>
              </w:rPr>
              <w:t>المجموع</w:t>
            </w:r>
          </w:p>
        </w:tc>
      </w:tr>
      <w:tr w:rsidR="00D854CD" w:rsidRPr="005269E6" w14:paraId="14B18A78" w14:textId="77777777" w:rsidTr="007E5EA2">
        <w:trPr>
          <w:trHeight w:hRule="exact" w:val="76"/>
          <w:jc w:val="center"/>
        </w:trPr>
        <w:tc>
          <w:tcPr>
            <w:tcW w:w="770" w:type="pct"/>
            <w:tcBorders>
              <w:top w:val="nil"/>
              <w:left w:val="single" w:sz="4" w:space="0" w:color="auto"/>
              <w:bottom w:val="nil"/>
              <w:right w:val="nil"/>
            </w:tcBorders>
            <w:shd w:val="clear" w:color="auto" w:fill="auto"/>
            <w:vAlign w:val="center"/>
            <w:hideMark/>
          </w:tcPr>
          <w:p w14:paraId="7AD62E12"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rtl/>
                <w:lang w:val="en-GB" w:eastAsia="en-GB"/>
              </w:rPr>
            </w:pPr>
            <w:r w:rsidRPr="005269E6">
              <w:rPr>
                <w:rFonts w:eastAsia="Times New Roman"/>
                <w:color w:val="000000"/>
                <w:position w:val="2"/>
                <w:sz w:val="16"/>
                <w:szCs w:val="16"/>
                <w:lang w:val="en-GB" w:eastAsia="en-GB"/>
              </w:rPr>
              <w:t> </w:t>
            </w:r>
          </w:p>
        </w:tc>
        <w:tc>
          <w:tcPr>
            <w:tcW w:w="458" w:type="pct"/>
            <w:tcBorders>
              <w:top w:val="nil"/>
              <w:left w:val="single" w:sz="4" w:space="0" w:color="auto"/>
              <w:bottom w:val="nil"/>
              <w:right w:val="single" w:sz="4" w:space="0" w:color="auto"/>
            </w:tcBorders>
            <w:shd w:val="clear" w:color="auto" w:fill="auto"/>
            <w:vAlign w:val="center"/>
            <w:hideMark/>
          </w:tcPr>
          <w:p w14:paraId="05B25B55"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 </w:t>
            </w:r>
          </w:p>
        </w:tc>
        <w:tc>
          <w:tcPr>
            <w:tcW w:w="456" w:type="pct"/>
            <w:tcBorders>
              <w:top w:val="nil"/>
              <w:left w:val="nil"/>
              <w:bottom w:val="nil"/>
              <w:right w:val="single" w:sz="4" w:space="0" w:color="auto"/>
            </w:tcBorders>
            <w:shd w:val="clear" w:color="auto" w:fill="auto"/>
            <w:noWrap/>
            <w:vAlign w:val="center"/>
            <w:hideMark/>
          </w:tcPr>
          <w:p w14:paraId="266689D9"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center"/>
            <w:hideMark/>
          </w:tcPr>
          <w:p w14:paraId="46C305A0"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center"/>
            <w:hideMark/>
          </w:tcPr>
          <w:p w14:paraId="42BBA304"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center"/>
            <w:hideMark/>
          </w:tcPr>
          <w:p w14:paraId="7815ACA6"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center"/>
            <w:hideMark/>
          </w:tcPr>
          <w:p w14:paraId="728D4726"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30EF7DE8"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6EBE05EB"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center"/>
            <w:hideMark/>
          </w:tcPr>
          <w:p w14:paraId="7A0B0AFD"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r>
      <w:tr w:rsidR="00D854CD" w:rsidRPr="005269E6" w14:paraId="75895BDF"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7A19C920"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position w:val="2"/>
                <w:sz w:val="16"/>
                <w:szCs w:val="16"/>
                <w:rtl/>
                <w:lang w:val="fr-FR" w:eastAsia="en-US" w:bidi="ar-EG"/>
              </w:rPr>
              <w:t>الإيرادات</w:t>
            </w:r>
          </w:p>
        </w:tc>
        <w:tc>
          <w:tcPr>
            <w:tcW w:w="458" w:type="pct"/>
            <w:tcBorders>
              <w:top w:val="nil"/>
              <w:left w:val="single" w:sz="4" w:space="0" w:color="auto"/>
              <w:bottom w:val="nil"/>
              <w:right w:val="single" w:sz="4" w:space="0" w:color="auto"/>
            </w:tcBorders>
            <w:shd w:val="clear" w:color="auto" w:fill="auto"/>
            <w:noWrap/>
            <w:vAlign w:val="center"/>
            <w:hideMark/>
          </w:tcPr>
          <w:p w14:paraId="4A45BEEB"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 </w:t>
            </w:r>
          </w:p>
        </w:tc>
        <w:tc>
          <w:tcPr>
            <w:tcW w:w="456" w:type="pct"/>
            <w:tcBorders>
              <w:top w:val="nil"/>
              <w:left w:val="nil"/>
              <w:bottom w:val="nil"/>
              <w:right w:val="single" w:sz="4" w:space="0" w:color="auto"/>
            </w:tcBorders>
            <w:shd w:val="clear" w:color="auto" w:fill="auto"/>
            <w:noWrap/>
            <w:vAlign w:val="center"/>
            <w:hideMark/>
          </w:tcPr>
          <w:p w14:paraId="70BA2598"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center"/>
            <w:hideMark/>
          </w:tcPr>
          <w:p w14:paraId="30412B76"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center"/>
            <w:hideMark/>
          </w:tcPr>
          <w:p w14:paraId="4F2D0F6E"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center"/>
            <w:hideMark/>
          </w:tcPr>
          <w:p w14:paraId="6E865669"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center"/>
            <w:hideMark/>
          </w:tcPr>
          <w:p w14:paraId="32ADE871"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54BAF8E9"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23EBF5E3"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center"/>
            <w:hideMark/>
          </w:tcPr>
          <w:p w14:paraId="15158483"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r>
      <w:tr w:rsidR="00D854CD" w:rsidRPr="005269E6" w14:paraId="19232D7E"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31966263"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bidi="ar-SY"/>
              </w:rPr>
            </w:pPr>
            <w:r w:rsidRPr="005269E6">
              <w:rPr>
                <w:rFonts w:eastAsia="Times New Roman"/>
                <w:position w:val="2"/>
                <w:sz w:val="16"/>
                <w:szCs w:val="16"/>
                <w:rtl/>
                <w:lang w:val="fr-FR" w:eastAsia="en-US" w:bidi="ar-EG"/>
              </w:rPr>
              <w:t>المساهمات المقررة</w:t>
            </w:r>
          </w:p>
        </w:tc>
        <w:tc>
          <w:tcPr>
            <w:tcW w:w="458" w:type="pct"/>
            <w:tcBorders>
              <w:top w:val="nil"/>
              <w:left w:val="single" w:sz="4" w:space="0" w:color="auto"/>
              <w:bottom w:val="nil"/>
              <w:right w:val="single" w:sz="4" w:space="0" w:color="auto"/>
            </w:tcBorders>
            <w:shd w:val="clear" w:color="auto" w:fill="auto"/>
            <w:noWrap/>
            <w:vAlign w:val="center"/>
            <w:hideMark/>
          </w:tcPr>
          <w:p w14:paraId="71494ADA" w14:textId="4AA95575"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55 862</w:t>
            </w:r>
          </w:p>
        </w:tc>
        <w:tc>
          <w:tcPr>
            <w:tcW w:w="456" w:type="pct"/>
            <w:tcBorders>
              <w:top w:val="nil"/>
              <w:left w:val="nil"/>
              <w:bottom w:val="nil"/>
              <w:right w:val="single" w:sz="4" w:space="0" w:color="auto"/>
            </w:tcBorders>
            <w:shd w:val="clear" w:color="auto" w:fill="auto"/>
            <w:noWrap/>
            <w:vAlign w:val="center"/>
            <w:hideMark/>
          </w:tcPr>
          <w:p w14:paraId="23C973B3" w14:textId="1D1349B0"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28 623</w:t>
            </w:r>
          </w:p>
        </w:tc>
        <w:tc>
          <w:tcPr>
            <w:tcW w:w="495" w:type="pct"/>
            <w:tcBorders>
              <w:top w:val="nil"/>
              <w:left w:val="nil"/>
              <w:bottom w:val="nil"/>
              <w:right w:val="single" w:sz="4" w:space="0" w:color="auto"/>
            </w:tcBorders>
            <w:shd w:val="clear" w:color="auto" w:fill="auto"/>
            <w:noWrap/>
            <w:vAlign w:val="center"/>
            <w:hideMark/>
          </w:tcPr>
          <w:p w14:paraId="02686017" w14:textId="59B9A39E"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17 995</w:t>
            </w:r>
          </w:p>
        </w:tc>
        <w:tc>
          <w:tcPr>
            <w:tcW w:w="490" w:type="pct"/>
            <w:tcBorders>
              <w:top w:val="nil"/>
              <w:left w:val="nil"/>
              <w:bottom w:val="nil"/>
              <w:right w:val="single" w:sz="4" w:space="0" w:color="auto"/>
            </w:tcBorders>
            <w:shd w:val="clear" w:color="auto" w:fill="auto"/>
            <w:noWrap/>
            <w:vAlign w:val="center"/>
            <w:hideMark/>
          </w:tcPr>
          <w:p w14:paraId="793AFF76" w14:textId="0A7C9436"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23 131</w:t>
            </w:r>
          </w:p>
        </w:tc>
        <w:tc>
          <w:tcPr>
            <w:tcW w:w="552" w:type="pct"/>
            <w:tcBorders>
              <w:top w:val="nil"/>
              <w:left w:val="single" w:sz="4" w:space="0" w:color="auto"/>
              <w:bottom w:val="nil"/>
              <w:right w:val="single" w:sz="4" w:space="0" w:color="auto"/>
            </w:tcBorders>
            <w:shd w:val="clear" w:color="auto" w:fill="auto"/>
            <w:noWrap/>
            <w:vAlign w:val="center"/>
            <w:hideMark/>
          </w:tcPr>
          <w:p w14:paraId="7E045068" w14:textId="320CEAFE"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125 611</w:t>
            </w:r>
          </w:p>
        </w:tc>
        <w:tc>
          <w:tcPr>
            <w:tcW w:w="455" w:type="pct"/>
            <w:tcBorders>
              <w:top w:val="nil"/>
              <w:left w:val="nil"/>
              <w:bottom w:val="nil"/>
              <w:right w:val="single" w:sz="4" w:space="0" w:color="auto"/>
            </w:tcBorders>
            <w:shd w:val="clear" w:color="auto" w:fill="auto"/>
            <w:noWrap/>
            <w:vAlign w:val="center"/>
            <w:hideMark/>
          </w:tcPr>
          <w:p w14:paraId="068D97D3" w14:textId="729A0F9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01063ED1" w14:textId="26463F5C"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67A47E23" w14:textId="4DF79FAE" w:rsidR="00D854CD" w:rsidRPr="005269E6" w:rsidRDefault="00D854CD" w:rsidP="007E5EA2">
            <w:pPr>
              <w:tabs>
                <w:tab w:val="clear" w:pos="794"/>
              </w:tabs>
              <w:spacing w:before="20" w:after="20" w:line="240" w:lineRule="exact"/>
              <w:jc w:val="left"/>
              <w:rPr>
                <w:rFonts w:eastAsia="Times New Roman"/>
                <w:i/>
                <w:iCs/>
                <w:position w:val="2"/>
                <w:sz w:val="16"/>
                <w:szCs w:val="16"/>
                <w:lang w:val="en-GB" w:eastAsia="en-GB"/>
              </w:rPr>
            </w:pPr>
            <w:r w:rsidRPr="005269E6">
              <w:rPr>
                <w:rFonts w:eastAsia="Times New Roman"/>
                <w:i/>
                <w:iCs/>
                <w:position w:val="2"/>
                <w:sz w:val="16"/>
                <w:szCs w:val="16"/>
                <w:lang w:val="en-GB" w:eastAsia="en-GB"/>
              </w:rPr>
              <w:t>-</w:t>
            </w:r>
          </w:p>
        </w:tc>
        <w:tc>
          <w:tcPr>
            <w:tcW w:w="470" w:type="pct"/>
            <w:tcBorders>
              <w:top w:val="nil"/>
              <w:left w:val="single" w:sz="4" w:space="0" w:color="auto"/>
              <w:bottom w:val="nil"/>
              <w:right w:val="single" w:sz="4" w:space="0" w:color="auto"/>
            </w:tcBorders>
            <w:shd w:val="clear" w:color="auto" w:fill="auto"/>
            <w:noWrap/>
            <w:vAlign w:val="center"/>
            <w:hideMark/>
          </w:tcPr>
          <w:p w14:paraId="333BD33A" w14:textId="15309656"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125 611</w:t>
            </w:r>
          </w:p>
        </w:tc>
      </w:tr>
      <w:tr w:rsidR="00D854CD" w:rsidRPr="005269E6" w14:paraId="4BBEAEE2"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7594F0F2" w14:textId="5164B8AE"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المساهمات من خارج الميزانية</w:t>
            </w:r>
          </w:p>
        </w:tc>
        <w:tc>
          <w:tcPr>
            <w:tcW w:w="458" w:type="pct"/>
            <w:tcBorders>
              <w:top w:val="nil"/>
              <w:left w:val="single" w:sz="4" w:space="0" w:color="auto"/>
              <w:bottom w:val="nil"/>
              <w:right w:val="single" w:sz="4" w:space="0" w:color="auto"/>
            </w:tcBorders>
            <w:shd w:val="clear" w:color="auto" w:fill="auto"/>
            <w:noWrap/>
            <w:vAlign w:val="center"/>
            <w:hideMark/>
          </w:tcPr>
          <w:p w14:paraId="6DEC5A43" w14:textId="3B2ACF1E"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3</w:t>
            </w:r>
          </w:p>
        </w:tc>
        <w:tc>
          <w:tcPr>
            <w:tcW w:w="456" w:type="pct"/>
            <w:tcBorders>
              <w:top w:val="nil"/>
              <w:left w:val="nil"/>
              <w:bottom w:val="nil"/>
              <w:right w:val="single" w:sz="4" w:space="0" w:color="auto"/>
            </w:tcBorders>
            <w:shd w:val="clear" w:color="auto" w:fill="auto"/>
            <w:noWrap/>
            <w:vAlign w:val="center"/>
            <w:hideMark/>
          </w:tcPr>
          <w:p w14:paraId="1F4FC157" w14:textId="052375C2"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w:t>
            </w:r>
          </w:p>
        </w:tc>
        <w:tc>
          <w:tcPr>
            <w:tcW w:w="495" w:type="pct"/>
            <w:tcBorders>
              <w:top w:val="nil"/>
              <w:left w:val="nil"/>
              <w:bottom w:val="nil"/>
              <w:right w:val="single" w:sz="4" w:space="0" w:color="auto"/>
            </w:tcBorders>
            <w:shd w:val="clear" w:color="auto" w:fill="auto"/>
            <w:noWrap/>
            <w:vAlign w:val="center"/>
            <w:hideMark/>
          </w:tcPr>
          <w:p w14:paraId="51B8E9F7" w14:textId="2C2A6374"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0</w:t>
            </w:r>
          </w:p>
        </w:tc>
        <w:tc>
          <w:tcPr>
            <w:tcW w:w="490" w:type="pct"/>
            <w:tcBorders>
              <w:top w:val="nil"/>
              <w:left w:val="nil"/>
              <w:bottom w:val="nil"/>
              <w:right w:val="single" w:sz="4" w:space="0" w:color="auto"/>
            </w:tcBorders>
            <w:shd w:val="clear" w:color="auto" w:fill="auto"/>
            <w:noWrap/>
            <w:vAlign w:val="center"/>
            <w:hideMark/>
          </w:tcPr>
          <w:p w14:paraId="3DF48DE2" w14:textId="46A7E05B"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w:t>
            </w:r>
          </w:p>
        </w:tc>
        <w:tc>
          <w:tcPr>
            <w:tcW w:w="552" w:type="pct"/>
            <w:tcBorders>
              <w:top w:val="nil"/>
              <w:left w:val="single" w:sz="4" w:space="0" w:color="auto"/>
              <w:bottom w:val="nil"/>
              <w:right w:val="single" w:sz="4" w:space="0" w:color="auto"/>
            </w:tcBorders>
            <w:shd w:val="clear" w:color="auto" w:fill="auto"/>
            <w:noWrap/>
            <w:vAlign w:val="center"/>
            <w:hideMark/>
          </w:tcPr>
          <w:p w14:paraId="4FAB50FF" w14:textId="6DA726BD"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5</w:t>
            </w:r>
          </w:p>
        </w:tc>
        <w:tc>
          <w:tcPr>
            <w:tcW w:w="455" w:type="pct"/>
            <w:tcBorders>
              <w:top w:val="nil"/>
              <w:left w:val="nil"/>
              <w:bottom w:val="nil"/>
              <w:right w:val="single" w:sz="4" w:space="0" w:color="auto"/>
            </w:tcBorders>
            <w:shd w:val="clear" w:color="auto" w:fill="auto"/>
            <w:noWrap/>
            <w:vAlign w:val="center"/>
            <w:hideMark/>
          </w:tcPr>
          <w:p w14:paraId="7A4F2711" w14:textId="746852E0"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499AAE9C" w14:textId="7A570D58"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4E298531" w14:textId="7FF01000" w:rsidR="00D854CD" w:rsidRPr="005269E6" w:rsidRDefault="00D854CD" w:rsidP="007E5EA2">
            <w:pPr>
              <w:tabs>
                <w:tab w:val="clear" w:pos="794"/>
              </w:tabs>
              <w:spacing w:before="20" w:after="20" w:line="240" w:lineRule="exact"/>
              <w:jc w:val="left"/>
              <w:rPr>
                <w:rFonts w:eastAsia="Times New Roman"/>
                <w:b/>
                <w:bCs/>
                <w:i/>
                <w:iCs/>
                <w:position w:val="2"/>
                <w:sz w:val="16"/>
                <w:szCs w:val="16"/>
                <w:lang w:val="en-GB" w:eastAsia="en-GB"/>
              </w:rPr>
            </w:pPr>
            <w:r w:rsidRPr="005269E6">
              <w:rPr>
                <w:rFonts w:eastAsia="Times New Roman"/>
                <w:b/>
                <w:bCs/>
                <w:i/>
                <w:iCs/>
                <w:position w:val="2"/>
                <w:sz w:val="16"/>
                <w:szCs w:val="16"/>
                <w:lang w:val="en-GB" w:eastAsia="en-GB"/>
              </w:rPr>
              <w:t>14 118</w:t>
            </w:r>
          </w:p>
        </w:tc>
        <w:tc>
          <w:tcPr>
            <w:tcW w:w="470" w:type="pct"/>
            <w:tcBorders>
              <w:top w:val="nil"/>
              <w:left w:val="nil"/>
              <w:bottom w:val="nil"/>
              <w:right w:val="single" w:sz="4" w:space="0" w:color="auto"/>
            </w:tcBorders>
            <w:shd w:val="clear" w:color="auto" w:fill="auto"/>
            <w:noWrap/>
            <w:vAlign w:val="center"/>
            <w:hideMark/>
          </w:tcPr>
          <w:p w14:paraId="36754401" w14:textId="4C15F5CC"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14 123</w:t>
            </w:r>
          </w:p>
        </w:tc>
      </w:tr>
      <w:tr w:rsidR="00D854CD" w:rsidRPr="005269E6" w14:paraId="4D57A7D0"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6D47E9BE"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المنشورات</w:t>
            </w:r>
          </w:p>
        </w:tc>
        <w:tc>
          <w:tcPr>
            <w:tcW w:w="458" w:type="pct"/>
            <w:tcBorders>
              <w:top w:val="nil"/>
              <w:left w:val="single" w:sz="4" w:space="0" w:color="auto"/>
              <w:bottom w:val="nil"/>
              <w:right w:val="single" w:sz="4" w:space="0" w:color="auto"/>
            </w:tcBorders>
            <w:shd w:val="clear" w:color="auto" w:fill="auto"/>
            <w:noWrap/>
            <w:vAlign w:val="center"/>
            <w:hideMark/>
          </w:tcPr>
          <w:p w14:paraId="7ADF0F76" w14:textId="27CF90C8"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5</w:t>
            </w:r>
          </w:p>
        </w:tc>
        <w:tc>
          <w:tcPr>
            <w:tcW w:w="456" w:type="pct"/>
            <w:tcBorders>
              <w:top w:val="nil"/>
              <w:left w:val="nil"/>
              <w:bottom w:val="nil"/>
              <w:right w:val="single" w:sz="4" w:space="0" w:color="auto"/>
            </w:tcBorders>
            <w:shd w:val="clear" w:color="auto" w:fill="auto"/>
            <w:noWrap/>
            <w:vAlign w:val="center"/>
            <w:hideMark/>
          </w:tcPr>
          <w:p w14:paraId="5A61225E" w14:textId="336EAA85"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19 330</w:t>
            </w:r>
          </w:p>
        </w:tc>
        <w:tc>
          <w:tcPr>
            <w:tcW w:w="495" w:type="pct"/>
            <w:tcBorders>
              <w:top w:val="nil"/>
              <w:left w:val="nil"/>
              <w:bottom w:val="nil"/>
              <w:right w:val="single" w:sz="4" w:space="0" w:color="auto"/>
            </w:tcBorders>
            <w:shd w:val="clear" w:color="auto" w:fill="auto"/>
            <w:noWrap/>
            <w:vAlign w:val="center"/>
            <w:hideMark/>
          </w:tcPr>
          <w:p w14:paraId="5B705DC4" w14:textId="3F16B1F2"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4</w:t>
            </w:r>
          </w:p>
        </w:tc>
        <w:tc>
          <w:tcPr>
            <w:tcW w:w="490" w:type="pct"/>
            <w:tcBorders>
              <w:top w:val="nil"/>
              <w:left w:val="nil"/>
              <w:bottom w:val="nil"/>
              <w:right w:val="single" w:sz="4" w:space="0" w:color="auto"/>
            </w:tcBorders>
            <w:shd w:val="clear" w:color="auto" w:fill="auto"/>
            <w:noWrap/>
            <w:vAlign w:val="center"/>
            <w:hideMark/>
          </w:tcPr>
          <w:p w14:paraId="00CA1E72" w14:textId="4B2CE01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72</w:t>
            </w:r>
          </w:p>
        </w:tc>
        <w:tc>
          <w:tcPr>
            <w:tcW w:w="552" w:type="pct"/>
            <w:tcBorders>
              <w:top w:val="nil"/>
              <w:left w:val="single" w:sz="4" w:space="0" w:color="auto"/>
              <w:bottom w:val="nil"/>
              <w:right w:val="single" w:sz="4" w:space="0" w:color="auto"/>
            </w:tcBorders>
            <w:shd w:val="clear" w:color="auto" w:fill="auto"/>
            <w:noWrap/>
            <w:vAlign w:val="center"/>
            <w:hideMark/>
          </w:tcPr>
          <w:p w14:paraId="17660B13" w14:textId="728865C4"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19 411</w:t>
            </w:r>
          </w:p>
        </w:tc>
        <w:tc>
          <w:tcPr>
            <w:tcW w:w="455" w:type="pct"/>
            <w:tcBorders>
              <w:top w:val="nil"/>
              <w:left w:val="nil"/>
              <w:bottom w:val="nil"/>
              <w:right w:val="single" w:sz="4" w:space="0" w:color="auto"/>
            </w:tcBorders>
            <w:shd w:val="clear" w:color="auto" w:fill="auto"/>
            <w:noWrap/>
            <w:vAlign w:val="center"/>
            <w:hideMark/>
          </w:tcPr>
          <w:p w14:paraId="40C3A621" w14:textId="39BFAB85"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2CC90BBE" w14:textId="3DB325E2"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37D44400" w14:textId="36109C78" w:rsidR="00D854CD" w:rsidRPr="005269E6" w:rsidRDefault="00D854CD" w:rsidP="007E5EA2">
            <w:pPr>
              <w:tabs>
                <w:tab w:val="clear" w:pos="794"/>
              </w:tabs>
              <w:spacing w:before="20" w:after="20" w:line="240" w:lineRule="exact"/>
              <w:jc w:val="left"/>
              <w:rPr>
                <w:rFonts w:eastAsia="Times New Roman"/>
                <w:b/>
                <w:bCs/>
                <w:i/>
                <w:iCs/>
                <w:position w:val="2"/>
                <w:sz w:val="16"/>
                <w:szCs w:val="16"/>
                <w:lang w:val="en-GB" w:eastAsia="en-GB"/>
              </w:rPr>
            </w:pPr>
            <w:r w:rsidRPr="005269E6">
              <w:rPr>
                <w:rFonts w:eastAsia="Times New Roman"/>
                <w:b/>
                <w:bCs/>
                <w:i/>
                <w:iCs/>
                <w:position w:val="2"/>
                <w:sz w:val="16"/>
                <w:szCs w:val="16"/>
                <w:lang w:val="en-GB" w:eastAsia="en-GB"/>
              </w:rPr>
              <w:t>-</w:t>
            </w:r>
          </w:p>
        </w:tc>
        <w:tc>
          <w:tcPr>
            <w:tcW w:w="470" w:type="pct"/>
            <w:tcBorders>
              <w:top w:val="nil"/>
              <w:left w:val="nil"/>
              <w:bottom w:val="nil"/>
              <w:right w:val="single" w:sz="4" w:space="0" w:color="auto"/>
            </w:tcBorders>
            <w:shd w:val="clear" w:color="auto" w:fill="auto"/>
            <w:noWrap/>
            <w:vAlign w:val="center"/>
            <w:hideMark/>
          </w:tcPr>
          <w:p w14:paraId="08CA20C4" w14:textId="00575638"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19 411</w:t>
            </w:r>
          </w:p>
        </w:tc>
      </w:tr>
      <w:tr w:rsidR="00D854CD" w:rsidRPr="005269E6" w14:paraId="2253D324"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36CDC1A3"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استرداد التكاليف</w:t>
            </w:r>
          </w:p>
        </w:tc>
        <w:tc>
          <w:tcPr>
            <w:tcW w:w="458" w:type="pct"/>
            <w:tcBorders>
              <w:top w:val="nil"/>
              <w:left w:val="single" w:sz="4" w:space="0" w:color="auto"/>
              <w:bottom w:val="nil"/>
              <w:right w:val="single" w:sz="4" w:space="0" w:color="auto"/>
            </w:tcBorders>
            <w:shd w:val="clear" w:color="auto" w:fill="auto"/>
            <w:noWrap/>
            <w:vAlign w:val="center"/>
            <w:hideMark/>
          </w:tcPr>
          <w:p w14:paraId="0E8A5359" w14:textId="7E1096C9"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56" w:type="pct"/>
            <w:tcBorders>
              <w:top w:val="nil"/>
              <w:left w:val="nil"/>
              <w:bottom w:val="nil"/>
              <w:right w:val="single" w:sz="4" w:space="0" w:color="auto"/>
            </w:tcBorders>
            <w:shd w:val="clear" w:color="auto" w:fill="auto"/>
            <w:noWrap/>
            <w:vAlign w:val="center"/>
            <w:hideMark/>
          </w:tcPr>
          <w:p w14:paraId="6BAC3B98" w14:textId="5F2252F3"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11 240</w:t>
            </w:r>
          </w:p>
        </w:tc>
        <w:tc>
          <w:tcPr>
            <w:tcW w:w="495" w:type="pct"/>
            <w:tcBorders>
              <w:top w:val="nil"/>
              <w:left w:val="nil"/>
              <w:bottom w:val="nil"/>
              <w:right w:val="single" w:sz="4" w:space="0" w:color="auto"/>
            </w:tcBorders>
            <w:shd w:val="clear" w:color="auto" w:fill="auto"/>
            <w:noWrap/>
            <w:vAlign w:val="center"/>
            <w:hideMark/>
          </w:tcPr>
          <w:p w14:paraId="4977343F" w14:textId="7CA0DF4C"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320</w:t>
            </w:r>
          </w:p>
        </w:tc>
        <w:tc>
          <w:tcPr>
            <w:tcW w:w="490" w:type="pct"/>
            <w:tcBorders>
              <w:top w:val="nil"/>
              <w:left w:val="nil"/>
              <w:bottom w:val="nil"/>
              <w:right w:val="single" w:sz="4" w:space="0" w:color="auto"/>
            </w:tcBorders>
            <w:shd w:val="clear" w:color="auto" w:fill="auto"/>
            <w:noWrap/>
            <w:vAlign w:val="center"/>
            <w:hideMark/>
          </w:tcPr>
          <w:p w14:paraId="7D1C42CE" w14:textId="13ABB44B"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552" w:type="pct"/>
            <w:tcBorders>
              <w:top w:val="nil"/>
              <w:left w:val="single" w:sz="4" w:space="0" w:color="auto"/>
              <w:bottom w:val="nil"/>
              <w:right w:val="single" w:sz="4" w:space="0" w:color="auto"/>
            </w:tcBorders>
            <w:shd w:val="clear" w:color="auto" w:fill="auto"/>
            <w:noWrap/>
            <w:vAlign w:val="center"/>
            <w:hideMark/>
          </w:tcPr>
          <w:p w14:paraId="4FF169C3" w14:textId="1DF65EC2"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11 560</w:t>
            </w:r>
          </w:p>
        </w:tc>
        <w:tc>
          <w:tcPr>
            <w:tcW w:w="455" w:type="pct"/>
            <w:tcBorders>
              <w:top w:val="nil"/>
              <w:left w:val="nil"/>
              <w:bottom w:val="nil"/>
              <w:right w:val="single" w:sz="4" w:space="0" w:color="auto"/>
            </w:tcBorders>
            <w:shd w:val="clear" w:color="auto" w:fill="auto"/>
            <w:noWrap/>
            <w:vAlign w:val="center"/>
            <w:hideMark/>
          </w:tcPr>
          <w:p w14:paraId="7B732B50" w14:textId="3CBEAFC8"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0C51953A" w14:textId="5DE17506"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30D67A9C" w14:textId="3B74DA40" w:rsidR="00D854CD" w:rsidRPr="005269E6" w:rsidRDefault="00D854CD" w:rsidP="007E5EA2">
            <w:pPr>
              <w:tabs>
                <w:tab w:val="clear" w:pos="794"/>
              </w:tabs>
              <w:spacing w:before="20" w:after="20" w:line="240" w:lineRule="exact"/>
              <w:jc w:val="left"/>
              <w:rPr>
                <w:rFonts w:eastAsia="Times New Roman"/>
                <w:b/>
                <w:bCs/>
                <w:i/>
                <w:iCs/>
                <w:position w:val="2"/>
                <w:sz w:val="16"/>
                <w:szCs w:val="16"/>
                <w:lang w:val="en-GB" w:eastAsia="en-GB"/>
              </w:rPr>
            </w:pPr>
            <w:r w:rsidRPr="005269E6">
              <w:rPr>
                <w:rFonts w:eastAsia="Times New Roman"/>
                <w:b/>
                <w:bCs/>
                <w:i/>
                <w:iCs/>
                <w:position w:val="2"/>
                <w:sz w:val="16"/>
                <w:szCs w:val="16"/>
                <w:lang w:val="en-GB" w:eastAsia="en-GB"/>
              </w:rPr>
              <w:t>-</w:t>
            </w:r>
          </w:p>
        </w:tc>
        <w:tc>
          <w:tcPr>
            <w:tcW w:w="470" w:type="pct"/>
            <w:tcBorders>
              <w:top w:val="nil"/>
              <w:left w:val="nil"/>
              <w:bottom w:val="nil"/>
              <w:right w:val="single" w:sz="4" w:space="0" w:color="auto"/>
            </w:tcBorders>
            <w:shd w:val="clear" w:color="auto" w:fill="auto"/>
            <w:noWrap/>
            <w:vAlign w:val="center"/>
            <w:hideMark/>
          </w:tcPr>
          <w:p w14:paraId="71CEB71D" w14:textId="5079374F"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11 560</w:t>
            </w:r>
          </w:p>
        </w:tc>
      </w:tr>
      <w:tr w:rsidR="00D854CD" w:rsidRPr="005269E6" w14:paraId="577DDBE7"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04D7CC72"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إيرادات أخرى</w:t>
            </w:r>
          </w:p>
        </w:tc>
        <w:tc>
          <w:tcPr>
            <w:tcW w:w="458" w:type="pct"/>
            <w:tcBorders>
              <w:top w:val="nil"/>
              <w:left w:val="single" w:sz="4" w:space="0" w:color="auto"/>
              <w:bottom w:val="nil"/>
              <w:right w:val="single" w:sz="4" w:space="0" w:color="auto"/>
            </w:tcBorders>
            <w:shd w:val="clear" w:color="auto" w:fill="auto"/>
            <w:noWrap/>
            <w:vAlign w:val="center"/>
            <w:hideMark/>
          </w:tcPr>
          <w:p w14:paraId="65CAE603" w14:textId="1E510F70"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273</w:t>
            </w:r>
          </w:p>
        </w:tc>
        <w:tc>
          <w:tcPr>
            <w:tcW w:w="456" w:type="pct"/>
            <w:tcBorders>
              <w:top w:val="nil"/>
              <w:left w:val="nil"/>
              <w:bottom w:val="nil"/>
              <w:right w:val="single" w:sz="4" w:space="0" w:color="auto"/>
            </w:tcBorders>
            <w:shd w:val="clear" w:color="auto" w:fill="auto"/>
            <w:noWrap/>
            <w:vAlign w:val="center"/>
            <w:hideMark/>
          </w:tcPr>
          <w:p w14:paraId="33E6EE90" w14:textId="3B249BE2"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349</w:t>
            </w:r>
          </w:p>
        </w:tc>
        <w:tc>
          <w:tcPr>
            <w:tcW w:w="495" w:type="pct"/>
            <w:tcBorders>
              <w:top w:val="nil"/>
              <w:left w:val="nil"/>
              <w:bottom w:val="nil"/>
              <w:right w:val="single" w:sz="4" w:space="0" w:color="auto"/>
            </w:tcBorders>
            <w:shd w:val="clear" w:color="auto" w:fill="auto"/>
            <w:noWrap/>
            <w:vAlign w:val="center"/>
            <w:hideMark/>
          </w:tcPr>
          <w:p w14:paraId="3D5ACC40" w14:textId="547806BF"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49</w:t>
            </w:r>
          </w:p>
        </w:tc>
        <w:tc>
          <w:tcPr>
            <w:tcW w:w="490" w:type="pct"/>
            <w:tcBorders>
              <w:top w:val="nil"/>
              <w:left w:val="nil"/>
              <w:bottom w:val="nil"/>
              <w:right w:val="single" w:sz="4" w:space="0" w:color="auto"/>
            </w:tcBorders>
            <w:shd w:val="clear" w:color="auto" w:fill="auto"/>
            <w:noWrap/>
            <w:vAlign w:val="center"/>
            <w:hideMark/>
          </w:tcPr>
          <w:p w14:paraId="5F5A8718" w14:textId="1745E3A2"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108</w:t>
            </w:r>
          </w:p>
        </w:tc>
        <w:tc>
          <w:tcPr>
            <w:tcW w:w="552" w:type="pct"/>
            <w:tcBorders>
              <w:top w:val="nil"/>
              <w:left w:val="single" w:sz="4" w:space="0" w:color="auto"/>
              <w:bottom w:val="nil"/>
              <w:right w:val="single" w:sz="4" w:space="0" w:color="auto"/>
            </w:tcBorders>
            <w:shd w:val="clear" w:color="auto" w:fill="auto"/>
            <w:noWrap/>
            <w:vAlign w:val="center"/>
            <w:hideMark/>
          </w:tcPr>
          <w:p w14:paraId="4F3F37AE" w14:textId="61C57EE2"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780</w:t>
            </w:r>
          </w:p>
        </w:tc>
        <w:tc>
          <w:tcPr>
            <w:tcW w:w="455" w:type="pct"/>
            <w:tcBorders>
              <w:top w:val="nil"/>
              <w:left w:val="nil"/>
              <w:bottom w:val="nil"/>
              <w:right w:val="single" w:sz="4" w:space="0" w:color="auto"/>
            </w:tcBorders>
            <w:shd w:val="clear" w:color="auto" w:fill="auto"/>
            <w:noWrap/>
            <w:vAlign w:val="center"/>
            <w:hideMark/>
          </w:tcPr>
          <w:p w14:paraId="4747E4D4" w14:textId="35197679"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5 310</w:t>
            </w:r>
          </w:p>
        </w:tc>
        <w:tc>
          <w:tcPr>
            <w:tcW w:w="426" w:type="pct"/>
            <w:tcBorders>
              <w:top w:val="nil"/>
              <w:left w:val="nil"/>
              <w:bottom w:val="nil"/>
              <w:right w:val="single" w:sz="4" w:space="0" w:color="auto"/>
            </w:tcBorders>
            <w:shd w:val="clear" w:color="auto" w:fill="auto"/>
            <w:noWrap/>
            <w:vAlign w:val="center"/>
            <w:hideMark/>
          </w:tcPr>
          <w:p w14:paraId="2C2271F5" w14:textId="14182C50"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407A8EC8" w14:textId="23AACFDD" w:rsidR="00D854CD" w:rsidRPr="005269E6" w:rsidRDefault="00D854CD" w:rsidP="007E5EA2">
            <w:pPr>
              <w:tabs>
                <w:tab w:val="clear" w:pos="794"/>
              </w:tabs>
              <w:spacing w:before="20" w:after="20" w:line="240" w:lineRule="exact"/>
              <w:jc w:val="left"/>
              <w:rPr>
                <w:rFonts w:eastAsia="Times New Roman"/>
                <w:b/>
                <w:bCs/>
                <w:i/>
                <w:iCs/>
                <w:position w:val="2"/>
                <w:sz w:val="16"/>
                <w:szCs w:val="16"/>
                <w:lang w:val="en-GB" w:eastAsia="en-GB"/>
              </w:rPr>
            </w:pPr>
            <w:r w:rsidRPr="005269E6">
              <w:rPr>
                <w:rFonts w:eastAsia="Times New Roman"/>
                <w:b/>
                <w:bCs/>
                <w:i/>
                <w:iCs/>
                <w:position w:val="2"/>
                <w:sz w:val="16"/>
                <w:szCs w:val="16"/>
                <w:lang w:val="en-GB" w:eastAsia="en-GB"/>
              </w:rPr>
              <w:t>294</w:t>
            </w:r>
          </w:p>
        </w:tc>
        <w:tc>
          <w:tcPr>
            <w:tcW w:w="470" w:type="pct"/>
            <w:tcBorders>
              <w:top w:val="nil"/>
              <w:left w:val="nil"/>
              <w:bottom w:val="nil"/>
              <w:right w:val="single" w:sz="4" w:space="0" w:color="auto"/>
            </w:tcBorders>
            <w:shd w:val="clear" w:color="auto" w:fill="auto"/>
            <w:noWrap/>
            <w:vAlign w:val="center"/>
            <w:hideMark/>
          </w:tcPr>
          <w:p w14:paraId="0F660296" w14:textId="67A14841"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6 384</w:t>
            </w:r>
          </w:p>
        </w:tc>
      </w:tr>
      <w:tr w:rsidR="00D854CD" w:rsidRPr="005269E6" w14:paraId="5E4C6182" w14:textId="77777777" w:rsidTr="007E5EA2">
        <w:trPr>
          <w:trHeight w:hRule="exact" w:val="74"/>
          <w:jc w:val="center"/>
        </w:trPr>
        <w:tc>
          <w:tcPr>
            <w:tcW w:w="770" w:type="pct"/>
            <w:tcBorders>
              <w:top w:val="nil"/>
              <w:left w:val="single" w:sz="4" w:space="0" w:color="auto"/>
              <w:bottom w:val="nil"/>
              <w:right w:val="nil"/>
            </w:tcBorders>
            <w:shd w:val="clear" w:color="auto" w:fill="auto"/>
            <w:vAlign w:val="center"/>
            <w:hideMark/>
          </w:tcPr>
          <w:p w14:paraId="26D1769B"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 </w:t>
            </w:r>
          </w:p>
        </w:tc>
        <w:tc>
          <w:tcPr>
            <w:tcW w:w="458" w:type="pct"/>
            <w:tcBorders>
              <w:top w:val="nil"/>
              <w:left w:val="single" w:sz="4" w:space="0" w:color="auto"/>
              <w:bottom w:val="nil"/>
              <w:right w:val="single" w:sz="4" w:space="0" w:color="auto"/>
            </w:tcBorders>
            <w:shd w:val="clear" w:color="auto" w:fill="auto"/>
            <w:noWrap/>
            <w:vAlign w:val="center"/>
            <w:hideMark/>
          </w:tcPr>
          <w:p w14:paraId="4CBFE256"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r w:rsidRPr="005269E6">
              <w:rPr>
                <w:rFonts w:eastAsia="Times New Roman"/>
                <w:position w:val="2"/>
                <w:sz w:val="16"/>
                <w:szCs w:val="16"/>
                <w:lang w:val="en-GB" w:eastAsia="en-GB"/>
              </w:rPr>
              <w:t> </w:t>
            </w:r>
          </w:p>
        </w:tc>
        <w:tc>
          <w:tcPr>
            <w:tcW w:w="456" w:type="pct"/>
            <w:tcBorders>
              <w:top w:val="nil"/>
              <w:left w:val="nil"/>
              <w:bottom w:val="nil"/>
              <w:right w:val="single" w:sz="4" w:space="0" w:color="auto"/>
            </w:tcBorders>
            <w:shd w:val="clear" w:color="auto" w:fill="auto"/>
            <w:noWrap/>
            <w:vAlign w:val="center"/>
            <w:hideMark/>
          </w:tcPr>
          <w:p w14:paraId="785AE8C3"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center"/>
            <w:hideMark/>
          </w:tcPr>
          <w:p w14:paraId="52A073C7"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center"/>
            <w:hideMark/>
          </w:tcPr>
          <w:p w14:paraId="70868BB5"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center"/>
            <w:hideMark/>
          </w:tcPr>
          <w:p w14:paraId="4CFAB8DB"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center"/>
            <w:hideMark/>
          </w:tcPr>
          <w:p w14:paraId="49928D96"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164EA024"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61624717"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center"/>
            <w:hideMark/>
          </w:tcPr>
          <w:p w14:paraId="0D53AE24" w14:textId="77777777"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p>
        </w:tc>
      </w:tr>
      <w:tr w:rsidR="00D854CD" w:rsidRPr="005269E6" w14:paraId="48216D66" w14:textId="77777777" w:rsidTr="007E5EA2">
        <w:trPr>
          <w:trHeight w:val="255"/>
          <w:jc w:val="center"/>
        </w:trPr>
        <w:tc>
          <w:tcPr>
            <w:tcW w:w="770" w:type="pct"/>
            <w:tcBorders>
              <w:top w:val="single" w:sz="4" w:space="0" w:color="auto"/>
              <w:left w:val="single" w:sz="4" w:space="0" w:color="auto"/>
              <w:bottom w:val="single" w:sz="4" w:space="0" w:color="auto"/>
              <w:right w:val="nil"/>
            </w:tcBorders>
            <w:shd w:val="clear" w:color="auto" w:fill="auto"/>
            <w:noWrap/>
            <w:vAlign w:val="center"/>
            <w:hideMark/>
          </w:tcPr>
          <w:p w14:paraId="3345AE8A"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position w:val="2"/>
                <w:sz w:val="16"/>
                <w:szCs w:val="16"/>
                <w:rtl/>
                <w:lang w:val="fr-FR" w:eastAsia="en-US" w:bidi="ar-EG"/>
              </w:rPr>
              <w:t>مجموع الإيرادات</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5B6B5" w14:textId="525DE263"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56 143</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747EF7AC" w14:textId="59242E66"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59 543</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45F06AFC" w14:textId="5DFA11E2"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18 369</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334515CC" w14:textId="04FFCC54"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23 312</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E5699" w14:textId="63E5889E"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157 367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337D16A8" w14:textId="720D22B6"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5 310</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60DAF429" w14:textId="0BD0C645"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4AD5AD86" w14:textId="49DCB33C"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14 412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0396B81A" w14:textId="52CEF5C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177 089</w:t>
            </w:r>
          </w:p>
        </w:tc>
      </w:tr>
      <w:tr w:rsidR="00D854CD" w:rsidRPr="005269E6" w14:paraId="4D361D8F" w14:textId="77777777" w:rsidTr="007E5EA2">
        <w:trPr>
          <w:trHeight w:hRule="exact" w:val="76"/>
          <w:jc w:val="center"/>
        </w:trPr>
        <w:tc>
          <w:tcPr>
            <w:tcW w:w="770" w:type="pct"/>
            <w:tcBorders>
              <w:top w:val="nil"/>
              <w:left w:val="single" w:sz="4" w:space="0" w:color="auto"/>
              <w:bottom w:val="nil"/>
              <w:right w:val="nil"/>
            </w:tcBorders>
            <w:shd w:val="clear" w:color="auto" w:fill="auto"/>
            <w:vAlign w:val="center"/>
            <w:hideMark/>
          </w:tcPr>
          <w:p w14:paraId="456EC57C"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 </w:t>
            </w:r>
          </w:p>
        </w:tc>
        <w:tc>
          <w:tcPr>
            <w:tcW w:w="458" w:type="pct"/>
            <w:tcBorders>
              <w:top w:val="nil"/>
              <w:left w:val="single" w:sz="4" w:space="0" w:color="auto"/>
              <w:bottom w:val="nil"/>
              <w:right w:val="single" w:sz="4" w:space="0" w:color="auto"/>
            </w:tcBorders>
            <w:shd w:val="clear" w:color="auto" w:fill="auto"/>
            <w:noWrap/>
            <w:vAlign w:val="center"/>
            <w:hideMark/>
          </w:tcPr>
          <w:p w14:paraId="459B014F"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56" w:type="pct"/>
            <w:tcBorders>
              <w:top w:val="nil"/>
              <w:left w:val="nil"/>
              <w:bottom w:val="nil"/>
              <w:right w:val="single" w:sz="4" w:space="0" w:color="auto"/>
            </w:tcBorders>
            <w:shd w:val="clear" w:color="auto" w:fill="auto"/>
            <w:noWrap/>
            <w:vAlign w:val="center"/>
            <w:hideMark/>
          </w:tcPr>
          <w:p w14:paraId="668E16AD"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center"/>
            <w:hideMark/>
          </w:tcPr>
          <w:p w14:paraId="7408E906"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center"/>
            <w:hideMark/>
          </w:tcPr>
          <w:p w14:paraId="14E086E4"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center"/>
            <w:hideMark/>
          </w:tcPr>
          <w:p w14:paraId="10A96541"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center"/>
            <w:hideMark/>
          </w:tcPr>
          <w:p w14:paraId="4D9E223D"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46945DC5"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44DE1FB7"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center"/>
            <w:hideMark/>
          </w:tcPr>
          <w:p w14:paraId="55CDA4BF"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r>
      <w:tr w:rsidR="00D854CD" w:rsidRPr="005269E6" w14:paraId="44F75EB4" w14:textId="77777777" w:rsidTr="007E5EA2">
        <w:trPr>
          <w:trHeight w:hRule="exact" w:val="76"/>
          <w:jc w:val="center"/>
        </w:trPr>
        <w:tc>
          <w:tcPr>
            <w:tcW w:w="770" w:type="pct"/>
            <w:tcBorders>
              <w:top w:val="nil"/>
              <w:left w:val="single" w:sz="4" w:space="0" w:color="auto"/>
              <w:bottom w:val="nil"/>
              <w:right w:val="nil"/>
            </w:tcBorders>
            <w:shd w:val="clear" w:color="auto" w:fill="auto"/>
            <w:vAlign w:val="center"/>
          </w:tcPr>
          <w:p w14:paraId="4C22626A"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58" w:type="pct"/>
            <w:tcBorders>
              <w:top w:val="nil"/>
              <w:left w:val="single" w:sz="4" w:space="0" w:color="auto"/>
              <w:bottom w:val="nil"/>
              <w:right w:val="single" w:sz="4" w:space="0" w:color="auto"/>
            </w:tcBorders>
            <w:shd w:val="clear" w:color="auto" w:fill="auto"/>
            <w:noWrap/>
            <w:vAlign w:val="center"/>
          </w:tcPr>
          <w:p w14:paraId="5E26572B"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56" w:type="pct"/>
            <w:tcBorders>
              <w:top w:val="nil"/>
              <w:left w:val="nil"/>
              <w:bottom w:val="nil"/>
              <w:right w:val="single" w:sz="4" w:space="0" w:color="auto"/>
            </w:tcBorders>
            <w:shd w:val="clear" w:color="auto" w:fill="auto"/>
            <w:noWrap/>
            <w:vAlign w:val="center"/>
          </w:tcPr>
          <w:p w14:paraId="7FEB0494"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center"/>
          </w:tcPr>
          <w:p w14:paraId="761B9A8C"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center"/>
          </w:tcPr>
          <w:p w14:paraId="1C04E592"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center"/>
          </w:tcPr>
          <w:p w14:paraId="02E7DD7F"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center"/>
          </w:tcPr>
          <w:p w14:paraId="1429013E"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tcPr>
          <w:p w14:paraId="04217288"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tcPr>
          <w:p w14:paraId="12338F12"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center"/>
          </w:tcPr>
          <w:p w14:paraId="5F0459D6"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r>
      <w:tr w:rsidR="00D854CD" w:rsidRPr="005269E6" w14:paraId="1D550D0C"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3018DF8D"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position w:val="2"/>
                <w:sz w:val="16"/>
                <w:szCs w:val="16"/>
                <w:rtl/>
                <w:lang w:val="fr-FR" w:eastAsia="en-US" w:bidi="ar-EG"/>
              </w:rPr>
              <w:t>النفقات</w:t>
            </w:r>
          </w:p>
        </w:tc>
        <w:tc>
          <w:tcPr>
            <w:tcW w:w="458" w:type="pct"/>
            <w:tcBorders>
              <w:top w:val="nil"/>
              <w:left w:val="single" w:sz="4" w:space="0" w:color="auto"/>
              <w:bottom w:val="nil"/>
              <w:right w:val="single" w:sz="4" w:space="0" w:color="auto"/>
            </w:tcBorders>
            <w:shd w:val="clear" w:color="auto" w:fill="auto"/>
            <w:noWrap/>
            <w:vAlign w:val="center"/>
            <w:hideMark/>
          </w:tcPr>
          <w:p w14:paraId="4544ED94"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56" w:type="pct"/>
            <w:tcBorders>
              <w:top w:val="nil"/>
              <w:left w:val="nil"/>
              <w:bottom w:val="nil"/>
              <w:right w:val="single" w:sz="4" w:space="0" w:color="auto"/>
            </w:tcBorders>
            <w:shd w:val="clear" w:color="auto" w:fill="auto"/>
            <w:noWrap/>
            <w:vAlign w:val="center"/>
            <w:hideMark/>
          </w:tcPr>
          <w:p w14:paraId="005B19F1" w14:textId="5BFE47D1"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bidi="ar-SY"/>
              </w:rPr>
            </w:pPr>
          </w:p>
        </w:tc>
        <w:tc>
          <w:tcPr>
            <w:tcW w:w="495" w:type="pct"/>
            <w:tcBorders>
              <w:top w:val="nil"/>
              <w:left w:val="nil"/>
              <w:bottom w:val="nil"/>
              <w:right w:val="single" w:sz="4" w:space="0" w:color="auto"/>
            </w:tcBorders>
            <w:shd w:val="clear" w:color="auto" w:fill="auto"/>
            <w:noWrap/>
            <w:vAlign w:val="center"/>
            <w:hideMark/>
          </w:tcPr>
          <w:p w14:paraId="41FED77E"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center"/>
            <w:hideMark/>
          </w:tcPr>
          <w:p w14:paraId="689DC54E"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center"/>
            <w:hideMark/>
          </w:tcPr>
          <w:p w14:paraId="31F55192"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 xml:space="preserve"> </w:t>
            </w:r>
          </w:p>
        </w:tc>
        <w:tc>
          <w:tcPr>
            <w:tcW w:w="455" w:type="pct"/>
            <w:tcBorders>
              <w:top w:val="nil"/>
              <w:left w:val="nil"/>
              <w:bottom w:val="nil"/>
              <w:right w:val="single" w:sz="4" w:space="0" w:color="auto"/>
            </w:tcBorders>
            <w:shd w:val="clear" w:color="auto" w:fill="auto"/>
            <w:noWrap/>
            <w:vAlign w:val="center"/>
            <w:hideMark/>
          </w:tcPr>
          <w:p w14:paraId="2B4720D6"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62C38091"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012817D1"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center"/>
            <w:hideMark/>
          </w:tcPr>
          <w:p w14:paraId="20A2B70C" w14:textId="77777777" w:rsidR="00D854CD" w:rsidRPr="005269E6" w:rsidRDefault="00D854CD" w:rsidP="007E5EA2">
            <w:pPr>
              <w:tabs>
                <w:tab w:val="clear" w:pos="794"/>
              </w:tabs>
              <w:spacing w:before="20" w:after="20" w:line="240" w:lineRule="exact"/>
              <w:jc w:val="left"/>
              <w:rPr>
                <w:rFonts w:eastAsia="Times New Roman"/>
                <w:position w:val="2"/>
                <w:sz w:val="16"/>
                <w:szCs w:val="16"/>
                <w:lang w:val="en-GB" w:eastAsia="en-GB"/>
              </w:rPr>
            </w:pPr>
          </w:p>
        </w:tc>
      </w:tr>
      <w:tr w:rsidR="00D854CD" w:rsidRPr="005269E6" w14:paraId="13054832"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62E235FC"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تكاليف الموظفين</w:t>
            </w:r>
          </w:p>
        </w:tc>
        <w:tc>
          <w:tcPr>
            <w:tcW w:w="458" w:type="pct"/>
            <w:tcBorders>
              <w:top w:val="nil"/>
              <w:left w:val="single" w:sz="4" w:space="0" w:color="auto"/>
              <w:bottom w:val="nil"/>
              <w:right w:val="single" w:sz="4" w:space="0" w:color="auto"/>
            </w:tcBorders>
            <w:shd w:val="clear" w:color="auto" w:fill="auto"/>
            <w:noWrap/>
            <w:vAlign w:val="center"/>
            <w:hideMark/>
          </w:tcPr>
          <w:p w14:paraId="1B3E0055" w14:textId="4B850F0F"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72 450</w:t>
            </w:r>
          </w:p>
        </w:tc>
        <w:tc>
          <w:tcPr>
            <w:tcW w:w="456" w:type="pct"/>
            <w:tcBorders>
              <w:top w:val="nil"/>
              <w:left w:val="nil"/>
              <w:bottom w:val="nil"/>
              <w:right w:val="single" w:sz="4" w:space="0" w:color="auto"/>
            </w:tcBorders>
            <w:shd w:val="clear" w:color="auto" w:fill="auto"/>
            <w:noWrap/>
            <w:vAlign w:val="center"/>
            <w:hideMark/>
          </w:tcPr>
          <w:p w14:paraId="349F730E" w14:textId="67ACCFBB"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31 399</w:t>
            </w:r>
          </w:p>
        </w:tc>
        <w:tc>
          <w:tcPr>
            <w:tcW w:w="495" w:type="pct"/>
            <w:tcBorders>
              <w:top w:val="nil"/>
              <w:left w:val="nil"/>
              <w:bottom w:val="nil"/>
              <w:right w:val="single" w:sz="4" w:space="0" w:color="auto"/>
            </w:tcBorders>
            <w:shd w:val="clear" w:color="auto" w:fill="auto"/>
            <w:noWrap/>
            <w:vAlign w:val="center"/>
            <w:hideMark/>
          </w:tcPr>
          <w:p w14:paraId="640DA013" w14:textId="0DA629C4"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13 575</w:t>
            </w:r>
          </w:p>
        </w:tc>
        <w:tc>
          <w:tcPr>
            <w:tcW w:w="490" w:type="pct"/>
            <w:tcBorders>
              <w:top w:val="nil"/>
              <w:left w:val="nil"/>
              <w:bottom w:val="nil"/>
              <w:right w:val="single" w:sz="4" w:space="0" w:color="auto"/>
            </w:tcBorders>
            <w:shd w:val="clear" w:color="auto" w:fill="auto"/>
            <w:noWrap/>
            <w:vAlign w:val="center"/>
            <w:hideMark/>
          </w:tcPr>
          <w:p w14:paraId="79C2D762" w14:textId="30A72CF0"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27 984</w:t>
            </w:r>
          </w:p>
        </w:tc>
        <w:tc>
          <w:tcPr>
            <w:tcW w:w="552" w:type="pct"/>
            <w:tcBorders>
              <w:top w:val="nil"/>
              <w:left w:val="nil"/>
              <w:bottom w:val="nil"/>
              <w:right w:val="single" w:sz="4" w:space="0" w:color="auto"/>
            </w:tcBorders>
            <w:shd w:val="clear" w:color="auto" w:fill="auto"/>
            <w:noWrap/>
            <w:vAlign w:val="center"/>
            <w:hideMark/>
          </w:tcPr>
          <w:p w14:paraId="6C31EF46" w14:textId="71C520E2"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145 409</w:t>
            </w:r>
          </w:p>
        </w:tc>
        <w:tc>
          <w:tcPr>
            <w:tcW w:w="455" w:type="pct"/>
            <w:tcBorders>
              <w:top w:val="nil"/>
              <w:left w:val="nil"/>
              <w:bottom w:val="nil"/>
              <w:right w:val="single" w:sz="4" w:space="0" w:color="auto"/>
            </w:tcBorders>
            <w:shd w:val="clear" w:color="auto" w:fill="auto"/>
            <w:noWrap/>
            <w:vAlign w:val="center"/>
            <w:hideMark/>
          </w:tcPr>
          <w:p w14:paraId="52B535E2" w14:textId="2C230BF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0CE0F6D9" w14:textId="013AE184"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17</w:t>
            </w:r>
          </w:p>
        </w:tc>
        <w:tc>
          <w:tcPr>
            <w:tcW w:w="426" w:type="pct"/>
            <w:tcBorders>
              <w:top w:val="nil"/>
              <w:left w:val="nil"/>
              <w:bottom w:val="nil"/>
              <w:right w:val="single" w:sz="4" w:space="0" w:color="auto"/>
            </w:tcBorders>
            <w:shd w:val="clear" w:color="auto" w:fill="auto"/>
            <w:noWrap/>
            <w:vAlign w:val="center"/>
            <w:hideMark/>
          </w:tcPr>
          <w:p w14:paraId="2D6A8AD8" w14:textId="45817025" w:rsidR="00D854CD" w:rsidRPr="005269E6" w:rsidRDefault="00D854CD" w:rsidP="007E5EA2">
            <w:pPr>
              <w:tabs>
                <w:tab w:val="clear" w:pos="794"/>
              </w:tabs>
              <w:spacing w:before="20" w:after="20" w:line="24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6 473</w:t>
            </w:r>
          </w:p>
        </w:tc>
        <w:tc>
          <w:tcPr>
            <w:tcW w:w="470" w:type="pct"/>
            <w:tcBorders>
              <w:top w:val="nil"/>
              <w:left w:val="nil"/>
              <w:bottom w:val="nil"/>
              <w:right w:val="single" w:sz="4" w:space="0" w:color="auto"/>
            </w:tcBorders>
            <w:shd w:val="clear" w:color="auto" w:fill="auto"/>
            <w:noWrap/>
            <w:vAlign w:val="center"/>
            <w:hideMark/>
          </w:tcPr>
          <w:p w14:paraId="6D849998" w14:textId="3A4EB68B"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151 899</w:t>
            </w:r>
          </w:p>
        </w:tc>
      </w:tr>
      <w:tr w:rsidR="00D854CD" w:rsidRPr="005269E6" w14:paraId="64EF11C5"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377ED6AA"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نفقات المهام الرسمية</w:t>
            </w:r>
          </w:p>
        </w:tc>
        <w:tc>
          <w:tcPr>
            <w:tcW w:w="458" w:type="pct"/>
            <w:tcBorders>
              <w:top w:val="nil"/>
              <w:left w:val="single" w:sz="4" w:space="0" w:color="auto"/>
              <w:bottom w:val="nil"/>
              <w:right w:val="single" w:sz="4" w:space="0" w:color="auto"/>
            </w:tcBorders>
            <w:shd w:val="clear" w:color="auto" w:fill="auto"/>
            <w:noWrap/>
            <w:vAlign w:val="center"/>
            <w:hideMark/>
          </w:tcPr>
          <w:p w14:paraId="17FDF820" w14:textId="003AA1F0"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38</w:t>
            </w:r>
          </w:p>
        </w:tc>
        <w:tc>
          <w:tcPr>
            <w:tcW w:w="456" w:type="pct"/>
            <w:tcBorders>
              <w:top w:val="nil"/>
              <w:left w:val="nil"/>
              <w:bottom w:val="nil"/>
              <w:right w:val="single" w:sz="4" w:space="0" w:color="auto"/>
            </w:tcBorders>
            <w:shd w:val="clear" w:color="auto" w:fill="auto"/>
            <w:noWrap/>
            <w:vAlign w:val="center"/>
            <w:hideMark/>
          </w:tcPr>
          <w:p w14:paraId="0524983B" w14:textId="2E75556C"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107</w:t>
            </w:r>
          </w:p>
        </w:tc>
        <w:tc>
          <w:tcPr>
            <w:tcW w:w="495" w:type="pct"/>
            <w:tcBorders>
              <w:top w:val="nil"/>
              <w:left w:val="nil"/>
              <w:bottom w:val="nil"/>
              <w:right w:val="single" w:sz="4" w:space="0" w:color="auto"/>
            </w:tcBorders>
            <w:shd w:val="clear" w:color="auto" w:fill="auto"/>
            <w:noWrap/>
            <w:vAlign w:val="center"/>
            <w:hideMark/>
          </w:tcPr>
          <w:p w14:paraId="67F0B02D" w14:textId="6119299A"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21</w:t>
            </w:r>
          </w:p>
        </w:tc>
        <w:tc>
          <w:tcPr>
            <w:tcW w:w="490" w:type="pct"/>
            <w:tcBorders>
              <w:top w:val="nil"/>
              <w:left w:val="nil"/>
              <w:bottom w:val="nil"/>
              <w:right w:val="single" w:sz="4" w:space="0" w:color="auto"/>
            </w:tcBorders>
            <w:shd w:val="clear" w:color="auto" w:fill="auto"/>
            <w:noWrap/>
            <w:vAlign w:val="center"/>
            <w:hideMark/>
          </w:tcPr>
          <w:p w14:paraId="17A396A7" w14:textId="26C45F6A"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119</w:t>
            </w:r>
          </w:p>
        </w:tc>
        <w:tc>
          <w:tcPr>
            <w:tcW w:w="552" w:type="pct"/>
            <w:tcBorders>
              <w:top w:val="nil"/>
              <w:left w:val="single" w:sz="4" w:space="0" w:color="auto"/>
              <w:bottom w:val="nil"/>
              <w:right w:val="single" w:sz="4" w:space="0" w:color="auto"/>
            </w:tcBorders>
            <w:shd w:val="clear" w:color="auto" w:fill="auto"/>
            <w:noWrap/>
            <w:vAlign w:val="center"/>
            <w:hideMark/>
          </w:tcPr>
          <w:p w14:paraId="4FABBF75" w14:textId="6D07DB10"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285</w:t>
            </w:r>
          </w:p>
        </w:tc>
        <w:tc>
          <w:tcPr>
            <w:tcW w:w="455" w:type="pct"/>
            <w:tcBorders>
              <w:top w:val="nil"/>
              <w:left w:val="nil"/>
              <w:bottom w:val="nil"/>
              <w:right w:val="single" w:sz="4" w:space="0" w:color="auto"/>
            </w:tcBorders>
            <w:shd w:val="clear" w:color="auto" w:fill="auto"/>
            <w:noWrap/>
            <w:vAlign w:val="center"/>
            <w:hideMark/>
          </w:tcPr>
          <w:p w14:paraId="0ADCDBD3" w14:textId="05C02AE9"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55E9EBD8" w14:textId="4641B099"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0A098E2C" w14:textId="3819041F" w:rsidR="00D854CD" w:rsidRPr="005269E6" w:rsidRDefault="00D854CD" w:rsidP="007E5EA2">
            <w:pPr>
              <w:tabs>
                <w:tab w:val="clear" w:pos="794"/>
              </w:tabs>
              <w:spacing w:before="20" w:after="20" w:line="24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158</w:t>
            </w:r>
          </w:p>
        </w:tc>
        <w:tc>
          <w:tcPr>
            <w:tcW w:w="470" w:type="pct"/>
            <w:tcBorders>
              <w:top w:val="nil"/>
              <w:left w:val="nil"/>
              <w:bottom w:val="nil"/>
              <w:right w:val="single" w:sz="4" w:space="0" w:color="auto"/>
            </w:tcBorders>
            <w:shd w:val="clear" w:color="auto" w:fill="auto"/>
            <w:noWrap/>
            <w:vAlign w:val="center"/>
            <w:hideMark/>
          </w:tcPr>
          <w:p w14:paraId="2B728F45" w14:textId="17E39F50"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443</w:t>
            </w:r>
          </w:p>
        </w:tc>
      </w:tr>
      <w:tr w:rsidR="00D854CD" w:rsidRPr="005269E6" w14:paraId="4D26092C"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4289AC40"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الخدمات التعاقدية</w:t>
            </w:r>
          </w:p>
        </w:tc>
        <w:tc>
          <w:tcPr>
            <w:tcW w:w="458" w:type="pct"/>
            <w:tcBorders>
              <w:top w:val="nil"/>
              <w:left w:val="single" w:sz="4" w:space="0" w:color="auto"/>
              <w:bottom w:val="nil"/>
              <w:right w:val="single" w:sz="4" w:space="0" w:color="auto"/>
            </w:tcBorders>
            <w:shd w:val="clear" w:color="auto" w:fill="auto"/>
            <w:noWrap/>
            <w:vAlign w:val="center"/>
            <w:hideMark/>
          </w:tcPr>
          <w:p w14:paraId="36A1EC7E" w14:textId="3C58F1AF"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7 850</w:t>
            </w:r>
          </w:p>
        </w:tc>
        <w:tc>
          <w:tcPr>
            <w:tcW w:w="456" w:type="pct"/>
            <w:tcBorders>
              <w:top w:val="nil"/>
              <w:left w:val="nil"/>
              <w:bottom w:val="nil"/>
              <w:right w:val="single" w:sz="4" w:space="0" w:color="auto"/>
            </w:tcBorders>
            <w:shd w:val="clear" w:color="auto" w:fill="auto"/>
            <w:noWrap/>
            <w:vAlign w:val="center"/>
            <w:hideMark/>
          </w:tcPr>
          <w:p w14:paraId="7CFA5E0F" w14:textId="1C562F42"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996</w:t>
            </w:r>
          </w:p>
        </w:tc>
        <w:tc>
          <w:tcPr>
            <w:tcW w:w="495" w:type="pct"/>
            <w:tcBorders>
              <w:top w:val="nil"/>
              <w:left w:val="nil"/>
              <w:bottom w:val="nil"/>
              <w:right w:val="single" w:sz="4" w:space="0" w:color="auto"/>
            </w:tcBorders>
            <w:shd w:val="clear" w:color="auto" w:fill="auto"/>
            <w:noWrap/>
            <w:vAlign w:val="center"/>
            <w:hideMark/>
          </w:tcPr>
          <w:p w14:paraId="2BF75FCF" w14:textId="653BC91F"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1 070</w:t>
            </w:r>
          </w:p>
        </w:tc>
        <w:tc>
          <w:tcPr>
            <w:tcW w:w="490" w:type="pct"/>
            <w:tcBorders>
              <w:top w:val="nil"/>
              <w:left w:val="nil"/>
              <w:bottom w:val="nil"/>
              <w:right w:val="single" w:sz="4" w:space="0" w:color="auto"/>
            </w:tcBorders>
            <w:shd w:val="clear" w:color="auto" w:fill="auto"/>
            <w:noWrap/>
            <w:vAlign w:val="center"/>
            <w:hideMark/>
          </w:tcPr>
          <w:p w14:paraId="4C235380" w14:textId="3840C18D"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3 722</w:t>
            </w:r>
          </w:p>
        </w:tc>
        <w:tc>
          <w:tcPr>
            <w:tcW w:w="552" w:type="pct"/>
            <w:tcBorders>
              <w:top w:val="nil"/>
              <w:left w:val="single" w:sz="4" w:space="0" w:color="auto"/>
              <w:bottom w:val="nil"/>
              <w:right w:val="single" w:sz="4" w:space="0" w:color="auto"/>
            </w:tcBorders>
            <w:shd w:val="clear" w:color="auto" w:fill="auto"/>
            <w:noWrap/>
            <w:vAlign w:val="center"/>
            <w:hideMark/>
          </w:tcPr>
          <w:p w14:paraId="0317A9F1" w14:textId="6B3D7402"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13 639</w:t>
            </w:r>
          </w:p>
        </w:tc>
        <w:tc>
          <w:tcPr>
            <w:tcW w:w="455" w:type="pct"/>
            <w:tcBorders>
              <w:top w:val="nil"/>
              <w:left w:val="nil"/>
              <w:bottom w:val="nil"/>
              <w:right w:val="single" w:sz="4" w:space="0" w:color="auto"/>
            </w:tcBorders>
            <w:shd w:val="clear" w:color="auto" w:fill="auto"/>
            <w:noWrap/>
            <w:vAlign w:val="center"/>
            <w:hideMark/>
          </w:tcPr>
          <w:p w14:paraId="3DDF2E76" w14:textId="0285366D"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w:t>
            </w:r>
          </w:p>
        </w:tc>
        <w:tc>
          <w:tcPr>
            <w:tcW w:w="426" w:type="pct"/>
            <w:tcBorders>
              <w:top w:val="nil"/>
              <w:left w:val="nil"/>
              <w:bottom w:val="nil"/>
              <w:right w:val="single" w:sz="4" w:space="0" w:color="auto"/>
            </w:tcBorders>
            <w:shd w:val="clear" w:color="auto" w:fill="auto"/>
            <w:noWrap/>
            <w:vAlign w:val="center"/>
            <w:hideMark/>
          </w:tcPr>
          <w:p w14:paraId="36064047" w14:textId="6210EDF2"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28DCA6B5" w14:textId="7E34D5C7" w:rsidR="00D854CD" w:rsidRPr="005269E6" w:rsidRDefault="00D854CD" w:rsidP="007E5EA2">
            <w:pPr>
              <w:tabs>
                <w:tab w:val="clear" w:pos="794"/>
              </w:tabs>
              <w:spacing w:before="20" w:after="20" w:line="24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7 623</w:t>
            </w:r>
          </w:p>
        </w:tc>
        <w:tc>
          <w:tcPr>
            <w:tcW w:w="470" w:type="pct"/>
            <w:tcBorders>
              <w:top w:val="nil"/>
              <w:left w:val="nil"/>
              <w:bottom w:val="nil"/>
              <w:right w:val="single" w:sz="4" w:space="0" w:color="auto"/>
            </w:tcBorders>
            <w:shd w:val="clear" w:color="auto" w:fill="auto"/>
            <w:noWrap/>
            <w:vAlign w:val="center"/>
            <w:hideMark/>
          </w:tcPr>
          <w:p w14:paraId="5CD40739" w14:textId="2FE8FE09"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21 262</w:t>
            </w:r>
          </w:p>
        </w:tc>
      </w:tr>
      <w:tr w:rsidR="00D854CD" w:rsidRPr="005269E6" w14:paraId="1391533F" w14:textId="77777777" w:rsidTr="007E5EA2">
        <w:trPr>
          <w:trHeight w:hRule="exact" w:val="373"/>
          <w:jc w:val="center"/>
        </w:trPr>
        <w:tc>
          <w:tcPr>
            <w:tcW w:w="770" w:type="pct"/>
            <w:tcBorders>
              <w:top w:val="nil"/>
              <w:left w:val="single" w:sz="4" w:space="0" w:color="auto"/>
              <w:bottom w:val="nil"/>
              <w:right w:val="nil"/>
            </w:tcBorders>
            <w:shd w:val="clear" w:color="auto" w:fill="auto"/>
            <w:vAlign w:val="center"/>
            <w:hideMark/>
          </w:tcPr>
          <w:p w14:paraId="473ACA4E"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استئجار وصيانة الأماكن والمعدات</w:t>
            </w:r>
          </w:p>
        </w:tc>
        <w:tc>
          <w:tcPr>
            <w:tcW w:w="458" w:type="pct"/>
            <w:tcBorders>
              <w:top w:val="nil"/>
              <w:left w:val="single" w:sz="4" w:space="0" w:color="auto"/>
              <w:bottom w:val="nil"/>
              <w:right w:val="single" w:sz="4" w:space="0" w:color="auto"/>
            </w:tcBorders>
            <w:shd w:val="clear" w:color="auto" w:fill="auto"/>
            <w:noWrap/>
            <w:vAlign w:val="center"/>
            <w:hideMark/>
          </w:tcPr>
          <w:p w14:paraId="356FECB3" w14:textId="28B1BBCA"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1 774</w:t>
            </w:r>
          </w:p>
        </w:tc>
        <w:tc>
          <w:tcPr>
            <w:tcW w:w="456" w:type="pct"/>
            <w:tcBorders>
              <w:top w:val="nil"/>
              <w:left w:val="nil"/>
              <w:bottom w:val="nil"/>
              <w:right w:val="single" w:sz="4" w:space="0" w:color="auto"/>
            </w:tcBorders>
            <w:shd w:val="clear" w:color="auto" w:fill="auto"/>
            <w:noWrap/>
            <w:vAlign w:val="center"/>
            <w:hideMark/>
          </w:tcPr>
          <w:p w14:paraId="21D86B1E" w14:textId="4635F69D"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16</w:t>
            </w:r>
          </w:p>
        </w:tc>
        <w:tc>
          <w:tcPr>
            <w:tcW w:w="495" w:type="pct"/>
            <w:tcBorders>
              <w:top w:val="nil"/>
              <w:left w:val="nil"/>
              <w:bottom w:val="nil"/>
              <w:right w:val="single" w:sz="4" w:space="0" w:color="auto"/>
            </w:tcBorders>
            <w:shd w:val="clear" w:color="auto" w:fill="auto"/>
            <w:noWrap/>
            <w:vAlign w:val="center"/>
            <w:hideMark/>
          </w:tcPr>
          <w:p w14:paraId="06921A72" w14:textId="5E53CC8A"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7</w:t>
            </w:r>
          </w:p>
        </w:tc>
        <w:tc>
          <w:tcPr>
            <w:tcW w:w="490" w:type="pct"/>
            <w:tcBorders>
              <w:top w:val="nil"/>
              <w:left w:val="nil"/>
              <w:bottom w:val="nil"/>
              <w:right w:val="single" w:sz="4" w:space="0" w:color="auto"/>
            </w:tcBorders>
            <w:shd w:val="clear" w:color="auto" w:fill="auto"/>
            <w:noWrap/>
            <w:vAlign w:val="center"/>
            <w:hideMark/>
          </w:tcPr>
          <w:p w14:paraId="2E0D31E6" w14:textId="19A78C9D"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48</w:t>
            </w:r>
          </w:p>
        </w:tc>
        <w:tc>
          <w:tcPr>
            <w:tcW w:w="552" w:type="pct"/>
            <w:tcBorders>
              <w:top w:val="nil"/>
              <w:left w:val="single" w:sz="4" w:space="0" w:color="auto"/>
              <w:bottom w:val="nil"/>
              <w:right w:val="single" w:sz="4" w:space="0" w:color="auto"/>
            </w:tcBorders>
            <w:shd w:val="clear" w:color="auto" w:fill="auto"/>
            <w:noWrap/>
            <w:vAlign w:val="center"/>
            <w:hideMark/>
          </w:tcPr>
          <w:p w14:paraId="75CC7B02" w14:textId="5CC7D18B"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1 845</w:t>
            </w:r>
          </w:p>
        </w:tc>
        <w:tc>
          <w:tcPr>
            <w:tcW w:w="455" w:type="pct"/>
            <w:tcBorders>
              <w:top w:val="nil"/>
              <w:left w:val="nil"/>
              <w:bottom w:val="nil"/>
              <w:right w:val="single" w:sz="4" w:space="0" w:color="auto"/>
            </w:tcBorders>
            <w:shd w:val="clear" w:color="auto" w:fill="auto"/>
            <w:noWrap/>
            <w:vAlign w:val="center"/>
            <w:hideMark/>
          </w:tcPr>
          <w:p w14:paraId="4097E9B9" w14:textId="475F159E"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1EEE2A90" w14:textId="47DB9CDF"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31E38D50" w14:textId="495A7C21" w:rsidR="00D854CD" w:rsidRPr="005269E6" w:rsidRDefault="00D854CD" w:rsidP="007E5EA2">
            <w:pPr>
              <w:tabs>
                <w:tab w:val="clear" w:pos="794"/>
              </w:tabs>
              <w:spacing w:before="20" w:after="20" w:line="24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2</w:t>
            </w:r>
          </w:p>
        </w:tc>
        <w:tc>
          <w:tcPr>
            <w:tcW w:w="470" w:type="pct"/>
            <w:tcBorders>
              <w:top w:val="nil"/>
              <w:left w:val="nil"/>
              <w:bottom w:val="nil"/>
              <w:right w:val="single" w:sz="4" w:space="0" w:color="auto"/>
            </w:tcBorders>
            <w:shd w:val="clear" w:color="auto" w:fill="auto"/>
            <w:noWrap/>
            <w:vAlign w:val="center"/>
            <w:hideMark/>
          </w:tcPr>
          <w:p w14:paraId="2484BE9D" w14:textId="4B60A2FF"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1 847</w:t>
            </w:r>
          </w:p>
        </w:tc>
      </w:tr>
      <w:tr w:rsidR="00D854CD" w:rsidRPr="005269E6" w14:paraId="0D106267"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493352EE"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المعدات واللوازم</w:t>
            </w:r>
          </w:p>
        </w:tc>
        <w:tc>
          <w:tcPr>
            <w:tcW w:w="458" w:type="pct"/>
            <w:tcBorders>
              <w:top w:val="nil"/>
              <w:left w:val="single" w:sz="4" w:space="0" w:color="auto"/>
              <w:bottom w:val="nil"/>
              <w:right w:val="single" w:sz="4" w:space="0" w:color="auto"/>
            </w:tcBorders>
            <w:shd w:val="clear" w:color="auto" w:fill="auto"/>
            <w:noWrap/>
            <w:vAlign w:val="center"/>
            <w:hideMark/>
          </w:tcPr>
          <w:p w14:paraId="51015365" w14:textId="60C0A308"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1 212</w:t>
            </w:r>
          </w:p>
        </w:tc>
        <w:tc>
          <w:tcPr>
            <w:tcW w:w="456" w:type="pct"/>
            <w:tcBorders>
              <w:top w:val="nil"/>
              <w:left w:val="nil"/>
              <w:bottom w:val="nil"/>
              <w:right w:val="single" w:sz="4" w:space="0" w:color="auto"/>
            </w:tcBorders>
            <w:shd w:val="clear" w:color="auto" w:fill="auto"/>
            <w:noWrap/>
            <w:vAlign w:val="center"/>
            <w:hideMark/>
          </w:tcPr>
          <w:p w14:paraId="3AE928DA" w14:textId="3C2D5758"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491</w:t>
            </w:r>
          </w:p>
        </w:tc>
        <w:tc>
          <w:tcPr>
            <w:tcW w:w="495" w:type="pct"/>
            <w:tcBorders>
              <w:top w:val="nil"/>
              <w:left w:val="nil"/>
              <w:bottom w:val="nil"/>
              <w:right w:val="single" w:sz="4" w:space="0" w:color="auto"/>
            </w:tcBorders>
            <w:shd w:val="clear" w:color="auto" w:fill="auto"/>
            <w:noWrap/>
            <w:vAlign w:val="center"/>
            <w:hideMark/>
          </w:tcPr>
          <w:p w14:paraId="1DD100E6" w14:textId="63830DD6"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171</w:t>
            </w:r>
          </w:p>
        </w:tc>
        <w:tc>
          <w:tcPr>
            <w:tcW w:w="490" w:type="pct"/>
            <w:tcBorders>
              <w:top w:val="nil"/>
              <w:left w:val="nil"/>
              <w:bottom w:val="nil"/>
              <w:right w:val="single" w:sz="4" w:space="0" w:color="auto"/>
            </w:tcBorders>
            <w:shd w:val="clear" w:color="auto" w:fill="auto"/>
            <w:noWrap/>
            <w:vAlign w:val="center"/>
            <w:hideMark/>
          </w:tcPr>
          <w:p w14:paraId="761C38E4" w14:textId="293A6048"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221</w:t>
            </w:r>
          </w:p>
        </w:tc>
        <w:tc>
          <w:tcPr>
            <w:tcW w:w="552" w:type="pct"/>
            <w:tcBorders>
              <w:top w:val="nil"/>
              <w:left w:val="single" w:sz="4" w:space="0" w:color="auto"/>
              <w:bottom w:val="nil"/>
              <w:right w:val="single" w:sz="4" w:space="0" w:color="auto"/>
            </w:tcBorders>
            <w:shd w:val="clear" w:color="auto" w:fill="auto"/>
            <w:noWrap/>
            <w:vAlign w:val="center"/>
            <w:hideMark/>
          </w:tcPr>
          <w:p w14:paraId="5191C400" w14:textId="495DE666"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2 095</w:t>
            </w:r>
          </w:p>
        </w:tc>
        <w:tc>
          <w:tcPr>
            <w:tcW w:w="455" w:type="pct"/>
            <w:tcBorders>
              <w:top w:val="nil"/>
              <w:left w:val="nil"/>
              <w:bottom w:val="nil"/>
              <w:right w:val="single" w:sz="4" w:space="0" w:color="auto"/>
            </w:tcBorders>
            <w:shd w:val="clear" w:color="auto" w:fill="auto"/>
            <w:noWrap/>
            <w:vAlign w:val="center"/>
            <w:hideMark/>
          </w:tcPr>
          <w:p w14:paraId="60192823" w14:textId="29CFC94B"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4025B562" w14:textId="38FDC714"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01AC554F" w14:textId="68295780" w:rsidR="00D854CD" w:rsidRPr="005269E6" w:rsidRDefault="00D854CD" w:rsidP="007E5EA2">
            <w:pPr>
              <w:tabs>
                <w:tab w:val="clear" w:pos="794"/>
              </w:tabs>
              <w:spacing w:before="20" w:after="20" w:line="24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202</w:t>
            </w:r>
          </w:p>
        </w:tc>
        <w:tc>
          <w:tcPr>
            <w:tcW w:w="470" w:type="pct"/>
            <w:tcBorders>
              <w:top w:val="nil"/>
              <w:left w:val="nil"/>
              <w:bottom w:val="nil"/>
              <w:right w:val="single" w:sz="4" w:space="0" w:color="auto"/>
            </w:tcBorders>
            <w:shd w:val="clear" w:color="auto" w:fill="auto"/>
            <w:noWrap/>
            <w:vAlign w:val="center"/>
            <w:hideMark/>
          </w:tcPr>
          <w:p w14:paraId="5E94C9D9" w14:textId="5706E8EA"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2 297</w:t>
            </w:r>
          </w:p>
        </w:tc>
      </w:tr>
      <w:tr w:rsidR="00D854CD" w:rsidRPr="005269E6" w14:paraId="175BA118"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489BB15B"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الاستهلاك</w:t>
            </w:r>
          </w:p>
        </w:tc>
        <w:tc>
          <w:tcPr>
            <w:tcW w:w="458" w:type="pct"/>
            <w:tcBorders>
              <w:top w:val="nil"/>
              <w:left w:val="single" w:sz="4" w:space="0" w:color="auto"/>
              <w:bottom w:val="nil"/>
              <w:right w:val="single" w:sz="4" w:space="0" w:color="auto"/>
            </w:tcBorders>
            <w:shd w:val="clear" w:color="auto" w:fill="auto"/>
            <w:noWrap/>
            <w:vAlign w:val="center"/>
            <w:hideMark/>
          </w:tcPr>
          <w:p w14:paraId="17EFC2C8" w14:textId="408245EB"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5 092</w:t>
            </w:r>
          </w:p>
        </w:tc>
        <w:tc>
          <w:tcPr>
            <w:tcW w:w="456" w:type="pct"/>
            <w:tcBorders>
              <w:top w:val="nil"/>
              <w:left w:val="nil"/>
              <w:bottom w:val="nil"/>
              <w:right w:val="single" w:sz="4" w:space="0" w:color="auto"/>
            </w:tcBorders>
            <w:shd w:val="clear" w:color="auto" w:fill="auto"/>
            <w:noWrap/>
            <w:vAlign w:val="center"/>
            <w:hideMark/>
          </w:tcPr>
          <w:p w14:paraId="64103A83" w14:textId="3D6F3E66"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1 911</w:t>
            </w:r>
          </w:p>
        </w:tc>
        <w:tc>
          <w:tcPr>
            <w:tcW w:w="495" w:type="pct"/>
            <w:tcBorders>
              <w:top w:val="nil"/>
              <w:left w:val="nil"/>
              <w:bottom w:val="nil"/>
              <w:right w:val="single" w:sz="4" w:space="0" w:color="auto"/>
            </w:tcBorders>
            <w:shd w:val="clear" w:color="auto" w:fill="auto"/>
            <w:noWrap/>
            <w:vAlign w:val="center"/>
            <w:hideMark/>
          </w:tcPr>
          <w:p w14:paraId="5DA194D8" w14:textId="324A2C74"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832</w:t>
            </w:r>
          </w:p>
        </w:tc>
        <w:tc>
          <w:tcPr>
            <w:tcW w:w="490" w:type="pct"/>
            <w:tcBorders>
              <w:top w:val="nil"/>
              <w:left w:val="nil"/>
              <w:bottom w:val="nil"/>
              <w:right w:val="single" w:sz="4" w:space="0" w:color="auto"/>
            </w:tcBorders>
            <w:shd w:val="clear" w:color="auto" w:fill="auto"/>
            <w:noWrap/>
            <w:vAlign w:val="center"/>
            <w:hideMark/>
          </w:tcPr>
          <w:p w14:paraId="1AD819D5" w14:textId="694947E6"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1 721</w:t>
            </w:r>
          </w:p>
        </w:tc>
        <w:tc>
          <w:tcPr>
            <w:tcW w:w="552" w:type="pct"/>
            <w:tcBorders>
              <w:top w:val="nil"/>
              <w:left w:val="single" w:sz="4" w:space="0" w:color="auto"/>
              <w:bottom w:val="nil"/>
              <w:right w:val="single" w:sz="4" w:space="0" w:color="auto"/>
            </w:tcBorders>
            <w:shd w:val="clear" w:color="auto" w:fill="auto"/>
            <w:noWrap/>
            <w:vAlign w:val="center"/>
            <w:hideMark/>
          </w:tcPr>
          <w:p w14:paraId="60FFF2D2" w14:textId="2C97AC40"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9 555</w:t>
            </w:r>
          </w:p>
        </w:tc>
        <w:tc>
          <w:tcPr>
            <w:tcW w:w="455" w:type="pct"/>
            <w:tcBorders>
              <w:top w:val="nil"/>
              <w:left w:val="nil"/>
              <w:bottom w:val="nil"/>
              <w:right w:val="single" w:sz="4" w:space="0" w:color="auto"/>
            </w:tcBorders>
            <w:shd w:val="clear" w:color="auto" w:fill="auto"/>
            <w:noWrap/>
            <w:vAlign w:val="center"/>
            <w:hideMark/>
          </w:tcPr>
          <w:p w14:paraId="5613511B" w14:textId="166E8FC8"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3E1B6B73" w14:textId="3FBA67A6"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3CF5F12C" w14:textId="06D2A751" w:rsidR="00D854CD" w:rsidRPr="005269E6" w:rsidRDefault="00D854CD" w:rsidP="007E5EA2">
            <w:pPr>
              <w:tabs>
                <w:tab w:val="clear" w:pos="794"/>
              </w:tabs>
              <w:spacing w:before="20" w:after="20" w:line="24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138</w:t>
            </w:r>
          </w:p>
        </w:tc>
        <w:tc>
          <w:tcPr>
            <w:tcW w:w="470" w:type="pct"/>
            <w:tcBorders>
              <w:top w:val="nil"/>
              <w:left w:val="nil"/>
              <w:bottom w:val="nil"/>
              <w:right w:val="single" w:sz="4" w:space="0" w:color="auto"/>
            </w:tcBorders>
            <w:shd w:val="clear" w:color="auto" w:fill="auto"/>
            <w:noWrap/>
            <w:vAlign w:val="center"/>
            <w:hideMark/>
          </w:tcPr>
          <w:p w14:paraId="60C8EDE7" w14:textId="20DE61FC"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9 693</w:t>
            </w:r>
          </w:p>
        </w:tc>
      </w:tr>
      <w:tr w:rsidR="00D854CD" w:rsidRPr="005269E6" w14:paraId="1E5114A4" w14:textId="77777777" w:rsidTr="007E5EA2">
        <w:trPr>
          <w:trHeight w:hRule="exact" w:val="374"/>
          <w:jc w:val="center"/>
        </w:trPr>
        <w:tc>
          <w:tcPr>
            <w:tcW w:w="770" w:type="pct"/>
            <w:tcBorders>
              <w:top w:val="nil"/>
              <w:left w:val="single" w:sz="4" w:space="0" w:color="auto"/>
              <w:bottom w:val="nil"/>
              <w:right w:val="nil"/>
            </w:tcBorders>
            <w:shd w:val="clear" w:color="auto" w:fill="auto"/>
            <w:vAlign w:val="center"/>
            <w:hideMark/>
          </w:tcPr>
          <w:p w14:paraId="313FD7F5" w14:textId="7777777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تكاليف الشحن والاتصالات الخدمات</w:t>
            </w:r>
          </w:p>
        </w:tc>
        <w:tc>
          <w:tcPr>
            <w:tcW w:w="458" w:type="pct"/>
            <w:tcBorders>
              <w:top w:val="nil"/>
              <w:left w:val="single" w:sz="4" w:space="0" w:color="auto"/>
              <w:bottom w:val="nil"/>
              <w:right w:val="single" w:sz="4" w:space="0" w:color="auto"/>
            </w:tcBorders>
            <w:shd w:val="clear" w:color="auto" w:fill="auto"/>
            <w:noWrap/>
            <w:vAlign w:val="center"/>
            <w:hideMark/>
          </w:tcPr>
          <w:p w14:paraId="794C9B5B" w14:textId="0681C0CF"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1 159</w:t>
            </w:r>
          </w:p>
        </w:tc>
        <w:tc>
          <w:tcPr>
            <w:tcW w:w="456" w:type="pct"/>
            <w:tcBorders>
              <w:top w:val="nil"/>
              <w:left w:val="nil"/>
              <w:bottom w:val="nil"/>
              <w:right w:val="single" w:sz="4" w:space="0" w:color="auto"/>
            </w:tcBorders>
            <w:shd w:val="clear" w:color="auto" w:fill="auto"/>
            <w:noWrap/>
            <w:vAlign w:val="center"/>
            <w:hideMark/>
          </w:tcPr>
          <w:p w14:paraId="0AF0EB99" w14:textId="70DDA031"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133</w:t>
            </w:r>
          </w:p>
        </w:tc>
        <w:tc>
          <w:tcPr>
            <w:tcW w:w="495" w:type="pct"/>
            <w:tcBorders>
              <w:top w:val="nil"/>
              <w:left w:val="nil"/>
              <w:bottom w:val="nil"/>
              <w:right w:val="single" w:sz="4" w:space="0" w:color="auto"/>
            </w:tcBorders>
            <w:shd w:val="clear" w:color="auto" w:fill="auto"/>
            <w:noWrap/>
            <w:vAlign w:val="center"/>
            <w:hideMark/>
          </w:tcPr>
          <w:p w14:paraId="578AF1AC" w14:textId="78F695B8"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60</w:t>
            </w:r>
          </w:p>
        </w:tc>
        <w:tc>
          <w:tcPr>
            <w:tcW w:w="490" w:type="pct"/>
            <w:tcBorders>
              <w:top w:val="nil"/>
              <w:left w:val="nil"/>
              <w:bottom w:val="nil"/>
              <w:right w:val="single" w:sz="4" w:space="0" w:color="auto"/>
            </w:tcBorders>
            <w:shd w:val="clear" w:color="auto" w:fill="auto"/>
            <w:noWrap/>
            <w:vAlign w:val="center"/>
            <w:hideMark/>
          </w:tcPr>
          <w:p w14:paraId="086629F5" w14:textId="53069001"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153</w:t>
            </w:r>
          </w:p>
        </w:tc>
        <w:tc>
          <w:tcPr>
            <w:tcW w:w="552" w:type="pct"/>
            <w:tcBorders>
              <w:top w:val="nil"/>
              <w:left w:val="single" w:sz="4" w:space="0" w:color="auto"/>
              <w:bottom w:val="nil"/>
              <w:right w:val="single" w:sz="4" w:space="0" w:color="auto"/>
            </w:tcBorders>
            <w:shd w:val="clear" w:color="auto" w:fill="auto"/>
            <w:noWrap/>
            <w:vAlign w:val="center"/>
            <w:hideMark/>
          </w:tcPr>
          <w:p w14:paraId="6B10CCF6" w14:textId="0726DB8E"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1 505</w:t>
            </w:r>
          </w:p>
        </w:tc>
        <w:tc>
          <w:tcPr>
            <w:tcW w:w="455" w:type="pct"/>
            <w:tcBorders>
              <w:top w:val="nil"/>
              <w:left w:val="nil"/>
              <w:bottom w:val="nil"/>
              <w:right w:val="single" w:sz="4" w:space="0" w:color="auto"/>
            </w:tcBorders>
            <w:shd w:val="clear" w:color="auto" w:fill="auto"/>
            <w:noWrap/>
            <w:vAlign w:val="center"/>
            <w:hideMark/>
          </w:tcPr>
          <w:p w14:paraId="7E93DD18" w14:textId="34BA8F66"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0995D8EF" w14:textId="7241DDBA"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54AFFC00" w14:textId="3FFAA856" w:rsidR="00D854CD" w:rsidRPr="005269E6" w:rsidRDefault="00D854CD" w:rsidP="007E5EA2">
            <w:pPr>
              <w:tabs>
                <w:tab w:val="clear" w:pos="794"/>
              </w:tabs>
              <w:spacing w:before="20" w:after="20" w:line="24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1</w:t>
            </w:r>
          </w:p>
        </w:tc>
        <w:tc>
          <w:tcPr>
            <w:tcW w:w="470" w:type="pct"/>
            <w:tcBorders>
              <w:top w:val="nil"/>
              <w:left w:val="nil"/>
              <w:bottom w:val="nil"/>
              <w:right w:val="single" w:sz="4" w:space="0" w:color="auto"/>
            </w:tcBorders>
            <w:shd w:val="clear" w:color="auto" w:fill="auto"/>
            <w:noWrap/>
            <w:vAlign w:val="center"/>
            <w:hideMark/>
          </w:tcPr>
          <w:p w14:paraId="711DC665" w14:textId="73E85868"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1 505</w:t>
            </w:r>
          </w:p>
        </w:tc>
      </w:tr>
      <w:tr w:rsidR="00D854CD" w:rsidRPr="005269E6" w14:paraId="1665B662" w14:textId="77777777" w:rsidTr="007E5EA2">
        <w:trPr>
          <w:trHeight w:val="480"/>
          <w:jc w:val="center"/>
        </w:trPr>
        <w:tc>
          <w:tcPr>
            <w:tcW w:w="770" w:type="pct"/>
            <w:tcBorders>
              <w:top w:val="nil"/>
              <w:left w:val="single" w:sz="4" w:space="0" w:color="auto"/>
              <w:bottom w:val="nil"/>
              <w:right w:val="nil"/>
            </w:tcBorders>
            <w:shd w:val="clear" w:color="auto" w:fill="auto"/>
            <w:vAlign w:val="center"/>
            <w:hideMark/>
          </w:tcPr>
          <w:p w14:paraId="2791AC79" w14:textId="77777777" w:rsidR="00D854CD" w:rsidRPr="005269E6" w:rsidRDefault="00D854CD" w:rsidP="007E5EA2">
            <w:pPr>
              <w:tabs>
                <w:tab w:val="clear" w:pos="794"/>
              </w:tabs>
              <w:spacing w:before="20" w:after="20" w:line="240" w:lineRule="exact"/>
              <w:jc w:val="left"/>
              <w:rPr>
                <w:rFonts w:eastAsia="Times New Roman"/>
                <w:color w:val="000000"/>
                <w:spacing w:val="-8"/>
                <w:w w:val="99"/>
                <w:position w:val="2"/>
                <w:sz w:val="16"/>
                <w:szCs w:val="16"/>
                <w:lang w:val="en-GB" w:eastAsia="en-GB"/>
              </w:rPr>
            </w:pPr>
            <w:r w:rsidRPr="005269E6">
              <w:rPr>
                <w:rFonts w:eastAsia="Times New Roman"/>
                <w:spacing w:val="-8"/>
                <w:w w:val="99"/>
                <w:position w:val="2"/>
                <w:sz w:val="16"/>
                <w:szCs w:val="16"/>
                <w:rtl/>
                <w:lang w:val="fr-FR" w:eastAsia="en-US" w:bidi="ar-EG"/>
              </w:rPr>
              <w:t>مراجعة الحسابات والمساهمات</w:t>
            </w:r>
            <w:r w:rsidRPr="005269E6">
              <w:rPr>
                <w:rFonts w:eastAsia="Times New Roman" w:hint="cs"/>
                <w:spacing w:val="-8"/>
                <w:w w:val="99"/>
                <w:position w:val="2"/>
                <w:sz w:val="16"/>
                <w:szCs w:val="16"/>
                <w:rtl/>
                <w:lang w:val="fr-FR" w:eastAsia="en-US" w:bidi="ar-EG"/>
              </w:rPr>
              <w:t xml:space="preserve"> </w:t>
            </w:r>
            <w:r w:rsidRPr="005269E6">
              <w:rPr>
                <w:rFonts w:eastAsia="Times New Roman"/>
                <w:spacing w:val="-8"/>
                <w:w w:val="99"/>
                <w:position w:val="2"/>
                <w:sz w:val="16"/>
                <w:szCs w:val="16"/>
                <w:rtl/>
                <w:lang w:val="fr-FR" w:eastAsia="en-US" w:bidi="ar-EG"/>
              </w:rPr>
              <w:t>المشتركة</w:t>
            </w:r>
            <w:r w:rsidRPr="005269E6">
              <w:rPr>
                <w:rFonts w:eastAsia="Times New Roman" w:hint="cs"/>
                <w:spacing w:val="-8"/>
                <w:w w:val="99"/>
                <w:position w:val="2"/>
                <w:sz w:val="16"/>
                <w:szCs w:val="16"/>
                <w:rtl/>
                <w:lang w:val="fr-FR" w:eastAsia="en-US" w:bidi="ar-EG"/>
              </w:rPr>
              <w:t xml:space="preserve"> </w:t>
            </w:r>
            <w:r w:rsidRPr="005269E6">
              <w:rPr>
                <w:rFonts w:eastAsia="Times New Roman"/>
                <w:spacing w:val="-8"/>
                <w:w w:val="99"/>
                <w:position w:val="2"/>
                <w:sz w:val="16"/>
                <w:szCs w:val="16"/>
                <w:rtl/>
                <w:lang w:val="fr-FR" w:eastAsia="en-US" w:bidi="ar-EG"/>
              </w:rPr>
              <w:t>بين</w:t>
            </w:r>
            <w:r w:rsidRPr="005269E6">
              <w:rPr>
                <w:rFonts w:eastAsia="Times New Roman" w:hint="cs"/>
                <w:spacing w:val="-8"/>
                <w:w w:val="99"/>
                <w:position w:val="2"/>
                <w:sz w:val="16"/>
                <w:szCs w:val="16"/>
                <w:rtl/>
                <w:lang w:val="fr-FR" w:eastAsia="en-US" w:bidi="ar-EG"/>
              </w:rPr>
              <w:t xml:space="preserve"> </w:t>
            </w:r>
            <w:r w:rsidRPr="005269E6">
              <w:rPr>
                <w:rFonts w:eastAsia="Times New Roman"/>
                <w:spacing w:val="-8"/>
                <w:w w:val="99"/>
                <w:position w:val="2"/>
                <w:sz w:val="16"/>
                <w:szCs w:val="16"/>
                <w:rtl/>
                <w:lang w:val="fr-FR" w:eastAsia="en-US" w:bidi="ar-EG"/>
              </w:rPr>
              <w:t>المنظمات</w:t>
            </w:r>
          </w:p>
        </w:tc>
        <w:tc>
          <w:tcPr>
            <w:tcW w:w="458" w:type="pct"/>
            <w:tcBorders>
              <w:top w:val="nil"/>
              <w:left w:val="single" w:sz="4" w:space="0" w:color="auto"/>
              <w:bottom w:val="nil"/>
              <w:right w:val="single" w:sz="4" w:space="0" w:color="auto"/>
            </w:tcBorders>
            <w:shd w:val="clear" w:color="auto" w:fill="auto"/>
            <w:noWrap/>
            <w:vAlign w:val="center"/>
          </w:tcPr>
          <w:p w14:paraId="1A927015" w14:textId="6F61FB9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56" w:type="pct"/>
            <w:tcBorders>
              <w:top w:val="nil"/>
              <w:left w:val="nil"/>
              <w:bottom w:val="nil"/>
              <w:right w:val="single" w:sz="4" w:space="0" w:color="auto"/>
            </w:tcBorders>
            <w:shd w:val="clear" w:color="auto" w:fill="auto"/>
            <w:noWrap/>
            <w:vAlign w:val="center"/>
          </w:tcPr>
          <w:p w14:paraId="7EE28C19" w14:textId="6A30DB82"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center"/>
          </w:tcPr>
          <w:p w14:paraId="54259D4E" w14:textId="557E5287"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center"/>
          </w:tcPr>
          <w:p w14:paraId="4210ADDA" w14:textId="50F4AC2E"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center"/>
          </w:tcPr>
          <w:p w14:paraId="7AFE9547" w14:textId="71DD46DE"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center"/>
          </w:tcPr>
          <w:p w14:paraId="13B1CBAB" w14:textId="2EE71354"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tcPr>
          <w:p w14:paraId="26DF10CD" w14:textId="32277603" w:rsidR="00D854CD" w:rsidRPr="005269E6" w:rsidRDefault="00D854CD" w:rsidP="007E5EA2">
            <w:pPr>
              <w:tabs>
                <w:tab w:val="clear" w:pos="794"/>
              </w:tabs>
              <w:spacing w:before="20" w:after="20" w:line="240" w:lineRule="exact"/>
              <w:jc w:val="left"/>
              <w:rPr>
                <w:rFonts w:eastAsia="Times New Roman"/>
                <w:color w:val="000000"/>
                <w:position w:val="2"/>
                <w:sz w:val="16"/>
                <w:szCs w:val="16"/>
                <w:rtl/>
                <w:lang w:val="en-GB" w:eastAsia="en-GB"/>
              </w:rPr>
            </w:pPr>
          </w:p>
        </w:tc>
        <w:tc>
          <w:tcPr>
            <w:tcW w:w="426" w:type="pct"/>
            <w:tcBorders>
              <w:top w:val="nil"/>
              <w:left w:val="nil"/>
              <w:bottom w:val="nil"/>
              <w:right w:val="single" w:sz="4" w:space="0" w:color="auto"/>
            </w:tcBorders>
            <w:shd w:val="clear" w:color="auto" w:fill="auto"/>
            <w:noWrap/>
            <w:vAlign w:val="center"/>
          </w:tcPr>
          <w:p w14:paraId="56944C5B" w14:textId="503591CE" w:rsidR="00D854CD" w:rsidRPr="005269E6" w:rsidRDefault="00D854CD" w:rsidP="007E5EA2">
            <w:pPr>
              <w:tabs>
                <w:tab w:val="clear" w:pos="794"/>
              </w:tabs>
              <w:spacing w:before="20" w:after="20" w:line="240" w:lineRule="exact"/>
              <w:jc w:val="left"/>
              <w:rPr>
                <w:rFonts w:eastAsia="Times New Roman"/>
                <w:b/>
                <w:bCs/>
                <w:i/>
                <w:iCs/>
                <w:color w:val="000000"/>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center"/>
          </w:tcPr>
          <w:p w14:paraId="2A0ED748" w14:textId="36720BA5"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p>
        </w:tc>
      </w:tr>
      <w:tr w:rsidR="00D854CD" w:rsidRPr="005269E6" w14:paraId="0AF61C89" w14:textId="77777777" w:rsidTr="007E5EA2">
        <w:trPr>
          <w:trHeight w:val="255"/>
          <w:jc w:val="center"/>
        </w:trPr>
        <w:tc>
          <w:tcPr>
            <w:tcW w:w="770" w:type="pct"/>
            <w:tcBorders>
              <w:top w:val="nil"/>
              <w:left w:val="single" w:sz="4" w:space="0" w:color="auto"/>
              <w:bottom w:val="nil"/>
              <w:right w:val="nil"/>
            </w:tcBorders>
            <w:shd w:val="clear" w:color="auto" w:fill="auto"/>
            <w:vAlign w:val="center"/>
            <w:hideMark/>
          </w:tcPr>
          <w:p w14:paraId="57127D2E" w14:textId="77777777" w:rsidR="00D854CD" w:rsidRPr="005269E6" w:rsidRDefault="00D854CD" w:rsidP="007E5EA2">
            <w:pPr>
              <w:tabs>
                <w:tab w:val="clear" w:pos="794"/>
              </w:tabs>
              <w:spacing w:before="20" w:after="20" w:line="240" w:lineRule="exact"/>
              <w:ind w:left="271"/>
              <w:jc w:val="left"/>
              <w:rPr>
                <w:rFonts w:eastAsia="Times New Roman"/>
                <w:color w:val="000000"/>
                <w:position w:val="2"/>
                <w:sz w:val="16"/>
                <w:szCs w:val="16"/>
                <w:lang w:val="en-GB" w:eastAsia="en-GB"/>
              </w:rPr>
            </w:pPr>
            <w:r w:rsidRPr="005269E6">
              <w:rPr>
                <w:rFonts w:eastAsia="Times New Roman"/>
                <w:position w:val="2"/>
                <w:sz w:val="16"/>
                <w:szCs w:val="16"/>
                <w:rtl/>
                <w:lang w:val="fr-FR" w:eastAsia="en-US" w:bidi="ar-EG"/>
              </w:rPr>
              <w:t>نفقات أخرى</w:t>
            </w:r>
          </w:p>
        </w:tc>
        <w:tc>
          <w:tcPr>
            <w:tcW w:w="458" w:type="pct"/>
            <w:tcBorders>
              <w:top w:val="nil"/>
              <w:left w:val="single" w:sz="4" w:space="0" w:color="auto"/>
              <w:bottom w:val="nil"/>
              <w:right w:val="single" w:sz="4" w:space="0" w:color="auto"/>
            </w:tcBorders>
            <w:shd w:val="clear" w:color="auto" w:fill="auto"/>
            <w:noWrap/>
            <w:vAlign w:val="center"/>
            <w:hideMark/>
          </w:tcPr>
          <w:p w14:paraId="7B5934A9" w14:textId="48DA41F2"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424</w:t>
            </w:r>
          </w:p>
        </w:tc>
        <w:tc>
          <w:tcPr>
            <w:tcW w:w="456" w:type="pct"/>
            <w:tcBorders>
              <w:top w:val="nil"/>
              <w:left w:val="nil"/>
              <w:bottom w:val="nil"/>
              <w:right w:val="single" w:sz="4" w:space="0" w:color="auto"/>
            </w:tcBorders>
            <w:shd w:val="clear" w:color="auto" w:fill="auto"/>
            <w:noWrap/>
            <w:vAlign w:val="center"/>
            <w:hideMark/>
          </w:tcPr>
          <w:p w14:paraId="28462744" w14:textId="06E92DB9"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144</w:t>
            </w:r>
          </w:p>
        </w:tc>
        <w:tc>
          <w:tcPr>
            <w:tcW w:w="495" w:type="pct"/>
            <w:tcBorders>
              <w:top w:val="nil"/>
              <w:left w:val="nil"/>
              <w:bottom w:val="nil"/>
              <w:right w:val="single" w:sz="4" w:space="0" w:color="auto"/>
            </w:tcBorders>
            <w:shd w:val="clear" w:color="auto" w:fill="auto"/>
            <w:noWrap/>
            <w:vAlign w:val="center"/>
            <w:hideMark/>
          </w:tcPr>
          <w:p w14:paraId="265D1686" w14:textId="43648FD8"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71</w:t>
            </w:r>
          </w:p>
        </w:tc>
        <w:tc>
          <w:tcPr>
            <w:tcW w:w="490" w:type="pct"/>
            <w:tcBorders>
              <w:top w:val="nil"/>
              <w:left w:val="nil"/>
              <w:bottom w:val="nil"/>
              <w:right w:val="single" w:sz="4" w:space="0" w:color="auto"/>
            </w:tcBorders>
            <w:shd w:val="clear" w:color="auto" w:fill="auto"/>
            <w:noWrap/>
            <w:vAlign w:val="center"/>
            <w:hideMark/>
          </w:tcPr>
          <w:p w14:paraId="5C35DCB5" w14:textId="12B59ABA"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208</w:t>
            </w:r>
          </w:p>
        </w:tc>
        <w:tc>
          <w:tcPr>
            <w:tcW w:w="552" w:type="pct"/>
            <w:tcBorders>
              <w:top w:val="nil"/>
              <w:left w:val="single" w:sz="4" w:space="0" w:color="auto"/>
              <w:bottom w:val="nil"/>
              <w:right w:val="single" w:sz="4" w:space="0" w:color="auto"/>
            </w:tcBorders>
            <w:shd w:val="clear" w:color="auto" w:fill="auto"/>
            <w:noWrap/>
            <w:vAlign w:val="center"/>
            <w:hideMark/>
          </w:tcPr>
          <w:p w14:paraId="37FB2B5F" w14:textId="3BFE616D"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848</w:t>
            </w:r>
          </w:p>
        </w:tc>
        <w:tc>
          <w:tcPr>
            <w:tcW w:w="455" w:type="pct"/>
            <w:tcBorders>
              <w:top w:val="nil"/>
              <w:left w:val="nil"/>
              <w:bottom w:val="nil"/>
              <w:right w:val="single" w:sz="4" w:space="0" w:color="auto"/>
            </w:tcBorders>
            <w:shd w:val="clear" w:color="auto" w:fill="auto"/>
            <w:noWrap/>
            <w:vAlign w:val="center"/>
            <w:hideMark/>
          </w:tcPr>
          <w:p w14:paraId="39BBA76A" w14:textId="0F42AACC"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6F12676B" w14:textId="6EB959BF" w:rsidR="00D854CD" w:rsidRPr="005269E6" w:rsidRDefault="00D854CD" w:rsidP="007E5EA2">
            <w:pPr>
              <w:tabs>
                <w:tab w:val="clear" w:pos="794"/>
              </w:tabs>
              <w:spacing w:before="20" w:after="20" w:line="240" w:lineRule="exact"/>
              <w:jc w:val="left"/>
              <w:rPr>
                <w:rFonts w:eastAsia="Times New Roman"/>
                <w:color w:val="000000"/>
                <w:position w:val="2"/>
                <w:sz w:val="16"/>
                <w:szCs w:val="16"/>
                <w:lang w:val="en-GB" w:eastAsia="en-GB"/>
              </w:rPr>
            </w:pPr>
            <w:r w:rsidRPr="005269E6">
              <w:rPr>
                <w:rFonts w:eastAsia="Times New Roman"/>
                <w:color w:val="000000"/>
                <w:position w:val="2"/>
                <w:sz w:val="16"/>
                <w:szCs w:val="16"/>
                <w:lang w:val="en-GB" w:eastAsia="en-GB"/>
              </w:rPr>
              <w:t>-</w:t>
            </w:r>
          </w:p>
        </w:tc>
        <w:tc>
          <w:tcPr>
            <w:tcW w:w="426" w:type="pct"/>
            <w:tcBorders>
              <w:top w:val="nil"/>
              <w:left w:val="nil"/>
              <w:bottom w:val="nil"/>
              <w:right w:val="single" w:sz="4" w:space="0" w:color="auto"/>
            </w:tcBorders>
            <w:shd w:val="clear" w:color="auto" w:fill="auto"/>
            <w:noWrap/>
            <w:vAlign w:val="center"/>
            <w:hideMark/>
          </w:tcPr>
          <w:p w14:paraId="301672E0" w14:textId="5BBA6BC4" w:rsidR="00D854CD" w:rsidRPr="005269E6" w:rsidRDefault="00D854CD" w:rsidP="007E5EA2">
            <w:pPr>
              <w:tabs>
                <w:tab w:val="clear" w:pos="794"/>
              </w:tabs>
              <w:spacing w:before="20" w:after="20" w:line="240" w:lineRule="exact"/>
              <w:jc w:val="left"/>
              <w:rPr>
                <w:rFonts w:eastAsia="Times New Roman"/>
                <w:b/>
                <w:bCs/>
                <w:i/>
                <w:iCs/>
                <w:color w:val="000000"/>
                <w:position w:val="2"/>
                <w:sz w:val="16"/>
                <w:szCs w:val="16"/>
                <w:lang w:val="en-GB" w:eastAsia="en-GB"/>
              </w:rPr>
            </w:pPr>
            <w:r w:rsidRPr="005269E6">
              <w:rPr>
                <w:rFonts w:eastAsia="Times New Roman"/>
                <w:b/>
                <w:bCs/>
                <w:i/>
                <w:iCs/>
                <w:color w:val="000000"/>
                <w:position w:val="2"/>
                <w:sz w:val="16"/>
                <w:szCs w:val="16"/>
                <w:lang w:val="en-GB" w:eastAsia="en-GB"/>
              </w:rPr>
              <w:t>1 088</w:t>
            </w:r>
          </w:p>
        </w:tc>
        <w:tc>
          <w:tcPr>
            <w:tcW w:w="470" w:type="pct"/>
            <w:tcBorders>
              <w:top w:val="nil"/>
              <w:left w:val="nil"/>
              <w:bottom w:val="nil"/>
              <w:right w:val="single" w:sz="4" w:space="0" w:color="auto"/>
            </w:tcBorders>
            <w:shd w:val="clear" w:color="auto" w:fill="auto"/>
            <w:noWrap/>
            <w:vAlign w:val="center"/>
            <w:hideMark/>
          </w:tcPr>
          <w:p w14:paraId="1833815A" w14:textId="087087DA" w:rsidR="00D854CD" w:rsidRPr="005269E6" w:rsidRDefault="00D854CD" w:rsidP="007E5EA2">
            <w:pPr>
              <w:tabs>
                <w:tab w:val="clear" w:pos="794"/>
              </w:tabs>
              <w:spacing w:before="20" w:after="20" w:line="240" w:lineRule="exact"/>
              <w:jc w:val="left"/>
              <w:rPr>
                <w:rFonts w:eastAsia="Times New Roman"/>
                <w:b/>
                <w:bCs/>
                <w:position w:val="2"/>
                <w:sz w:val="16"/>
                <w:szCs w:val="16"/>
                <w:lang w:val="en-GB" w:eastAsia="en-GB"/>
              </w:rPr>
            </w:pPr>
            <w:r w:rsidRPr="005269E6">
              <w:rPr>
                <w:rFonts w:eastAsia="Times New Roman"/>
                <w:b/>
                <w:bCs/>
                <w:position w:val="2"/>
                <w:sz w:val="16"/>
                <w:szCs w:val="16"/>
                <w:lang w:val="en-GB" w:eastAsia="en-GB"/>
              </w:rPr>
              <w:t>1 936</w:t>
            </w:r>
          </w:p>
        </w:tc>
      </w:tr>
      <w:tr w:rsidR="00D854CD" w:rsidRPr="005269E6" w14:paraId="5FAFBBC3" w14:textId="77777777" w:rsidTr="007E5EA2">
        <w:trPr>
          <w:trHeight w:val="255"/>
          <w:jc w:val="center"/>
        </w:trPr>
        <w:tc>
          <w:tcPr>
            <w:tcW w:w="770" w:type="pct"/>
            <w:tcBorders>
              <w:top w:val="single" w:sz="4" w:space="0" w:color="auto"/>
              <w:left w:val="single" w:sz="4" w:space="0" w:color="auto"/>
              <w:bottom w:val="single" w:sz="4" w:space="0" w:color="auto"/>
              <w:right w:val="nil"/>
            </w:tcBorders>
            <w:shd w:val="clear" w:color="auto" w:fill="auto"/>
            <w:noWrap/>
            <w:vAlign w:val="center"/>
            <w:hideMark/>
          </w:tcPr>
          <w:p w14:paraId="7A400E19"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position w:val="2"/>
                <w:sz w:val="16"/>
                <w:szCs w:val="16"/>
                <w:rtl/>
                <w:lang w:val="fr-FR" w:eastAsia="en-US" w:bidi="ar-EG"/>
              </w:rPr>
              <w:t>مجموع النفقات</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9CA93" w14:textId="6BABD6EE"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90 001</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238D15B0" w14:textId="5066D884"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35 197</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7685C1D3" w14:textId="42DB9F0D"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15 807</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0469A109" w14:textId="24C46F59"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34 175</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14:paraId="157985D7" w14:textId="3F153FB3"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175 180</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7210402D" w14:textId="150EC0CA"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747AEB97" w14:textId="256C9B72"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17</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2AACF9C4" w14:textId="39170939"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15 684</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0595D241" w14:textId="25D27B33"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190 882</w:t>
            </w:r>
          </w:p>
        </w:tc>
      </w:tr>
      <w:tr w:rsidR="00D854CD" w:rsidRPr="005269E6" w14:paraId="0D9C7060" w14:textId="77777777" w:rsidTr="007E5EA2">
        <w:trPr>
          <w:trHeight w:hRule="exact" w:val="76"/>
          <w:jc w:val="center"/>
        </w:trPr>
        <w:tc>
          <w:tcPr>
            <w:tcW w:w="770" w:type="pct"/>
            <w:tcBorders>
              <w:top w:val="nil"/>
              <w:left w:val="single" w:sz="4" w:space="0" w:color="auto"/>
              <w:bottom w:val="nil"/>
              <w:right w:val="nil"/>
            </w:tcBorders>
            <w:shd w:val="clear" w:color="auto" w:fill="auto"/>
            <w:vAlign w:val="center"/>
            <w:hideMark/>
          </w:tcPr>
          <w:p w14:paraId="73C311DC"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 </w:t>
            </w:r>
          </w:p>
        </w:tc>
        <w:tc>
          <w:tcPr>
            <w:tcW w:w="458" w:type="pct"/>
            <w:tcBorders>
              <w:top w:val="nil"/>
              <w:left w:val="single" w:sz="4" w:space="0" w:color="auto"/>
              <w:bottom w:val="nil"/>
              <w:right w:val="single" w:sz="4" w:space="0" w:color="auto"/>
            </w:tcBorders>
            <w:shd w:val="clear" w:color="auto" w:fill="auto"/>
            <w:noWrap/>
            <w:vAlign w:val="center"/>
            <w:hideMark/>
          </w:tcPr>
          <w:p w14:paraId="1D9125F3"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56" w:type="pct"/>
            <w:tcBorders>
              <w:top w:val="nil"/>
              <w:left w:val="nil"/>
              <w:bottom w:val="nil"/>
              <w:right w:val="single" w:sz="4" w:space="0" w:color="auto"/>
            </w:tcBorders>
            <w:shd w:val="clear" w:color="auto" w:fill="auto"/>
            <w:noWrap/>
            <w:vAlign w:val="center"/>
            <w:hideMark/>
          </w:tcPr>
          <w:p w14:paraId="6469AD06"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95" w:type="pct"/>
            <w:tcBorders>
              <w:top w:val="nil"/>
              <w:left w:val="nil"/>
              <w:bottom w:val="nil"/>
              <w:right w:val="single" w:sz="4" w:space="0" w:color="auto"/>
            </w:tcBorders>
            <w:shd w:val="clear" w:color="auto" w:fill="auto"/>
            <w:noWrap/>
            <w:vAlign w:val="center"/>
            <w:hideMark/>
          </w:tcPr>
          <w:p w14:paraId="451F9F8A"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90" w:type="pct"/>
            <w:tcBorders>
              <w:top w:val="nil"/>
              <w:left w:val="nil"/>
              <w:bottom w:val="nil"/>
              <w:right w:val="single" w:sz="4" w:space="0" w:color="auto"/>
            </w:tcBorders>
            <w:shd w:val="clear" w:color="auto" w:fill="auto"/>
            <w:noWrap/>
            <w:vAlign w:val="center"/>
            <w:hideMark/>
          </w:tcPr>
          <w:p w14:paraId="69383B3C" w14:textId="77777777" w:rsidR="00D854CD" w:rsidRPr="005269E6" w:rsidRDefault="00D854CD" w:rsidP="007E5EA2">
            <w:pPr>
              <w:tabs>
                <w:tab w:val="clear" w:pos="794"/>
              </w:tabs>
              <w:bidi w:val="0"/>
              <w:spacing w:before="20" w:after="20" w:line="240" w:lineRule="exact"/>
              <w:jc w:val="left"/>
              <w:rPr>
                <w:rFonts w:eastAsia="Times New Roman"/>
                <w:b/>
                <w:bCs/>
                <w:color w:val="000000"/>
                <w:position w:val="2"/>
                <w:sz w:val="16"/>
                <w:szCs w:val="16"/>
                <w:lang w:val="en-GB" w:eastAsia="en-GB"/>
              </w:rPr>
            </w:pPr>
          </w:p>
        </w:tc>
        <w:tc>
          <w:tcPr>
            <w:tcW w:w="552" w:type="pct"/>
            <w:tcBorders>
              <w:top w:val="nil"/>
              <w:left w:val="single" w:sz="4" w:space="0" w:color="auto"/>
              <w:bottom w:val="nil"/>
              <w:right w:val="single" w:sz="4" w:space="0" w:color="auto"/>
            </w:tcBorders>
            <w:shd w:val="clear" w:color="auto" w:fill="auto"/>
            <w:noWrap/>
            <w:vAlign w:val="center"/>
            <w:hideMark/>
          </w:tcPr>
          <w:p w14:paraId="59656256"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55" w:type="pct"/>
            <w:tcBorders>
              <w:top w:val="nil"/>
              <w:left w:val="nil"/>
              <w:bottom w:val="nil"/>
              <w:right w:val="single" w:sz="4" w:space="0" w:color="auto"/>
            </w:tcBorders>
            <w:shd w:val="clear" w:color="auto" w:fill="auto"/>
            <w:noWrap/>
            <w:vAlign w:val="center"/>
            <w:hideMark/>
          </w:tcPr>
          <w:p w14:paraId="217A6FE2"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7123077E"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26" w:type="pct"/>
            <w:tcBorders>
              <w:top w:val="nil"/>
              <w:left w:val="nil"/>
              <w:bottom w:val="nil"/>
              <w:right w:val="single" w:sz="4" w:space="0" w:color="auto"/>
            </w:tcBorders>
            <w:shd w:val="clear" w:color="auto" w:fill="auto"/>
            <w:noWrap/>
            <w:vAlign w:val="center"/>
            <w:hideMark/>
          </w:tcPr>
          <w:p w14:paraId="67E3572B"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70" w:type="pct"/>
            <w:tcBorders>
              <w:top w:val="nil"/>
              <w:left w:val="nil"/>
              <w:bottom w:val="nil"/>
              <w:right w:val="single" w:sz="4" w:space="0" w:color="auto"/>
            </w:tcBorders>
            <w:shd w:val="clear" w:color="auto" w:fill="auto"/>
            <w:noWrap/>
            <w:vAlign w:val="center"/>
            <w:hideMark/>
          </w:tcPr>
          <w:p w14:paraId="426A9329"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r>
      <w:tr w:rsidR="00D854CD" w:rsidRPr="005269E6" w14:paraId="3C2BF45D" w14:textId="77777777" w:rsidTr="007E5EA2">
        <w:trPr>
          <w:trHeight w:val="90"/>
          <w:jc w:val="center"/>
        </w:trPr>
        <w:tc>
          <w:tcPr>
            <w:tcW w:w="770" w:type="pct"/>
            <w:tcBorders>
              <w:top w:val="single" w:sz="4" w:space="0" w:color="auto"/>
              <w:left w:val="single" w:sz="4" w:space="0" w:color="auto"/>
              <w:bottom w:val="single" w:sz="4" w:space="0" w:color="auto"/>
              <w:right w:val="nil"/>
            </w:tcBorders>
            <w:shd w:val="clear" w:color="auto" w:fill="auto"/>
            <w:vAlign w:val="center"/>
            <w:hideMark/>
          </w:tcPr>
          <w:p w14:paraId="458FDC9B"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position w:val="2"/>
                <w:sz w:val="16"/>
                <w:szCs w:val="16"/>
                <w:rtl/>
                <w:lang w:val="fr-FR" w:eastAsia="en-US" w:bidi="ar-EG"/>
              </w:rPr>
              <w:t>فائض/(عجز) الفترة المالية</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EF5F5" w14:textId="225273E6"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366</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47FE9511" w14:textId="582A18A2"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167</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0CA97795" w14:textId="55BE4598"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76</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5C5D50C4" w14:textId="475AD50B"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160</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14:paraId="57DB74E8" w14:textId="21B5B7DB"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768</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1920D6F5" w14:textId="3CAA98FA"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11</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1BE323FD" w14:textId="30743E5A"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141</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73E8501D" w14:textId="6D1A426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(423)</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2C7268D1" w14:textId="1459B6DD"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497</w:t>
            </w:r>
          </w:p>
        </w:tc>
      </w:tr>
      <w:tr w:rsidR="00D854CD" w:rsidRPr="005269E6" w14:paraId="3247A50D" w14:textId="77777777" w:rsidTr="007E5EA2">
        <w:trPr>
          <w:trHeight w:val="50"/>
          <w:jc w:val="center"/>
        </w:trPr>
        <w:tc>
          <w:tcPr>
            <w:tcW w:w="770" w:type="pct"/>
            <w:tcBorders>
              <w:top w:val="single" w:sz="4" w:space="0" w:color="auto"/>
              <w:left w:val="single" w:sz="4" w:space="0" w:color="auto"/>
              <w:bottom w:val="single" w:sz="4" w:space="0" w:color="auto"/>
              <w:right w:val="nil"/>
            </w:tcBorders>
            <w:shd w:val="clear" w:color="auto" w:fill="auto"/>
            <w:vAlign w:val="center"/>
          </w:tcPr>
          <w:p w14:paraId="36F34A0F"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rtl/>
                <w:lang w:val="en-GB" w:eastAsia="en-GB"/>
              </w:rPr>
            </w:pP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CF85E"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2580FC9A"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60675A3D"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77FDBC22"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552" w:type="pct"/>
            <w:tcBorders>
              <w:top w:val="single" w:sz="4" w:space="0" w:color="auto"/>
              <w:left w:val="nil"/>
              <w:bottom w:val="single" w:sz="4" w:space="0" w:color="auto"/>
              <w:right w:val="single" w:sz="4" w:space="0" w:color="auto"/>
            </w:tcBorders>
            <w:shd w:val="clear" w:color="auto" w:fill="auto"/>
            <w:noWrap/>
            <w:vAlign w:val="center"/>
          </w:tcPr>
          <w:p w14:paraId="5C276CB8"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6F82BF29"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05EC6C74"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5A0948A0"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3133FB97" w14:textId="7777777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p>
        </w:tc>
      </w:tr>
      <w:tr w:rsidR="00D854CD" w:rsidRPr="005269E6" w14:paraId="6876E568" w14:textId="77777777" w:rsidTr="007E5EA2">
        <w:trPr>
          <w:trHeight w:val="361"/>
          <w:jc w:val="center"/>
        </w:trPr>
        <w:tc>
          <w:tcPr>
            <w:tcW w:w="770" w:type="pct"/>
            <w:tcBorders>
              <w:top w:val="single" w:sz="4" w:space="0" w:color="auto"/>
              <w:left w:val="single" w:sz="4" w:space="0" w:color="auto"/>
              <w:bottom w:val="single" w:sz="4" w:space="0" w:color="auto"/>
              <w:right w:val="nil"/>
            </w:tcBorders>
            <w:shd w:val="clear" w:color="auto" w:fill="538DD5"/>
            <w:vAlign w:val="center"/>
          </w:tcPr>
          <w:p w14:paraId="10CB2E1B" w14:textId="7F8F7AB5" w:rsidR="00D854CD" w:rsidRPr="005269E6" w:rsidRDefault="00D854CD" w:rsidP="007E5EA2">
            <w:pPr>
              <w:tabs>
                <w:tab w:val="clear" w:pos="794"/>
              </w:tabs>
              <w:spacing w:before="20" w:after="20" w:line="240" w:lineRule="exact"/>
              <w:jc w:val="left"/>
              <w:rPr>
                <w:rFonts w:eastAsia="Times New Roman"/>
                <w:b/>
                <w:bCs/>
                <w:position w:val="2"/>
                <w:sz w:val="16"/>
                <w:szCs w:val="16"/>
                <w:lang w:eastAsia="en-US" w:bidi="ar-SY"/>
              </w:rPr>
            </w:pPr>
            <w:r w:rsidRPr="005269E6">
              <w:rPr>
                <w:rFonts w:eastAsia="Times New Roman"/>
                <w:b/>
                <w:bCs/>
                <w:position w:val="2"/>
                <w:sz w:val="16"/>
                <w:szCs w:val="16"/>
                <w:rtl/>
                <w:lang w:val="fr-FR" w:eastAsia="en-US" w:bidi="ar-SY"/>
              </w:rPr>
              <w:t xml:space="preserve">النتيجة </w:t>
            </w:r>
            <w:r w:rsidRPr="005269E6">
              <w:rPr>
                <w:rFonts w:eastAsia="Times New Roman"/>
                <w:b/>
                <w:bCs/>
                <w:color w:val="000000"/>
                <w:position w:val="2"/>
                <w:sz w:val="16"/>
                <w:szCs w:val="16"/>
                <w:rtl/>
                <w:lang w:eastAsia="en-GB"/>
              </w:rPr>
              <w:t>الصافية</w:t>
            </w:r>
          </w:p>
        </w:tc>
        <w:tc>
          <w:tcPr>
            <w:tcW w:w="458" w:type="pct"/>
            <w:tcBorders>
              <w:top w:val="single" w:sz="4" w:space="0" w:color="auto"/>
              <w:left w:val="single" w:sz="4" w:space="0" w:color="auto"/>
              <w:bottom w:val="single" w:sz="4" w:space="0" w:color="auto"/>
              <w:right w:val="single" w:sz="4" w:space="0" w:color="auto"/>
            </w:tcBorders>
            <w:shd w:val="clear" w:color="auto" w:fill="538DD5"/>
            <w:noWrap/>
            <w:vAlign w:val="center"/>
          </w:tcPr>
          <w:p w14:paraId="5DB4694B" w14:textId="0BC2CC0C"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eastAsia="en-GB"/>
              </w:rPr>
            </w:pPr>
            <w:r w:rsidRPr="005269E6">
              <w:rPr>
                <w:rFonts w:eastAsia="Times New Roman"/>
                <w:b/>
                <w:bCs/>
                <w:color w:val="000000"/>
                <w:position w:val="2"/>
                <w:sz w:val="16"/>
                <w:szCs w:val="16"/>
                <w:lang w:eastAsia="en-GB"/>
              </w:rPr>
              <w:t>(33 492)</w:t>
            </w:r>
          </w:p>
        </w:tc>
        <w:tc>
          <w:tcPr>
            <w:tcW w:w="456" w:type="pct"/>
            <w:tcBorders>
              <w:top w:val="single" w:sz="4" w:space="0" w:color="auto"/>
              <w:left w:val="nil"/>
              <w:bottom w:val="single" w:sz="4" w:space="0" w:color="auto"/>
              <w:right w:val="single" w:sz="4" w:space="0" w:color="auto"/>
            </w:tcBorders>
            <w:shd w:val="clear" w:color="auto" w:fill="538DD5"/>
            <w:noWrap/>
            <w:vAlign w:val="center"/>
          </w:tcPr>
          <w:p w14:paraId="6D3857E2" w14:textId="407E91E4"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24 513</w:t>
            </w:r>
          </w:p>
        </w:tc>
        <w:tc>
          <w:tcPr>
            <w:tcW w:w="495" w:type="pct"/>
            <w:tcBorders>
              <w:top w:val="single" w:sz="4" w:space="0" w:color="auto"/>
              <w:left w:val="nil"/>
              <w:bottom w:val="single" w:sz="4" w:space="0" w:color="auto"/>
              <w:right w:val="single" w:sz="4" w:space="0" w:color="auto"/>
            </w:tcBorders>
            <w:shd w:val="clear" w:color="auto" w:fill="538DD5"/>
            <w:noWrap/>
            <w:vAlign w:val="center"/>
          </w:tcPr>
          <w:p w14:paraId="259059B0" w14:textId="248F5315"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2 638</w:t>
            </w:r>
          </w:p>
        </w:tc>
        <w:tc>
          <w:tcPr>
            <w:tcW w:w="490" w:type="pct"/>
            <w:tcBorders>
              <w:top w:val="single" w:sz="4" w:space="0" w:color="auto"/>
              <w:left w:val="nil"/>
              <w:bottom w:val="single" w:sz="4" w:space="0" w:color="auto"/>
              <w:right w:val="single" w:sz="4" w:space="0" w:color="auto"/>
            </w:tcBorders>
            <w:shd w:val="clear" w:color="auto" w:fill="538DD5"/>
            <w:noWrap/>
            <w:vAlign w:val="center"/>
          </w:tcPr>
          <w:p w14:paraId="2DCD6DA9" w14:textId="13A6AC37"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(10 703)</w:t>
            </w:r>
          </w:p>
        </w:tc>
        <w:tc>
          <w:tcPr>
            <w:tcW w:w="552" w:type="pct"/>
            <w:tcBorders>
              <w:top w:val="single" w:sz="4" w:space="0" w:color="auto"/>
              <w:left w:val="nil"/>
              <w:bottom w:val="single" w:sz="4" w:space="0" w:color="auto"/>
              <w:right w:val="single" w:sz="4" w:space="0" w:color="auto"/>
            </w:tcBorders>
            <w:shd w:val="clear" w:color="auto" w:fill="538DD5"/>
            <w:noWrap/>
            <w:vAlign w:val="center"/>
          </w:tcPr>
          <w:p w14:paraId="3CF4B321" w14:textId="2177C534"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(17 045)</w:t>
            </w:r>
          </w:p>
        </w:tc>
        <w:tc>
          <w:tcPr>
            <w:tcW w:w="455" w:type="pct"/>
            <w:tcBorders>
              <w:top w:val="single" w:sz="4" w:space="0" w:color="auto"/>
              <w:left w:val="nil"/>
              <w:bottom w:val="single" w:sz="4" w:space="0" w:color="auto"/>
              <w:right w:val="single" w:sz="4" w:space="0" w:color="auto"/>
            </w:tcBorders>
            <w:shd w:val="clear" w:color="auto" w:fill="538DD5"/>
            <w:noWrap/>
            <w:vAlign w:val="center"/>
          </w:tcPr>
          <w:p w14:paraId="1288BE73" w14:textId="545AB58B"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5 320</w:t>
            </w:r>
          </w:p>
        </w:tc>
        <w:tc>
          <w:tcPr>
            <w:tcW w:w="426" w:type="pct"/>
            <w:tcBorders>
              <w:top w:val="single" w:sz="4" w:space="0" w:color="auto"/>
              <w:left w:val="nil"/>
              <w:bottom w:val="single" w:sz="4" w:space="0" w:color="auto"/>
              <w:right w:val="single" w:sz="4" w:space="0" w:color="auto"/>
            </w:tcBorders>
            <w:shd w:val="clear" w:color="auto" w:fill="538DD5"/>
            <w:noWrap/>
            <w:vAlign w:val="center"/>
          </w:tcPr>
          <w:p w14:paraId="22FF03DE" w14:textId="5E482F06"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124</w:t>
            </w:r>
          </w:p>
        </w:tc>
        <w:tc>
          <w:tcPr>
            <w:tcW w:w="426" w:type="pct"/>
            <w:tcBorders>
              <w:top w:val="single" w:sz="4" w:space="0" w:color="auto"/>
              <w:left w:val="nil"/>
              <w:bottom w:val="single" w:sz="4" w:space="0" w:color="auto"/>
              <w:right w:val="single" w:sz="4" w:space="0" w:color="auto"/>
            </w:tcBorders>
            <w:shd w:val="clear" w:color="auto" w:fill="538DD5"/>
            <w:noWrap/>
            <w:vAlign w:val="center"/>
          </w:tcPr>
          <w:p w14:paraId="2C441711" w14:textId="51A7FC72"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(1 695)</w:t>
            </w:r>
          </w:p>
        </w:tc>
        <w:tc>
          <w:tcPr>
            <w:tcW w:w="470" w:type="pct"/>
            <w:tcBorders>
              <w:top w:val="single" w:sz="4" w:space="0" w:color="auto"/>
              <w:left w:val="nil"/>
              <w:bottom w:val="single" w:sz="4" w:space="0" w:color="auto"/>
              <w:right w:val="single" w:sz="4" w:space="0" w:color="auto"/>
            </w:tcBorders>
            <w:shd w:val="clear" w:color="auto" w:fill="538DD5"/>
            <w:noWrap/>
            <w:vAlign w:val="center"/>
          </w:tcPr>
          <w:p w14:paraId="4B35C297" w14:textId="17EDE21C" w:rsidR="00D854CD" w:rsidRPr="005269E6" w:rsidRDefault="00D854CD" w:rsidP="007E5EA2">
            <w:pPr>
              <w:tabs>
                <w:tab w:val="clear" w:pos="794"/>
              </w:tabs>
              <w:spacing w:before="20" w:after="20" w:line="240" w:lineRule="exact"/>
              <w:jc w:val="left"/>
              <w:rPr>
                <w:rFonts w:eastAsia="Times New Roman"/>
                <w:b/>
                <w:bCs/>
                <w:color w:val="000000"/>
                <w:position w:val="2"/>
                <w:sz w:val="16"/>
                <w:szCs w:val="16"/>
                <w:lang w:val="en-GB" w:eastAsia="en-GB"/>
              </w:rPr>
            </w:pPr>
            <w:r w:rsidRPr="005269E6">
              <w:rPr>
                <w:rFonts w:eastAsia="Times New Roman"/>
                <w:b/>
                <w:bCs/>
                <w:color w:val="000000"/>
                <w:position w:val="2"/>
                <w:sz w:val="16"/>
                <w:szCs w:val="16"/>
                <w:lang w:val="en-GB" w:eastAsia="en-GB"/>
              </w:rPr>
              <w:t>(13 296)</w:t>
            </w:r>
          </w:p>
        </w:tc>
      </w:tr>
      <w:bookmarkEnd w:id="637"/>
    </w:tbl>
    <w:p w14:paraId="7D4A76D6" w14:textId="77777777" w:rsidR="00C543C6" w:rsidRPr="005269E6" w:rsidRDefault="00C543C6" w:rsidP="00C543C6">
      <w:pPr>
        <w:rPr>
          <w:rtl/>
          <w:lang w:bidi="ar-EG"/>
        </w:rPr>
        <w:sectPr w:rsidR="00C543C6" w:rsidRPr="005269E6" w:rsidSect="00DF0C9F">
          <w:headerReference w:type="first" r:id="rId34"/>
          <w:pgSz w:w="16840" w:h="11907" w:orient="landscape" w:code="9"/>
          <w:pgMar w:top="851" w:right="567" w:bottom="567" w:left="567" w:header="709" w:footer="709" w:gutter="0"/>
          <w:cols w:space="708"/>
          <w:docGrid w:linePitch="360"/>
        </w:sectPr>
      </w:pPr>
    </w:p>
    <w:p w14:paraId="71734DC3" w14:textId="159B88FF" w:rsidR="00C543C6" w:rsidRPr="005269E6" w:rsidRDefault="00C543C6" w:rsidP="00696AA6">
      <w:pPr>
        <w:pStyle w:val="Heading5"/>
        <w:rPr>
          <w:rtl/>
        </w:rPr>
      </w:pPr>
      <w:bookmarkStart w:id="638" w:name="_Toc482792231"/>
      <w:bookmarkStart w:id="639" w:name="_Toc482793736"/>
      <w:bookmarkStart w:id="640" w:name="_Toc511402252"/>
      <w:bookmarkStart w:id="641" w:name="_Toc511756688"/>
      <w:bookmarkStart w:id="642" w:name="_Toc9614805"/>
      <w:bookmarkStart w:id="643" w:name="_Toc42013559"/>
      <w:bookmarkStart w:id="644" w:name="_Toc42014562"/>
      <w:bookmarkStart w:id="645" w:name="_Toc74061603"/>
      <w:bookmarkStart w:id="646" w:name="_Toc452156663"/>
      <w:bookmarkStart w:id="647" w:name="_Toc162520643"/>
      <w:r w:rsidRPr="005269E6">
        <w:rPr>
          <w:rtl/>
        </w:rPr>
        <w:lastRenderedPageBreak/>
        <w:t xml:space="preserve">الملاحظة </w:t>
      </w:r>
      <w:r w:rsidRPr="005269E6">
        <w:t>25</w:t>
      </w:r>
      <w:r w:rsidRPr="005269E6">
        <w:rPr>
          <w:rtl/>
        </w:rPr>
        <w:tab/>
      </w:r>
      <w:bookmarkStart w:id="648" w:name="_Toc482792232"/>
      <w:bookmarkStart w:id="649" w:name="_Toc482793737"/>
      <w:bookmarkStart w:id="650" w:name="_Toc511402253"/>
      <w:bookmarkStart w:id="651" w:name="_Toc511756689"/>
      <w:bookmarkStart w:id="652" w:name="_Toc42013560"/>
      <w:bookmarkStart w:id="653" w:name="_Toc42014563"/>
      <w:bookmarkStart w:id="654" w:name="_Toc74061604"/>
      <w:bookmarkEnd w:id="638"/>
      <w:bookmarkEnd w:id="639"/>
      <w:bookmarkEnd w:id="640"/>
      <w:bookmarkEnd w:id="641"/>
      <w:bookmarkEnd w:id="642"/>
      <w:bookmarkEnd w:id="643"/>
      <w:bookmarkEnd w:id="644"/>
      <w:bookmarkEnd w:id="645"/>
      <w:r w:rsidRPr="005269E6">
        <w:rPr>
          <w:rtl/>
        </w:rPr>
        <w:t>التوفيق بين المبالغ المدرجة في الميزانية والمبالغ الفعلية</w:t>
      </w:r>
      <w:bookmarkEnd w:id="646"/>
      <w:bookmarkEnd w:id="648"/>
      <w:bookmarkEnd w:id="649"/>
      <w:bookmarkEnd w:id="650"/>
      <w:bookmarkEnd w:id="651"/>
      <w:bookmarkEnd w:id="652"/>
      <w:bookmarkEnd w:id="653"/>
      <w:bookmarkEnd w:id="654"/>
      <w:bookmarkEnd w:id="647"/>
    </w:p>
    <w:p w14:paraId="6F7B2288" w14:textId="77777777" w:rsidR="00C543C6" w:rsidRPr="005269E6" w:rsidRDefault="00C543C6" w:rsidP="00C543C6">
      <w:pPr>
        <w:rPr>
          <w:rtl/>
          <w:lang w:bidi="ar-EG"/>
        </w:rPr>
      </w:pPr>
      <w:bookmarkStart w:id="655" w:name="_Toc306236991"/>
      <w:r w:rsidRPr="005269E6">
        <w:rPr>
          <w:rtl/>
          <w:lang w:bidi="ar-EG"/>
        </w:rPr>
        <w:t>تشمل البيانات المالية ما يلي:</w:t>
      </w:r>
      <w:bookmarkEnd w:id="655"/>
    </w:p>
    <w:p w14:paraId="61E89C70" w14:textId="77777777" w:rsidR="00C543C6" w:rsidRPr="005269E6" w:rsidRDefault="00C543C6" w:rsidP="00C543C6">
      <w:pPr>
        <w:pStyle w:val="enumlev1"/>
        <w:rPr>
          <w:rtl/>
          <w:lang w:bidi="ar-EG"/>
        </w:rPr>
      </w:pPr>
      <w:bookmarkStart w:id="656" w:name="_Toc520365550"/>
      <w:r w:rsidRPr="005269E6">
        <w:sym w:font="Symbol" w:char="F0B7"/>
      </w:r>
      <w:r w:rsidRPr="005269E6">
        <w:rPr>
          <w:rtl/>
        </w:rPr>
        <w:tab/>
        <w:t>الميزانية العادية للاتحاد الدولي للاتصالات؛</w:t>
      </w:r>
      <w:bookmarkEnd w:id="656"/>
    </w:p>
    <w:p w14:paraId="1622DB31" w14:textId="74ACB95D" w:rsidR="00C543C6" w:rsidRPr="005269E6" w:rsidRDefault="00C543C6" w:rsidP="0028011C">
      <w:pPr>
        <w:pStyle w:val="enumlev1"/>
        <w:rPr>
          <w:rtl/>
          <w:lang w:bidi="ar-EG"/>
        </w:rPr>
      </w:pPr>
      <w:bookmarkStart w:id="657" w:name="_Toc520365553"/>
      <w:r w:rsidRPr="005269E6">
        <w:sym w:font="Symbol" w:char="F0B7"/>
      </w:r>
      <w:r w:rsidRPr="005269E6">
        <w:rPr>
          <w:rtl/>
        </w:rPr>
        <w:tab/>
      </w:r>
      <w:bookmarkEnd w:id="657"/>
      <w:r w:rsidR="0028011C" w:rsidRPr="005269E6">
        <w:rPr>
          <w:rFonts w:hint="cs"/>
          <w:rtl/>
          <w:lang w:bidi="ar-EG"/>
        </w:rPr>
        <w:t>أموال</w:t>
      </w:r>
      <w:r w:rsidR="0028011C" w:rsidRPr="005269E6">
        <w:rPr>
          <w:rtl/>
          <w:lang w:bidi="ar-SA"/>
        </w:rPr>
        <w:t xml:space="preserve"> أخرى؛</w:t>
      </w:r>
    </w:p>
    <w:p w14:paraId="523F93C2" w14:textId="29E00F57" w:rsidR="00C543C6" w:rsidRPr="005269E6" w:rsidRDefault="00C543C6" w:rsidP="00C543C6">
      <w:pPr>
        <w:pStyle w:val="enumlev1"/>
        <w:rPr>
          <w:rtl/>
        </w:rPr>
      </w:pPr>
      <w:bookmarkStart w:id="658" w:name="_Toc520365554"/>
      <w:r w:rsidRPr="005269E6">
        <w:sym w:font="Symbol" w:char="F0B7"/>
      </w:r>
      <w:r w:rsidRPr="005269E6">
        <w:rPr>
          <w:rtl/>
        </w:rPr>
        <w:tab/>
      </w:r>
      <w:bookmarkEnd w:id="658"/>
      <w:r w:rsidR="0028011C" w:rsidRPr="005269E6">
        <w:rPr>
          <w:rtl/>
        </w:rPr>
        <w:t xml:space="preserve">الأموال </w:t>
      </w:r>
      <w:r w:rsidR="0028011C" w:rsidRPr="005269E6">
        <w:rPr>
          <w:rFonts w:hint="cs"/>
          <w:rtl/>
        </w:rPr>
        <w:t xml:space="preserve">من </w:t>
      </w:r>
      <w:r w:rsidR="0028011C" w:rsidRPr="005269E6">
        <w:rPr>
          <w:rtl/>
        </w:rPr>
        <w:t>خارج الميزانية</w:t>
      </w:r>
      <w:r w:rsidR="00820223" w:rsidRPr="005269E6">
        <w:rPr>
          <w:rFonts w:hint="cs"/>
          <w:rtl/>
        </w:rPr>
        <w:t>.</w:t>
      </w:r>
    </w:p>
    <w:p w14:paraId="6C1452B7" w14:textId="2E23CF01" w:rsidR="00C543C6" w:rsidRPr="005269E6" w:rsidRDefault="0028011C" w:rsidP="0028011C">
      <w:pPr>
        <w:rPr>
          <w:rtl/>
          <w:lang w:bidi="ar-EG"/>
        </w:rPr>
      </w:pPr>
      <w:r w:rsidRPr="005269E6">
        <w:rPr>
          <w:rtl/>
          <w:lang w:bidi="ar-EG"/>
        </w:rPr>
        <w:t>وتختلف حسابات ميزانية الاتحاد وبياناته المالية.</w:t>
      </w:r>
      <w:r w:rsidRPr="005269E6">
        <w:rPr>
          <w:rFonts w:hint="cs"/>
          <w:rtl/>
          <w:lang w:bidi="ar-EG"/>
        </w:rPr>
        <w:t xml:space="preserve"> </w:t>
      </w:r>
      <w:r w:rsidR="00C543C6" w:rsidRPr="005269E6">
        <w:rPr>
          <w:rtl/>
          <w:lang w:bidi="ar-EG"/>
        </w:rPr>
        <w:t xml:space="preserve">فميزانية الفترة </w:t>
      </w:r>
      <w:r w:rsidR="00C26188" w:rsidRPr="005269E6">
        <w:rPr>
          <w:lang w:bidi="ar-EG"/>
        </w:rPr>
        <w:t>2023-2022</w:t>
      </w:r>
      <w:r w:rsidR="00C543C6" w:rsidRPr="005269E6">
        <w:rPr>
          <w:rtl/>
          <w:lang w:bidi="ar-EG"/>
        </w:rPr>
        <w:t xml:space="preserve"> تقوم على أساس </w:t>
      </w:r>
      <w:r w:rsidRPr="005269E6">
        <w:rPr>
          <w:rFonts w:hint="cs"/>
          <w:rtl/>
          <w:lang w:bidi="ar-EG"/>
        </w:rPr>
        <w:t>نقدي معدَّل</w:t>
      </w:r>
      <w:r w:rsidR="00C543C6" w:rsidRPr="005269E6">
        <w:rPr>
          <w:rtl/>
          <w:lang w:bidi="ar-EG"/>
        </w:rPr>
        <w:t xml:space="preserve"> ينطوي على بعض العناصر المحددة التي لا تعالج على أساس محاسبة تقوم على الالتزام. وعلاوة</w:t>
      </w:r>
      <w:r w:rsidR="00C543C6" w:rsidRPr="005269E6">
        <w:rPr>
          <w:rFonts w:hint="cs"/>
          <w:rtl/>
          <w:lang w:bidi="ar-EG"/>
        </w:rPr>
        <w:t>ً</w:t>
      </w:r>
      <w:r w:rsidR="00C543C6" w:rsidRPr="005269E6">
        <w:rPr>
          <w:rtl/>
          <w:lang w:bidi="ar-EG"/>
        </w:rPr>
        <w:t xml:space="preserve"> على ذلك، تقتصر ميزانية الاتحاد على أنشطة الاتحاد الأساسية ولا</w:t>
      </w:r>
      <w:r w:rsidR="00C543C6" w:rsidRPr="005269E6">
        <w:rPr>
          <w:rFonts w:hint="cs"/>
          <w:rtl/>
          <w:lang w:bidi="ar-EG"/>
        </w:rPr>
        <w:t> </w:t>
      </w:r>
      <w:r w:rsidR="00C543C6" w:rsidRPr="005269E6">
        <w:rPr>
          <w:rtl/>
          <w:lang w:bidi="ar-EG"/>
        </w:rPr>
        <w:t xml:space="preserve">تتناول الأنشطة الممولة </w:t>
      </w:r>
      <w:r w:rsidRPr="005269E6">
        <w:rPr>
          <w:rFonts w:hint="cs"/>
          <w:rtl/>
          <w:lang w:bidi="ar-EG"/>
        </w:rPr>
        <w:t>ب</w:t>
      </w:r>
      <w:r w:rsidRPr="005269E6">
        <w:rPr>
          <w:rtl/>
          <w:lang w:bidi="ar-EG"/>
        </w:rPr>
        <w:t>أموال من خارج الميزانية</w:t>
      </w:r>
      <w:r w:rsidR="00C543C6" w:rsidRPr="005269E6">
        <w:rPr>
          <w:rtl/>
          <w:lang w:bidi="ar-EG"/>
        </w:rPr>
        <w:t>.</w:t>
      </w:r>
    </w:p>
    <w:p w14:paraId="62B61D21" w14:textId="4CB8DFFF" w:rsidR="00C543C6" w:rsidRPr="005269E6" w:rsidRDefault="00C543C6" w:rsidP="00C543C6">
      <w:pPr>
        <w:rPr>
          <w:rtl/>
          <w:lang w:bidi="ar-EG"/>
        </w:rPr>
      </w:pPr>
      <w:r w:rsidRPr="005269E6">
        <w:rPr>
          <w:rtl/>
          <w:lang w:bidi="ar-EG"/>
        </w:rPr>
        <w:t xml:space="preserve">أما البيانات المالية للاتحاد فهي تقوم على أساس محاسبة الفترة المالية باعتماد تصنيف يقوم على طبيعة النفقات المدرجة في بيان الأداء المالي (انظر </w:t>
      </w:r>
      <w:r w:rsidR="0028011C" w:rsidRPr="005269E6">
        <w:rPr>
          <w:rFonts w:hint="cs"/>
          <w:rtl/>
          <w:lang w:bidi="ar-EG"/>
        </w:rPr>
        <w:t>البيان</w:t>
      </w:r>
      <w:r w:rsidRPr="005269E6">
        <w:rPr>
          <w:rtl/>
        </w:rPr>
        <w:t> </w:t>
      </w:r>
      <w:r w:rsidRPr="005269E6">
        <w:rPr>
          <w:rtl/>
          <w:lang w:bidi="ar-EG"/>
        </w:rPr>
        <w:t>الثاني).</w:t>
      </w:r>
    </w:p>
    <w:p w14:paraId="18305105" w14:textId="13B94C1B" w:rsidR="0028011C" w:rsidRPr="005269E6" w:rsidRDefault="0028011C" w:rsidP="0028011C">
      <w:pPr>
        <w:rPr>
          <w:rtl/>
          <w:lang w:bidi="ar-EG"/>
        </w:rPr>
      </w:pPr>
      <w:r w:rsidRPr="005269E6">
        <w:rPr>
          <w:rtl/>
          <w:lang w:bidi="ar-EG"/>
        </w:rPr>
        <w:t>وللتوفيق بين البيانين الثاني والخامس، تقسَّم المعاملات إلى فئتين من الاختلافات - الاختلافات الأساسية واختلافات الكيانات.</w:t>
      </w:r>
    </w:p>
    <w:p w14:paraId="775A171E" w14:textId="23AED99B" w:rsidR="00410386" w:rsidRPr="005269E6" w:rsidRDefault="00D854CD" w:rsidP="00820223">
      <w:pPr>
        <w:rPr>
          <w:rtl/>
          <w:lang w:bidi="ar-EG"/>
        </w:rPr>
      </w:pPr>
      <w:r w:rsidRPr="005269E6">
        <w:rPr>
          <w:rtl/>
          <w:lang w:bidi="ar-EG"/>
        </w:rPr>
        <w:t>وتشمل الاختلافات الأساسية النفقات غير المدرجة في ميزانية الاتحاد أو التي تعام</w:t>
      </w:r>
      <w:r w:rsidR="005B24FD" w:rsidRPr="005269E6">
        <w:rPr>
          <w:rFonts w:hint="cs"/>
          <w:rtl/>
          <w:lang w:bidi="ar-EG"/>
        </w:rPr>
        <w:t>َ</w:t>
      </w:r>
      <w:r w:rsidRPr="005269E6">
        <w:rPr>
          <w:rtl/>
          <w:lang w:bidi="ar-EG"/>
        </w:rPr>
        <w:t>ل على نحو مختلف بموجب متطلبات المعايير المحاسبية الدولية للقطاع العام (</w:t>
      </w:r>
      <w:r w:rsidRPr="005269E6">
        <w:rPr>
          <w:cs/>
          <w:lang w:bidi="ar-EG"/>
        </w:rPr>
        <w:t>‎</w:t>
      </w:r>
      <w:r w:rsidRPr="005269E6">
        <w:rPr>
          <w:lang w:bidi="ar-EG"/>
        </w:rPr>
        <w:t>IPSAS</w:t>
      </w:r>
      <w:r w:rsidRPr="005269E6">
        <w:rPr>
          <w:rtl/>
          <w:lang w:bidi="ar-EG"/>
        </w:rPr>
        <w:t>).</w:t>
      </w:r>
      <w:r w:rsidR="00AE6518" w:rsidRPr="005269E6">
        <w:rPr>
          <w:rFonts w:hint="cs"/>
          <w:rtl/>
          <w:lang w:bidi="ar-EG"/>
        </w:rPr>
        <w:t xml:space="preserve"> </w:t>
      </w:r>
      <w:r w:rsidRPr="005269E6">
        <w:rPr>
          <w:rtl/>
          <w:lang w:bidi="ar-EG"/>
        </w:rPr>
        <w:t>وتتضمن هذه النفقات عادةً تغييرات في مؤونة الديون المشكوك في تحصيلها، وتثبيت المخزونات، ورسملة الأصول الثابتة، والاستهلاك، ومكاسب وخسائر سعر الصرف، والتأمين الصحي بعد انتهاء الخدمة، وسداد قروض مؤسسة مباني المنظمات الدولية (</w:t>
      </w:r>
      <w:r w:rsidRPr="005269E6">
        <w:rPr>
          <w:lang w:bidi="ar-EG"/>
        </w:rPr>
        <w:t>FIPOI</w:t>
      </w:r>
      <w:r w:rsidRPr="005269E6">
        <w:rPr>
          <w:rtl/>
          <w:lang w:bidi="ar-EG"/>
        </w:rPr>
        <w:t>) والفائض و/أو العجز في الاستثمارات.</w:t>
      </w:r>
    </w:p>
    <w:p w14:paraId="3B6C011D" w14:textId="11F2EF09" w:rsidR="00410386" w:rsidRPr="005269E6" w:rsidRDefault="00D854CD" w:rsidP="00820223">
      <w:pPr>
        <w:rPr>
          <w:spacing w:val="-2"/>
          <w:rtl/>
          <w:lang w:bidi="ar-EG"/>
        </w:rPr>
      </w:pPr>
      <w:r w:rsidRPr="005269E6">
        <w:rPr>
          <w:spacing w:val="-2"/>
          <w:rtl/>
          <w:lang w:bidi="ar-EG"/>
        </w:rPr>
        <w:t>وتشير اختلافات الكيانات عادة إلى الإيرادات والنفقات التي تقع خارج ميزانية برنامج الاتحاد المعتمدة، أي الأموال من خارج الميزانية.</w:t>
      </w:r>
    </w:p>
    <w:p w14:paraId="199B23C3" w14:textId="1E209C55" w:rsidR="0028011C" w:rsidRPr="005269E6" w:rsidRDefault="00D854CD" w:rsidP="00820223">
      <w:pPr>
        <w:spacing w:after="120"/>
        <w:rPr>
          <w:rtl/>
          <w:lang w:bidi="ar-EG"/>
        </w:rPr>
      </w:pPr>
      <w:r w:rsidRPr="005269E6">
        <w:rPr>
          <w:rtl/>
          <w:lang w:bidi="ar-EG"/>
        </w:rPr>
        <w:t>وفي السنة المالية 2022، تمت الموافقة على الميزانية بمبلغ 162 مليون فرنك سويسري (القرار 1405). وقد ز</w:t>
      </w:r>
      <w:r w:rsidRPr="005269E6">
        <w:rPr>
          <w:rFonts w:hint="cs"/>
          <w:rtl/>
          <w:lang w:bidi="ar-EG"/>
        </w:rPr>
        <w:t>ي</w:t>
      </w:r>
      <w:r w:rsidRPr="005269E6">
        <w:rPr>
          <w:rtl/>
          <w:lang w:bidi="ar-EG"/>
        </w:rPr>
        <w:t>دت هذه الميزانية بمبلغ 1,6 مليون فرنك سويسري (</w:t>
      </w:r>
      <w:r w:rsidRPr="005269E6">
        <w:rPr>
          <w:rFonts w:hint="cs"/>
          <w:rtl/>
          <w:lang w:bidi="ar-EG"/>
        </w:rPr>
        <w:t xml:space="preserve">إلى </w:t>
      </w:r>
      <w:r w:rsidRPr="005269E6">
        <w:rPr>
          <w:rtl/>
          <w:lang w:bidi="ar-EG"/>
        </w:rPr>
        <w:t>ما مجموعه 163,6 مليون فرنك سويسري) نتيجة لسلطة الأمين</w:t>
      </w:r>
      <w:r w:rsidRPr="005269E6">
        <w:rPr>
          <w:rFonts w:hint="cs"/>
          <w:rtl/>
          <w:lang w:bidi="ar-EG"/>
        </w:rPr>
        <w:t>ة</w:t>
      </w:r>
      <w:r w:rsidRPr="005269E6">
        <w:rPr>
          <w:rtl/>
          <w:lang w:bidi="ar-EG"/>
        </w:rPr>
        <w:t xml:space="preserve"> العام</w:t>
      </w:r>
      <w:r w:rsidRPr="005269E6">
        <w:rPr>
          <w:rFonts w:hint="cs"/>
          <w:rtl/>
          <w:lang w:bidi="ar-EG"/>
        </w:rPr>
        <w:t>ة</w:t>
      </w:r>
      <w:r w:rsidRPr="005269E6">
        <w:rPr>
          <w:rtl/>
          <w:lang w:bidi="ar-EG"/>
        </w:rPr>
        <w:t xml:space="preserve"> المفوضة بموجب قرار المجلس 1405 واللوائح المالية ذات الصلة. وكان ذلك نتيجة الأنشطة المؤجلة من الفترة المالية السابقة التي تمت الموافقة عليها فيما يتعلق بالنفقات في عام 2022.</w:t>
      </w:r>
    </w:p>
    <w:tbl>
      <w:tblPr>
        <w:bidiVisual/>
        <w:tblW w:w="8342" w:type="dxa"/>
        <w:jc w:val="center"/>
        <w:tblLook w:val="04A0" w:firstRow="1" w:lastRow="0" w:firstColumn="1" w:lastColumn="0" w:noHBand="0" w:noVBand="1"/>
      </w:tblPr>
      <w:tblGrid>
        <w:gridCol w:w="4504"/>
        <w:gridCol w:w="1000"/>
        <w:gridCol w:w="975"/>
        <w:gridCol w:w="961"/>
        <w:gridCol w:w="902"/>
      </w:tblGrid>
      <w:tr w:rsidR="001A6A44" w:rsidRPr="005269E6" w14:paraId="778AD081" w14:textId="77777777" w:rsidTr="00767925">
        <w:trPr>
          <w:trHeight w:val="255"/>
          <w:jc w:val="center"/>
        </w:trPr>
        <w:tc>
          <w:tcPr>
            <w:tcW w:w="4504" w:type="dxa"/>
            <w:tcBorders>
              <w:top w:val="nil"/>
              <w:left w:val="nil"/>
              <w:bottom w:val="nil"/>
              <w:right w:val="nil"/>
            </w:tcBorders>
            <w:shd w:val="clear" w:color="000000" w:fill="538DD5"/>
            <w:vAlign w:val="center"/>
            <w:hideMark/>
          </w:tcPr>
          <w:p w14:paraId="1CC8DDEF" w14:textId="77777777" w:rsidR="001A6A44" w:rsidRPr="005269E6" w:rsidRDefault="001A6A44" w:rsidP="0082336A">
            <w:pPr>
              <w:tabs>
                <w:tab w:val="clear" w:pos="794"/>
              </w:tabs>
              <w:spacing w:before="40" w:after="40" w:line="240" w:lineRule="exact"/>
              <w:jc w:val="left"/>
              <w:rPr>
                <w:rFonts w:eastAsia="Times New Roman"/>
                <w:color w:val="000000"/>
                <w:sz w:val="18"/>
                <w:szCs w:val="18"/>
                <w:lang w:val="en-GB" w:eastAsia="en-GB"/>
              </w:rPr>
            </w:pPr>
            <w:bookmarkStart w:id="659" w:name="RANGE!B3:F23"/>
            <w:r w:rsidRPr="005269E6">
              <w:rPr>
                <w:rFonts w:eastAsia="Times New Roman"/>
                <w:color w:val="000000"/>
                <w:sz w:val="18"/>
                <w:szCs w:val="18"/>
                <w:lang w:val="en-GB" w:eastAsia="en-GB"/>
              </w:rPr>
              <w:t> </w:t>
            </w:r>
            <w:bookmarkEnd w:id="659"/>
          </w:p>
        </w:tc>
        <w:tc>
          <w:tcPr>
            <w:tcW w:w="3838" w:type="dxa"/>
            <w:gridSpan w:val="4"/>
            <w:tcBorders>
              <w:top w:val="nil"/>
              <w:left w:val="nil"/>
              <w:bottom w:val="nil"/>
              <w:right w:val="nil"/>
            </w:tcBorders>
            <w:shd w:val="clear" w:color="000000" w:fill="538DD5"/>
            <w:vAlign w:val="center"/>
            <w:hideMark/>
          </w:tcPr>
          <w:p w14:paraId="60F6CFB2" w14:textId="05DEDAB1" w:rsidR="001A6A44" w:rsidRPr="005269E6" w:rsidRDefault="005B24FD" w:rsidP="0082336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أداء 2022</w:t>
            </w:r>
          </w:p>
        </w:tc>
      </w:tr>
      <w:tr w:rsidR="001A6A44" w:rsidRPr="005269E6" w14:paraId="5BA31C93" w14:textId="77777777" w:rsidTr="00767925">
        <w:trPr>
          <w:trHeight w:val="480"/>
          <w:jc w:val="center"/>
        </w:trPr>
        <w:tc>
          <w:tcPr>
            <w:tcW w:w="4504" w:type="dxa"/>
            <w:tcBorders>
              <w:top w:val="nil"/>
              <w:left w:val="nil"/>
              <w:bottom w:val="nil"/>
              <w:right w:val="nil"/>
            </w:tcBorders>
            <w:shd w:val="clear" w:color="000000" w:fill="538DD5"/>
            <w:vAlign w:val="center"/>
            <w:hideMark/>
          </w:tcPr>
          <w:p w14:paraId="236DD3D6" w14:textId="31D33595" w:rsidR="001A6A44" w:rsidRPr="005269E6" w:rsidRDefault="00A21703" w:rsidP="0082336A">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الوصف (بآلاف الفرنكات السويسرية)</w:t>
            </w:r>
          </w:p>
        </w:tc>
        <w:tc>
          <w:tcPr>
            <w:tcW w:w="1000" w:type="dxa"/>
            <w:tcBorders>
              <w:top w:val="nil"/>
              <w:left w:val="nil"/>
              <w:bottom w:val="nil"/>
              <w:right w:val="nil"/>
            </w:tcBorders>
            <w:shd w:val="clear" w:color="000000" w:fill="538DD5"/>
            <w:vAlign w:val="center"/>
            <w:hideMark/>
          </w:tcPr>
          <w:p w14:paraId="47646CAB" w14:textId="34C3C569" w:rsidR="001A6A44" w:rsidRPr="005269E6" w:rsidRDefault="005B24FD" w:rsidP="0082336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التشغيلي</w:t>
            </w:r>
          </w:p>
        </w:tc>
        <w:tc>
          <w:tcPr>
            <w:tcW w:w="975" w:type="dxa"/>
            <w:tcBorders>
              <w:top w:val="nil"/>
              <w:left w:val="nil"/>
              <w:bottom w:val="nil"/>
              <w:right w:val="nil"/>
            </w:tcBorders>
            <w:shd w:val="clear" w:color="000000" w:fill="538DD5"/>
            <w:vAlign w:val="center"/>
            <w:hideMark/>
          </w:tcPr>
          <w:p w14:paraId="72A9B13D" w14:textId="600900A1" w:rsidR="001A6A44" w:rsidRPr="005269E6" w:rsidRDefault="005B24FD" w:rsidP="0082336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الاستثماري</w:t>
            </w:r>
          </w:p>
        </w:tc>
        <w:tc>
          <w:tcPr>
            <w:tcW w:w="961" w:type="dxa"/>
            <w:tcBorders>
              <w:top w:val="nil"/>
              <w:left w:val="nil"/>
              <w:bottom w:val="nil"/>
              <w:right w:val="nil"/>
            </w:tcBorders>
            <w:shd w:val="clear" w:color="000000" w:fill="538DD5"/>
            <w:vAlign w:val="center"/>
            <w:hideMark/>
          </w:tcPr>
          <w:p w14:paraId="7301582F" w14:textId="5A2CB8F3" w:rsidR="001A6A44" w:rsidRPr="005269E6" w:rsidRDefault="005B24FD" w:rsidP="0082336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التمويلي</w:t>
            </w:r>
          </w:p>
        </w:tc>
        <w:tc>
          <w:tcPr>
            <w:tcW w:w="902" w:type="dxa"/>
            <w:tcBorders>
              <w:top w:val="nil"/>
              <w:left w:val="nil"/>
              <w:bottom w:val="nil"/>
              <w:right w:val="nil"/>
            </w:tcBorders>
            <w:shd w:val="clear" w:color="000000" w:fill="538DD5"/>
            <w:vAlign w:val="center"/>
            <w:hideMark/>
          </w:tcPr>
          <w:p w14:paraId="15A0F9FD" w14:textId="78AD3BF3" w:rsidR="001A6A44" w:rsidRPr="005269E6" w:rsidRDefault="005E5B47" w:rsidP="0082336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الإجمالي</w:t>
            </w:r>
          </w:p>
        </w:tc>
      </w:tr>
      <w:tr w:rsidR="001A6A44" w:rsidRPr="005269E6" w14:paraId="12DD8B1D" w14:textId="77777777" w:rsidTr="00767925">
        <w:trPr>
          <w:trHeight w:val="192"/>
          <w:jc w:val="center"/>
        </w:trPr>
        <w:tc>
          <w:tcPr>
            <w:tcW w:w="4504" w:type="dxa"/>
            <w:tcBorders>
              <w:top w:val="nil"/>
              <w:left w:val="nil"/>
              <w:bottom w:val="nil"/>
              <w:right w:val="nil"/>
            </w:tcBorders>
            <w:shd w:val="clear" w:color="auto" w:fill="auto"/>
            <w:vAlign w:val="center"/>
            <w:hideMark/>
          </w:tcPr>
          <w:p w14:paraId="1B8C200D" w14:textId="77777777" w:rsidR="001A6A44" w:rsidRPr="005269E6" w:rsidRDefault="001A6A44" w:rsidP="005E5B47">
            <w:pPr>
              <w:tabs>
                <w:tab w:val="clear" w:pos="794"/>
              </w:tabs>
              <w:spacing w:before="0" w:line="200" w:lineRule="exact"/>
              <w:jc w:val="center"/>
              <w:rPr>
                <w:rFonts w:eastAsia="Times New Roman"/>
                <w:b/>
                <w:bCs/>
                <w:color w:val="000000"/>
                <w:sz w:val="18"/>
                <w:szCs w:val="18"/>
                <w:lang w:val="en-GB" w:eastAsia="en-GB"/>
              </w:rPr>
            </w:pPr>
          </w:p>
        </w:tc>
        <w:tc>
          <w:tcPr>
            <w:tcW w:w="3838" w:type="dxa"/>
            <w:gridSpan w:val="4"/>
            <w:tcBorders>
              <w:top w:val="nil"/>
              <w:left w:val="nil"/>
              <w:bottom w:val="nil"/>
              <w:right w:val="nil"/>
            </w:tcBorders>
            <w:shd w:val="clear" w:color="auto" w:fill="auto"/>
            <w:vAlign w:val="center"/>
            <w:hideMark/>
          </w:tcPr>
          <w:p w14:paraId="69B654BB" w14:textId="77777777" w:rsidR="001A6A44" w:rsidRPr="005269E6" w:rsidRDefault="001A6A44" w:rsidP="005E5B47">
            <w:pPr>
              <w:tabs>
                <w:tab w:val="clear" w:pos="794"/>
              </w:tabs>
              <w:spacing w:before="0" w:line="200" w:lineRule="exact"/>
              <w:jc w:val="left"/>
              <w:rPr>
                <w:rFonts w:eastAsia="Times New Roman"/>
                <w:sz w:val="18"/>
                <w:szCs w:val="18"/>
                <w:lang w:val="en-GB" w:eastAsia="en-GB"/>
              </w:rPr>
            </w:pPr>
          </w:p>
        </w:tc>
      </w:tr>
      <w:tr w:rsidR="001A6A44" w:rsidRPr="005269E6" w14:paraId="6BEEB7AB" w14:textId="77777777" w:rsidTr="00767925">
        <w:trPr>
          <w:trHeight w:val="255"/>
          <w:jc w:val="center"/>
        </w:trPr>
        <w:tc>
          <w:tcPr>
            <w:tcW w:w="4504" w:type="dxa"/>
            <w:tcBorders>
              <w:top w:val="nil"/>
              <w:left w:val="nil"/>
              <w:bottom w:val="nil"/>
              <w:right w:val="nil"/>
            </w:tcBorders>
            <w:shd w:val="clear" w:color="auto" w:fill="auto"/>
            <w:vAlign w:val="center"/>
            <w:hideMark/>
          </w:tcPr>
          <w:p w14:paraId="582E90B4" w14:textId="3809E7DB" w:rsidR="001A6A44" w:rsidRPr="005269E6" w:rsidRDefault="005B24FD" w:rsidP="005B24FD">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النتائج على أساس قابل للمقارنة</w:t>
            </w:r>
          </w:p>
        </w:tc>
        <w:tc>
          <w:tcPr>
            <w:tcW w:w="1000" w:type="dxa"/>
            <w:tcBorders>
              <w:top w:val="nil"/>
              <w:left w:val="nil"/>
              <w:bottom w:val="nil"/>
              <w:right w:val="nil"/>
            </w:tcBorders>
            <w:shd w:val="clear" w:color="auto" w:fill="auto"/>
            <w:noWrap/>
            <w:vAlign w:val="center"/>
            <w:hideMark/>
          </w:tcPr>
          <w:p w14:paraId="0D7239F0" w14:textId="42579C7A"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(4</w:t>
            </w:r>
            <w:r w:rsidR="0082336A"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847)</w:t>
            </w:r>
          </w:p>
        </w:tc>
        <w:tc>
          <w:tcPr>
            <w:tcW w:w="975" w:type="dxa"/>
            <w:tcBorders>
              <w:top w:val="nil"/>
              <w:left w:val="nil"/>
              <w:bottom w:val="nil"/>
              <w:right w:val="nil"/>
            </w:tcBorders>
            <w:shd w:val="clear" w:color="auto" w:fill="auto"/>
            <w:noWrap/>
            <w:vAlign w:val="center"/>
            <w:hideMark/>
          </w:tcPr>
          <w:p w14:paraId="722558EB" w14:textId="77777777"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p>
        </w:tc>
        <w:tc>
          <w:tcPr>
            <w:tcW w:w="961" w:type="dxa"/>
            <w:tcBorders>
              <w:top w:val="nil"/>
              <w:left w:val="nil"/>
              <w:bottom w:val="nil"/>
              <w:right w:val="nil"/>
            </w:tcBorders>
            <w:shd w:val="clear" w:color="auto" w:fill="auto"/>
            <w:noWrap/>
            <w:vAlign w:val="center"/>
            <w:hideMark/>
          </w:tcPr>
          <w:p w14:paraId="1DD11A12" w14:textId="77777777" w:rsidR="001A6A44" w:rsidRPr="005269E6" w:rsidRDefault="001A6A44" w:rsidP="003E2AC1">
            <w:pPr>
              <w:tabs>
                <w:tab w:val="clear" w:pos="794"/>
              </w:tabs>
              <w:spacing w:before="40" w:after="40" w:line="240" w:lineRule="exact"/>
              <w:jc w:val="left"/>
              <w:rPr>
                <w:rFonts w:eastAsia="Times New Roman"/>
                <w:sz w:val="18"/>
                <w:szCs w:val="18"/>
                <w:lang w:val="en-GB" w:eastAsia="en-GB"/>
              </w:rPr>
            </w:pPr>
          </w:p>
        </w:tc>
        <w:tc>
          <w:tcPr>
            <w:tcW w:w="902" w:type="dxa"/>
            <w:tcBorders>
              <w:top w:val="nil"/>
              <w:left w:val="nil"/>
              <w:bottom w:val="nil"/>
              <w:right w:val="nil"/>
            </w:tcBorders>
            <w:shd w:val="clear" w:color="auto" w:fill="auto"/>
            <w:noWrap/>
            <w:vAlign w:val="center"/>
            <w:hideMark/>
          </w:tcPr>
          <w:p w14:paraId="79E1F130" w14:textId="384FDCE8"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(4</w:t>
            </w:r>
            <w:r w:rsidR="0082336A"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847)</w:t>
            </w:r>
          </w:p>
        </w:tc>
      </w:tr>
      <w:tr w:rsidR="001A6A44" w:rsidRPr="005269E6" w14:paraId="4D2354F3" w14:textId="77777777" w:rsidTr="00767925">
        <w:trPr>
          <w:trHeight w:val="255"/>
          <w:jc w:val="center"/>
        </w:trPr>
        <w:tc>
          <w:tcPr>
            <w:tcW w:w="4504" w:type="dxa"/>
            <w:tcBorders>
              <w:top w:val="nil"/>
              <w:left w:val="nil"/>
              <w:bottom w:val="nil"/>
              <w:right w:val="nil"/>
            </w:tcBorders>
            <w:shd w:val="clear" w:color="auto" w:fill="auto"/>
            <w:vAlign w:val="center"/>
            <w:hideMark/>
          </w:tcPr>
          <w:p w14:paraId="4009176D" w14:textId="017188FB" w:rsidR="001A6A44" w:rsidRPr="005269E6" w:rsidRDefault="005B24FD" w:rsidP="005B24FD">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التغييرات في المؤونة واستخدامها للديون المشكوك في تحصيلها</w:t>
            </w:r>
          </w:p>
        </w:tc>
        <w:tc>
          <w:tcPr>
            <w:tcW w:w="1000" w:type="dxa"/>
            <w:tcBorders>
              <w:top w:val="nil"/>
              <w:left w:val="nil"/>
              <w:bottom w:val="nil"/>
              <w:right w:val="nil"/>
            </w:tcBorders>
            <w:shd w:val="clear" w:color="auto" w:fill="auto"/>
            <w:noWrap/>
            <w:vAlign w:val="center"/>
            <w:hideMark/>
          </w:tcPr>
          <w:p w14:paraId="37D497A0" w14:textId="2BCEEECE"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w:t>
            </w:r>
            <w:r w:rsidR="0082336A"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776 </w:t>
            </w:r>
          </w:p>
        </w:tc>
        <w:tc>
          <w:tcPr>
            <w:tcW w:w="975" w:type="dxa"/>
            <w:tcBorders>
              <w:top w:val="nil"/>
              <w:left w:val="nil"/>
              <w:bottom w:val="nil"/>
              <w:right w:val="nil"/>
            </w:tcBorders>
            <w:shd w:val="clear" w:color="auto" w:fill="auto"/>
            <w:noWrap/>
            <w:vAlign w:val="center"/>
            <w:hideMark/>
          </w:tcPr>
          <w:p w14:paraId="71C9A598" w14:textId="77777777"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p>
        </w:tc>
        <w:tc>
          <w:tcPr>
            <w:tcW w:w="961" w:type="dxa"/>
            <w:tcBorders>
              <w:top w:val="nil"/>
              <w:left w:val="nil"/>
              <w:bottom w:val="nil"/>
              <w:right w:val="nil"/>
            </w:tcBorders>
            <w:shd w:val="clear" w:color="auto" w:fill="auto"/>
            <w:noWrap/>
            <w:vAlign w:val="center"/>
            <w:hideMark/>
          </w:tcPr>
          <w:p w14:paraId="5FE2BB91" w14:textId="77777777" w:rsidR="001A6A44" w:rsidRPr="005269E6" w:rsidRDefault="001A6A44" w:rsidP="003E2AC1">
            <w:pPr>
              <w:tabs>
                <w:tab w:val="clear" w:pos="794"/>
              </w:tabs>
              <w:spacing w:before="40" w:after="40" w:line="240" w:lineRule="exact"/>
              <w:jc w:val="left"/>
              <w:rPr>
                <w:rFonts w:eastAsia="Times New Roman"/>
                <w:sz w:val="18"/>
                <w:szCs w:val="18"/>
                <w:lang w:val="en-GB" w:eastAsia="en-GB"/>
              </w:rPr>
            </w:pPr>
          </w:p>
        </w:tc>
        <w:tc>
          <w:tcPr>
            <w:tcW w:w="902" w:type="dxa"/>
            <w:tcBorders>
              <w:top w:val="nil"/>
              <w:left w:val="nil"/>
              <w:bottom w:val="nil"/>
              <w:right w:val="nil"/>
            </w:tcBorders>
            <w:shd w:val="clear" w:color="auto" w:fill="auto"/>
            <w:noWrap/>
            <w:vAlign w:val="center"/>
            <w:hideMark/>
          </w:tcPr>
          <w:p w14:paraId="1842938D" w14:textId="337660CE"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w:t>
            </w:r>
            <w:r w:rsidR="0082336A"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776 </w:t>
            </w:r>
          </w:p>
        </w:tc>
      </w:tr>
      <w:tr w:rsidR="001A6A44" w:rsidRPr="005269E6" w14:paraId="031540C8" w14:textId="77777777" w:rsidTr="00767925">
        <w:trPr>
          <w:trHeight w:val="255"/>
          <w:jc w:val="center"/>
        </w:trPr>
        <w:tc>
          <w:tcPr>
            <w:tcW w:w="4504" w:type="dxa"/>
            <w:tcBorders>
              <w:top w:val="nil"/>
              <w:left w:val="nil"/>
              <w:bottom w:val="nil"/>
              <w:right w:val="nil"/>
            </w:tcBorders>
            <w:shd w:val="clear" w:color="auto" w:fill="auto"/>
            <w:vAlign w:val="center"/>
            <w:hideMark/>
          </w:tcPr>
          <w:p w14:paraId="5F7EC81D" w14:textId="25517ABD" w:rsidR="001A6A44" w:rsidRPr="005269E6" w:rsidRDefault="005B24FD" w:rsidP="0082336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اعتمادات الميزانية البرنامجية من السنوات السابقة</w:t>
            </w:r>
          </w:p>
        </w:tc>
        <w:tc>
          <w:tcPr>
            <w:tcW w:w="1000" w:type="dxa"/>
            <w:tcBorders>
              <w:top w:val="nil"/>
              <w:left w:val="nil"/>
              <w:bottom w:val="nil"/>
              <w:right w:val="nil"/>
            </w:tcBorders>
            <w:shd w:val="clear" w:color="auto" w:fill="auto"/>
            <w:noWrap/>
            <w:vAlign w:val="center"/>
            <w:hideMark/>
          </w:tcPr>
          <w:p w14:paraId="1DCFF893" w14:textId="361ACBD6"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w:t>
            </w:r>
            <w:r w:rsidR="0082336A"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490)</w:t>
            </w:r>
          </w:p>
        </w:tc>
        <w:tc>
          <w:tcPr>
            <w:tcW w:w="975" w:type="dxa"/>
            <w:tcBorders>
              <w:top w:val="nil"/>
              <w:left w:val="nil"/>
              <w:bottom w:val="nil"/>
              <w:right w:val="nil"/>
            </w:tcBorders>
            <w:shd w:val="clear" w:color="auto" w:fill="auto"/>
            <w:noWrap/>
            <w:vAlign w:val="center"/>
            <w:hideMark/>
          </w:tcPr>
          <w:p w14:paraId="4E7FD26E" w14:textId="77777777"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p>
        </w:tc>
        <w:tc>
          <w:tcPr>
            <w:tcW w:w="961" w:type="dxa"/>
            <w:tcBorders>
              <w:top w:val="nil"/>
              <w:left w:val="nil"/>
              <w:bottom w:val="nil"/>
              <w:right w:val="nil"/>
            </w:tcBorders>
            <w:shd w:val="clear" w:color="auto" w:fill="auto"/>
            <w:noWrap/>
            <w:vAlign w:val="center"/>
            <w:hideMark/>
          </w:tcPr>
          <w:p w14:paraId="18B89430" w14:textId="77777777" w:rsidR="001A6A44" w:rsidRPr="005269E6" w:rsidRDefault="001A6A44" w:rsidP="003E2AC1">
            <w:pPr>
              <w:tabs>
                <w:tab w:val="clear" w:pos="794"/>
              </w:tabs>
              <w:spacing w:before="40" w:after="40" w:line="240" w:lineRule="exact"/>
              <w:jc w:val="left"/>
              <w:rPr>
                <w:rFonts w:eastAsia="Times New Roman"/>
                <w:sz w:val="18"/>
                <w:szCs w:val="18"/>
                <w:lang w:val="en-GB" w:eastAsia="en-GB"/>
              </w:rPr>
            </w:pPr>
          </w:p>
        </w:tc>
        <w:tc>
          <w:tcPr>
            <w:tcW w:w="902" w:type="dxa"/>
            <w:tcBorders>
              <w:top w:val="nil"/>
              <w:left w:val="nil"/>
              <w:bottom w:val="nil"/>
              <w:right w:val="nil"/>
            </w:tcBorders>
            <w:shd w:val="clear" w:color="auto" w:fill="auto"/>
            <w:noWrap/>
            <w:vAlign w:val="center"/>
            <w:hideMark/>
          </w:tcPr>
          <w:p w14:paraId="7C19C130" w14:textId="7BD5133C"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w:t>
            </w:r>
            <w:r w:rsidR="0082336A"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490)</w:t>
            </w:r>
          </w:p>
        </w:tc>
      </w:tr>
      <w:tr w:rsidR="001A6A44" w:rsidRPr="005269E6" w14:paraId="6752CDE6" w14:textId="77777777" w:rsidTr="00767925">
        <w:trPr>
          <w:trHeight w:val="255"/>
          <w:jc w:val="center"/>
        </w:trPr>
        <w:tc>
          <w:tcPr>
            <w:tcW w:w="4504" w:type="dxa"/>
            <w:tcBorders>
              <w:top w:val="nil"/>
              <w:left w:val="nil"/>
              <w:bottom w:val="nil"/>
              <w:right w:val="nil"/>
            </w:tcBorders>
            <w:shd w:val="clear" w:color="auto" w:fill="auto"/>
            <w:vAlign w:val="center"/>
            <w:hideMark/>
          </w:tcPr>
          <w:p w14:paraId="6162F353" w14:textId="1EAED66B" w:rsidR="001A6A44" w:rsidRPr="005269E6" w:rsidRDefault="005B24FD" w:rsidP="005B24FD">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رسملة الأصول الثابتة</w:t>
            </w:r>
          </w:p>
        </w:tc>
        <w:tc>
          <w:tcPr>
            <w:tcW w:w="1000" w:type="dxa"/>
            <w:tcBorders>
              <w:top w:val="nil"/>
              <w:left w:val="nil"/>
              <w:bottom w:val="nil"/>
              <w:right w:val="nil"/>
            </w:tcBorders>
            <w:shd w:val="clear" w:color="auto" w:fill="auto"/>
            <w:noWrap/>
            <w:vAlign w:val="center"/>
            <w:hideMark/>
          </w:tcPr>
          <w:p w14:paraId="2C1D999D" w14:textId="77777777"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p>
        </w:tc>
        <w:tc>
          <w:tcPr>
            <w:tcW w:w="975" w:type="dxa"/>
            <w:tcBorders>
              <w:top w:val="nil"/>
              <w:left w:val="nil"/>
              <w:bottom w:val="nil"/>
              <w:right w:val="nil"/>
            </w:tcBorders>
            <w:shd w:val="clear" w:color="auto" w:fill="auto"/>
            <w:noWrap/>
            <w:vAlign w:val="center"/>
            <w:hideMark/>
          </w:tcPr>
          <w:p w14:paraId="069ADA14" w14:textId="1D42454F"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824 </w:t>
            </w:r>
          </w:p>
        </w:tc>
        <w:tc>
          <w:tcPr>
            <w:tcW w:w="961" w:type="dxa"/>
            <w:tcBorders>
              <w:top w:val="nil"/>
              <w:left w:val="nil"/>
              <w:bottom w:val="nil"/>
              <w:right w:val="nil"/>
            </w:tcBorders>
            <w:shd w:val="clear" w:color="auto" w:fill="auto"/>
            <w:noWrap/>
            <w:vAlign w:val="center"/>
            <w:hideMark/>
          </w:tcPr>
          <w:p w14:paraId="7DACF406" w14:textId="77777777"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p>
        </w:tc>
        <w:tc>
          <w:tcPr>
            <w:tcW w:w="902" w:type="dxa"/>
            <w:tcBorders>
              <w:top w:val="nil"/>
              <w:left w:val="nil"/>
              <w:bottom w:val="nil"/>
              <w:right w:val="nil"/>
            </w:tcBorders>
            <w:shd w:val="clear" w:color="auto" w:fill="auto"/>
            <w:noWrap/>
            <w:vAlign w:val="center"/>
            <w:hideMark/>
          </w:tcPr>
          <w:p w14:paraId="6F1A844F" w14:textId="6A71727E"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824 </w:t>
            </w:r>
          </w:p>
        </w:tc>
      </w:tr>
      <w:tr w:rsidR="001A6A44" w:rsidRPr="005269E6" w14:paraId="1004724C" w14:textId="77777777" w:rsidTr="00767925">
        <w:trPr>
          <w:trHeight w:val="255"/>
          <w:jc w:val="center"/>
        </w:trPr>
        <w:tc>
          <w:tcPr>
            <w:tcW w:w="4504" w:type="dxa"/>
            <w:tcBorders>
              <w:top w:val="nil"/>
              <w:left w:val="nil"/>
              <w:bottom w:val="nil"/>
              <w:right w:val="nil"/>
            </w:tcBorders>
            <w:shd w:val="clear" w:color="auto" w:fill="auto"/>
            <w:vAlign w:val="center"/>
            <w:hideMark/>
          </w:tcPr>
          <w:p w14:paraId="6EB1CC7D" w14:textId="19C375EC" w:rsidR="001A6A44" w:rsidRPr="005269E6" w:rsidRDefault="0016425F" w:rsidP="0082336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تثبيت المخزونات</w:t>
            </w:r>
          </w:p>
        </w:tc>
        <w:tc>
          <w:tcPr>
            <w:tcW w:w="1000" w:type="dxa"/>
            <w:tcBorders>
              <w:top w:val="nil"/>
              <w:left w:val="nil"/>
              <w:bottom w:val="nil"/>
              <w:right w:val="nil"/>
            </w:tcBorders>
            <w:shd w:val="clear" w:color="auto" w:fill="auto"/>
            <w:noWrap/>
            <w:vAlign w:val="center"/>
            <w:hideMark/>
          </w:tcPr>
          <w:p w14:paraId="35FED2BE" w14:textId="3D0AB093"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(16)</w:t>
            </w:r>
          </w:p>
        </w:tc>
        <w:tc>
          <w:tcPr>
            <w:tcW w:w="975" w:type="dxa"/>
            <w:tcBorders>
              <w:top w:val="nil"/>
              <w:left w:val="nil"/>
              <w:bottom w:val="nil"/>
              <w:right w:val="nil"/>
            </w:tcBorders>
            <w:shd w:val="clear" w:color="auto" w:fill="auto"/>
            <w:noWrap/>
            <w:vAlign w:val="center"/>
            <w:hideMark/>
          </w:tcPr>
          <w:p w14:paraId="0BE79C44" w14:textId="77777777"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p>
        </w:tc>
        <w:tc>
          <w:tcPr>
            <w:tcW w:w="961" w:type="dxa"/>
            <w:tcBorders>
              <w:top w:val="nil"/>
              <w:left w:val="nil"/>
              <w:bottom w:val="nil"/>
              <w:right w:val="nil"/>
            </w:tcBorders>
            <w:shd w:val="clear" w:color="auto" w:fill="auto"/>
            <w:noWrap/>
            <w:vAlign w:val="center"/>
            <w:hideMark/>
          </w:tcPr>
          <w:p w14:paraId="4F629CFE" w14:textId="77777777" w:rsidR="001A6A44" w:rsidRPr="005269E6" w:rsidRDefault="001A6A44" w:rsidP="003E2AC1">
            <w:pPr>
              <w:tabs>
                <w:tab w:val="clear" w:pos="794"/>
              </w:tabs>
              <w:spacing w:before="40" w:after="40" w:line="240" w:lineRule="exact"/>
              <w:jc w:val="left"/>
              <w:rPr>
                <w:rFonts w:eastAsia="Times New Roman"/>
                <w:sz w:val="18"/>
                <w:szCs w:val="18"/>
                <w:lang w:val="en-GB" w:eastAsia="en-GB"/>
              </w:rPr>
            </w:pPr>
          </w:p>
        </w:tc>
        <w:tc>
          <w:tcPr>
            <w:tcW w:w="902" w:type="dxa"/>
            <w:tcBorders>
              <w:top w:val="nil"/>
              <w:left w:val="nil"/>
              <w:bottom w:val="nil"/>
              <w:right w:val="nil"/>
            </w:tcBorders>
            <w:shd w:val="clear" w:color="auto" w:fill="auto"/>
            <w:noWrap/>
            <w:vAlign w:val="center"/>
            <w:hideMark/>
          </w:tcPr>
          <w:p w14:paraId="152D9045" w14:textId="6ADA90B6"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(16)</w:t>
            </w:r>
          </w:p>
        </w:tc>
      </w:tr>
      <w:tr w:rsidR="001A6A44" w:rsidRPr="005269E6" w14:paraId="6B002AAC" w14:textId="77777777" w:rsidTr="00767925">
        <w:trPr>
          <w:trHeight w:val="255"/>
          <w:jc w:val="center"/>
        </w:trPr>
        <w:tc>
          <w:tcPr>
            <w:tcW w:w="4504" w:type="dxa"/>
            <w:tcBorders>
              <w:top w:val="nil"/>
              <w:left w:val="nil"/>
              <w:bottom w:val="nil"/>
              <w:right w:val="nil"/>
            </w:tcBorders>
            <w:shd w:val="clear" w:color="auto" w:fill="auto"/>
            <w:vAlign w:val="center"/>
            <w:hideMark/>
          </w:tcPr>
          <w:p w14:paraId="15A18F2D" w14:textId="0A9EF74F" w:rsidR="001A6A44" w:rsidRPr="005269E6" w:rsidRDefault="0016425F" w:rsidP="0082336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w:t>
            </w:r>
            <w:r w:rsidR="005E5B47" w:rsidRPr="005269E6">
              <w:rPr>
                <w:rFonts w:eastAsia="Times New Roman" w:hint="cs"/>
                <w:color w:val="000000"/>
                <w:sz w:val="18"/>
                <w:szCs w:val="18"/>
                <w:rtl/>
                <w:lang w:val="en-GB" w:eastAsia="en-GB"/>
              </w:rPr>
              <w:t>إ</w:t>
            </w:r>
            <w:r w:rsidRPr="005269E6">
              <w:rPr>
                <w:rFonts w:eastAsia="Times New Roman"/>
                <w:color w:val="000000"/>
                <w:sz w:val="18"/>
                <w:szCs w:val="18"/>
                <w:rtl/>
                <w:lang w:val="en-GB" w:eastAsia="en-GB"/>
              </w:rPr>
              <w:t>هلاك</w:t>
            </w:r>
          </w:p>
        </w:tc>
        <w:tc>
          <w:tcPr>
            <w:tcW w:w="1000" w:type="dxa"/>
            <w:tcBorders>
              <w:top w:val="nil"/>
              <w:left w:val="nil"/>
              <w:bottom w:val="nil"/>
              <w:right w:val="nil"/>
            </w:tcBorders>
            <w:shd w:val="clear" w:color="auto" w:fill="auto"/>
            <w:noWrap/>
            <w:vAlign w:val="center"/>
            <w:hideMark/>
          </w:tcPr>
          <w:p w14:paraId="71FE6259" w14:textId="5E24DD74"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(8</w:t>
            </w:r>
            <w:r w:rsidR="0082336A"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183)</w:t>
            </w:r>
          </w:p>
        </w:tc>
        <w:tc>
          <w:tcPr>
            <w:tcW w:w="975" w:type="dxa"/>
            <w:tcBorders>
              <w:top w:val="nil"/>
              <w:left w:val="nil"/>
              <w:bottom w:val="nil"/>
              <w:right w:val="nil"/>
            </w:tcBorders>
            <w:shd w:val="clear" w:color="auto" w:fill="auto"/>
            <w:noWrap/>
            <w:vAlign w:val="center"/>
            <w:hideMark/>
          </w:tcPr>
          <w:p w14:paraId="470FE898" w14:textId="77777777"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p>
        </w:tc>
        <w:tc>
          <w:tcPr>
            <w:tcW w:w="961" w:type="dxa"/>
            <w:tcBorders>
              <w:top w:val="nil"/>
              <w:left w:val="nil"/>
              <w:bottom w:val="nil"/>
              <w:right w:val="nil"/>
            </w:tcBorders>
            <w:shd w:val="clear" w:color="auto" w:fill="auto"/>
            <w:noWrap/>
            <w:vAlign w:val="center"/>
            <w:hideMark/>
          </w:tcPr>
          <w:p w14:paraId="485AD73A" w14:textId="77777777" w:rsidR="001A6A44" w:rsidRPr="005269E6" w:rsidRDefault="001A6A44" w:rsidP="003E2AC1">
            <w:pPr>
              <w:tabs>
                <w:tab w:val="clear" w:pos="794"/>
              </w:tabs>
              <w:spacing w:before="40" w:after="40" w:line="240" w:lineRule="exact"/>
              <w:jc w:val="left"/>
              <w:rPr>
                <w:rFonts w:eastAsia="Times New Roman"/>
                <w:sz w:val="18"/>
                <w:szCs w:val="18"/>
                <w:lang w:val="en-GB" w:eastAsia="en-GB"/>
              </w:rPr>
            </w:pPr>
          </w:p>
        </w:tc>
        <w:tc>
          <w:tcPr>
            <w:tcW w:w="902" w:type="dxa"/>
            <w:tcBorders>
              <w:top w:val="nil"/>
              <w:left w:val="nil"/>
              <w:bottom w:val="nil"/>
              <w:right w:val="nil"/>
            </w:tcBorders>
            <w:shd w:val="clear" w:color="auto" w:fill="auto"/>
            <w:noWrap/>
            <w:vAlign w:val="center"/>
            <w:hideMark/>
          </w:tcPr>
          <w:p w14:paraId="5FFF94E6" w14:textId="16BA4AA3"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(8</w:t>
            </w:r>
            <w:r w:rsidR="0082336A"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183)</w:t>
            </w:r>
          </w:p>
        </w:tc>
      </w:tr>
      <w:tr w:rsidR="001A6A44" w:rsidRPr="005269E6" w14:paraId="012F87EF" w14:textId="77777777" w:rsidTr="00767925">
        <w:trPr>
          <w:trHeight w:val="255"/>
          <w:jc w:val="center"/>
        </w:trPr>
        <w:tc>
          <w:tcPr>
            <w:tcW w:w="4504" w:type="dxa"/>
            <w:tcBorders>
              <w:top w:val="nil"/>
              <w:left w:val="nil"/>
              <w:bottom w:val="nil"/>
              <w:right w:val="nil"/>
            </w:tcBorders>
            <w:shd w:val="clear" w:color="auto" w:fill="auto"/>
            <w:vAlign w:val="center"/>
            <w:hideMark/>
          </w:tcPr>
          <w:p w14:paraId="0071F0A4" w14:textId="22042A60" w:rsidR="001A6A44" w:rsidRPr="005269E6" w:rsidRDefault="0016425F" w:rsidP="0016425F">
            <w:pPr>
              <w:jc w:val="left"/>
              <w:rPr>
                <w:rFonts w:eastAsia="Times New Roman"/>
                <w:color w:val="000000"/>
                <w:sz w:val="18"/>
                <w:szCs w:val="18"/>
                <w:lang w:val="en-GB" w:eastAsia="en-GB"/>
              </w:rPr>
            </w:pPr>
            <w:r w:rsidRPr="005269E6">
              <w:rPr>
                <w:rFonts w:eastAsia="Times New Roman"/>
                <w:color w:val="000000"/>
                <w:sz w:val="18"/>
                <w:szCs w:val="18"/>
                <w:rtl/>
                <w:lang w:val="en-GB" w:eastAsia="en-GB"/>
              </w:rPr>
              <w:t>مكاسب وخسائر أسعار الصرف</w:t>
            </w:r>
          </w:p>
        </w:tc>
        <w:tc>
          <w:tcPr>
            <w:tcW w:w="1000" w:type="dxa"/>
            <w:tcBorders>
              <w:top w:val="nil"/>
              <w:left w:val="nil"/>
              <w:bottom w:val="nil"/>
              <w:right w:val="nil"/>
            </w:tcBorders>
            <w:shd w:val="clear" w:color="auto" w:fill="auto"/>
            <w:noWrap/>
            <w:vAlign w:val="center"/>
            <w:hideMark/>
          </w:tcPr>
          <w:p w14:paraId="2E296346" w14:textId="1E5EAD07"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(243)</w:t>
            </w:r>
          </w:p>
        </w:tc>
        <w:tc>
          <w:tcPr>
            <w:tcW w:w="975" w:type="dxa"/>
            <w:tcBorders>
              <w:top w:val="nil"/>
              <w:left w:val="nil"/>
              <w:bottom w:val="nil"/>
              <w:right w:val="nil"/>
            </w:tcBorders>
            <w:shd w:val="clear" w:color="auto" w:fill="auto"/>
            <w:noWrap/>
            <w:vAlign w:val="center"/>
            <w:hideMark/>
          </w:tcPr>
          <w:p w14:paraId="04D247E8" w14:textId="77777777"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p>
        </w:tc>
        <w:tc>
          <w:tcPr>
            <w:tcW w:w="961" w:type="dxa"/>
            <w:tcBorders>
              <w:top w:val="nil"/>
              <w:left w:val="nil"/>
              <w:bottom w:val="nil"/>
              <w:right w:val="nil"/>
            </w:tcBorders>
            <w:shd w:val="clear" w:color="auto" w:fill="auto"/>
            <w:noWrap/>
            <w:vAlign w:val="center"/>
            <w:hideMark/>
          </w:tcPr>
          <w:p w14:paraId="121D353C" w14:textId="77777777" w:rsidR="001A6A44" w:rsidRPr="005269E6" w:rsidRDefault="001A6A44" w:rsidP="003E2AC1">
            <w:pPr>
              <w:tabs>
                <w:tab w:val="clear" w:pos="794"/>
              </w:tabs>
              <w:spacing w:before="40" w:after="40" w:line="240" w:lineRule="exact"/>
              <w:jc w:val="left"/>
              <w:rPr>
                <w:rFonts w:eastAsia="Times New Roman"/>
                <w:sz w:val="18"/>
                <w:szCs w:val="18"/>
                <w:lang w:val="en-GB" w:eastAsia="en-GB"/>
              </w:rPr>
            </w:pPr>
          </w:p>
        </w:tc>
        <w:tc>
          <w:tcPr>
            <w:tcW w:w="902" w:type="dxa"/>
            <w:tcBorders>
              <w:top w:val="nil"/>
              <w:left w:val="nil"/>
              <w:bottom w:val="nil"/>
              <w:right w:val="nil"/>
            </w:tcBorders>
            <w:shd w:val="clear" w:color="auto" w:fill="auto"/>
            <w:noWrap/>
            <w:vAlign w:val="center"/>
            <w:hideMark/>
          </w:tcPr>
          <w:p w14:paraId="0590057F" w14:textId="42BAE399"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(243)</w:t>
            </w:r>
          </w:p>
        </w:tc>
      </w:tr>
      <w:tr w:rsidR="001A6A44" w:rsidRPr="005269E6" w14:paraId="313FEAF1" w14:textId="77777777" w:rsidTr="00767925">
        <w:trPr>
          <w:trHeight w:val="255"/>
          <w:jc w:val="center"/>
        </w:trPr>
        <w:tc>
          <w:tcPr>
            <w:tcW w:w="4504" w:type="dxa"/>
            <w:tcBorders>
              <w:top w:val="nil"/>
              <w:left w:val="nil"/>
              <w:bottom w:val="nil"/>
              <w:right w:val="nil"/>
            </w:tcBorders>
            <w:shd w:val="clear" w:color="auto" w:fill="auto"/>
            <w:vAlign w:val="center"/>
            <w:hideMark/>
          </w:tcPr>
          <w:p w14:paraId="177E8CCB" w14:textId="38DDD7F0" w:rsidR="001A6A44" w:rsidRPr="005269E6" w:rsidRDefault="00856145" w:rsidP="0082336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التأمين الصحي بعد انتهاء الخدمة (</w:t>
            </w:r>
            <w:r w:rsidRPr="005269E6">
              <w:rPr>
                <w:rFonts w:eastAsia="Times New Roman"/>
                <w:color w:val="000000"/>
                <w:sz w:val="18"/>
                <w:szCs w:val="18"/>
                <w:lang w:val="en-GB" w:eastAsia="en-GB"/>
              </w:rPr>
              <w:t>ASHI</w:t>
            </w:r>
            <w:r w:rsidRPr="005269E6">
              <w:rPr>
                <w:rFonts w:eastAsia="Times New Roman"/>
                <w:color w:val="000000"/>
                <w:sz w:val="18"/>
                <w:szCs w:val="18"/>
                <w:rtl/>
                <w:lang w:val="en-GB" w:eastAsia="en-GB"/>
              </w:rPr>
              <w:t>)</w:t>
            </w:r>
          </w:p>
        </w:tc>
        <w:tc>
          <w:tcPr>
            <w:tcW w:w="1000" w:type="dxa"/>
            <w:tcBorders>
              <w:top w:val="nil"/>
              <w:left w:val="nil"/>
              <w:bottom w:val="nil"/>
              <w:right w:val="nil"/>
            </w:tcBorders>
            <w:shd w:val="clear" w:color="auto" w:fill="auto"/>
            <w:noWrap/>
            <w:vAlign w:val="center"/>
            <w:hideMark/>
          </w:tcPr>
          <w:p w14:paraId="6CEC02FA" w14:textId="31209A5E"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w:t>
            </w:r>
            <w:r w:rsidR="0082336A"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976)</w:t>
            </w:r>
          </w:p>
        </w:tc>
        <w:tc>
          <w:tcPr>
            <w:tcW w:w="975" w:type="dxa"/>
            <w:tcBorders>
              <w:top w:val="nil"/>
              <w:left w:val="nil"/>
              <w:bottom w:val="nil"/>
              <w:right w:val="nil"/>
            </w:tcBorders>
            <w:shd w:val="clear" w:color="auto" w:fill="auto"/>
            <w:noWrap/>
            <w:vAlign w:val="center"/>
            <w:hideMark/>
          </w:tcPr>
          <w:p w14:paraId="353B197F" w14:textId="77777777"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p>
        </w:tc>
        <w:tc>
          <w:tcPr>
            <w:tcW w:w="961" w:type="dxa"/>
            <w:tcBorders>
              <w:top w:val="nil"/>
              <w:left w:val="nil"/>
              <w:bottom w:val="nil"/>
              <w:right w:val="nil"/>
            </w:tcBorders>
            <w:shd w:val="clear" w:color="auto" w:fill="auto"/>
            <w:noWrap/>
            <w:vAlign w:val="center"/>
            <w:hideMark/>
          </w:tcPr>
          <w:p w14:paraId="374DED89" w14:textId="77777777" w:rsidR="001A6A44" w:rsidRPr="005269E6" w:rsidRDefault="001A6A44" w:rsidP="003E2AC1">
            <w:pPr>
              <w:tabs>
                <w:tab w:val="clear" w:pos="794"/>
              </w:tabs>
              <w:spacing w:before="40" w:after="40" w:line="240" w:lineRule="exact"/>
              <w:jc w:val="left"/>
              <w:rPr>
                <w:rFonts w:eastAsia="Times New Roman"/>
                <w:sz w:val="18"/>
                <w:szCs w:val="18"/>
                <w:lang w:val="en-GB" w:eastAsia="en-GB"/>
              </w:rPr>
            </w:pPr>
          </w:p>
        </w:tc>
        <w:tc>
          <w:tcPr>
            <w:tcW w:w="902" w:type="dxa"/>
            <w:tcBorders>
              <w:top w:val="nil"/>
              <w:left w:val="nil"/>
              <w:bottom w:val="nil"/>
              <w:right w:val="nil"/>
            </w:tcBorders>
            <w:shd w:val="clear" w:color="auto" w:fill="auto"/>
            <w:noWrap/>
            <w:vAlign w:val="center"/>
            <w:hideMark/>
          </w:tcPr>
          <w:p w14:paraId="439E76CA" w14:textId="0D2B8B6C"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w:t>
            </w:r>
            <w:r w:rsidR="0082336A"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976)</w:t>
            </w:r>
          </w:p>
        </w:tc>
      </w:tr>
      <w:tr w:rsidR="001A6A44" w:rsidRPr="005269E6" w14:paraId="26F33D54" w14:textId="77777777" w:rsidTr="00767925">
        <w:trPr>
          <w:trHeight w:val="255"/>
          <w:jc w:val="center"/>
        </w:trPr>
        <w:tc>
          <w:tcPr>
            <w:tcW w:w="4504" w:type="dxa"/>
            <w:tcBorders>
              <w:top w:val="nil"/>
              <w:left w:val="nil"/>
              <w:bottom w:val="nil"/>
              <w:right w:val="nil"/>
            </w:tcBorders>
            <w:shd w:val="clear" w:color="auto" w:fill="auto"/>
            <w:vAlign w:val="center"/>
            <w:hideMark/>
          </w:tcPr>
          <w:p w14:paraId="7C24E4EE" w14:textId="70B35948" w:rsidR="001A6A44" w:rsidRPr="005269E6" w:rsidRDefault="00856145" w:rsidP="0082336A">
            <w:pPr>
              <w:tabs>
                <w:tab w:val="clear" w:pos="794"/>
              </w:tabs>
              <w:spacing w:before="40" w:after="40" w:line="240" w:lineRule="exact"/>
              <w:jc w:val="left"/>
              <w:rPr>
                <w:rFonts w:eastAsia="Times New Roman"/>
                <w:color w:val="000000"/>
                <w:sz w:val="18"/>
                <w:szCs w:val="18"/>
                <w:rtl/>
                <w:lang w:val="en-GB" w:eastAsia="en-GB" w:bidi="ar-EG"/>
              </w:rPr>
            </w:pPr>
            <w:r w:rsidRPr="005269E6">
              <w:rPr>
                <w:rFonts w:eastAsia="Times New Roman"/>
                <w:color w:val="000000"/>
                <w:sz w:val="18"/>
                <w:szCs w:val="18"/>
                <w:rtl/>
                <w:lang w:val="en-GB" w:eastAsia="en-GB"/>
              </w:rPr>
              <w:t xml:space="preserve">سداد قرض </w:t>
            </w:r>
            <w:r w:rsidRPr="005269E6">
              <w:rPr>
                <w:rFonts w:eastAsia="Times New Roman"/>
                <w:color w:val="000000"/>
                <w:sz w:val="18"/>
                <w:szCs w:val="18"/>
                <w:lang w:val="en-GB" w:eastAsia="en-GB"/>
              </w:rPr>
              <w:t>FIPOI</w:t>
            </w:r>
            <w:r w:rsidRPr="005269E6">
              <w:rPr>
                <w:rFonts w:eastAsia="Times New Roman"/>
                <w:color w:val="000000"/>
                <w:sz w:val="18"/>
                <w:szCs w:val="18"/>
                <w:rtl/>
                <w:lang w:val="en-GB" w:eastAsia="en-GB" w:bidi="ar-EG"/>
              </w:rPr>
              <w:t xml:space="preserve"> غير المعتبَر ضمن النفقات </w:t>
            </w:r>
          </w:p>
        </w:tc>
        <w:tc>
          <w:tcPr>
            <w:tcW w:w="1000" w:type="dxa"/>
            <w:tcBorders>
              <w:top w:val="nil"/>
              <w:left w:val="nil"/>
              <w:bottom w:val="nil"/>
              <w:right w:val="nil"/>
            </w:tcBorders>
            <w:shd w:val="clear" w:color="auto" w:fill="auto"/>
            <w:noWrap/>
            <w:vAlign w:val="center"/>
            <w:hideMark/>
          </w:tcPr>
          <w:p w14:paraId="2E6F864F" w14:textId="77777777"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p>
        </w:tc>
        <w:tc>
          <w:tcPr>
            <w:tcW w:w="975" w:type="dxa"/>
            <w:tcBorders>
              <w:top w:val="nil"/>
              <w:left w:val="nil"/>
              <w:bottom w:val="nil"/>
              <w:right w:val="nil"/>
            </w:tcBorders>
            <w:shd w:val="clear" w:color="auto" w:fill="auto"/>
            <w:noWrap/>
            <w:vAlign w:val="center"/>
            <w:hideMark/>
          </w:tcPr>
          <w:p w14:paraId="07804451" w14:textId="77777777" w:rsidR="001A6A44" w:rsidRPr="005269E6" w:rsidRDefault="001A6A44" w:rsidP="003E2AC1">
            <w:pPr>
              <w:tabs>
                <w:tab w:val="clear" w:pos="794"/>
              </w:tabs>
              <w:spacing w:before="40" w:after="40" w:line="240" w:lineRule="exact"/>
              <w:jc w:val="left"/>
              <w:rPr>
                <w:rFonts w:eastAsia="Times New Roman"/>
                <w:sz w:val="18"/>
                <w:szCs w:val="18"/>
                <w:lang w:val="en-GB" w:eastAsia="en-GB"/>
              </w:rPr>
            </w:pPr>
          </w:p>
        </w:tc>
        <w:tc>
          <w:tcPr>
            <w:tcW w:w="961" w:type="dxa"/>
            <w:tcBorders>
              <w:top w:val="nil"/>
              <w:left w:val="nil"/>
              <w:bottom w:val="nil"/>
              <w:right w:val="nil"/>
            </w:tcBorders>
            <w:shd w:val="clear" w:color="auto" w:fill="auto"/>
            <w:noWrap/>
            <w:vAlign w:val="center"/>
            <w:hideMark/>
          </w:tcPr>
          <w:p w14:paraId="5EC99311" w14:textId="71E9FECD"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w:t>
            </w:r>
            <w:r w:rsidR="0082336A"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391 </w:t>
            </w:r>
          </w:p>
        </w:tc>
        <w:tc>
          <w:tcPr>
            <w:tcW w:w="902" w:type="dxa"/>
            <w:tcBorders>
              <w:top w:val="nil"/>
              <w:left w:val="nil"/>
              <w:bottom w:val="nil"/>
              <w:right w:val="nil"/>
            </w:tcBorders>
            <w:shd w:val="clear" w:color="auto" w:fill="auto"/>
            <w:noWrap/>
            <w:vAlign w:val="center"/>
            <w:hideMark/>
          </w:tcPr>
          <w:p w14:paraId="761BE37E" w14:textId="290496B4"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w:t>
            </w:r>
            <w:r w:rsidR="0082336A"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391 </w:t>
            </w:r>
          </w:p>
        </w:tc>
      </w:tr>
      <w:tr w:rsidR="001A6A44" w:rsidRPr="005269E6" w14:paraId="4BA7657A" w14:textId="77777777" w:rsidTr="00767925">
        <w:trPr>
          <w:trHeight w:val="255"/>
          <w:jc w:val="center"/>
        </w:trPr>
        <w:tc>
          <w:tcPr>
            <w:tcW w:w="4504" w:type="dxa"/>
            <w:tcBorders>
              <w:top w:val="nil"/>
              <w:left w:val="nil"/>
              <w:bottom w:val="nil"/>
              <w:right w:val="nil"/>
            </w:tcBorders>
            <w:shd w:val="clear" w:color="auto" w:fill="auto"/>
            <w:vAlign w:val="center"/>
            <w:hideMark/>
          </w:tcPr>
          <w:p w14:paraId="5C84905D" w14:textId="6FB00DF2" w:rsidR="001A6A44" w:rsidRPr="005269E6" w:rsidRDefault="00856145" w:rsidP="0082336A">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نفقات أخرى</w:t>
            </w:r>
          </w:p>
        </w:tc>
        <w:tc>
          <w:tcPr>
            <w:tcW w:w="1000" w:type="dxa"/>
            <w:tcBorders>
              <w:top w:val="nil"/>
              <w:left w:val="nil"/>
              <w:bottom w:val="nil"/>
              <w:right w:val="nil"/>
            </w:tcBorders>
            <w:shd w:val="clear" w:color="auto" w:fill="auto"/>
            <w:noWrap/>
            <w:vAlign w:val="center"/>
            <w:hideMark/>
          </w:tcPr>
          <w:p w14:paraId="64A3193F" w14:textId="5EAAEA7B"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w:t>
            </w:r>
            <w:r w:rsidR="0082336A"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297 </w:t>
            </w:r>
          </w:p>
        </w:tc>
        <w:tc>
          <w:tcPr>
            <w:tcW w:w="975" w:type="dxa"/>
            <w:tcBorders>
              <w:top w:val="nil"/>
              <w:left w:val="nil"/>
              <w:bottom w:val="nil"/>
              <w:right w:val="nil"/>
            </w:tcBorders>
            <w:shd w:val="clear" w:color="auto" w:fill="auto"/>
            <w:noWrap/>
            <w:vAlign w:val="center"/>
            <w:hideMark/>
          </w:tcPr>
          <w:p w14:paraId="600C8171" w14:textId="77777777"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p>
        </w:tc>
        <w:tc>
          <w:tcPr>
            <w:tcW w:w="961" w:type="dxa"/>
            <w:tcBorders>
              <w:top w:val="nil"/>
              <w:left w:val="nil"/>
              <w:bottom w:val="nil"/>
              <w:right w:val="nil"/>
            </w:tcBorders>
            <w:shd w:val="clear" w:color="auto" w:fill="auto"/>
            <w:noWrap/>
            <w:vAlign w:val="center"/>
            <w:hideMark/>
          </w:tcPr>
          <w:p w14:paraId="5ACEBA0B" w14:textId="77777777" w:rsidR="001A6A44" w:rsidRPr="005269E6" w:rsidRDefault="001A6A44" w:rsidP="003E2AC1">
            <w:pPr>
              <w:tabs>
                <w:tab w:val="clear" w:pos="794"/>
              </w:tabs>
              <w:spacing w:before="40" w:after="40" w:line="240" w:lineRule="exact"/>
              <w:jc w:val="left"/>
              <w:rPr>
                <w:rFonts w:eastAsia="Times New Roman"/>
                <w:sz w:val="18"/>
                <w:szCs w:val="18"/>
                <w:lang w:val="en-GB" w:eastAsia="en-GB"/>
              </w:rPr>
            </w:pPr>
          </w:p>
        </w:tc>
        <w:tc>
          <w:tcPr>
            <w:tcW w:w="902" w:type="dxa"/>
            <w:tcBorders>
              <w:top w:val="nil"/>
              <w:left w:val="nil"/>
              <w:bottom w:val="nil"/>
              <w:right w:val="nil"/>
            </w:tcBorders>
            <w:shd w:val="clear" w:color="auto" w:fill="auto"/>
            <w:noWrap/>
            <w:vAlign w:val="center"/>
            <w:hideMark/>
          </w:tcPr>
          <w:p w14:paraId="47C42AB6" w14:textId="35F907A2"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w:t>
            </w:r>
            <w:r w:rsidR="0082336A"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 xml:space="preserve">297 </w:t>
            </w:r>
          </w:p>
        </w:tc>
      </w:tr>
      <w:tr w:rsidR="001A6A44" w:rsidRPr="005269E6" w14:paraId="36215A53" w14:textId="77777777" w:rsidTr="00767925">
        <w:trPr>
          <w:trHeight w:val="255"/>
          <w:jc w:val="center"/>
        </w:trPr>
        <w:tc>
          <w:tcPr>
            <w:tcW w:w="4504" w:type="dxa"/>
            <w:tcBorders>
              <w:top w:val="nil"/>
              <w:left w:val="nil"/>
              <w:bottom w:val="nil"/>
              <w:right w:val="nil"/>
            </w:tcBorders>
            <w:shd w:val="clear" w:color="auto" w:fill="auto"/>
            <w:vAlign w:val="center"/>
            <w:hideMark/>
          </w:tcPr>
          <w:p w14:paraId="6FECDF98" w14:textId="5A54C023" w:rsidR="001A6A44" w:rsidRPr="005269E6" w:rsidRDefault="00856145" w:rsidP="00856145">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بيع الأصول</w:t>
            </w:r>
          </w:p>
        </w:tc>
        <w:tc>
          <w:tcPr>
            <w:tcW w:w="1000" w:type="dxa"/>
            <w:tcBorders>
              <w:top w:val="nil"/>
              <w:left w:val="nil"/>
              <w:bottom w:val="nil"/>
              <w:right w:val="nil"/>
            </w:tcBorders>
            <w:shd w:val="clear" w:color="auto" w:fill="auto"/>
            <w:noWrap/>
            <w:vAlign w:val="center"/>
            <w:hideMark/>
          </w:tcPr>
          <w:p w14:paraId="6D4AC819" w14:textId="1F6E259B"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24 </w:t>
            </w:r>
          </w:p>
        </w:tc>
        <w:tc>
          <w:tcPr>
            <w:tcW w:w="975" w:type="dxa"/>
            <w:tcBorders>
              <w:top w:val="nil"/>
              <w:left w:val="nil"/>
              <w:bottom w:val="nil"/>
              <w:right w:val="nil"/>
            </w:tcBorders>
            <w:shd w:val="clear" w:color="auto" w:fill="auto"/>
            <w:noWrap/>
            <w:vAlign w:val="center"/>
            <w:hideMark/>
          </w:tcPr>
          <w:p w14:paraId="68EB46EA" w14:textId="77777777"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p>
        </w:tc>
        <w:tc>
          <w:tcPr>
            <w:tcW w:w="961" w:type="dxa"/>
            <w:tcBorders>
              <w:top w:val="nil"/>
              <w:left w:val="nil"/>
              <w:bottom w:val="nil"/>
              <w:right w:val="nil"/>
            </w:tcBorders>
            <w:shd w:val="clear" w:color="auto" w:fill="auto"/>
            <w:noWrap/>
            <w:vAlign w:val="center"/>
            <w:hideMark/>
          </w:tcPr>
          <w:p w14:paraId="250C6523" w14:textId="77777777" w:rsidR="001A6A44" w:rsidRPr="005269E6" w:rsidRDefault="001A6A44" w:rsidP="003E2AC1">
            <w:pPr>
              <w:tabs>
                <w:tab w:val="clear" w:pos="794"/>
              </w:tabs>
              <w:spacing w:before="40" w:after="40" w:line="240" w:lineRule="exact"/>
              <w:jc w:val="left"/>
              <w:rPr>
                <w:rFonts w:eastAsia="Times New Roman"/>
                <w:sz w:val="18"/>
                <w:szCs w:val="18"/>
                <w:lang w:val="en-GB" w:eastAsia="en-GB"/>
              </w:rPr>
            </w:pPr>
          </w:p>
        </w:tc>
        <w:tc>
          <w:tcPr>
            <w:tcW w:w="902" w:type="dxa"/>
            <w:tcBorders>
              <w:top w:val="nil"/>
              <w:left w:val="nil"/>
              <w:bottom w:val="nil"/>
              <w:right w:val="nil"/>
            </w:tcBorders>
            <w:shd w:val="clear" w:color="auto" w:fill="auto"/>
            <w:noWrap/>
            <w:vAlign w:val="center"/>
            <w:hideMark/>
          </w:tcPr>
          <w:p w14:paraId="6790B94B" w14:textId="4BD4026E" w:rsidR="001A6A44" w:rsidRPr="005269E6" w:rsidRDefault="001A6A44" w:rsidP="003E2AC1">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24 </w:t>
            </w:r>
          </w:p>
        </w:tc>
      </w:tr>
      <w:tr w:rsidR="001A6A44" w:rsidRPr="005269E6" w14:paraId="4846C786" w14:textId="77777777" w:rsidTr="00767925">
        <w:trPr>
          <w:trHeight w:val="255"/>
          <w:jc w:val="center"/>
        </w:trPr>
        <w:tc>
          <w:tcPr>
            <w:tcW w:w="4504" w:type="dxa"/>
            <w:tcBorders>
              <w:top w:val="nil"/>
              <w:left w:val="nil"/>
              <w:bottom w:val="nil"/>
              <w:right w:val="nil"/>
            </w:tcBorders>
            <w:shd w:val="clear" w:color="auto" w:fill="auto"/>
            <w:vAlign w:val="center"/>
            <w:hideMark/>
          </w:tcPr>
          <w:p w14:paraId="3892E118" w14:textId="0E92B62A" w:rsidR="001A6A44" w:rsidRPr="005269E6" w:rsidRDefault="00856145" w:rsidP="0082336A">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إجمالي ال</w:t>
            </w:r>
            <w:r w:rsidR="005E5B47" w:rsidRPr="005269E6">
              <w:rPr>
                <w:rFonts w:eastAsia="Times New Roman" w:hint="cs"/>
                <w:b/>
                <w:bCs/>
                <w:color w:val="000000"/>
                <w:sz w:val="18"/>
                <w:szCs w:val="18"/>
                <w:rtl/>
                <w:lang w:val="en-GB" w:eastAsia="en-GB"/>
              </w:rPr>
              <w:t>ا</w:t>
            </w:r>
            <w:r w:rsidRPr="005269E6">
              <w:rPr>
                <w:rFonts w:eastAsia="Times New Roman"/>
                <w:b/>
                <w:bCs/>
                <w:color w:val="000000"/>
                <w:sz w:val="18"/>
                <w:szCs w:val="18"/>
                <w:rtl/>
                <w:lang w:val="en-GB" w:eastAsia="en-GB"/>
              </w:rPr>
              <w:t>ختلافات الأساسية</w:t>
            </w:r>
          </w:p>
        </w:tc>
        <w:tc>
          <w:tcPr>
            <w:tcW w:w="1000" w:type="dxa"/>
            <w:tcBorders>
              <w:top w:val="nil"/>
              <w:left w:val="nil"/>
              <w:bottom w:val="nil"/>
              <w:right w:val="nil"/>
            </w:tcBorders>
            <w:shd w:val="clear" w:color="auto" w:fill="auto"/>
            <w:noWrap/>
            <w:vAlign w:val="center"/>
            <w:hideMark/>
          </w:tcPr>
          <w:p w14:paraId="75D21F5F" w14:textId="4ACEE429"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(17</w:t>
            </w:r>
            <w:r w:rsidR="0082336A"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811)</w:t>
            </w:r>
          </w:p>
        </w:tc>
        <w:tc>
          <w:tcPr>
            <w:tcW w:w="975" w:type="dxa"/>
            <w:tcBorders>
              <w:top w:val="nil"/>
              <w:left w:val="nil"/>
              <w:bottom w:val="nil"/>
              <w:right w:val="nil"/>
            </w:tcBorders>
            <w:shd w:val="clear" w:color="auto" w:fill="auto"/>
            <w:noWrap/>
            <w:vAlign w:val="center"/>
            <w:hideMark/>
          </w:tcPr>
          <w:p w14:paraId="190A6E8F" w14:textId="69E6AC03"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824 </w:t>
            </w:r>
          </w:p>
        </w:tc>
        <w:tc>
          <w:tcPr>
            <w:tcW w:w="961" w:type="dxa"/>
            <w:tcBorders>
              <w:top w:val="nil"/>
              <w:left w:val="nil"/>
              <w:bottom w:val="nil"/>
              <w:right w:val="nil"/>
            </w:tcBorders>
            <w:shd w:val="clear" w:color="auto" w:fill="auto"/>
            <w:noWrap/>
            <w:vAlign w:val="center"/>
            <w:hideMark/>
          </w:tcPr>
          <w:p w14:paraId="40401EEB" w14:textId="7F897A63"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w:t>
            </w:r>
            <w:r w:rsidR="0082336A"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 xml:space="preserve">391 </w:t>
            </w:r>
          </w:p>
        </w:tc>
        <w:tc>
          <w:tcPr>
            <w:tcW w:w="902" w:type="dxa"/>
            <w:tcBorders>
              <w:top w:val="nil"/>
              <w:left w:val="nil"/>
              <w:bottom w:val="nil"/>
              <w:right w:val="nil"/>
            </w:tcBorders>
            <w:shd w:val="clear" w:color="auto" w:fill="auto"/>
            <w:noWrap/>
            <w:vAlign w:val="center"/>
            <w:hideMark/>
          </w:tcPr>
          <w:p w14:paraId="76EEF555" w14:textId="3B5069E4"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(15</w:t>
            </w:r>
            <w:r w:rsidR="0082336A"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596)</w:t>
            </w:r>
          </w:p>
        </w:tc>
      </w:tr>
      <w:tr w:rsidR="001A6A44" w:rsidRPr="005269E6" w14:paraId="0EB27EAB" w14:textId="77777777" w:rsidTr="00767925">
        <w:trPr>
          <w:trHeight w:val="132"/>
          <w:jc w:val="center"/>
        </w:trPr>
        <w:tc>
          <w:tcPr>
            <w:tcW w:w="4504" w:type="dxa"/>
            <w:tcBorders>
              <w:top w:val="nil"/>
              <w:left w:val="nil"/>
              <w:bottom w:val="nil"/>
              <w:right w:val="nil"/>
            </w:tcBorders>
            <w:shd w:val="clear" w:color="auto" w:fill="auto"/>
            <w:vAlign w:val="center"/>
            <w:hideMark/>
          </w:tcPr>
          <w:p w14:paraId="5E612D14" w14:textId="77777777" w:rsidR="001A6A44" w:rsidRPr="005269E6" w:rsidRDefault="001A6A44" w:rsidP="005E5B47">
            <w:pPr>
              <w:tabs>
                <w:tab w:val="clear" w:pos="794"/>
              </w:tabs>
              <w:spacing w:before="0" w:line="200" w:lineRule="exact"/>
              <w:jc w:val="center"/>
              <w:rPr>
                <w:rFonts w:eastAsia="Times New Roman"/>
                <w:b/>
                <w:bCs/>
                <w:color w:val="000000"/>
                <w:sz w:val="18"/>
                <w:szCs w:val="18"/>
                <w:lang w:val="en-GB" w:eastAsia="en-GB"/>
              </w:rPr>
            </w:pPr>
          </w:p>
        </w:tc>
        <w:tc>
          <w:tcPr>
            <w:tcW w:w="1000" w:type="dxa"/>
            <w:tcBorders>
              <w:top w:val="nil"/>
              <w:left w:val="nil"/>
              <w:bottom w:val="nil"/>
              <w:right w:val="nil"/>
            </w:tcBorders>
            <w:shd w:val="clear" w:color="auto" w:fill="auto"/>
            <w:noWrap/>
            <w:vAlign w:val="center"/>
            <w:hideMark/>
          </w:tcPr>
          <w:p w14:paraId="510B4A75" w14:textId="77777777" w:rsidR="001A6A44" w:rsidRPr="005269E6" w:rsidRDefault="001A6A44" w:rsidP="003E2AC1">
            <w:pPr>
              <w:tabs>
                <w:tab w:val="clear" w:pos="794"/>
              </w:tabs>
              <w:spacing w:before="0" w:line="200" w:lineRule="exact"/>
              <w:jc w:val="left"/>
              <w:rPr>
                <w:rFonts w:eastAsia="Times New Roman"/>
                <w:b/>
                <w:bCs/>
                <w:color w:val="000000"/>
                <w:sz w:val="18"/>
                <w:szCs w:val="18"/>
                <w:lang w:val="en-GB" w:eastAsia="en-GB"/>
              </w:rPr>
            </w:pPr>
          </w:p>
        </w:tc>
        <w:tc>
          <w:tcPr>
            <w:tcW w:w="975" w:type="dxa"/>
            <w:tcBorders>
              <w:top w:val="nil"/>
              <w:left w:val="nil"/>
              <w:bottom w:val="nil"/>
              <w:right w:val="nil"/>
            </w:tcBorders>
            <w:shd w:val="clear" w:color="auto" w:fill="auto"/>
            <w:noWrap/>
            <w:vAlign w:val="center"/>
            <w:hideMark/>
          </w:tcPr>
          <w:p w14:paraId="39343D73" w14:textId="77777777" w:rsidR="001A6A44" w:rsidRPr="005269E6" w:rsidRDefault="001A6A44" w:rsidP="003E2AC1">
            <w:pPr>
              <w:tabs>
                <w:tab w:val="clear" w:pos="794"/>
              </w:tabs>
              <w:spacing w:before="0" w:line="200" w:lineRule="exact"/>
              <w:jc w:val="left"/>
              <w:rPr>
                <w:rFonts w:eastAsia="Times New Roman"/>
                <w:b/>
                <w:bCs/>
                <w:color w:val="000000"/>
                <w:sz w:val="18"/>
                <w:szCs w:val="18"/>
                <w:lang w:val="en-GB" w:eastAsia="en-GB"/>
              </w:rPr>
            </w:pPr>
          </w:p>
        </w:tc>
        <w:tc>
          <w:tcPr>
            <w:tcW w:w="961" w:type="dxa"/>
            <w:tcBorders>
              <w:top w:val="nil"/>
              <w:left w:val="nil"/>
              <w:bottom w:val="nil"/>
              <w:right w:val="nil"/>
            </w:tcBorders>
            <w:shd w:val="clear" w:color="auto" w:fill="auto"/>
            <w:noWrap/>
            <w:vAlign w:val="center"/>
            <w:hideMark/>
          </w:tcPr>
          <w:p w14:paraId="2426418A" w14:textId="77777777" w:rsidR="001A6A44" w:rsidRPr="005269E6" w:rsidRDefault="001A6A44" w:rsidP="003E2AC1">
            <w:pPr>
              <w:tabs>
                <w:tab w:val="clear" w:pos="794"/>
              </w:tabs>
              <w:spacing w:before="0" w:line="200" w:lineRule="exact"/>
              <w:jc w:val="left"/>
              <w:rPr>
                <w:rFonts w:eastAsia="Times New Roman"/>
                <w:b/>
                <w:bCs/>
                <w:color w:val="000000"/>
                <w:sz w:val="18"/>
                <w:szCs w:val="18"/>
                <w:lang w:val="en-GB" w:eastAsia="en-GB"/>
              </w:rPr>
            </w:pPr>
          </w:p>
        </w:tc>
        <w:tc>
          <w:tcPr>
            <w:tcW w:w="902" w:type="dxa"/>
            <w:tcBorders>
              <w:top w:val="nil"/>
              <w:left w:val="nil"/>
              <w:bottom w:val="nil"/>
              <w:right w:val="nil"/>
            </w:tcBorders>
            <w:shd w:val="clear" w:color="auto" w:fill="auto"/>
            <w:noWrap/>
            <w:vAlign w:val="center"/>
            <w:hideMark/>
          </w:tcPr>
          <w:p w14:paraId="6AAD2006" w14:textId="77777777" w:rsidR="001A6A44" w:rsidRPr="005269E6" w:rsidRDefault="001A6A44" w:rsidP="003E2AC1">
            <w:pPr>
              <w:tabs>
                <w:tab w:val="clear" w:pos="794"/>
              </w:tabs>
              <w:spacing w:before="0" w:line="200" w:lineRule="exact"/>
              <w:jc w:val="left"/>
              <w:rPr>
                <w:rFonts w:eastAsia="Times New Roman"/>
                <w:b/>
                <w:bCs/>
                <w:color w:val="000000"/>
                <w:sz w:val="18"/>
                <w:szCs w:val="18"/>
                <w:lang w:val="en-GB" w:eastAsia="en-GB"/>
              </w:rPr>
            </w:pPr>
          </w:p>
        </w:tc>
      </w:tr>
      <w:tr w:rsidR="001A6A44" w:rsidRPr="005269E6" w14:paraId="00E1825B" w14:textId="77777777" w:rsidTr="00767925">
        <w:trPr>
          <w:trHeight w:val="255"/>
          <w:jc w:val="center"/>
        </w:trPr>
        <w:tc>
          <w:tcPr>
            <w:tcW w:w="4504" w:type="dxa"/>
            <w:tcBorders>
              <w:top w:val="nil"/>
              <w:left w:val="nil"/>
              <w:bottom w:val="nil"/>
              <w:right w:val="nil"/>
            </w:tcBorders>
            <w:shd w:val="clear" w:color="auto" w:fill="auto"/>
            <w:vAlign w:val="center"/>
            <w:hideMark/>
          </w:tcPr>
          <w:p w14:paraId="70B21C97" w14:textId="19E86E80" w:rsidR="001A6A44" w:rsidRPr="005269E6" w:rsidRDefault="00856145" w:rsidP="00856145">
            <w:pPr>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اختلافات الكيانات</w:t>
            </w:r>
          </w:p>
        </w:tc>
        <w:tc>
          <w:tcPr>
            <w:tcW w:w="1000" w:type="dxa"/>
            <w:tcBorders>
              <w:top w:val="nil"/>
              <w:left w:val="nil"/>
              <w:bottom w:val="nil"/>
              <w:right w:val="nil"/>
            </w:tcBorders>
            <w:shd w:val="clear" w:color="auto" w:fill="auto"/>
            <w:noWrap/>
            <w:vAlign w:val="center"/>
            <w:hideMark/>
          </w:tcPr>
          <w:p w14:paraId="7BFFCF14" w14:textId="7E13D4D4"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w:t>
            </w:r>
            <w:r w:rsidR="0082336A"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999)</w:t>
            </w:r>
          </w:p>
        </w:tc>
        <w:tc>
          <w:tcPr>
            <w:tcW w:w="975" w:type="dxa"/>
            <w:tcBorders>
              <w:top w:val="nil"/>
              <w:left w:val="nil"/>
              <w:bottom w:val="nil"/>
              <w:right w:val="nil"/>
            </w:tcBorders>
            <w:shd w:val="clear" w:color="auto" w:fill="auto"/>
            <w:noWrap/>
            <w:vAlign w:val="center"/>
            <w:hideMark/>
          </w:tcPr>
          <w:p w14:paraId="1FB826C8" w14:textId="77777777"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p>
        </w:tc>
        <w:tc>
          <w:tcPr>
            <w:tcW w:w="961" w:type="dxa"/>
            <w:tcBorders>
              <w:top w:val="nil"/>
              <w:left w:val="nil"/>
              <w:bottom w:val="nil"/>
              <w:right w:val="nil"/>
            </w:tcBorders>
            <w:shd w:val="clear" w:color="auto" w:fill="auto"/>
            <w:noWrap/>
            <w:vAlign w:val="center"/>
            <w:hideMark/>
          </w:tcPr>
          <w:p w14:paraId="76B48B83" w14:textId="77777777" w:rsidR="001A6A44" w:rsidRPr="005269E6" w:rsidRDefault="001A6A44" w:rsidP="003E2AC1">
            <w:pPr>
              <w:tabs>
                <w:tab w:val="clear" w:pos="794"/>
              </w:tabs>
              <w:spacing w:before="40" w:after="40" w:line="240" w:lineRule="exact"/>
              <w:jc w:val="left"/>
              <w:rPr>
                <w:rFonts w:eastAsia="Times New Roman"/>
                <w:sz w:val="18"/>
                <w:szCs w:val="18"/>
                <w:lang w:val="en-GB" w:eastAsia="en-GB"/>
              </w:rPr>
            </w:pPr>
          </w:p>
        </w:tc>
        <w:tc>
          <w:tcPr>
            <w:tcW w:w="902" w:type="dxa"/>
            <w:tcBorders>
              <w:top w:val="nil"/>
              <w:left w:val="nil"/>
              <w:bottom w:val="nil"/>
              <w:right w:val="nil"/>
            </w:tcBorders>
            <w:shd w:val="clear" w:color="auto" w:fill="auto"/>
            <w:noWrap/>
            <w:vAlign w:val="center"/>
            <w:hideMark/>
          </w:tcPr>
          <w:p w14:paraId="07591E06" w14:textId="0E0DCE95"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(3</w:t>
            </w:r>
            <w:r w:rsidR="0082336A"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999)</w:t>
            </w:r>
          </w:p>
        </w:tc>
      </w:tr>
      <w:tr w:rsidR="001A6A44" w:rsidRPr="005269E6" w14:paraId="735FF43C" w14:textId="77777777" w:rsidTr="00767925">
        <w:trPr>
          <w:trHeight w:val="132"/>
          <w:jc w:val="center"/>
        </w:trPr>
        <w:tc>
          <w:tcPr>
            <w:tcW w:w="4504" w:type="dxa"/>
            <w:tcBorders>
              <w:top w:val="nil"/>
              <w:left w:val="nil"/>
              <w:bottom w:val="nil"/>
              <w:right w:val="nil"/>
            </w:tcBorders>
            <w:shd w:val="clear" w:color="auto" w:fill="auto"/>
            <w:vAlign w:val="center"/>
            <w:hideMark/>
          </w:tcPr>
          <w:p w14:paraId="66529D0C" w14:textId="77777777" w:rsidR="001A6A44" w:rsidRPr="005269E6" w:rsidRDefault="001A6A44" w:rsidP="005E5B47">
            <w:pPr>
              <w:tabs>
                <w:tab w:val="clear" w:pos="794"/>
              </w:tabs>
              <w:spacing w:before="0" w:line="200" w:lineRule="exact"/>
              <w:jc w:val="center"/>
              <w:rPr>
                <w:rFonts w:eastAsia="Times New Roman"/>
                <w:b/>
                <w:bCs/>
                <w:color w:val="000000"/>
                <w:sz w:val="18"/>
                <w:szCs w:val="18"/>
                <w:lang w:val="en-GB" w:eastAsia="en-GB"/>
              </w:rPr>
            </w:pPr>
          </w:p>
        </w:tc>
        <w:tc>
          <w:tcPr>
            <w:tcW w:w="1000" w:type="dxa"/>
            <w:tcBorders>
              <w:top w:val="nil"/>
              <w:left w:val="nil"/>
              <w:bottom w:val="nil"/>
              <w:right w:val="nil"/>
            </w:tcBorders>
            <w:shd w:val="clear" w:color="auto" w:fill="auto"/>
            <w:noWrap/>
            <w:vAlign w:val="center"/>
            <w:hideMark/>
          </w:tcPr>
          <w:p w14:paraId="0A5FB3D9" w14:textId="77777777" w:rsidR="001A6A44" w:rsidRPr="005269E6" w:rsidRDefault="001A6A44" w:rsidP="003E2AC1">
            <w:pPr>
              <w:tabs>
                <w:tab w:val="clear" w:pos="794"/>
              </w:tabs>
              <w:spacing w:before="0" w:line="200" w:lineRule="exact"/>
              <w:jc w:val="left"/>
              <w:rPr>
                <w:rFonts w:eastAsia="Times New Roman"/>
                <w:b/>
                <w:bCs/>
                <w:color w:val="000000"/>
                <w:sz w:val="18"/>
                <w:szCs w:val="18"/>
                <w:lang w:val="en-GB" w:eastAsia="en-GB"/>
              </w:rPr>
            </w:pPr>
          </w:p>
        </w:tc>
        <w:tc>
          <w:tcPr>
            <w:tcW w:w="975" w:type="dxa"/>
            <w:tcBorders>
              <w:top w:val="nil"/>
              <w:left w:val="nil"/>
              <w:bottom w:val="nil"/>
              <w:right w:val="nil"/>
            </w:tcBorders>
            <w:shd w:val="clear" w:color="auto" w:fill="auto"/>
            <w:noWrap/>
            <w:vAlign w:val="center"/>
            <w:hideMark/>
          </w:tcPr>
          <w:p w14:paraId="14834CA6" w14:textId="77777777" w:rsidR="001A6A44" w:rsidRPr="005269E6" w:rsidRDefault="001A6A44" w:rsidP="003E2AC1">
            <w:pPr>
              <w:tabs>
                <w:tab w:val="clear" w:pos="794"/>
              </w:tabs>
              <w:spacing w:before="0" w:line="200" w:lineRule="exact"/>
              <w:jc w:val="left"/>
              <w:rPr>
                <w:rFonts w:eastAsia="Times New Roman"/>
                <w:b/>
                <w:bCs/>
                <w:color w:val="000000"/>
                <w:sz w:val="18"/>
                <w:szCs w:val="18"/>
                <w:lang w:val="en-GB" w:eastAsia="en-GB"/>
              </w:rPr>
            </w:pPr>
          </w:p>
        </w:tc>
        <w:tc>
          <w:tcPr>
            <w:tcW w:w="961" w:type="dxa"/>
            <w:tcBorders>
              <w:top w:val="nil"/>
              <w:left w:val="nil"/>
              <w:bottom w:val="nil"/>
              <w:right w:val="nil"/>
            </w:tcBorders>
            <w:shd w:val="clear" w:color="auto" w:fill="auto"/>
            <w:noWrap/>
            <w:vAlign w:val="center"/>
            <w:hideMark/>
          </w:tcPr>
          <w:p w14:paraId="0C20345B" w14:textId="77777777" w:rsidR="001A6A44" w:rsidRPr="005269E6" w:rsidRDefault="001A6A44" w:rsidP="003E2AC1">
            <w:pPr>
              <w:tabs>
                <w:tab w:val="clear" w:pos="794"/>
              </w:tabs>
              <w:spacing w:before="0" w:line="200" w:lineRule="exact"/>
              <w:jc w:val="left"/>
              <w:rPr>
                <w:rFonts w:eastAsia="Times New Roman"/>
                <w:b/>
                <w:bCs/>
                <w:color w:val="000000"/>
                <w:sz w:val="18"/>
                <w:szCs w:val="18"/>
                <w:lang w:val="en-GB" w:eastAsia="en-GB"/>
              </w:rPr>
            </w:pPr>
          </w:p>
        </w:tc>
        <w:tc>
          <w:tcPr>
            <w:tcW w:w="902" w:type="dxa"/>
            <w:tcBorders>
              <w:top w:val="nil"/>
              <w:left w:val="nil"/>
              <w:bottom w:val="nil"/>
              <w:right w:val="nil"/>
            </w:tcBorders>
            <w:shd w:val="clear" w:color="auto" w:fill="auto"/>
            <w:noWrap/>
            <w:vAlign w:val="center"/>
            <w:hideMark/>
          </w:tcPr>
          <w:p w14:paraId="4A853570" w14:textId="77777777" w:rsidR="001A6A44" w:rsidRPr="005269E6" w:rsidRDefault="001A6A44" w:rsidP="003E2AC1">
            <w:pPr>
              <w:tabs>
                <w:tab w:val="clear" w:pos="794"/>
              </w:tabs>
              <w:spacing w:before="0" w:line="200" w:lineRule="exact"/>
              <w:jc w:val="left"/>
              <w:rPr>
                <w:rFonts w:eastAsia="Times New Roman"/>
                <w:b/>
                <w:bCs/>
                <w:color w:val="000000"/>
                <w:sz w:val="18"/>
                <w:szCs w:val="18"/>
                <w:lang w:val="en-GB" w:eastAsia="en-GB"/>
              </w:rPr>
            </w:pPr>
          </w:p>
        </w:tc>
      </w:tr>
      <w:tr w:rsidR="001A6A44" w:rsidRPr="005269E6" w14:paraId="5FE52A64" w14:textId="77777777" w:rsidTr="005E5B47">
        <w:trPr>
          <w:trHeight w:val="393"/>
          <w:jc w:val="center"/>
        </w:trPr>
        <w:tc>
          <w:tcPr>
            <w:tcW w:w="4504" w:type="dxa"/>
            <w:tcBorders>
              <w:top w:val="nil"/>
              <w:left w:val="nil"/>
              <w:bottom w:val="nil"/>
              <w:right w:val="nil"/>
            </w:tcBorders>
            <w:shd w:val="clear" w:color="000000" w:fill="538DD5"/>
            <w:vAlign w:val="center"/>
            <w:hideMark/>
          </w:tcPr>
          <w:p w14:paraId="432986E0" w14:textId="306871BB" w:rsidR="001A6A44" w:rsidRPr="005269E6" w:rsidRDefault="00856145" w:rsidP="0082336A">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الفائض/(العجز) على النحو المبين في بيان الأداء المالي</w:t>
            </w:r>
          </w:p>
        </w:tc>
        <w:tc>
          <w:tcPr>
            <w:tcW w:w="1000" w:type="dxa"/>
            <w:tcBorders>
              <w:top w:val="nil"/>
              <w:left w:val="nil"/>
              <w:bottom w:val="nil"/>
              <w:right w:val="nil"/>
            </w:tcBorders>
            <w:shd w:val="clear" w:color="000000" w:fill="538DD5"/>
            <w:noWrap/>
            <w:vAlign w:val="center"/>
            <w:hideMark/>
          </w:tcPr>
          <w:p w14:paraId="2B281A90" w14:textId="09D7143D"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 (26</w:t>
            </w:r>
            <w:r w:rsidR="0082336A"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657)</w:t>
            </w:r>
          </w:p>
        </w:tc>
        <w:tc>
          <w:tcPr>
            <w:tcW w:w="975" w:type="dxa"/>
            <w:tcBorders>
              <w:top w:val="nil"/>
              <w:left w:val="nil"/>
              <w:bottom w:val="nil"/>
              <w:right w:val="nil"/>
            </w:tcBorders>
            <w:shd w:val="clear" w:color="000000" w:fill="538DD5"/>
            <w:noWrap/>
            <w:vAlign w:val="center"/>
            <w:hideMark/>
          </w:tcPr>
          <w:p w14:paraId="3C8FE253" w14:textId="1275E385"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824 </w:t>
            </w:r>
          </w:p>
        </w:tc>
        <w:tc>
          <w:tcPr>
            <w:tcW w:w="961" w:type="dxa"/>
            <w:tcBorders>
              <w:top w:val="nil"/>
              <w:left w:val="nil"/>
              <w:bottom w:val="nil"/>
              <w:right w:val="nil"/>
            </w:tcBorders>
            <w:shd w:val="clear" w:color="000000" w:fill="538DD5"/>
            <w:noWrap/>
            <w:vAlign w:val="center"/>
            <w:hideMark/>
          </w:tcPr>
          <w:p w14:paraId="76EA6616" w14:textId="20E5DF46"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w:t>
            </w:r>
            <w:r w:rsidR="0082336A"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 xml:space="preserve">391 </w:t>
            </w:r>
          </w:p>
        </w:tc>
        <w:tc>
          <w:tcPr>
            <w:tcW w:w="902" w:type="dxa"/>
            <w:tcBorders>
              <w:top w:val="nil"/>
              <w:left w:val="nil"/>
              <w:bottom w:val="nil"/>
              <w:right w:val="nil"/>
            </w:tcBorders>
            <w:shd w:val="clear" w:color="000000" w:fill="538DD5"/>
            <w:noWrap/>
            <w:vAlign w:val="center"/>
            <w:hideMark/>
          </w:tcPr>
          <w:p w14:paraId="195B5554" w14:textId="53BD84B2" w:rsidR="001A6A44" w:rsidRPr="005269E6" w:rsidRDefault="001A6A44" w:rsidP="003E2A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(24</w:t>
            </w:r>
            <w:r w:rsidR="0082336A" w:rsidRPr="005269E6">
              <w:rPr>
                <w:rFonts w:eastAsia="Times New Roman"/>
                <w:b/>
                <w:bCs/>
                <w:color w:val="000000"/>
                <w:sz w:val="18"/>
                <w:szCs w:val="18"/>
                <w:lang w:val="en-GB" w:eastAsia="en-GB"/>
              </w:rPr>
              <w:t xml:space="preserve"> </w:t>
            </w:r>
            <w:r w:rsidRPr="005269E6">
              <w:rPr>
                <w:rFonts w:eastAsia="Times New Roman"/>
                <w:b/>
                <w:bCs/>
                <w:color w:val="000000"/>
                <w:sz w:val="18"/>
                <w:szCs w:val="18"/>
                <w:lang w:val="en-GB" w:eastAsia="en-GB"/>
              </w:rPr>
              <w:t>442)</w:t>
            </w:r>
          </w:p>
        </w:tc>
      </w:tr>
    </w:tbl>
    <w:p w14:paraId="629C4470" w14:textId="14F8FF4C" w:rsidR="001A6A44" w:rsidRPr="005269E6" w:rsidRDefault="00767925" w:rsidP="005E5B47">
      <w:pPr>
        <w:rPr>
          <w:rtl/>
          <w:lang w:bidi="ar-SY"/>
        </w:rPr>
      </w:pPr>
      <w:r w:rsidRPr="005269E6">
        <w:rPr>
          <w:rtl/>
          <w:lang w:bidi="ar-SY"/>
        </w:rPr>
        <w:lastRenderedPageBreak/>
        <w:t>وكما ذكر في البيان الخامس، تبلغ الإيرادات 157,2 مليون فرنك سويسري. وأدى ذلك إلى نقص في الإيرادات مقارنة بالميزانية بمبلغ 6,4 مليون فرنك سويسري. وتعزى غالبية هذا النقص (7,4 مليون فرنك سويسري) إلى انخفاض إيرادات استرداد التكاليف (معظمه انخفاض في بطاقات التبليغ عن الشبكات الساتلية (</w:t>
      </w:r>
      <w:r w:rsidRPr="005269E6">
        <w:rPr>
          <w:lang w:bidi="ar-SY"/>
        </w:rPr>
        <w:t>SNF</w:t>
      </w:r>
      <w:r w:rsidRPr="005269E6">
        <w:rPr>
          <w:rtl/>
          <w:lang w:bidi="ar-SY"/>
        </w:rPr>
        <w:t>) والمنشورات</w:t>
      </w:r>
      <w:r w:rsidRPr="005269E6">
        <w:rPr>
          <w:rFonts w:hint="cs"/>
          <w:rtl/>
          <w:lang w:bidi="ar-SY"/>
        </w:rPr>
        <w:t>)</w:t>
      </w:r>
      <w:r w:rsidRPr="005269E6">
        <w:rPr>
          <w:rtl/>
          <w:lang w:bidi="ar-SY"/>
        </w:rPr>
        <w:t>، وهو ما تقابله</w:t>
      </w:r>
      <w:r w:rsidR="00952B1C" w:rsidRPr="005269E6">
        <w:rPr>
          <w:rFonts w:hint="cs"/>
          <w:rtl/>
          <w:lang w:bidi="ar-SY"/>
        </w:rPr>
        <w:t xml:space="preserve"> مقاصة</w:t>
      </w:r>
      <w:r w:rsidRPr="005269E6">
        <w:rPr>
          <w:rtl/>
          <w:lang w:bidi="ar-SY"/>
        </w:rPr>
        <w:t xml:space="preserve"> مبالغ الأنشطة المؤجلة المدرجة في الميزانية لعام 2022. وبعد عدة سنوات كانت فيها أسعار الفائدة منخفضة جدا</w:t>
      </w:r>
      <w:r w:rsidR="005E5B47" w:rsidRPr="005269E6">
        <w:rPr>
          <w:rFonts w:hint="cs"/>
          <w:rtl/>
          <w:lang w:bidi="ar-SY"/>
        </w:rPr>
        <w:t>ً</w:t>
      </w:r>
      <w:r w:rsidRPr="005269E6">
        <w:rPr>
          <w:rtl/>
          <w:lang w:bidi="ar-SY"/>
        </w:rPr>
        <w:t xml:space="preserve">، ارتفع </w:t>
      </w:r>
      <w:r w:rsidRPr="005269E6">
        <w:rPr>
          <w:rFonts w:hint="cs"/>
          <w:rtl/>
          <w:lang w:bidi="ar-SY"/>
        </w:rPr>
        <w:t>سعر</w:t>
      </w:r>
      <w:r w:rsidRPr="005269E6">
        <w:rPr>
          <w:rtl/>
          <w:lang w:bidi="ar-SY"/>
        </w:rPr>
        <w:t xml:space="preserve"> الفائدة على الودائع قصيرة الأجل بالدولار الأمريكي مرة أخرى مما سمح للاتحاد بزيادة إيراداته المالية زيادة كبيرة بنسبة 340 في المائة مقارنة بالميزانية المعتمدة في عام 2022.</w:t>
      </w:r>
    </w:p>
    <w:p w14:paraId="02B36652" w14:textId="13AE38AD" w:rsidR="002E4917" w:rsidRPr="005269E6" w:rsidRDefault="002E4917" w:rsidP="005E5B47">
      <w:pPr>
        <w:rPr>
          <w:rtl/>
          <w:lang w:bidi="ar-EG"/>
        </w:rPr>
      </w:pPr>
      <w:r w:rsidRPr="005269E6">
        <w:rPr>
          <w:rtl/>
          <w:lang w:bidi="ar-EG"/>
        </w:rPr>
        <w:t xml:space="preserve">وبالنسبة لجميع القطاعات والدوائر، يؤدي </w:t>
      </w:r>
      <w:r w:rsidR="00767925" w:rsidRPr="005269E6">
        <w:rPr>
          <w:rFonts w:hint="cs"/>
          <w:rtl/>
          <w:lang w:bidi="ar-EG"/>
        </w:rPr>
        <w:t>النقص</w:t>
      </w:r>
      <w:r w:rsidRPr="005269E6">
        <w:rPr>
          <w:rtl/>
          <w:lang w:bidi="ar-EG"/>
        </w:rPr>
        <w:t xml:space="preserve"> المتوقع في الإيرادات في عام 2022 إلى تنفيذ تدابير الكفاءة (الإدارة الصارمة للنفقات وتخطيط واستعراض جميع التنبؤات المتعلقة بالموظفين والخدمات التعاقدية والسفر ونفقات التشغيل الأخرى).</w:t>
      </w:r>
    </w:p>
    <w:p w14:paraId="0F5657CB" w14:textId="7EFBCF35" w:rsidR="00D555DE" w:rsidRPr="005269E6" w:rsidRDefault="00D555DE" w:rsidP="00C95226">
      <w:pPr>
        <w:pStyle w:val="Headingb"/>
      </w:pPr>
      <w:r w:rsidRPr="005269E6">
        <w:rPr>
          <w:rtl/>
        </w:rPr>
        <w:tab/>
      </w:r>
      <w:r w:rsidRPr="005269E6">
        <w:rPr>
          <w:rFonts w:hint="cs"/>
          <w:rtl/>
        </w:rPr>
        <w:t xml:space="preserve">قطاع الاتصالات الراديوية </w:t>
      </w:r>
      <w:r w:rsidRPr="005269E6">
        <w:t>(ITU-R)</w:t>
      </w:r>
    </w:p>
    <w:p w14:paraId="72142715" w14:textId="26C84C1E" w:rsidR="00D14201" w:rsidRPr="005269E6" w:rsidRDefault="00D14201" w:rsidP="00D14201">
      <w:pPr>
        <w:pStyle w:val="enumlev1"/>
        <w:rPr>
          <w:rtl/>
        </w:rPr>
      </w:pPr>
      <w:r w:rsidRPr="005269E6">
        <w:rPr>
          <w:b/>
          <w:bCs/>
          <w:rtl/>
        </w:rPr>
        <w:tab/>
      </w:r>
      <w:r w:rsidR="003E6E9A" w:rsidRPr="005269E6">
        <w:rPr>
          <w:rtl/>
        </w:rPr>
        <w:t xml:space="preserve">تمثل فئة تكاليف الموظفين معظم التكاليف قيد التنفيذ (حوالي </w:t>
      </w:r>
      <w:r w:rsidR="00C95226" w:rsidRPr="005269E6">
        <w:t>225 000</w:t>
      </w:r>
      <w:r w:rsidR="003E6E9A" w:rsidRPr="005269E6">
        <w:rPr>
          <w:rtl/>
        </w:rPr>
        <w:t xml:space="preserve"> فرنك سويسري) لقطاع الاتصالات الراديوية في 2022.</w:t>
      </w:r>
    </w:p>
    <w:p w14:paraId="7F4AD6D8" w14:textId="6C081A5B" w:rsidR="00D14201" w:rsidRPr="005269E6" w:rsidRDefault="00D14201" w:rsidP="00C95226">
      <w:pPr>
        <w:pStyle w:val="Headingb"/>
      </w:pPr>
      <w:r w:rsidRPr="005269E6">
        <w:rPr>
          <w:rtl/>
        </w:rPr>
        <w:tab/>
      </w:r>
      <w:r w:rsidRPr="005269E6">
        <w:rPr>
          <w:rFonts w:hint="cs"/>
          <w:rtl/>
        </w:rPr>
        <w:t xml:space="preserve">قطاع تقييس الاتصالات </w:t>
      </w:r>
      <w:r w:rsidRPr="005269E6">
        <w:t>(ITU-T)</w:t>
      </w:r>
    </w:p>
    <w:p w14:paraId="7521084A" w14:textId="25F88770" w:rsidR="00D14201" w:rsidRPr="005269E6" w:rsidRDefault="00D14201" w:rsidP="00257FD2">
      <w:pPr>
        <w:pStyle w:val="enumlev1"/>
        <w:rPr>
          <w:rtl/>
        </w:rPr>
      </w:pPr>
      <w:r w:rsidRPr="005269E6">
        <w:rPr>
          <w:b/>
          <w:bCs/>
          <w:rtl/>
        </w:rPr>
        <w:tab/>
      </w:r>
      <w:r w:rsidR="00257FD2" w:rsidRPr="005269E6">
        <w:rPr>
          <w:rtl/>
        </w:rPr>
        <w:t>بلغ مجموع نفقات قطاع تقييس الاتصالات 13,18 مليون فرنك سويسري في عام 2022، أي بنسبة 94,9 في المائة من الميزانية البالغة 13,89 مليون فرنك سويسري.</w:t>
      </w:r>
    </w:p>
    <w:p w14:paraId="148358D3" w14:textId="2102DD0C" w:rsidR="00D14201" w:rsidRPr="005269E6" w:rsidRDefault="00D14201" w:rsidP="003552C2">
      <w:pPr>
        <w:pStyle w:val="enumlev1"/>
        <w:rPr>
          <w:rtl/>
        </w:rPr>
      </w:pPr>
      <w:r w:rsidRPr="005269E6">
        <w:rPr>
          <w:b/>
          <w:bCs/>
          <w:rtl/>
        </w:rPr>
        <w:tab/>
      </w:r>
      <w:r w:rsidR="003552C2" w:rsidRPr="005269E6">
        <w:rPr>
          <w:rFonts w:hint="cs"/>
          <w:rtl/>
          <w:lang w:bidi="ar-SA"/>
        </w:rPr>
        <w:t>و</w:t>
      </w:r>
      <w:r w:rsidR="003552C2" w:rsidRPr="005269E6">
        <w:rPr>
          <w:rtl/>
        </w:rPr>
        <w:t>تحققت وفورات في جميع أقسام ميزانية قطاع تقييس الاتصالات (الجمعية العالمية لتقييس الاتصالات والفريق الاستشاري لتقييس الاتصالات ولجان الدراسات والأنشطة والبرامج وورش العمل والمكتب).</w:t>
      </w:r>
    </w:p>
    <w:p w14:paraId="499503FB" w14:textId="6D1CD02C" w:rsidR="00D14201" w:rsidRPr="005269E6" w:rsidRDefault="00D14201" w:rsidP="003552C2">
      <w:pPr>
        <w:pStyle w:val="enumlev1"/>
        <w:rPr>
          <w:rtl/>
        </w:rPr>
      </w:pPr>
      <w:r w:rsidRPr="005269E6">
        <w:rPr>
          <w:b/>
          <w:bCs/>
          <w:rtl/>
        </w:rPr>
        <w:tab/>
      </w:r>
      <w:r w:rsidR="003552C2" w:rsidRPr="005269E6">
        <w:rPr>
          <w:rtl/>
        </w:rPr>
        <w:t>وفي بداية عام 2022، كانت الاجتماعات لا تزال تعقد افتراضيا</w:t>
      </w:r>
      <w:r w:rsidR="00C95226" w:rsidRPr="005269E6">
        <w:rPr>
          <w:rFonts w:hint="cs"/>
          <w:rtl/>
        </w:rPr>
        <w:t>ً</w:t>
      </w:r>
      <w:r w:rsidR="003552C2" w:rsidRPr="005269E6">
        <w:rPr>
          <w:rtl/>
        </w:rPr>
        <w:t>، مما أدى إلى تحقيق وفورات في نفقات السفر والترجمة الشفوية.</w:t>
      </w:r>
    </w:p>
    <w:p w14:paraId="7DEA88E1" w14:textId="056B0772" w:rsidR="00D14201" w:rsidRPr="005269E6" w:rsidRDefault="00D14201" w:rsidP="003552C2">
      <w:pPr>
        <w:pStyle w:val="enumlev1"/>
        <w:rPr>
          <w:rtl/>
        </w:rPr>
      </w:pPr>
      <w:r w:rsidRPr="005269E6">
        <w:rPr>
          <w:b/>
          <w:bCs/>
          <w:rtl/>
        </w:rPr>
        <w:tab/>
      </w:r>
      <w:r w:rsidR="003552C2" w:rsidRPr="005269E6">
        <w:rPr>
          <w:rtl/>
        </w:rPr>
        <w:t>واعتبارا</w:t>
      </w:r>
      <w:r w:rsidR="00C95226" w:rsidRPr="005269E6">
        <w:rPr>
          <w:rFonts w:hint="cs"/>
          <w:rtl/>
        </w:rPr>
        <w:t>ً</w:t>
      </w:r>
      <w:r w:rsidR="003552C2" w:rsidRPr="005269E6">
        <w:rPr>
          <w:rtl/>
        </w:rPr>
        <w:t xml:space="preserve"> من منتصف عام 2022، وبسبب شواغل الميزانية (نقص متوقع في الإيرادات)، </w:t>
      </w:r>
      <w:r w:rsidR="003552C2" w:rsidRPr="005269E6">
        <w:rPr>
          <w:rFonts w:hint="cs"/>
          <w:rtl/>
          <w:lang w:bidi="ar-SA"/>
        </w:rPr>
        <w:t>عُلق</w:t>
      </w:r>
      <w:r w:rsidR="003552C2" w:rsidRPr="005269E6">
        <w:rPr>
          <w:rtl/>
        </w:rPr>
        <w:t xml:space="preserve"> العديد من النفقات، مما ساهم في تحقيق مزيد من الوفورات في جميع فئات النفقات.</w:t>
      </w:r>
    </w:p>
    <w:p w14:paraId="05B60E20" w14:textId="7B9F2785" w:rsidR="00D14201" w:rsidRPr="005269E6" w:rsidRDefault="00D14201" w:rsidP="00C95226">
      <w:pPr>
        <w:pStyle w:val="Headingb"/>
      </w:pPr>
      <w:bookmarkStart w:id="660" w:name="_Hlk159938203"/>
      <w:r w:rsidRPr="005269E6">
        <w:rPr>
          <w:rtl/>
        </w:rPr>
        <w:tab/>
      </w:r>
      <w:r w:rsidRPr="005269E6">
        <w:rPr>
          <w:rFonts w:hint="cs"/>
          <w:rtl/>
        </w:rPr>
        <w:t xml:space="preserve">قطاع تنمية الاتصالات </w:t>
      </w:r>
      <w:r w:rsidRPr="005269E6">
        <w:t>(ITU-D)</w:t>
      </w:r>
    </w:p>
    <w:bookmarkEnd w:id="660"/>
    <w:p w14:paraId="34489B3F" w14:textId="760963C6" w:rsidR="00D14201" w:rsidRPr="005269E6" w:rsidRDefault="00D14201" w:rsidP="003552C2">
      <w:pPr>
        <w:pStyle w:val="enumlev1"/>
        <w:rPr>
          <w:rtl/>
        </w:rPr>
      </w:pPr>
      <w:r w:rsidRPr="005269E6">
        <w:rPr>
          <w:b/>
          <w:bCs/>
          <w:rtl/>
        </w:rPr>
        <w:tab/>
      </w:r>
      <w:r w:rsidR="003552C2" w:rsidRPr="005269E6">
        <w:rPr>
          <w:rtl/>
        </w:rPr>
        <w:t>تمثل ميزانية قطاع تنمية الاتصالات الواردة في الجدول أدناه الميزانية المعتمدة وفقا</w:t>
      </w:r>
      <w:r w:rsidR="00C95226" w:rsidRPr="005269E6">
        <w:rPr>
          <w:rFonts w:hint="cs"/>
          <w:rtl/>
        </w:rPr>
        <w:t>ً</w:t>
      </w:r>
      <w:r w:rsidR="003552C2" w:rsidRPr="005269E6">
        <w:rPr>
          <w:rtl/>
        </w:rPr>
        <w:t xml:space="preserve"> لقرار المجلس 1405 (27,368 مليون فرنك سويسري) والميزانية العادية</w:t>
      </w:r>
      <w:r w:rsidR="003552C2" w:rsidRPr="005269E6">
        <w:rPr>
          <w:rtl/>
          <w:lang w:bidi="ar-SA"/>
        </w:rPr>
        <w:t xml:space="preserve"> </w:t>
      </w:r>
      <w:r w:rsidR="003552C2" w:rsidRPr="005269E6">
        <w:rPr>
          <w:rtl/>
        </w:rPr>
        <w:t xml:space="preserve">المرحّلة للمؤتمر العالمي لتنمية الاتصالات </w:t>
      </w:r>
      <w:r w:rsidR="003552C2" w:rsidRPr="005269E6">
        <w:rPr>
          <w:rFonts w:hint="cs"/>
          <w:rtl/>
          <w:lang w:bidi="ar-SA"/>
        </w:rPr>
        <w:t>عام</w:t>
      </w:r>
      <w:r w:rsidR="003552C2" w:rsidRPr="005269E6">
        <w:rPr>
          <w:rtl/>
        </w:rPr>
        <w:t xml:space="preserve"> 2022 (1,056 مليون فرنك سويسري).</w:t>
      </w:r>
    </w:p>
    <w:p w14:paraId="60788D83" w14:textId="6D1AB906" w:rsidR="00D14201" w:rsidRPr="005269E6" w:rsidRDefault="00D14201" w:rsidP="00D14201">
      <w:pPr>
        <w:pStyle w:val="enumlev1"/>
        <w:rPr>
          <w:rtl/>
        </w:rPr>
      </w:pPr>
      <w:r w:rsidRPr="005269E6">
        <w:rPr>
          <w:b/>
          <w:bCs/>
          <w:rtl/>
        </w:rPr>
        <w:tab/>
      </w:r>
      <w:r w:rsidR="003552C2" w:rsidRPr="005269E6">
        <w:rPr>
          <w:rtl/>
        </w:rPr>
        <w:t>مجموع ميزانية قطاع تنمية الاتصالات لعام 2022: 28,424 مليون فرنك سويسري.</w:t>
      </w:r>
    </w:p>
    <w:p w14:paraId="764D3C1B" w14:textId="606A64B4" w:rsidR="00D14201" w:rsidRPr="005269E6" w:rsidRDefault="00D14201" w:rsidP="00D14201">
      <w:pPr>
        <w:pStyle w:val="enumlev1"/>
        <w:rPr>
          <w:rtl/>
        </w:rPr>
      </w:pPr>
      <w:r w:rsidRPr="005269E6">
        <w:rPr>
          <w:b/>
          <w:bCs/>
          <w:rtl/>
        </w:rPr>
        <w:tab/>
      </w:r>
      <w:r w:rsidR="003552C2" w:rsidRPr="005269E6">
        <w:rPr>
          <w:rtl/>
        </w:rPr>
        <w:t>ويمثل المبلغ الفعلي الوارد في الجدول أدناه ما يلي:</w:t>
      </w:r>
    </w:p>
    <w:p w14:paraId="0C07D2C6" w14:textId="60F66ADA" w:rsidR="00D14201" w:rsidRPr="005269E6" w:rsidRDefault="00D14201" w:rsidP="003552C2">
      <w:pPr>
        <w:pStyle w:val="enumlev1"/>
        <w:rPr>
          <w:rtl/>
        </w:rPr>
      </w:pPr>
      <w:r w:rsidRPr="005269E6">
        <w:rPr>
          <w:b/>
          <w:bCs/>
          <w:rtl/>
        </w:rPr>
        <w:tab/>
      </w:r>
      <w:r w:rsidR="003552C2" w:rsidRPr="005269E6">
        <w:rPr>
          <w:rFonts w:hint="cs"/>
          <w:rtl/>
          <w:lang w:bidi="ar-SA"/>
        </w:rPr>
        <w:t>و</w:t>
      </w:r>
      <w:r w:rsidR="003552C2" w:rsidRPr="005269E6">
        <w:rPr>
          <w:rtl/>
        </w:rPr>
        <w:t>تتفق النفقات الفعلية في الميزانية العادية لقطاع تنمية الاتصالات لعام 2022 (27,803 مليون فرنك سويسري) مع الميزانية المعتمدة البالغة 28,424 مليون فرنك سويسري.</w:t>
      </w:r>
    </w:p>
    <w:p w14:paraId="090E2892" w14:textId="75590477" w:rsidR="00D14201" w:rsidRPr="005269E6" w:rsidRDefault="00D14201" w:rsidP="00EB147B">
      <w:pPr>
        <w:pStyle w:val="enumlev1"/>
        <w:rPr>
          <w:rtl/>
        </w:rPr>
      </w:pPr>
      <w:r w:rsidRPr="005269E6">
        <w:rPr>
          <w:b/>
          <w:bCs/>
          <w:rtl/>
        </w:rPr>
        <w:tab/>
      </w:r>
      <w:r w:rsidR="00EB147B" w:rsidRPr="005269E6">
        <w:rPr>
          <w:rtl/>
        </w:rPr>
        <w:t>وهناك نقص في الإنفاق</w:t>
      </w:r>
      <w:r w:rsidR="00EB147B" w:rsidRPr="005269E6">
        <w:rPr>
          <w:rFonts w:hint="cs"/>
          <w:rtl/>
          <w:lang w:bidi="ar-SA"/>
        </w:rPr>
        <w:t xml:space="preserve"> </w:t>
      </w:r>
      <w:r w:rsidR="00EB147B" w:rsidRPr="005269E6">
        <w:rPr>
          <w:rtl/>
        </w:rPr>
        <w:t xml:space="preserve">قدره </w:t>
      </w:r>
      <w:r w:rsidR="00C95226" w:rsidRPr="005269E6">
        <w:t>621 000</w:t>
      </w:r>
      <w:r w:rsidR="00EB147B" w:rsidRPr="005269E6">
        <w:rPr>
          <w:rtl/>
        </w:rPr>
        <w:t xml:space="preserve"> فرنك سويسري، خاصة على فئة</w:t>
      </w:r>
      <w:r w:rsidR="00EB147B" w:rsidRPr="005269E6">
        <w:rPr>
          <w:rFonts w:hint="cs"/>
          <w:rtl/>
          <w:lang w:bidi="ar-SA"/>
        </w:rPr>
        <w:t xml:space="preserve"> </w:t>
      </w:r>
      <w:r w:rsidR="00EB147B" w:rsidRPr="005269E6">
        <w:rPr>
          <w:rtl/>
        </w:rPr>
        <w:t>الخدمات التعاقدية، وذلك بسبب المراقبة الصارمة للنفقات.</w:t>
      </w:r>
    </w:p>
    <w:p w14:paraId="7F371E9C" w14:textId="0D640E38" w:rsidR="00D14201" w:rsidRPr="005269E6" w:rsidRDefault="00D14201" w:rsidP="00D14201">
      <w:pPr>
        <w:pStyle w:val="enumlev1"/>
        <w:rPr>
          <w:rtl/>
        </w:rPr>
      </w:pPr>
      <w:r w:rsidRPr="005269E6">
        <w:rPr>
          <w:b/>
          <w:bCs/>
          <w:rtl/>
        </w:rPr>
        <w:tab/>
      </w:r>
      <w:r w:rsidR="00EB147B" w:rsidRPr="005269E6">
        <w:rPr>
          <w:rtl/>
        </w:rPr>
        <w:t>وتفسر العناصر التالية النقص:</w:t>
      </w:r>
    </w:p>
    <w:p w14:paraId="7170200A" w14:textId="79BFA5D3" w:rsidR="00D14201" w:rsidRPr="005269E6" w:rsidRDefault="00EB147B" w:rsidP="00E35611">
      <w:pPr>
        <w:pStyle w:val="enumlev1"/>
        <w:numPr>
          <w:ilvl w:val="0"/>
          <w:numId w:val="30"/>
        </w:numPr>
        <w:rPr>
          <w:rtl/>
        </w:rPr>
      </w:pPr>
      <w:r w:rsidRPr="005269E6">
        <w:rPr>
          <w:rtl/>
        </w:rPr>
        <w:t>تكاليف المؤتمر العالمي لتنمية الاتصالات التي يغطيها اتفاق البلد المضيف. ويرد أيضا</w:t>
      </w:r>
      <w:r w:rsidR="00C95226" w:rsidRPr="005269E6">
        <w:rPr>
          <w:rFonts w:hint="cs"/>
          <w:rtl/>
        </w:rPr>
        <w:t>ً</w:t>
      </w:r>
      <w:r w:rsidRPr="005269E6">
        <w:rPr>
          <w:rtl/>
        </w:rPr>
        <w:t xml:space="preserve"> مبلغ </w:t>
      </w:r>
      <w:r w:rsidR="00C95226" w:rsidRPr="005269E6">
        <w:t>603 000</w:t>
      </w:r>
      <w:r w:rsidRPr="005269E6">
        <w:rPr>
          <w:rFonts w:hint="cs"/>
          <w:rtl/>
          <w:lang w:bidi="ar-SA"/>
        </w:rPr>
        <w:t xml:space="preserve"> </w:t>
      </w:r>
      <w:r w:rsidRPr="005269E6">
        <w:rPr>
          <w:rtl/>
        </w:rPr>
        <w:t>فرنك سويسري في بند الإيرادات - المساهمات المقررة</w:t>
      </w:r>
      <w:r w:rsidR="00C95226" w:rsidRPr="005269E6">
        <w:rPr>
          <w:rFonts w:hint="cs"/>
          <w:rtl/>
        </w:rPr>
        <w:t>.</w:t>
      </w:r>
    </w:p>
    <w:p w14:paraId="758A095B" w14:textId="4576FA95" w:rsidR="00D14201" w:rsidRPr="005269E6" w:rsidRDefault="00EB147B" w:rsidP="00E35611">
      <w:pPr>
        <w:pStyle w:val="enumlev1"/>
        <w:numPr>
          <w:ilvl w:val="0"/>
          <w:numId w:val="30"/>
        </w:numPr>
        <w:rPr>
          <w:rtl/>
        </w:rPr>
      </w:pPr>
      <w:r w:rsidRPr="005269E6">
        <w:rPr>
          <w:rtl/>
        </w:rPr>
        <w:t xml:space="preserve">نفقات </w:t>
      </w:r>
      <w:r w:rsidRPr="005269E6">
        <w:rPr>
          <w:rFonts w:hint="cs"/>
          <w:rtl/>
          <w:lang w:bidi="ar-SA"/>
        </w:rPr>
        <w:t>المراجعة</w:t>
      </w:r>
      <w:r w:rsidRPr="005269E6">
        <w:rPr>
          <w:rtl/>
        </w:rPr>
        <w:t xml:space="preserve"> الجنائي</w:t>
      </w:r>
      <w:r w:rsidRPr="005269E6">
        <w:rPr>
          <w:rFonts w:hint="cs"/>
          <w:rtl/>
          <w:lang w:bidi="ar-SA"/>
        </w:rPr>
        <w:t>ة</w:t>
      </w:r>
      <w:r w:rsidRPr="005269E6">
        <w:rPr>
          <w:rtl/>
        </w:rPr>
        <w:t xml:space="preserve"> (</w:t>
      </w:r>
      <w:r w:rsidR="00C95226" w:rsidRPr="005269E6">
        <w:t>486 000</w:t>
      </w:r>
      <w:r w:rsidRPr="005269E6">
        <w:rPr>
          <w:rFonts w:hint="cs"/>
          <w:rtl/>
          <w:lang w:bidi="ar-SA"/>
        </w:rPr>
        <w:t xml:space="preserve"> </w:t>
      </w:r>
      <w:r w:rsidRPr="005269E6">
        <w:rPr>
          <w:rtl/>
        </w:rPr>
        <w:t>فرنك سويسري) غير المدرجة في الميزانية (القرار 1405)</w:t>
      </w:r>
      <w:r w:rsidR="00C95226" w:rsidRPr="005269E6">
        <w:rPr>
          <w:rFonts w:hint="cs"/>
          <w:rtl/>
        </w:rPr>
        <w:t>.</w:t>
      </w:r>
    </w:p>
    <w:p w14:paraId="492755C3" w14:textId="68B72353" w:rsidR="00D14201" w:rsidRPr="005269E6" w:rsidRDefault="00D14201" w:rsidP="00C95226">
      <w:pPr>
        <w:pStyle w:val="Headingb"/>
      </w:pPr>
      <w:r w:rsidRPr="005269E6">
        <w:rPr>
          <w:rtl/>
        </w:rPr>
        <w:tab/>
      </w:r>
      <w:r w:rsidRPr="005269E6">
        <w:rPr>
          <w:rFonts w:hint="cs"/>
          <w:rtl/>
        </w:rPr>
        <w:t>الأمانة العامة</w:t>
      </w:r>
    </w:p>
    <w:p w14:paraId="0500CD92" w14:textId="3B49B0AE" w:rsidR="00D14201" w:rsidRPr="005269E6" w:rsidRDefault="00D14201" w:rsidP="00B819B7">
      <w:pPr>
        <w:pStyle w:val="enumlev1"/>
        <w:rPr>
          <w:rtl/>
        </w:rPr>
      </w:pPr>
      <w:r w:rsidRPr="005269E6">
        <w:rPr>
          <w:b/>
          <w:bCs/>
          <w:rtl/>
        </w:rPr>
        <w:tab/>
      </w:r>
      <w:r w:rsidR="00B819B7" w:rsidRPr="005269E6">
        <w:rPr>
          <w:rtl/>
          <w:lang w:bidi="ar-SA"/>
        </w:rPr>
        <w:t>تحقق</w:t>
      </w:r>
      <w:r w:rsidR="00B819B7" w:rsidRPr="005269E6">
        <w:rPr>
          <w:rFonts w:hint="cs"/>
          <w:rtl/>
          <w:lang w:bidi="ar-SA"/>
        </w:rPr>
        <w:t>ت</w:t>
      </w:r>
      <w:r w:rsidR="00B819B7" w:rsidRPr="005269E6">
        <w:rPr>
          <w:rtl/>
          <w:lang w:bidi="ar-SA"/>
        </w:rPr>
        <w:t xml:space="preserve"> معظم الوفورات من دائرة المؤتمرات والمنشورات بفضل المراقبة الصارمة للموارد اللازمة لأنشطة الترجمة ومعالجة النصوص.</w:t>
      </w:r>
    </w:p>
    <w:p w14:paraId="0ADB18C2" w14:textId="73EF98B6" w:rsidR="00D14201" w:rsidRPr="005269E6" w:rsidRDefault="00D14201" w:rsidP="00B819B7">
      <w:pPr>
        <w:pStyle w:val="enumlev1"/>
        <w:rPr>
          <w:rtl/>
          <w:lang w:bidi="ar-SA"/>
        </w:rPr>
      </w:pPr>
      <w:r w:rsidRPr="005269E6">
        <w:rPr>
          <w:b/>
          <w:bCs/>
          <w:rtl/>
        </w:rPr>
        <w:lastRenderedPageBreak/>
        <w:tab/>
      </w:r>
      <w:r w:rsidR="00B819B7" w:rsidRPr="005269E6">
        <w:rPr>
          <w:rtl/>
          <w:lang w:bidi="ar-SA"/>
        </w:rPr>
        <w:t>وتحققت وفورات أخرى في نفقات الصيانة في إطار شعبة إدارة المرافق وفئة الخدمات التعاقدية في دائرة خدمات المعلومات.</w:t>
      </w:r>
    </w:p>
    <w:p w14:paraId="49C27434" w14:textId="23A0F353" w:rsidR="00B819B7" w:rsidRPr="005269E6" w:rsidRDefault="00B819B7" w:rsidP="00B819B7">
      <w:pPr>
        <w:pStyle w:val="enumlev1"/>
        <w:rPr>
          <w:rtl/>
        </w:rPr>
      </w:pPr>
      <w:r w:rsidRPr="005269E6">
        <w:rPr>
          <w:rtl/>
          <w:lang w:bidi="ar-SA"/>
        </w:rPr>
        <w:tab/>
        <w:t>ويتعين على الأمانة العامة، مثلها مثل القطاعات والدوائر الأخرى، استيعاب معدل الشغور البالغ 5% من خلال تأخير تعيين الوظائف الشاغرة.</w:t>
      </w:r>
    </w:p>
    <w:p w14:paraId="46D9930B" w14:textId="4FCA48EB" w:rsidR="00B819B7" w:rsidRPr="005269E6" w:rsidRDefault="00671803" w:rsidP="00C95226">
      <w:pPr>
        <w:rPr>
          <w:rtl/>
        </w:rPr>
      </w:pPr>
      <w:bookmarkStart w:id="661" w:name="_Toc329296052"/>
      <w:bookmarkStart w:id="662" w:name="_Toc452156664"/>
      <w:bookmarkStart w:id="663" w:name="_Toc419484107"/>
      <w:bookmarkStart w:id="664" w:name="_Toc387338374"/>
      <w:bookmarkStart w:id="665" w:name="_Toc387263399"/>
      <w:bookmarkStart w:id="666" w:name="_Toc358648579"/>
      <w:bookmarkStart w:id="667" w:name="_Toc358648380"/>
      <w:bookmarkStart w:id="668" w:name="_Toc482792233"/>
      <w:bookmarkStart w:id="669" w:name="_Toc482793738"/>
      <w:bookmarkStart w:id="670" w:name="_Toc511402254"/>
      <w:bookmarkStart w:id="671" w:name="_Toc511756690"/>
      <w:bookmarkStart w:id="672" w:name="_Toc9614806"/>
      <w:bookmarkStart w:id="673" w:name="_Toc42013561"/>
      <w:bookmarkStart w:id="674" w:name="_Toc42014564"/>
      <w:bookmarkStart w:id="675" w:name="_Toc74061605"/>
      <w:r w:rsidRPr="005269E6">
        <w:rPr>
          <w:rtl/>
        </w:rPr>
        <w:t>وبلغت نفقات الميزانية 163,6 مليون فرنك سويسري لعام 2022، بلغت النفقات الفعلية منها 162 مليون فرنك سويسري. و</w:t>
      </w:r>
      <w:r w:rsidRPr="005269E6">
        <w:rPr>
          <w:rFonts w:hint="cs"/>
          <w:rtl/>
        </w:rPr>
        <w:t xml:space="preserve">لكن </w:t>
      </w:r>
      <w:r w:rsidRPr="005269E6">
        <w:rPr>
          <w:rtl/>
        </w:rPr>
        <w:t>نظرا</w:t>
      </w:r>
      <w:r w:rsidR="00C95226" w:rsidRPr="005269E6">
        <w:rPr>
          <w:rFonts w:hint="cs"/>
          <w:rtl/>
        </w:rPr>
        <w:t>ً</w:t>
      </w:r>
      <w:r w:rsidRPr="005269E6">
        <w:rPr>
          <w:rtl/>
        </w:rPr>
        <w:t xml:space="preserve"> </w:t>
      </w:r>
      <w:r w:rsidRPr="005269E6">
        <w:rPr>
          <w:rFonts w:hint="cs"/>
          <w:rtl/>
        </w:rPr>
        <w:t>للنقص</w:t>
      </w:r>
      <w:r w:rsidRPr="005269E6">
        <w:rPr>
          <w:rtl/>
        </w:rPr>
        <w:t xml:space="preserve"> في الإيرادات، كان هناك عجز قدره 4,8 مليون فرنك سويسري. </w:t>
      </w:r>
      <w:r w:rsidRPr="005269E6">
        <w:rPr>
          <w:rFonts w:hint="cs"/>
          <w:rtl/>
        </w:rPr>
        <w:t>وقد مُوِّل</w:t>
      </w:r>
      <w:r w:rsidRPr="005269E6">
        <w:rPr>
          <w:rtl/>
        </w:rPr>
        <w:t xml:space="preserve"> من خلال وفورات صندوق السنوات السابقة (1,8 مليون فرنك سويسري) وحساب الاحتياطي </w:t>
      </w:r>
      <w:r w:rsidRPr="005269E6">
        <w:rPr>
          <w:rFonts w:hint="cs"/>
          <w:rtl/>
        </w:rPr>
        <w:t>(</w:t>
      </w:r>
      <w:r w:rsidRPr="005269E6">
        <w:rPr>
          <w:rtl/>
        </w:rPr>
        <w:t xml:space="preserve">3,0 مليون فرنك سويسري). وهذا الوضع يبعث على القلق لأن الاتحاد ينفق أكثر </w:t>
      </w:r>
      <w:r w:rsidRPr="005269E6">
        <w:rPr>
          <w:rFonts w:hint="cs"/>
          <w:rtl/>
        </w:rPr>
        <w:t>من</w:t>
      </w:r>
      <w:r w:rsidRPr="005269E6">
        <w:rPr>
          <w:rtl/>
        </w:rPr>
        <w:t xml:space="preserve"> </w:t>
      </w:r>
      <w:r w:rsidRPr="005269E6">
        <w:rPr>
          <w:rFonts w:hint="cs"/>
          <w:rtl/>
        </w:rPr>
        <w:t>ال</w:t>
      </w:r>
      <w:r w:rsidRPr="005269E6">
        <w:rPr>
          <w:rtl/>
        </w:rPr>
        <w:t>متاح</w:t>
      </w:r>
      <w:r w:rsidRPr="005269E6">
        <w:rPr>
          <w:rFonts w:hint="cs"/>
          <w:rtl/>
        </w:rPr>
        <w:t xml:space="preserve"> له</w:t>
      </w:r>
      <w:r w:rsidRPr="005269E6">
        <w:rPr>
          <w:rtl/>
        </w:rPr>
        <w:t xml:space="preserve"> ويستعمل حسابات الاحتياطي لموازنة الميزانية. وقد اتخذت تدابير للتخفيف من </w:t>
      </w:r>
      <w:r w:rsidRPr="005269E6">
        <w:rPr>
          <w:rFonts w:hint="cs"/>
          <w:rtl/>
        </w:rPr>
        <w:t>العجز</w:t>
      </w:r>
      <w:r w:rsidRPr="005269E6">
        <w:rPr>
          <w:rtl/>
        </w:rPr>
        <w:t xml:space="preserve"> لضمان تحقيق التوازن في ميزانية أمانة الاتحاد في المستقبل.</w:t>
      </w:r>
    </w:p>
    <w:p w14:paraId="63F56730" w14:textId="3EE6D2B8" w:rsidR="00C543C6" w:rsidRPr="005269E6" w:rsidRDefault="00C543C6" w:rsidP="00696AA6">
      <w:pPr>
        <w:pStyle w:val="Heading5"/>
        <w:rPr>
          <w:rtl/>
          <w:lang w:bidi="ar-SY"/>
        </w:rPr>
      </w:pPr>
      <w:bookmarkStart w:id="676" w:name="_Toc162520644"/>
      <w:r w:rsidRPr="005269E6">
        <w:rPr>
          <w:rtl/>
          <w:lang w:bidi="ar-SY"/>
        </w:rPr>
        <w:t xml:space="preserve">الملاحظة </w:t>
      </w:r>
      <w:r w:rsidRPr="005269E6">
        <w:t>2</w:t>
      </w:r>
      <w:r w:rsidR="0016333C" w:rsidRPr="005269E6">
        <w:t>6</w:t>
      </w:r>
      <w:r w:rsidRPr="005269E6">
        <w:rPr>
          <w:rtl/>
          <w:lang w:bidi="ar-SY"/>
        </w:rPr>
        <w:tab/>
        <w:t xml:space="preserve">الكشوف المتعلقة بالأطراف </w:t>
      </w:r>
      <w:bookmarkEnd w:id="661"/>
      <w:r w:rsidRPr="005269E6">
        <w:rPr>
          <w:rtl/>
        </w:rPr>
        <w:t>المتكافلة</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8847CB8" w14:textId="77777777" w:rsidR="00C543C6" w:rsidRPr="005269E6" w:rsidRDefault="00C543C6" w:rsidP="00C543C6">
      <w:pPr>
        <w:rPr>
          <w:rtl/>
          <w:lang w:bidi="ar-EG"/>
        </w:rPr>
      </w:pPr>
      <w:bookmarkStart w:id="677" w:name="_Toc328494946"/>
      <w:bookmarkStart w:id="678" w:name="_Toc306236993"/>
      <w:r w:rsidRPr="005269E6">
        <w:rPr>
          <w:rtl/>
          <w:lang w:bidi="ar-EG"/>
        </w:rPr>
        <w:t>يعتبر الكيان التالي بمثابة كيان متكافل:</w:t>
      </w:r>
      <w:bookmarkEnd w:id="677"/>
      <w:bookmarkEnd w:id="678"/>
    </w:p>
    <w:p w14:paraId="6DB18857" w14:textId="77777777" w:rsidR="00C543C6" w:rsidRPr="005269E6" w:rsidRDefault="00C543C6" w:rsidP="002C7F47">
      <w:pPr>
        <w:pStyle w:val="enumlev1"/>
        <w:rPr>
          <w:rtl/>
        </w:rPr>
      </w:pPr>
      <w:bookmarkStart w:id="679" w:name="_Toc520365555"/>
      <w:r w:rsidRPr="005269E6">
        <w:rPr>
          <w:rtl/>
        </w:rPr>
        <w:t>-</w:t>
      </w:r>
      <w:r w:rsidRPr="005269E6">
        <w:rPr>
          <w:rtl/>
        </w:rPr>
        <w:tab/>
        <w:t xml:space="preserve">الصندوق المشتَرك للمعاشات التقاعدية لموظفي الأمم المتحدة </w:t>
      </w:r>
      <w:r w:rsidRPr="005269E6">
        <w:rPr>
          <w:lang w:val="fr-CH"/>
        </w:rPr>
        <w:t>(UNJSPF)</w:t>
      </w:r>
      <w:r w:rsidRPr="005269E6">
        <w:rPr>
          <w:rtl/>
        </w:rPr>
        <w:t>.</w:t>
      </w:r>
      <w:bookmarkEnd w:id="679"/>
    </w:p>
    <w:p w14:paraId="4EC86837" w14:textId="77777777" w:rsidR="00C543C6" w:rsidRPr="005269E6" w:rsidRDefault="00C543C6" w:rsidP="00C543C6">
      <w:pPr>
        <w:rPr>
          <w:lang w:bidi="ar-EG"/>
        </w:rPr>
      </w:pPr>
      <w:r w:rsidRPr="005269E6">
        <w:rPr>
          <w:rtl/>
          <w:lang w:bidi="ar-SY"/>
        </w:rPr>
        <w:t xml:space="preserve">يتألف مجلس إدارة الاتحاد من </w:t>
      </w:r>
      <w:r w:rsidRPr="005269E6">
        <w:rPr>
          <w:lang w:bidi="ar-EG"/>
        </w:rPr>
        <w:t>48</w:t>
      </w:r>
      <w:r w:rsidRPr="005269E6">
        <w:rPr>
          <w:rtl/>
          <w:lang w:bidi="ar-SY"/>
        </w:rPr>
        <w:t xml:space="preserve"> دولة عضواً، دون تسمية أشخاص بعينهم.</w:t>
      </w:r>
    </w:p>
    <w:p w14:paraId="7952F47F" w14:textId="6D402B6D" w:rsidR="00C543C6" w:rsidRPr="005269E6" w:rsidRDefault="00432E2B" w:rsidP="00C543C6">
      <w:pPr>
        <w:rPr>
          <w:spacing w:val="4"/>
          <w:rtl/>
          <w:lang w:bidi="ar-EG"/>
        </w:rPr>
      </w:pPr>
      <w:r w:rsidRPr="005269E6">
        <w:rPr>
          <w:rFonts w:hint="cs"/>
          <w:spacing w:val="4"/>
          <w:rtl/>
          <w:lang w:bidi="ar-SY"/>
        </w:rPr>
        <w:t>وت</w:t>
      </w:r>
      <w:r w:rsidR="00C543C6" w:rsidRPr="005269E6">
        <w:rPr>
          <w:spacing w:val="4"/>
          <w:rtl/>
          <w:lang w:bidi="ar-SY"/>
        </w:rPr>
        <w:t xml:space="preserve">دير الاتحاد </w:t>
      </w:r>
      <w:r w:rsidR="00515AA9" w:rsidRPr="005269E6">
        <w:rPr>
          <w:spacing w:val="4"/>
          <w:rtl/>
          <w:lang w:bidi="ar-SY"/>
        </w:rPr>
        <w:t>الأمينة العامة</w:t>
      </w:r>
      <w:r w:rsidR="00C543C6" w:rsidRPr="005269E6">
        <w:rPr>
          <w:rFonts w:hint="cs"/>
          <w:spacing w:val="4"/>
          <w:rtl/>
          <w:lang w:bidi="ar-SY"/>
        </w:rPr>
        <w:t xml:space="preserve"> كرئيس تنفيذي</w:t>
      </w:r>
      <w:r w:rsidR="00C543C6" w:rsidRPr="005269E6">
        <w:rPr>
          <w:spacing w:val="4"/>
          <w:rtl/>
          <w:lang w:bidi="ar-SY"/>
        </w:rPr>
        <w:t>، يساعده</w:t>
      </w:r>
      <w:r w:rsidRPr="005269E6">
        <w:rPr>
          <w:rFonts w:hint="cs"/>
          <w:spacing w:val="4"/>
          <w:rtl/>
          <w:lang w:bidi="ar-SY"/>
        </w:rPr>
        <w:t>ا</w:t>
      </w:r>
      <w:r w:rsidR="00C543C6" w:rsidRPr="005269E6">
        <w:rPr>
          <w:spacing w:val="4"/>
          <w:rtl/>
          <w:lang w:bidi="ar-SY"/>
        </w:rPr>
        <w:t xml:space="preserve"> في ذلك نائب </w:t>
      </w:r>
      <w:r w:rsidR="00515AA9" w:rsidRPr="005269E6">
        <w:rPr>
          <w:spacing w:val="4"/>
          <w:rtl/>
          <w:lang w:bidi="ar-SY"/>
        </w:rPr>
        <w:t>الأمينة العامة</w:t>
      </w:r>
      <w:r w:rsidR="00C543C6" w:rsidRPr="005269E6">
        <w:rPr>
          <w:spacing w:val="4"/>
          <w:rtl/>
          <w:lang w:bidi="ar-SY"/>
        </w:rPr>
        <w:t xml:space="preserve"> </w:t>
      </w:r>
      <w:r w:rsidR="00C543C6" w:rsidRPr="005269E6">
        <w:rPr>
          <w:rFonts w:hint="cs"/>
          <w:spacing w:val="4"/>
          <w:rtl/>
          <w:lang w:bidi="ar-SY"/>
        </w:rPr>
        <w:t xml:space="preserve">ومديرو مكاتب الاتحاد الثلاثة </w:t>
      </w:r>
      <w:r w:rsidR="00C543C6" w:rsidRPr="005269E6">
        <w:rPr>
          <w:spacing w:val="4"/>
          <w:rtl/>
          <w:lang w:bidi="ar-SY"/>
        </w:rPr>
        <w:t xml:space="preserve">(موظفو الإدارة العليا الذين لهم </w:t>
      </w:r>
      <w:r w:rsidR="00C543C6" w:rsidRPr="005269E6">
        <w:rPr>
          <w:spacing w:val="4"/>
          <w:rtl/>
          <w:lang w:bidi="ar-EG"/>
        </w:rPr>
        <w:t>مقاعد في </w:t>
      </w:r>
      <w:r w:rsidR="00C543C6" w:rsidRPr="005269E6">
        <w:rPr>
          <w:rFonts w:hint="cs"/>
          <w:spacing w:val="4"/>
          <w:rtl/>
          <w:lang w:bidi="ar-EG"/>
        </w:rPr>
        <w:t>لجنة التنسيق</w:t>
      </w:r>
      <w:r w:rsidR="00C543C6" w:rsidRPr="005269E6">
        <w:rPr>
          <w:spacing w:val="4"/>
          <w:rtl/>
          <w:lang w:bidi="ar-EG"/>
        </w:rPr>
        <w:t>):</w:t>
      </w:r>
      <w:r w:rsidR="00C543C6" w:rsidRPr="005269E6">
        <w:rPr>
          <w:spacing w:val="4"/>
          <w:rtl/>
          <w:lang w:bidi="ar-SY"/>
        </w:rPr>
        <w:t xml:space="preserve"> قطاع الاتصالات الراديوية </w:t>
      </w:r>
      <w:r w:rsidR="00C543C6" w:rsidRPr="005269E6">
        <w:rPr>
          <w:spacing w:val="4"/>
          <w:lang w:bidi="ar-EG"/>
        </w:rPr>
        <w:t>(ITU</w:t>
      </w:r>
      <w:r w:rsidR="00C543C6" w:rsidRPr="005269E6">
        <w:rPr>
          <w:spacing w:val="4"/>
          <w:lang w:bidi="ar-EG"/>
        </w:rPr>
        <w:noBreakHyphen/>
        <w:t>R)</w:t>
      </w:r>
      <w:r w:rsidR="00C543C6" w:rsidRPr="005269E6">
        <w:rPr>
          <w:spacing w:val="4"/>
          <w:rtl/>
          <w:lang w:bidi="ar-SY"/>
        </w:rPr>
        <w:t xml:space="preserve"> وقطاع تقييس الاتصالات </w:t>
      </w:r>
      <w:r w:rsidR="00C543C6" w:rsidRPr="005269E6">
        <w:rPr>
          <w:spacing w:val="4"/>
          <w:lang w:bidi="ar-EG"/>
        </w:rPr>
        <w:t>(ITU</w:t>
      </w:r>
      <w:r w:rsidR="00C543C6" w:rsidRPr="005269E6">
        <w:rPr>
          <w:spacing w:val="4"/>
          <w:lang w:bidi="ar-EG"/>
        </w:rPr>
        <w:noBreakHyphen/>
        <w:t>T)</w:t>
      </w:r>
      <w:r w:rsidR="00C543C6" w:rsidRPr="005269E6">
        <w:rPr>
          <w:spacing w:val="4"/>
          <w:rtl/>
          <w:lang w:bidi="ar-SY"/>
        </w:rPr>
        <w:t xml:space="preserve"> وقطاع تنمية الاتصالات </w:t>
      </w:r>
      <w:r w:rsidR="00C543C6" w:rsidRPr="005269E6">
        <w:rPr>
          <w:spacing w:val="4"/>
          <w:lang w:bidi="ar-EG"/>
        </w:rPr>
        <w:t>(ITU</w:t>
      </w:r>
      <w:r w:rsidR="00C543C6" w:rsidRPr="005269E6">
        <w:rPr>
          <w:spacing w:val="4"/>
          <w:lang w:bidi="ar-EG"/>
        </w:rPr>
        <w:noBreakHyphen/>
        <w:t>D)</w:t>
      </w:r>
      <w:r w:rsidR="00C543C6" w:rsidRPr="005269E6">
        <w:rPr>
          <w:spacing w:val="4"/>
          <w:rtl/>
          <w:lang w:bidi="ar-SY"/>
        </w:rPr>
        <w:t>.</w:t>
      </w:r>
    </w:p>
    <w:p w14:paraId="7E7AA943" w14:textId="77777777" w:rsidR="00C543C6" w:rsidRPr="005269E6" w:rsidRDefault="00C543C6" w:rsidP="00C543C6">
      <w:pPr>
        <w:rPr>
          <w:rtl/>
          <w:lang w:bidi="ar-EG"/>
        </w:rPr>
      </w:pPr>
      <w:r w:rsidRPr="005269E6">
        <w:rPr>
          <w:rtl/>
          <w:lang w:bidi="ar-SY"/>
        </w:rPr>
        <w:t xml:space="preserve">وتشمل التعويضات الإجمالية التي تدفع لموظفي الإدارة </w:t>
      </w:r>
      <w:r w:rsidRPr="005269E6">
        <w:rPr>
          <w:rFonts w:hint="cs"/>
          <w:rtl/>
          <w:lang w:bidi="ar-SY"/>
        </w:rPr>
        <w:t>الرئيسيين</w:t>
      </w:r>
      <w:r w:rsidRPr="005269E6">
        <w:rPr>
          <w:rtl/>
          <w:lang w:bidi="ar-SY"/>
        </w:rPr>
        <w:t xml:space="preserve"> صافي المرتب وعلاوة تسوية المقر وبدلات من قبيل بدل التمثيل وبدل الانتداب وبدل الإعادة إلى الوطن والإجازات المتراكمة وبدل السكن وشحن الأمتعة الشخصية.</w:t>
      </w:r>
    </w:p>
    <w:p w14:paraId="42BC7CBB" w14:textId="08A0693A" w:rsidR="00C543C6" w:rsidRPr="005269E6" w:rsidRDefault="00C543C6" w:rsidP="00C543C6">
      <w:pPr>
        <w:keepNext/>
        <w:keepLines/>
        <w:rPr>
          <w:rtl/>
          <w:lang w:bidi="ar-SY"/>
        </w:rPr>
      </w:pPr>
      <w:r w:rsidRPr="005269E6">
        <w:rPr>
          <w:rtl/>
          <w:lang w:bidi="ar-SY"/>
        </w:rPr>
        <w:t xml:space="preserve">ويتمتع كذلك موظفو الإدارة </w:t>
      </w:r>
      <w:r w:rsidRPr="005269E6">
        <w:rPr>
          <w:rFonts w:hint="cs"/>
          <w:rtl/>
          <w:lang w:bidi="ar-SY"/>
        </w:rPr>
        <w:t>الرئيسيون</w:t>
      </w:r>
      <w:r w:rsidRPr="005269E6">
        <w:rPr>
          <w:rtl/>
          <w:lang w:bidi="ar-SY"/>
        </w:rPr>
        <w:t xml:space="preserve"> بنفس </w:t>
      </w:r>
      <w:r w:rsidR="006B32D8" w:rsidRPr="005269E6">
        <w:rPr>
          <w:rtl/>
          <w:lang w:bidi="ar-SY"/>
        </w:rPr>
        <w:t>استحقاقات</w:t>
      </w:r>
      <w:r w:rsidRPr="005269E6">
        <w:rPr>
          <w:rtl/>
          <w:lang w:bidi="ar-SY"/>
        </w:rPr>
        <w:t xml:space="preserve"> موظفي الفئة الفنية، وهي:</w:t>
      </w:r>
    </w:p>
    <w:p w14:paraId="5409E27B" w14:textId="77777777" w:rsidR="00C543C6" w:rsidRPr="005269E6" w:rsidRDefault="00C543C6" w:rsidP="00C543C6">
      <w:pPr>
        <w:pStyle w:val="enumlev1"/>
        <w:rPr>
          <w:rtl/>
        </w:rPr>
      </w:pPr>
      <w:bookmarkStart w:id="680" w:name="_Toc520365556"/>
      <w:r w:rsidRPr="005269E6">
        <w:rPr>
          <w:rtl/>
        </w:rPr>
        <w:t>-</w:t>
      </w:r>
      <w:r w:rsidRPr="005269E6">
        <w:rPr>
          <w:rtl/>
        </w:rPr>
        <w:tab/>
        <w:t>الإجازة في الوطن؛</w:t>
      </w:r>
      <w:bookmarkEnd w:id="680"/>
    </w:p>
    <w:p w14:paraId="1A426CA4" w14:textId="77777777" w:rsidR="00C543C6" w:rsidRPr="005269E6" w:rsidRDefault="00C543C6" w:rsidP="00C543C6">
      <w:pPr>
        <w:pStyle w:val="enumlev1"/>
        <w:rPr>
          <w:rtl/>
        </w:rPr>
      </w:pPr>
      <w:bookmarkStart w:id="681" w:name="_Toc520365557"/>
      <w:r w:rsidRPr="005269E6">
        <w:rPr>
          <w:rtl/>
        </w:rPr>
        <w:t>-</w:t>
      </w:r>
      <w:r w:rsidRPr="005269E6">
        <w:rPr>
          <w:rtl/>
        </w:rPr>
        <w:tab/>
        <w:t>منحة تعليم الأطفال؛</w:t>
      </w:r>
      <w:bookmarkEnd w:id="681"/>
    </w:p>
    <w:p w14:paraId="014E8EE6" w14:textId="77777777" w:rsidR="00C543C6" w:rsidRPr="005269E6" w:rsidRDefault="00C543C6" w:rsidP="00C543C6">
      <w:pPr>
        <w:pStyle w:val="enumlev1"/>
        <w:rPr>
          <w:rtl/>
        </w:rPr>
      </w:pPr>
      <w:bookmarkStart w:id="682" w:name="_Toc520365558"/>
      <w:r w:rsidRPr="005269E6">
        <w:rPr>
          <w:rtl/>
        </w:rPr>
        <w:t>-</w:t>
      </w:r>
      <w:r w:rsidRPr="005269E6">
        <w:rPr>
          <w:rtl/>
        </w:rPr>
        <w:tab/>
        <w:t>تعويضات ما بعد انتهاء الخدمة.</w:t>
      </w:r>
      <w:bookmarkEnd w:id="682"/>
    </w:p>
    <w:p w14:paraId="3DCCAD53" w14:textId="6B41BAC3" w:rsidR="00C543C6" w:rsidRPr="005269E6" w:rsidRDefault="00CE64F2" w:rsidP="00C543C6">
      <w:pPr>
        <w:rPr>
          <w:rtl/>
          <w:lang w:bidi="ar-SY"/>
        </w:rPr>
      </w:pPr>
      <w:r w:rsidRPr="005269E6">
        <w:rPr>
          <w:rFonts w:hint="cs"/>
          <w:rtl/>
          <w:lang w:bidi="ar-SY"/>
        </w:rPr>
        <w:t>وترد</w:t>
      </w:r>
      <w:r w:rsidRPr="005269E6">
        <w:rPr>
          <w:rtl/>
          <w:lang w:bidi="ar-SY"/>
        </w:rPr>
        <w:t xml:space="preserve"> في الجدول أدناه جميع المدفوعات </w:t>
      </w:r>
      <w:r w:rsidRPr="005269E6">
        <w:rPr>
          <w:rFonts w:hint="cs"/>
          <w:rtl/>
          <w:lang w:bidi="ar-SY"/>
        </w:rPr>
        <w:t>المسدَدة</w:t>
      </w:r>
      <w:r w:rsidRPr="005269E6">
        <w:rPr>
          <w:rtl/>
          <w:lang w:bidi="ar-SY"/>
        </w:rPr>
        <w:t xml:space="preserve"> في عام 2022 إلى/من موظفي الإدارة الرئيسيين.</w:t>
      </w:r>
    </w:p>
    <w:p w14:paraId="70222397" w14:textId="77777777" w:rsidR="00C543C6" w:rsidRPr="005269E6" w:rsidRDefault="00C543C6" w:rsidP="00C543C6">
      <w:pPr>
        <w:spacing w:after="120"/>
        <w:rPr>
          <w:rtl/>
          <w:lang w:bidi="ar-SY"/>
        </w:rPr>
      </w:pPr>
      <w:r w:rsidRPr="005269E6">
        <w:rPr>
          <w:rtl/>
          <w:lang w:bidi="ar-SY"/>
        </w:rPr>
        <w:t xml:space="preserve">وموظفو الإدارة </w:t>
      </w:r>
      <w:r w:rsidRPr="005269E6">
        <w:rPr>
          <w:rFonts w:hint="cs"/>
          <w:rtl/>
          <w:lang w:bidi="ar-SY"/>
        </w:rPr>
        <w:t>الرئيسيون</w:t>
      </w:r>
      <w:r w:rsidRPr="005269E6">
        <w:rPr>
          <w:rtl/>
          <w:lang w:bidi="ar-SY"/>
        </w:rPr>
        <w:t xml:space="preserve"> مشاركون عاديون في الصندوق المشترك للمعاشات التقاعدية لموظفي الأمم المتحدة.</w:t>
      </w:r>
    </w:p>
    <w:tbl>
      <w:tblPr>
        <w:bidiVisual/>
        <w:tblW w:w="8900" w:type="dxa"/>
        <w:jc w:val="center"/>
        <w:tblLook w:val="04A0" w:firstRow="1" w:lastRow="0" w:firstColumn="1" w:lastColumn="0" w:noHBand="0" w:noVBand="1"/>
      </w:tblPr>
      <w:tblGrid>
        <w:gridCol w:w="3520"/>
        <w:gridCol w:w="1440"/>
        <w:gridCol w:w="1420"/>
        <w:gridCol w:w="1180"/>
        <w:gridCol w:w="1340"/>
      </w:tblGrid>
      <w:tr w:rsidR="00B63D98" w:rsidRPr="005269E6" w14:paraId="2F20E2A3" w14:textId="77777777" w:rsidTr="00B63D98">
        <w:trPr>
          <w:trHeight w:val="300"/>
          <w:jc w:val="center"/>
        </w:trPr>
        <w:tc>
          <w:tcPr>
            <w:tcW w:w="3520" w:type="dxa"/>
            <w:tcBorders>
              <w:top w:val="nil"/>
              <w:left w:val="nil"/>
              <w:bottom w:val="nil"/>
              <w:right w:val="nil"/>
            </w:tcBorders>
            <w:shd w:val="clear" w:color="000000" w:fill="538DD5"/>
            <w:vAlign w:val="center"/>
            <w:hideMark/>
          </w:tcPr>
          <w:p w14:paraId="247F3780" w14:textId="77777777" w:rsidR="00B63D98" w:rsidRPr="005269E6" w:rsidRDefault="00B63D98" w:rsidP="00564530">
            <w:pPr>
              <w:tabs>
                <w:tab w:val="clear" w:pos="794"/>
              </w:tabs>
              <w:spacing w:before="40" w:after="40" w:line="240" w:lineRule="exact"/>
              <w:jc w:val="left"/>
              <w:rPr>
                <w:rFonts w:eastAsia="Times New Roman"/>
                <w:b/>
                <w:bCs/>
                <w:color w:val="000000"/>
                <w:sz w:val="18"/>
                <w:szCs w:val="18"/>
                <w:lang w:val="en-GB" w:eastAsia="en-GB"/>
              </w:rPr>
            </w:pPr>
            <w:bookmarkStart w:id="683" w:name="RANGE!B4:F7"/>
            <w:r w:rsidRPr="005269E6">
              <w:rPr>
                <w:rFonts w:eastAsia="Times New Roman"/>
                <w:b/>
                <w:bCs/>
                <w:color w:val="000000"/>
                <w:sz w:val="18"/>
                <w:szCs w:val="18"/>
                <w:lang w:val="en-GB" w:eastAsia="en-GB"/>
              </w:rPr>
              <w:t> </w:t>
            </w:r>
            <w:bookmarkEnd w:id="683"/>
          </w:p>
        </w:tc>
        <w:tc>
          <w:tcPr>
            <w:tcW w:w="2860" w:type="dxa"/>
            <w:gridSpan w:val="2"/>
            <w:tcBorders>
              <w:top w:val="nil"/>
              <w:left w:val="nil"/>
              <w:bottom w:val="nil"/>
              <w:right w:val="nil"/>
            </w:tcBorders>
            <w:shd w:val="clear" w:color="000000" w:fill="538DD5"/>
            <w:vAlign w:val="center"/>
            <w:hideMark/>
          </w:tcPr>
          <w:p w14:paraId="3F80E2D2" w14:textId="299D1B55" w:rsidR="00B63D98" w:rsidRPr="005269E6" w:rsidRDefault="00CE64F2" w:rsidP="00564530">
            <w:pPr>
              <w:spacing w:before="40" w:after="40"/>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31</w:t>
            </w:r>
            <w:r w:rsidRPr="005269E6">
              <w:rPr>
                <w:rFonts w:eastAsia="Times New Roman"/>
                <w:b/>
                <w:bCs/>
                <w:color w:val="000000"/>
                <w:sz w:val="18"/>
                <w:szCs w:val="18"/>
                <w:rtl/>
                <w:lang w:val="en-GB" w:eastAsia="en-GB"/>
              </w:rPr>
              <w:t xml:space="preserve"> ديسمبر 2022</w:t>
            </w:r>
          </w:p>
        </w:tc>
        <w:tc>
          <w:tcPr>
            <w:tcW w:w="2520" w:type="dxa"/>
            <w:gridSpan w:val="2"/>
            <w:tcBorders>
              <w:top w:val="nil"/>
              <w:left w:val="nil"/>
              <w:bottom w:val="nil"/>
              <w:right w:val="nil"/>
            </w:tcBorders>
            <w:shd w:val="clear" w:color="000000" w:fill="538DD5"/>
            <w:vAlign w:val="center"/>
            <w:hideMark/>
          </w:tcPr>
          <w:p w14:paraId="4E8A6A67" w14:textId="43D2F672" w:rsidR="00B63D98" w:rsidRPr="005269E6" w:rsidRDefault="00CE64F2" w:rsidP="00564530">
            <w:pPr>
              <w:tabs>
                <w:tab w:val="clear" w:pos="794"/>
              </w:tabs>
              <w:spacing w:before="40" w:after="40" w:line="240" w:lineRule="exact"/>
              <w:jc w:val="center"/>
              <w:rPr>
                <w:rFonts w:eastAsia="Times New Roman"/>
                <w:b/>
                <w:bCs/>
                <w:color w:val="000000"/>
                <w:sz w:val="18"/>
                <w:szCs w:val="18"/>
                <w:rtl/>
                <w:lang w:eastAsia="en-GB" w:bidi="ar-SY"/>
              </w:rPr>
            </w:pPr>
            <w:r w:rsidRPr="005269E6">
              <w:rPr>
                <w:rFonts w:eastAsia="Times New Roman"/>
                <w:b/>
                <w:bCs/>
                <w:color w:val="000000"/>
                <w:sz w:val="18"/>
                <w:szCs w:val="18"/>
                <w:lang w:val="en" w:eastAsia="en-GB"/>
              </w:rPr>
              <w:t>31</w:t>
            </w:r>
            <w:r w:rsidR="002C7F47" w:rsidRPr="005269E6">
              <w:rPr>
                <w:rFonts w:eastAsia="Times New Roman" w:hint="cs"/>
                <w:b/>
                <w:bCs/>
                <w:color w:val="000000"/>
                <w:sz w:val="18"/>
                <w:szCs w:val="18"/>
                <w:rtl/>
                <w:lang w:val="en" w:eastAsia="en-GB"/>
              </w:rPr>
              <w:t xml:space="preserve"> </w:t>
            </w:r>
            <w:r w:rsidRPr="005269E6">
              <w:rPr>
                <w:rFonts w:eastAsia="Times New Roman"/>
                <w:b/>
                <w:bCs/>
                <w:color w:val="000000"/>
                <w:sz w:val="18"/>
                <w:szCs w:val="18"/>
                <w:rtl/>
                <w:lang w:val="en-GB" w:eastAsia="en-GB" w:bidi="ar"/>
              </w:rPr>
              <w:t>ديسمبر</w:t>
            </w:r>
            <w:r w:rsidR="002C7F47" w:rsidRPr="005269E6">
              <w:rPr>
                <w:rFonts w:eastAsia="Times New Roman" w:hint="cs"/>
                <w:b/>
                <w:bCs/>
                <w:color w:val="000000"/>
                <w:sz w:val="18"/>
                <w:szCs w:val="18"/>
                <w:rtl/>
                <w:lang w:val="en-GB" w:eastAsia="en-GB" w:bidi="ar"/>
              </w:rPr>
              <w:t xml:space="preserve"> </w:t>
            </w:r>
            <w:r w:rsidR="002C7F47" w:rsidRPr="005269E6">
              <w:rPr>
                <w:rFonts w:eastAsia="Times New Roman"/>
                <w:b/>
                <w:bCs/>
                <w:color w:val="000000"/>
                <w:sz w:val="18"/>
                <w:szCs w:val="18"/>
                <w:lang w:eastAsia="en-GB" w:bidi="ar"/>
              </w:rPr>
              <w:t>2021</w:t>
            </w:r>
          </w:p>
        </w:tc>
      </w:tr>
      <w:tr w:rsidR="002C7F47" w:rsidRPr="005269E6" w14:paraId="1DC0B1E2" w14:textId="77777777" w:rsidTr="002C7F47">
        <w:trPr>
          <w:trHeight w:val="549"/>
          <w:jc w:val="center"/>
        </w:trPr>
        <w:tc>
          <w:tcPr>
            <w:tcW w:w="3520" w:type="dxa"/>
            <w:tcBorders>
              <w:top w:val="nil"/>
              <w:left w:val="nil"/>
              <w:bottom w:val="nil"/>
              <w:right w:val="nil"/>
            </w:tcBorders>
            <w:shd w:val="clear" w:color="000000" w:fill="538DD5"/>
            <w:vAlign w:val="center"/>
            <w:hideMark/>
          </w:tcPr>
          <w:p w14:paraId="1BA34C4D" w14:textId="54C946A0" w:rsidR="002C7F47" w:rsidRPr="005269E6" w:rsidRDefault="002C7F47" w:rsidP="00564530">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بآلاف الفرنكات السويسرية</w:t>
            </w:r>
          </w:p>
        </w:tc>
        <w:tc>
          <w:tcPr>
            <w:tcW w:w="1440" w:type="dxa"/>
            <w:tcBorders>
              <w:top w:val="nil"/>
              <w:left w:val="nil"/>
              <w:bottom w:val="nil"/>
              <w:right w:val="nil"/>
            </w:tcBorders>
            <w:shd w:val="clear" w:color="000000" w:fill="538DD5"/>
            <w:vAlign w:val="center"/>
            <w:hideMark/>
          </w:tcPr>
          <w:p w14:paraId="62B2EB94" w14:textId="0C0AE8CB" w:rsidR="002C7F47" w:rsidRPr="005269E6" w:rsidRDefault="002C7F47" w:rsidP="00564530">
            <w:pPr>
              <w:spacing w:before="40" w:after="40"/>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عدد الأشخاص</w:t>
            </w:r>
          </w:p>
        </w:tc>
        <w:tc>
          <w:tcPr>
            <w:tcW w:w="1420" w:type="dxa"/>
            <w:tcBorders>
              <w:top w:val="nil"/>
              <w:left w:val="nil"/>
              <w:bottom w:val="nil"/>
              <w:right w:val="nil"/>
            </w:tcBorders>
            <w:shd w:val="clear" w:color="000000" w:fill="538DD5"/>
            <w:vAlign w:val="center"/>
            <w:hideMark/>
          </w:tcPr>
          <w:p w14:paraId="05048328" w14:textId="51CEF7F2" w:rsidR="002C7F47" w:rsidRPr="005269E6" w:rsidRDefault="002C7F47" w:rsidP="00564530">
            <w:pPr>
              <w:spacing w:before="40" w:after="40"/>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إجمالي الأجر</w:t>
            </w:r>
          </w:p>
        </w:tc>
        <w:tc>
          <w:tcPr>
            <w:tcW w:w="1180" w:type="dxa"/>
            <w:tcBorders>
              <w:top w:val="nil"/>
              <w:left w:val="nil"/>
              <w:right w:val="nil"/>
            </w:tcBorders>
            <w:shd w:val="clear" w:color="000000" w:fill="538DD5"/>
            <w:vAlign w:val="center"/>
            <w:hideMark/>
          </w:tcPr>
          <w:p w14:paraId="192848B6" w14:textId="1EA3FC37" w:rsidR="002C7F47" w:rsidRPr="005269E6" w:rsidRDefault="002C7F47" w:rsidP="00564530">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عدد الأشخاص</w:t>
            </w:r>
          </w:p>
        </w:tc>
        <w:tc>
          <w:tcPr>
            <w:tcW w:w="1340" w:type="dxa"/>
            <w:tcBorders>
              <w:top w:val="nil"/>
              <w:left w:val="nil"/>
              <w:bottom w:val="nil"/>
              <w:right w:val="nil"/>
            </w:tcBorders>
            <w:shd w:val="clear" w:color="000000" w:fill="538DD5"/>
            <w:vAlign w:val="center"/>
            <w:hideMark/>
          </w:tcPr>
          <w:p w14:paraId="397A23EB" w14:textId="19915A1D" w:rsidR="002C7F47" w:rsidRPr="005269E6" w:rsidRDefault="002C7F47" w:rsidP="00564530">
            <w:pPr>
              <w:spacing w:before="40" w:after="40"/>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إجمالي الأجر</w:t>
            </w:r>
          </w:p>
        </w:tc>
      </w:tr>
      <w:tr w:rsidR="00B63D98" w:rsidRPr="005269E6" w14:paraId="4C9620F0" w14:textId="77777777" w:rsidTr="002C7F47">
        <w:trPr>
          <w:trHeight w:val="415"/>
          <w:jc w:val="center"/>
        </w:trPr>
        <w:tc>
          <w:tcPr>
            <w:tcW w:w="3520" w:type="dxa"/>
            <w:tcBorders>
              <w:top w:val="nil"/>
              <w:left w:val="nil"/>
              <w:bottom w:val="nil"/>
              <w:right w:val="nil"/>
            </w:tcBorders>
            <w:shd w:val="clear" w:color="auto" w:fill="auto"/>
            <w:vAlign w:val="center"/>
            <w:hideMark/>
          </w:tcPr>
          <w:p w14:paraId="2949F8D4" w14:textId="45877300" w:rsidR="00B63D98" w:rsidRPr="005269E6" w:rsidRDefault="0063609D" w:rsidP="00564530">
            <w:pPr>
              <w:spacing w:before="40" w:after="40"/>
              <w:jc w:val="left"/>
              <w:rPr>
                <w:rFonts w:eastAsia="Times New Roman"/>
                <w:color w:val="000000"/>
                <w:sz w:val="18"/>
                <w:szCs w:val="18"/>
                <w:lang w:val="en-GB" w:eastAsia="en-GB"/>
              </w:rPr>
            </w:pPr>
            <w:r w:rsidRPr="005269E6">
              <w:rPr>
                <w:rFonts w:eastAsia="Times New Roman"/>
                <w:color w:val="000000"/>
                <w:sz w:val="18"/>
                <w:szCs w:val="18"/>
                <w:lang w:val="en-GB" w:eastAsia="en-GB"/>
              </w:rPr>
              <w:t>5</w:t>
            </w:r>
            <w:r w:rsidRPr="005269E6">
              <w:rPr>
                <w:rFonts w:eastAsia="Times New Roman"/>
                <w:color w:val="000000"/>
                <w:sz w:val="18"/>
                <w:szCs w:val="18"/>
                <w:rtl/>
                <w:lang w:val="en-GB" w:eastAsia="en-GB"/>
              </w:rPr>
              <w:t xml:space="preserve"> مسؤولين منتخبين</w:t>
            </w:r>
          </w:p>
        </w:tc>
        <w:tc>
          <w:tcPr>
            <w:tcW w:w="1440" w:type="dxa"/>
            <w:tcBorders>
              <w:top w:val="nil"/>
              <w:left w:val="nil"/>
              <w:bottom w:val="nil"/>
              <w:right w:val="nil"/>
            </w:tcBorders>
            <w:shd w:val="clear" w:color="auto" w:fill="auto"/>
            <w:vAlign w:val="center"/>
            <w:hideMark/>
          </w:tcPr>
          <w:p w14:paraId="15DB9E95" w14:textId="77777777" w:rsidR="00B63D98" w:rsidRPr="005269E6" w:rsidRDefault="00B63D98" w:rsidP="0056453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w:t>
            </w:r>
          </w:p>
        </w:tc>
        <w:tc>
          <w:tcPr>
            <w:tcW w:w="1420" w:type="dxa"/>
            <w:tcBorders>
              <w:top w:val="nil"/>
              <w:left w:val="nil"/>
              <w:bottom w:val="nil"/>
              <w:right w:val="nil"/>
            </w:tcBorders>
            <w:shd w:val="clear" w:color="auto" w:fill="auto"/>
            <w:vAlign w:val="center"/>
            <w:hideMark/>
          </w:tcPr>
          <w:p w14:paraId="255F6B22" w14:textId="24414FA3" w:rsidR="00B63D98" w:rsidRPr="005269E6" w:rsidRDefault="00B63D98" w:rsidP="0056453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2 623 </w:t>
            </w:r>
          </w:p>
        </w:tc>
        <w:tc>
          <w:tcPr>
            <w:tcW w:w="1180" w:type="dxa"/>
            <w:tcBorders>
              <w:top w:val="nil"/>
              <w:left w:val="nil"/>
              <w:bottom w:val="nil"/>
              <w:right w:val="nil"/>
            </w:tcBorders>
            <w:shd w:val="clear" w:color="auto" w:fill="auto"/>
            <w:vAlign w:val="center"/>
            <w:hideMark/>
          </w:tcPr>
          <w:p w14:paraId="589DC93F" w14:textId="77777777" w:rsidR="00B63D98" w:rsidRPr="005269E6" w:rsidRDefault="00B63D98" w:rsidP="0056453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w:t>
            </w:r>
          </w:p>
        </w:tc>
        <w:tc>
          <w:tcPr>
            <w:tcW w:w="1340" w:type="dxa"/>
            <w:tcBorders>
              <w:top w:val="nil"/>
              <w:left w:val="nil"/>
              <w:bottom w:val="nil"/>
              <w:right w:val="nil"/>
            </w:tcBorders>
            <w:shd w:val="clear" w:color="auto" w:fill="auto"/>
            <w:vAlign w:val="center"/>
            <w:hideMark/>
          </w:tcPr>
          <w:p w14:paraId="383E642F" w14:textId="1F3F4273" w:rsidR="00B63D98" w:rsidRPr="005269E6" w:rsidRDefault="00B63D98" w:rsidP="0056453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2 222 </w:t>
            </w:r>
          </w:p>
        </w:tc>
      </w:tr>
    </w:tbl>
    <w:p w14:paraId="0B23561F" w14:textId="60DDCC01" w:rsidR="0016333C" w:rsidRPr="005269E6" w:rsidRDefault="00B5298B" w:rsidP="009367F2">
      <w:pPr>
        <w:spacing w:before="240"/>
        <w:rPr>
          <w:rtl/>
          <w:lang w:bidi="ar-SY"/>
        </w:rPr>
      </w:pPr>
      <w:r w:rsidRPr="005269E6">
        <w:rPr>
          <w:rtl/>
          <w:lang w:bidi="ar-SY"/>
        </w:rPr>
        <w:t xml:space="preserve">ومن بين المدفوعات التي بلغت </w:t>
      </w:r>
      <w:r w:rsidR="002C7F47" w:rsidRPr="005269E6">
        <w:rPr>
          <w:lang w:bidi="ar-SY"/>
        </w:rPr>
        <w:t>2,623</w:t>
      </w:r>
      <w:r w:rsidRPr="005269E6">
        <w:rPr>
          <w:rtl/>
          <w:lang w:bidi="ar-SY"/>
        </w:rPr>
        <w:t xml:space="preserve"> مليون فرنك سويسري للمسؤولين المنتخبين في عام 2022، خ</w:t>
      </w:r>
      <w:r w:rsidRPr="005269E6">
        <w:rPr>
          <w:rFonts w:hint="cs"/>
          <w:rtl/>
          <w:lang w:bidi="ar-SY"/>
        </w:rPr>
        <w:t>ُ</w:t>
      </w:r>
      <w:r w:rsidRPr="005269E6">
        <w:rPr>
          <w:rtl/>
          <w:lang w:bidi="ar-SY"/>
        </w:rPr>
        <w:t xml:space="preserve">صم مبلغ </w:t>
      </w:r>
      <w:r w:rsidR="002C7F47" w:rsidRPr="005269E6">
        <w:rPr>
          <w:lang w:bidi="ar-SY"/>
        </w:rPr>
        <w:t>3 528</w:t>
      </w:r>
      <w:r w:rsidRPr="005269E6">
        <w:rPr>
          <w:rtl/>
          <w:lang w:bidi="ar-SY"/>
        </w:rPr>
        <w:t xml:space="preserve"> فرنكا</w:t>
      </w:r>
      <w:r w:rsidR="002C7F47" w:rsidRPr="005269E6">
        <w:rPr>
          <w:rFonts w:hint="cs"/>
          <w:rtl/>
          <w:lang w:bidi="ar-SY"/>
        </w:rPr>
        <w:t>َ</w:t>
      </w:r>
      <w:r w:rsidRPr="005269E6">
        <w:rPr>
          <w:rtl/>
          <w:lang w:bidi="ar-SY"/>
        </w:rPr>
        <w:t xml:space="preserve"> سويسريا</w:t>
      </w:r>
      <w:r w:rsidR="002C7F47" w:rsidRPr="005269E6">
        <w:rPr>
          <w:rFonts w:hint="cs"/>
          <w:rtl/>
          <w:lang w:bidi="ar-SY"/>
        </w:rPr>
        <w:t>ً</w:t>
      </w:r>
      <w:r w:rsidRPr="005269E6">
        <w:rPr>
          <w:rtl/>
          <w:lang w:bidi="ar-SY"/>
        </w:rPr>
        <w:t xml:space="preserve"> من الإكراميات لشراء المسؤولين المنتخبين السابقين معدات تكنولوجيا المعلومات الخاصة بهم عند التقاعد.</w:t>
      </w:r>
    </w:p>
    <w:p w14:paraId="07BDF512" w14:textId="7DAC9DF1" w:rsidR="00C543C6" w:rsidRPr="005269E6" w:rsidRDefault="00C543C6" w:rsidP="00696AA6">
      <w:pPr>
        <w:pStyle w:val="Heading5"/>
        <w:rPr>
          <w:rtl/>
          <w:lang w:bidi="ar-EG"/>
        </w:rPr>
      </w:pPr>
      <w:bookmarkStart w:id="684" w:name="_Toc452156665"/>
      <w:bookmarkStart w:id="685" w:name="_Toc419484108"/>
      <w:bookmarkStart w:id="686" w:name="_Toc387338375"/>
      <w:bookmarkStart w:id="687" w:name="_Toc387263400"/>
      <w:bookmarkStart w:id="688" w:name="_Toc482792234"/>
      <w:bookmarkStart w:id="689" w:name="_Toc482793739"/>
      <w:bookmarkStart w:id="690" w:name="_Toc511402255"/>
      <w:bookmarkStart w:id="691" w:name="_Toc511756691"/>
      <w:bookmarkStart w:id="692" w:name="_Toc9614807"/>
      <w:bookmarkStart w:id="693" w:name="_Toc42013562"/>
      <w:bookmarkStart w:id="694" w:name="_Toc42014565"/>
      <w:bookmarkStart w:id="695" w:name="_Toc74061606"/>
      <w:bookmarkStart w:id="696" w:name="_Toc162520645"/>
      <w:r w:rsidRPr="005269E6">
        <w:rPr>
          <w:rtl/>
        </w:rPr>
        <w:t xml:space="preserve">الملاحظة </w:t>
      </w:r>
      <w:r w:rsidR="008433BD" w:rsidRPr="005269E6">
        <w:t>27</w:t>
      </w:r>
      <w:r w:rsidRPr="005269E6">
        <w:rPr>
          <w:rtl/>
        </w:rPr>
        <w:tab/>
        <w:t>الالتزامات</w:t>
      </w:r>
      <w:bookmarkEnd w:id="684"/>
      <w:bookmarkEnd w:id="685"/>
      <w:bookmarkEnd w:id="686"/>
      <w:bookmarkEnd w:id="687"/>
      <w:bookmarkEnd w:id="688"/>
      <w:bookmarkEnd w:id="689"/>
      <w:bookmarkEnd w:id="690"/>
      <w:bookmarkEnd w:id="691"/>
      <w:bookmarkEnd w:id="692"/>
      <w:bookmarkEnd w:id="693"/>
      <w:bookmarkEnd w:id="694"/>
      <w:bookmarkEnd w:id="695"/>
      <w:r w:rsidR="00575E09" w:rsidRPr="005269E6">
        <w:rPr>
          <w:rFonts w:hint="cs"/>
          <w:rtl/>
        </w:rPr>
        <w:t xml:space="preserve"> المستقبلية</w:t>
      </w:r>
      <w:bookmarkEnd w:id="696"/>
    </w:p>
    <w:p w14:paraId="1D6F65BE" w14:textId="24226E01" w:rsidR="00C543C6" w:rsidRPr="005269E6" w:rsidRDefault="00C543C6" w:rsidP="002C7F47">
      <w:pPr>
        <w:rPr>
          <w:rtl/>
          <w:lang w:bidi="ar-EG"/>
        </w:rPr>
      </w:pPr>
      <w:r w:rsidRPr="005269E6">
        <w:rPr>
          <w:rFonts w:hint="cs"/>
          <w:rtl/>
          <w:lang w:bidi="ar-EG"/>
        </w:rPr>
        <w:t>لدى</w:t>
      </w:r>
      <w:r w:rsidRPr="005269E6">
        <w:rPr>
          <w:rtl/>
          <w:lang w:bidi="ar-EG"/>
        </w:rPr>
        <w:t xml:space="preserve"> الانضمام إلى</w:t>
      </w:r>
      <w:r w:rsidRPr="005269E6">
        <w:rPr>
          <w:rFonts w:hint="cs"/>
          <w:rtl/>
          <w:lang w:bidi="ar-EG"/>
        </w:rPr>
        <w:t xml:space="preserve"> خطة التأمين</w:t>
      </w:r>
      <w:r w:rsidRPr="005269E6">
        <w:rPr>
          <w:rtl/>
          <w:lang w:bidi="ar-EG"/>
        </w:rPr>
        <w:t xml:space="preserve"> </w:t>
      </w:r>
      <w:r w:rsidRPr="005269E6">
        <w:rPr>
          <w:lang w:bidi="ar-EG"/>
        </w:rPr>
        <w:t>UNSMIS</w:t>
      </w:r>
      <w:r w:rsidRPr="005269E6">
        <w:rPr>
          <w:rtl/>
          <w:lang w:bidi="ar-EG"/>
        </w:rPr>
        <w:t xml:space="preserve"> اعتباراً من 1 يناير </w:t>
      </w:r>
      <w:r w:rsidR="00575E09" w:rsidRPr="005269E6">
        <w:rPr>
          <w:rFonts w:hint="cs"/>
          <w:rtl/>
          <w:lang w:bidi="ar-EG"/>
        </w:rPr>
        <w:t>2020</w:t>
      </w:r>
      <w:r w:rsidRPr="005269E6">
        <w:rPr>
          <w:rtl/>
          <w:lang w:bidi="ar-EG"/>
        </w:rPr>
        <w:t xml:space="preserve">، وقع الاتحاد عقداً </w:t>
      </w:r>
      <w:r w:rsidR="00575E09" w:rsidRPr="005269E6">
        <w:rPr>
          <w:rFonts w:hint="cs"/>
          <w:rtl/>
          <w:lang w:bidi="ar-EG"/>
        </w:rPr>
        <w:t>يُتطلب بموجبه</w:t>
      </w:r>
      <w:r w:rsidRPr="005269E6">
        <w:rPr>
          <w:rtl/>
          <w:lang w:bidi="ar-EG"/>
        </w:rPr>
        <w:t xml:space="preserve"> دفع مساهم</w:t>
      </w:r>
      <w:r w:rsidRPr="005269E6">
        <w:rPr>
          <w:rFonts w:hint="cs"/>
          <w:rtl/>
          <w:lang w:bidi="ar-EG"/>
        </w:rPr>
        <w:t>ة</w:t>
      </w:r>
      <w:r w:rsidRPr="005269E6">
        <w:rPr>
          <w:rtl/>
          <w:lang w:bidi="ar-EG"/>
        </w:rPr>
        <w:t xml:space="preserve"> </w:t>
      </w:r>
      <w:r w:rsidR="00575E09" w:rsidRPr="005269E6">
        <w:rPr>
          <w:rtl/>
          <w:lang w:bidi="ar-EG"/>
        </w:rPr>
        <w:t>سنوية إضافية حتى عام 2032.</w:t>
      </w:r>
      <w:r w:rsidR="00575E09" w:rsidRPr="005269E6">
        <w:rPr>
          <w:rFonts w:hint="cs"/>
          <w:rtl/>
          <w:lang w:bidi="ar-EG"/>
        </w:rPr>
        <w:t xml:space="preserve"> </w:t>
      </w:r>
      <w:r w:rsidR="00575E09" w:rsidRPr="005269E6">
        <w:rPr>
          <w:rtl/>
          <w:lang w:bidi="ar-EG"/>
        </w:rPr>
        <w:t>وفي 31 ديسمبر 2022، بلغ إجمالي المساهمات الإضافية المتبقية 17,5 مليون دولار أمريكي.</w:t>
      </w:r>
    </w:p>
    <w:p w14:paraId="02D2858D" w14:textId="11EE2864" w:rsidR="00C65DC8" w:rsidRPr="005269E6" w:rsidRDefault="00C65DC8" w:rsidP="00696AA6">
      <w:pPr>
        <w:pStyle w:val="Heading5"/>
        <w:rPr>
          <w:rtl/>
          <w:lang w:bidi="ar-SY"/>
        </w:rPr>
      </w:pPr>
      <w:bookmarkStart w:id="697" w:name="_Toc162520646"/>
      <w:r w:rsidRPr="005269E6">
        <w:rPr>
          <w:rtl/>
          <w:lang w:bidi="ar-SY"/>
        </w:rPr>
        <w:lastRenderedPageBreak/>
        <w:t xml:space="preserve">الملاحظة </w:t>
      </w:r>
      <w:r w:rsidRPr="005269E6">
        <w:t>28</w:t>
      </w:r>
      <w:r w:rsidRPr="005269E6">
        <w:rPr>
          <w:rtl/>
          <w:lang w:bidi="ar-SY"/>
        </w:rPr>
        <w:tab/>
      </w:r>
      <w:r w:rsidR="00E422FC" w:rsidRPr="005269E6">
        <w:rPr>
          <w:rtl/>
          <w:lang w:bidi="ar-SY"/>
        </w:rPr>
        <w:t>مدفوعات</w:t>
      </w:r>
      <w:r w:rsidR="00E422FC" w:rsidRPr="005269E6">
        <w:rPr>
          <w:lang w:bidi="ar-SY"/>
        </w:rPr>
        <w:t xml:space="preserve"> </w:t>
      </w:r>
      <w:r w:rsidR="00E422FC" w:rsidRPr="005269E6">
        <w:rPr>
          <w:rtl/>
          <w:lang w:bidi="ar-SY"/>
        </w:rPr>
        <w:t>الإكراميات</w:t>
      </w:r>
      <w:bookmarkEnd w:id="697"/>
    </w:p>
    <w:p w14:paraId="24962C7B" w14:textId="6AB4AE2B" w:rsidR="00C65DC8" w:rsidRPr="005269E6" w:rsidRDefault="00E422FC" w:rsidP="00564530">
      <w:pPr>
        <w:keepNext/>
        <w:keepLines/>
        <w:rPr>
          <w:spacing w:val="2"/>
          <w:rtl/>
          <w:lang w:bidi="ar-SY"/>
        </w:rPr>
      </w:pPr>
      <w:r w:rsidRPr="005269E6">
        <w:rPr>
          <w:spacing w:val="2"/>
          <w:rtl/>
          <w:lang w:bidi="ar-SY"/>
        </w:rPr>
        <w:t xml:space="preserve">في عام 2022، دفع الاتحاد إلى المسؤول المنتخب السابق في مكتب تقييس الاتصالات (السيد لي) مبلغ </w:t>
      </w:r>
      <w:r w:rsidR="002C7F47" w:rsidRPr="005269E6">
        <w:rPr>
          <w:spacing w:val="2"/>
          <w:lang w:bidi="ar-SY"/>
        </w:rPr>
        <w:t>51 220</w:t>
      </w:r>
      <w:r w:rsidRPr="005269E6">
        <w:rPr>
          <w:spacing w:val="2"/>
          <w:rtl/>
          <w:lang w:bidi="ar-SY"/>
        </w:rPr>
        <w:t xml:space="preserve"> فرنكا</w:t>
      </w:r>
      <w:r w:rsidR="002C7F47" w:rsidRPr="005269E6">
        <w:rPr>
          <w:rFonts w:hint="cs"/>
          <w:spacing w:val="2"/>
          <w:rtl/>
          <w:lang w:bidi="ar-SY"/>
        </w:rPr>
        <w:t>ً</w:t>
      </w:r>
      <w:r w:rsidRPr="005269E6">
        <w:rPr>
          <w:spacing w:val="2"/>
          <w:rtl/>
          <w:lang w:bidi="ar-SY"/>
        </w:rPr>
        <w:t xml:space="preserve"> سويسريا</w:t>
      </w:r>
      <w:r w:rsidR="002C7F47" w:rsidRPr="005269E6">
        <w:rPr>
          <w:rFonts w:hint="cs"/>
          <w:spacing w:val="2"/>
          <w:rtl/>
          <w:lang w:bidi="ar-SY"/>
        </w:rPr>
        <w:t>ً</w:t>
      </w:r>
      <w:r w:rsidRPr="005269E6">
        <w:rPr>
          <w:spacing w:val="2"/>
          <w:rtl/>
          <w:lang w:bidi="ar-SY"/>
        </w:rPr>
        <w:t xml:space="preserve">، وإلى نائب الأمين العام السابق (السيد جونسون) مبلغ </w:t>
      </w:r>
      <w:r w:rsidR="002C7F47" w:rsidRPr="005269E6">
        <w:rPr>
          <w:spacing w:val="2"/>
          <w:lang w:bidi="ar-SY"/>
        </w:rPr>
        <w:t>76 830</w:t>
      </w:r>
      <w:r w:rsidRPr="005269E6">
        <w:rPr>
          <w:spacing w:val="2"/>
          <w:rtl/>
          <w:lang w:bidi="ar-SY"/>
        </w:rPr>
        <w:t xml:space="preserve"> فرنكا</w:t>
      </w:r>
      <w:r w:rsidR="002C7F47" w:rsidRPr="005269E6">
        <w:rPr>
          <w:rFonts w:hint="cs"/>
          <w:spacing w:val="2"/>
          <w:rtl/>
          <w:lang w:bidi="ar-SY"/>
        </w:rPr>
        <w:t>ً</w:t>
      </w:r>
      <w:r w:rsidRPr="005269E6">
        <w:rPr>
          <w:spacing w:val="2"/>
          <w:rtl/>
          <w:lang w:bidi="ar-SY"/>
        </w:rPr>
        <w:t xml:space="preserve"> سويسريا</w:t>
      </w:r>
      <w:r w:rsidR="002C7F47" w:rsidRPr="005269E6">
        <w:rPr>
          <w:rFonts w:hint="cs"/>
          <w:spacing w:val="2"/>
          <w:rtl/>
          <w:lang w:bidi="ar-SY"/>
        </w:rPr>
        <w:t>ً</w:t>
      </w:r>
      <w:r w:rsidRPr="005269E6">
        <w:rPr>
          <w:spacing w:val="2"/>
          <w:rtl/>
          <w:lang w:bidi="ar-SY"/>
        </w:rPr>
        <w:t xml:space="preserve"> وإلى الأمين العام السابق (السيد</w:t>
      </w:r>
      <w:r w:rsidR="00564530" w:rsidRPr="005269E6">
        <w:rPr>
          <w:rFonts w:hint="cs"/>
          <w:spacing w:val="2"/>
          <w:rtl/>
          <w:lang w:bidi="ar-SY"/>
        </w:rPr>
        <w:t> </w:t>
      </w:r>
      <w:r w:rsidRPr="005269E6">
        <w:rPr>
          <w:spacing w:val="2"/>
          <w:rtl/>
          <w:lang w:bidi="ar-SY"/>
        </w:rPr>
        <w:t xml:space="preserve">جاو) مبلغ </w:t>
      </w:r>
      <w:r w:rsidR="002C7F47" w:rsidRPr="005269E6">
        <w:rPr>
          <w:spacing w:val="2"/>
          <w:lang w:bidi="ar-SY"/>
        </w:rPr>
        <w:t>83 701</w:t>
      </w:r>
      <w:r w:rsidRPr="005269E6">
        <w:rPr>
          <w:spacing w:val="2"/>
          <w:rtl/>
          <w:lang w:bidi="ar-SY"/>
        </w:rPr>
        <w:t xml:space="preserve"> فرنكا</w:t>
      </w:r>
      <w:r w:rsidR="002C7F47" w:rsidRPr="005269E6">
        <w:rPr>
          <w:rFonts w:hint="cs"/>
          <w:spacing w:val="2"/>
          <w:rtl/>
          <w:lang w:bidi="ar-SY"/>
        </w:rPr>
        <w:t>ً</w:t>
      </w:r>
      <w:r w:rsidRPr="005269E6">
        <w:rPr>
          <w:spacing w:val="2"/>
          <w:rtl/>
          <w:lang w:bidi="ar-SY"/>
        </w:rPr>
        <w:t xml:space="preserve"> سويسريا</w:t>
      </w:r>
      <w:r w:rsidR="002C7F47" w:rsidRPr="005269E6">
        <w:rPr>
          <w:rFonts w:hint="cs"/>
          <w:spacing w:val="2"/>
          <w:rtl/>
          <w:lang w:bidi="ar-SY"/>
        </w:rPr>
        <w:t>ً</w:t>
      </w:r>
      <w:r w:rsidRPr="005269E6">
        <w:rPr>
          <w:spacing w:val="2"/>
          <w:rtl/>
          <w:lang w:bidi="ar-SY"/>
        </w:rPr>
        <w:t xml:space="preserve"> للخدمات المقدمة إلى الاتحاد </w:t>
      </w:r>
      <w:r w:rsidRPr="005269E6">
        <w:rPr>
          <w:rFonts w:hint="cs"/>
          <w:spacing w:val="2"/>
          <w:rtl/>
          <w:lang w:bidi="ar-EG"/>
        </w:rPr>
        <w:t>عبر</w:t>
      </w:r>
      <w:r w:rsidRPr="005269E6">
        <w:rPr>
          <w:spacing w:val="2"/>
          <w:rtl/>
          <w:lang w:bidi="ar-SY"/>
        </w:rPr>
        <w:t xml:space="preserve"> اختصاصات كل منهم. وقد أدرجت هذه المدفوعات التي كانت تعتبر في ذلك الوقت بمثابة إكراميات</w:t>
      </w:r>
      <w:r w:rsidRPr="005269E6">
        <w:rPr>
          <w:rFonts w:hint="cs"/>
          <w:spacing w:val="2"/>
          <w:rtl/>
          <w:lang w:bidi="ar-SY"/>
        </w:rPr>
        <w:t xml:space="preserve"> </w:t>
      </w:r>
      <w:r w:rsidRPr="005269E6">
        <w:rPr>
          <w:spacing w:val="2"/>
          <w:rtl/>
          <w:lang w:bidi="ar-SY"/>
        </w:rPr>
        <w:t xml:space="preserve">في المجموع المبين في المدفوعات </w:t>
      </w:r>
      <w:r w:rsidRPr="005269E6">
        <w:rPr>
          <w:rFonts w:hint="cs"/>
          <w:spacing w:val="2"/>
          <w:rtl/>
          <w:lang w:bidi="ar-SY"/>
        </w:rPr>
        <w:t>المسدَدة</w:t>
      </w:r>
      <w:r w:rsidRPr="005269E6">
        <w:rPr>
          <w:spacing w:val="2"/>
          <w:rtl/>
          <w:lang w:bidi="ar-SY"/>
        </w:rPr>
        <w:t xml:space="preserve"> للأطراف ذات الصلة في الملاحظة 26. وقد سلط</w:t>
      </w:r>
      <w:r w:rsidRPr="005269E6">
        <w:rPr>
          <w:rFonts w:hint="cs"/>
          <w:spacing w:val="2"/>
          <w:rtl/>
          <w:lang w:bidi="ar-SY"/>
        </w:rPr>
        <w:t>ت</w:t>
      </w:r>
      <w:r w:rsidRPr="005269E6">
        <w:rPr>
          <w:spacing w:val="2"/>
          <w:rtl/>
          <w:lang w:bidi="ar-SY"/>
        </w:rPr>
        <w:t xml:space="preserve"> الأمين</w:t>
      </w:r>
      <w:r w:rsidRPr="005269E6">
        <w:rPr>
          <w:rFonts w:hint="cs"/>
          <w:spacing w:val="2"/>
          <w:rtl/>
          <w:lang w:bidi="ar-SY"/>
        </w:rPr>
        <w:t>ة</w:t>
      </w:r>
      <w:r w:rsidRPr="005269E6">
        <w:rPr>
          <w:spacing w:val="2"/>
          <w:rtl/>
          <w:lang w:bidi="ar-SY"/>
        </w:rPr>
        <w:t xml:space="preserve"> العام</w:t>
      </w:r>
      <w:r w:rsidRPr="005269E6">
        <w:rPr>
          <w:rFonts w:hint="cs"/>
          <w:spacing w:val="2"/>
          <w:rtl/>
          <w:lang w:bidi="ar-SY"/>
        </w:rPr>
        <w:t>ة</w:t>
      </w:r>
      <w:r w:rsidRPr="005269E6">
        <w:rPr>
          <w:spacing w:val="2"/>
          <w:rtl/>
          <w:lang w:bidi="ar-SY"/>
        </w:rPr>
        <w:t xml:space="preserve"> الضوء على هذه المسألة في بيان الرقابة الداخلية.</w:t>
      </w:r>
    </w:p>
    <w:p w14:paraId="559EF853" w14:textId="77777777" w:rsidR="00C543C6" w:rsidRPr="005269E6" w:rsidRDefault="00C543C6" w:rsidP="00696AA6">
      <w:pPr>
        <w:pStyle w:val="Heading5"/>
        <w:rPr>
          <w:rtl/>
          <w:lang w:bidi="ar-EG"/>
        </w:rPr>
      </w:pPr>
      <w:bookmarkStart w:id="698" w:name="_Toc452156666"/>
      <w:bookmarkStart w:id="699" w:name="_Toc419484109"/>
      <w:bookmarkStart w:id="700" w:name="_Toc387338376"/>
      <w:bookmarkStart w:id="701" w:name="_Toc387263401"/>
      <w:bookmarkStart w:id="702" w:name="_Toc482792235"/>
      <w:bookmarkStart w:id="703" w:name="_Toc482793740"/>
      <w:bookmarkStart w:id="704" w:name="_Toc511402256"/>
      <w:bookmarkStart w:id="705" w:name="_Toc511756692"/>
      <w:bookmarkStart w:id="706" w:name="_Toc9614808"/>
      <w:bookmarkStart w:id="707" w:name="_Toc42013563"/>
      <w:bookmarkStart w:id="708" w:name="_Toc42014566"/>
      <w:bookmarkStart w:id="709" w:name="_Toc74061607"/>
      <w:bookmarkStart w:id="710" w:name="_Toc162520647"/>
      <w:r w:rsidRPr="005269E6">
        <w:rPr>
          <w:rtl/>
          <w:lang w:bidi="ar-SY"/>
        </w:rPr>
        <w:t xml:space="preserve">الملاحظة </w:t>
      </w:r>
      <w:r w:rsidRPr="005269E6">
        <w:t>29</w:t>
      </w:r>
      <w:r w:rsidRPr="005269E6">
        <w:rPr>
          <w:rtl/>
          <w:lang w:bidi="ar-SY"/>
        </w:rPr>
        <w:tab/>
        <w:t>الأحداث التي أعقبت تاريخ البيان المالي</w:t>
      </w:r>
      <w:bookmarkEnd w:id="698"/>
      <w:bookmarkEnd w:id="699"/>
      <w:bookmarkEnd w:id="700"/>
      <w:bookmarkEnd w:id="701"/>
      <w:bookmarkEnd w:id="702"/>
      <w:bookmarkEnd w:id="703"/>
      <w:bookmarkEnd w:id="704"/>
      <w:bookmarkEnd w:id="705"/>
      <w:bookmarkEnd w:id="706"/>
      <w:bookmarkEnd w:id="707"/>
      <w:bookmarkEnd w:id="708"/>
      <w:bookmarkEnd w:id="709"/>
      <w:bookmarkEnd w:id="710"/>
    </w:p>
    <w:p w14:paraId="17C4099D" w14:textId="476FE31E" w:rsidR="00C65DC8" w:rsidRPr="005269E6" w:rsidRDefault="00957626" w:rsidP="002C7F47">
      <w:pPr>
        <w:rPr>
          <w:lang w:bidi="ar-SY"/>
        </w:rPr>
      </w:pPr>
      <w:r w:rsidRPr="005269E6">
        <w:rPr>
          <w:rFonts w:hint="cs"/>
          <w:rtl/>
        </w:rPr>
        <w:t xml:space="preserve">إن </w:t>
      </w:r>
      <w:r w:rsidRPr="005269E6">
        <w:rPr>
          <w:rtl/>
        </w:rPr>
        <w:t>تاريخ البيان المالي ل</w:t>
      </w:r>
      <w:r w:rsidRPr="005269E6">
        <w:rPr>
          <w:rFonts w:hint="cs"/>
          <w:rtl/>
        </w:rPr>
        <w:t>دى ا</w:t>
      </w:r>
      <w:r w:rsidRPr="005269E6">
        <w:rPr>
          <w:rtl/>
        </w:rPr>
        <w:t>لاتحاد هو 31 ديسمبر 2022 و</w:t>
      </w:r>
      <w:r w:rsidRPr="005269E6">
        <w:rPr>
          <w:rFonts w:hint="cs"/>
          <w:rtl/>
        </w:rPr>
        <w:t xml:space="preserve">قد </w:t>
      </w:r>
      <w:r w:rsidRPr="005269E6">
        <w:rPr>
          <w:rtl/>
        </w:rPr>
        <w:t>أ</w:t>
      </w:r>
      <w:r w:rsidRPr="005269E6">
        <w:rPr>
          <w:rFonts w:hint="cs"/>
          <w:rtl/>
        </w:rPr>
        <w:t>ُ</w:t>
      </w:r>
      <w:r w:rsidRPr="005269E6">
        <w:rPr>
          <w:rtl/>
        </w:rPr>
        <w:t xml:space="preserve">ذن بإصدار هذه البيانات المالية في نفس التاريخ </w:t>
      </w:r>
      <w:r w:rsidR="00E93FF2" w:rsidRPr="005269E6">
        <w:rPr>
          <w:rFonts w:hint="cs"/>
          <w:rtl/>
        </w:rPr>
        <w:t>الموافق</w:t>
      </w:r>
      <w:r w:rsidRPr="005269E6">
        <w:rPr>
          <w:rtl/>
        </w:rPr>
        <w:t xml:space="preserve"> </w:t>
      </w:r>
      <w:r w:rsidR="00E93FF2" w:rsidRPr="005269E6">
        <w:rPr>
          <w:rFonts w:hint="cs"/>
          <w:rtl/>
        </w:rPr>
        <w:t>ل</w:t>
      </w:r>
      <w:r w:rsidR="00AB3B16" w:rsidRPr="005269E6">
        <w:rPr>
          <w:rFonts w:hint="cs"/>
          <w:rtl/>
        </w:rPr>
        <w:t xml:space="preserve">صدور </w:t>
      </w:r>
      <w:r w:rsidRPr="005269E6">
        <w:rPr>
          <w:rtl/>
        </w:rPr>
        <w:t xml:space="preserve">رأي </w:t>
      </w:r>
      <w:r w:rsidRPr="005269E6">
        <w:rPr>
          <w:rFonts w:hint="cs"/>
          <w:rtl/>
        </w:rPr>
        <w:t>المراجع</w:t>
      </w:r>
      <w:r w:rsidRPr="005269E6">
        <w:rPr>
          <w:rtl/>
        </w:rPr>
        <w:t xml:space="preserve"> الخارجي للحسابات.</w:t>
      </w:r>
    </w:p>
    <w:p w14:paraId="3529662A" w14:textId="59EBCA1D" w:rsidR="00A71067" w:rsidRPr="005269E6" w:rsidRDefault="00957626" w:rsidP="002C7F47">
      <w:pPr>
        <w:rPr>
          <w:rtl/>
          <w:lang w:bidi="ar-SY"/>
        </w:rPr>
      </w:pPr>
      <w:r w:rsidRPr="005269E6">
        <w:rPr>
          <w:rFonts w:hint="cs"/>
          <w:rtl/>
        </w:rPr>
        <w:t>و</w:t>
      </w:r>
      <w:r w:rsidRPr="005269E6">
        <w:rPr>
          <w:rtl/>
        </w:rPr>
        <w:t>في مارس 2023، أ</w:t>
      </w:r>
      <w:r w:rsidRPr="005269E6">
        <w:rPr>
          <w:rFonts w:hint="cs"/>
          <w:rtl/>
        </w:rPr>
        <w:t>ُ</w:t>
      </w:r>
      <w:r w:rsidRPr="005269E6">
        <w:rPr>
          <w:rtl/>
        </w:rPr>
        <w:t xml:space="preserve">علن أن بنك UBS سيستحوذ على بنك </w:t>
      </w:r>
      <w:r w:rsidRPr="005269E6">
        <w:rPr>
          <w:lang w:bidi="ar-SY"/>
        </w:rPr>
        <w:t>Credit Suisse</w:t>
      </w:r>
      <w:r w:rsidRPr="005269E6">
        <w:rPr>
          <w:rtl/>
        </w:rPr>
        <w:t xml:space="preserve">. </w:t>
      </w:r>
      <w:r w:rsidRPr="005269E6">
        <w:rPr>
          <w:rFonts w:hint="cs"/>
          <w:rtl/>
        </w:rPr>
        <w:t>و</w:t>
      </w:r>
      <w:r w:rsidRPr="005269E6">
        <w:rPr>
          <w:lang w:bidi="ar-SY"/>
        </w:rPr>
        <w:t>Credit Suisse</w:t>
      </w:r>
      <w:r w:rsidRPr="005269E6">
        <w:rPr>
          <w:rtl/>
        </w:rPr>
        <w:t xml:space="preserve"> ليس البنك الرئيسي للاتحاد، ولكن للاتحاد بعض الإيداعات قصيرة الأجل معهم. و</w:t>
      </w:r>
      <w:r w:rsidRPr="005269E6">
        <w:rPr>
          <w:rFonts w:hint="cs"/>
          <w:rtl/>
        </w:rPr>
        <w:t xml:space="preserve">لكن </w:t>
      </w:r>
      <w:r w:rsidRPr="005269E6">
        <w:rPr>
          <w:rtl/>
        </w:rPr>
        <w:t>بالنظر إلى ضمان البنك الوطني السويسري، لا يتوقع الاتحاد أي خسارة.</w:t>
      </w:r>
    </w:p>
    <w:p w14:paraId="3185A9EB" w14:textId="092A53D9" w:rsidR="00A71067" w:rsidRPr="005269E6" w:rsidRDefault="00957626" w:rsidP="002C7F47">
      <w:pPr>
        <w:rPr>
          <w:rtl/>
          <w:lang w:bidi="ar-EG"/>
        </w:rPr>
      </w:pPr>
      <w:r w:rsidRPr="005269E6">
        <w:rPr>
          <w:rFonts w:hint="cs"/>
          <w:rtl/>
        </w:rPr>
        <w:t>وبما</w:t>
      </w:r>
      <w:r w:rsidRPr="005269E6">
        <w:rPr>
          <w:rtl/>
        </w:rPr>
        <w:t xml:space="preserve"> أن المدفوعات الممنوحة للمسؤولين المنتخبين </w:t>
      </w:r>
      <w:r w:rsidRPr="005269E6">
        <w:rPr>
          <w:rFonts w:hint="cs"/>
          <w:rtl/>
        </w:rPr>
        <w:t>تبين</w:t>
      </w:r>
      <w:r w:rsidRPr="005269E6">
        <w:rPr>
          <w:rtl/>
        </w:rPr>
        <w:t xml:space="preserve"> أنها لا تفي بتعريف </w:t>
      </w:r>
      <w:r w:rsidRPr="005269E6">
        <w:rPr>
          <w:rFonts w:hint="cs"/>
          <w:rtl/>
        </w:rPr>
        <w:t>الإكرامية</w:t>
      </w:r>
      <w:r w:rsidRPr="005269E6">
        <w:rPr>
          <w:rtl/>
        </w:rPr>
        <w:t>، اتخذ</w:t>
      </w:r>
      <w:r w:rsidRPr="005269E6">
        <w:rPr>
          <w:rFonts w:hint="cs"/>
          <w:rtl/>
        </w:rPr>
        <w:t>ت</w:t>
      </w:r>
      <w:r w:rsidRPr="005269E6">
        <w:rPr>
          <w:rtl/>
        </w:rPr>
        <w:t xml:space="preserve"> الأمين</w:t>
      </w:r>
      <w:r w:rsidRPr="005269E6">
        <w:rPr>
          <w:rFonts w:hint="cs"/>
          <w:rtl/>
        </w:rPr>
        <w:t>ة</w:t>
      </w:r>
      <w:r w:rsidRPr="005269E6">
        <w:rPr>
          <w:rtl/>
        </w:rPr>
        <w:t xml:space="preserve"> العام</w:t>
      </w:r>
      <w:r w:rsidRPr="005269E6">
        <w:rPr>
          <w:rFonts w:hint="cs"/>
          <w:rtl/>
        </w:rPr>
        <w:t>ة</w:t>
      </w:r>
      <w:r w:rsidRPr="005269E6">
        <w:rPr>
          <w:rtl/>
        </w:rPr>
        <w:t xml:space="preserve"> قرارا</w:t>
      </w:r>
      <w:r w:rsidR="002C7F47" w:rsidRPr="005269E6">
        <w:rPr>
          <w:rFonts w:hint="cs"/>
          <w:rtl/>
        </w:rPr>
        <w:t>ً</w:t>
      </w:r>
      <w:r w:rsidRPr="005269E6">
        <w:rPr>
          <w:rtl/>
        </w:rPr>
        <w:t xml:space="preserve"> بإلغاء ممارسة منح هذه المدفوعات للمسؤولين المنتخبين وقت مغادرتهم الخدمة في الاتحاد.</w:t>
      </w:r>
    </w:p>
    <w:p w14:paraId="7973169C" w14:textId="790FC1ED" w:rsidR="00957626" w:rsidRPr="005269E6" w:rsidRDefault="00483D33" w:rsidP="002C7F47">
      <w:pPr>
        <w:rPr>
          <w:lang w:eastAsia="fr-FR"/>
        </w:rPr>
      </w:pPr>
      <w:r w:rsidRPr="005269E6">
        <w:rPr>
          <w:rtl/>
        </w:rPr>
        <w:t xml:space="preserve">وفي 31 ديسمبر 2023، بلغ المبلغ الإجمالي للتكاليف غير القابلة للاسترداد التي أنفقت بالفعل على مشروع المبنى الجديد </w:t>
      </w:r>
      <w:r w:rsidRPr="005269E6">
        <w:rPr>
          <w:lang w:bidi="ar-SY"/>
        </w:rPr>
        <w:t>20 780 691</w:t>
      </w:r>
      <w:r w:rsidRPr="005269E6">
        <w:rPr>
          <w:rFonts w:hint="cs"/>
          <w:rtl/>
        </w:rPr>
        <w:t xml:space="preserve"> </w:t>
      </w:r>
      <w:r w:rsidRPr="005269E6">
        <w:rPr>
          <w:rtl/>
        </w:rPr>
        <w:t>فرنكا</w:t>
      </w:r>
      <w:r w:rsidR="002C7F47" w:rsidRPr="005269E6">
        <w:rPr>
          <w:rFonts w:hint="cs"/>
          <w:rtl/>
        </w:rPr>
        <w:t>ً</w:t>
      </w:r>
      <w:r w:rsidRPr="005269E6">
        <w:rPr>
          <w:rtl/>
        </w:rPr>
        <w:t xml:space="preserve"> سويسريا</w:t>
      </w:r>
      <w:r w:rsidR="002C7F47" w:rsidRPr="005269E6">
        <w:rPr>
          <w:rFonts w:hint="cs"/>
          <w:rtl/>
        </w:rPr>
        <w:t>ً</w:t>
      </w:r>
      <w:r w:rsidRPr="005269E6">
        <w:rPr>
          <w:rtl/>
        </w:rPr>
        <w:t>.</w:t>
      </w:r>
      <w:r w:rsidRPr="005269E6">
        <w:rPr>
          <w:rFonts w:hint="cs"/>
          <w:rtl/>
          <w:lang w:eastAsia="fr-FR"/>
        </w:rPr>
        <w:t xml:space="preserve"> </w:t>
      </w:r>
      <w:r w:rsidRPr="005269E6">
        <w:rPr>
          <w:rFonts w:hint="cs"/>
          <w:rtl/>
        </w:rPr>
        <w:t>و</w:t>
      </w:r>
      <w:r w:rsidRPr="005269E6">
        <w:rPr>
          <w:rtl/>
        </w:rPr>
        <w:t>إذا لم يمض المشروع قدما</w:t>
      </w:r>
      <w:r w:rsidR="002C7F47" w:rsidRPr="005269E6">
        <w:rPr>
          <w:rFonts w:hint="cs"/>
          <w:rtl/>
        </w:rPr>
        <w:t>ً</w:t>
      </w:r>
      <w:r w:rsidRPr="005269E6">
        <w:rPr>
          <w:rtl/>
        </w:rPr>
        <w:t xml:space="preserve">، سيتعين تكبد مبلغ إضافي قدره </w:t>
      </w:r>
      <w:r w:rsidRPr="005269E6">
        <w:t>7 686 288</w:t>
      </w:r>
      <w:r w:rsidRPr="005269E6">
        <w:rPr>
          <w:rFonts w:hint="cs"/>
          <w:rtl/>
        </w:rPr>
        <w:t xml:space="preserve"> </w:t>
      </w:r>
      <w:r w:rsidRPr="005269E6">
        <w:rPr>
          <w:rtl/>
        </w:rPr>
        <w:t>فرنكا</w:t>
      </w:r>
      <w:r w:rsidR="002C7F47" w:rsidRPr="005269E6">
        <w:rPr>
          <w:rFonts w:hint="cs"/>
          <w:rtl/>
        </w:rPr>
        <w:t>ً</w:t>
      </w:r>
      <w:r w:rsidRPr="005269E6">
        <w:rPr>
          <w:rtl/>
        </w:rPr>
        <w:t xml:space="preserve"> سويسريا</w:t>
      </w:r>
      <w:r w:rsidR="002C7F47" w:rsidRPr="005269E6">
        <w:rPr>
          <w:rFonts w:hint="cs"/>
          <w:rtl/>
        </w:rPr>
        <w:t>ً</w:t>
      </w:r>
      <w:r w:rsidRPr="005269E6">
        <w:rPr>
          <w:rtl/>
        </w:rPr>
        <w:t xml:space="preserve"> لتسوية جميع المطالبات والالتزامات التعاقدية والمبالغ المحتجزة.</w:t>
      </w:r>
      <w:r w:rsidR="002156EB" w:rsidRPr="005269E6">
        <w:rPr>
          <w:rtl/>
        </w:rPr>
        <w:t xml:space="preserve"> وقد تأكد ذلك أثناء اجتماع فريق العمل التابع للمجلس الذي ع</w:t>
      </w:r>
      <w:r w:rsidR="002D03CD" w:rsidRPr="005269E6">
        <w:rPr>
          <w:rFonts w:hint="cs"/>
          <w:rtl/>
        </w:rPr>
        <w:t>ُ</w:t>
      </w:r>
      <w:r w:rsidR="002156EB" w:rsidRPr="005269E6">
        <w:rPr>
          <w:rtl/>
        </w:rPr>
        <w:t>قد في أكتوبر 2023</w:t>
      </w:r>
      <w:r w:rsidR="002D03CD" w:rsidRPr="005269E6">
        <w:rPr>
          <w:rFonts w:hint="cs"/>
          <w:rtl/>
        </w:rPr>
        <w:t>،</w:t>
      </w:r>
      <w:r w:rsidR="002156EB" w:rsidRPr="005269E6">
        <w:rPr>
          <w:rFonts w:hint="cs"/>
          <w:rtl/>
        </w:rPr>
        <w:t xml:space="preserve"> </w:t>
      </w:r>
      <w:bookmarkStart w:id="711" w:name="lt_pId1258"/>
      <w:bookmarkEnd w:id="711"/>
      <w:r w:rsidR="002156EB" w:rsidRPr="005269E6">
        <w:rPr>
          <w:rFonts w:hint="cs"/>
          <w:rtl/>
          <w:lang w:eastAsia="fr-FR"/>
        </w:rPr>
        <w:t>وتأكد</w:t>
      </w:r>
      <w:r w:rsidRPr="005269E6">
        <w:rPr>
          <w:rtl/>
          <w:lang w:eastAsia="fr-FR"/>
        </w:rPr>
        <w:t xml:space="preserve"> عدم وجود أي غرامات إضافية مرتبطة بمشروع البناء.</w:t>
      </w:r>
    </w:p>
    <w:p w14:paraId="28FB4F64" w14:textId="77777777" w:rsidR="002156EB" w:rsidRPr="005269E6" w:rsidRDefault="00A71067" w:rsidP="00696AA6">
      <w:pPr>
        <w:pStyle w:val="Heading5"/>
        <w:rPr>
          <w:rtl/>
          <w:lang w:bidi="ar-SY"/>
        </w:rPr>
      </w:pPr>
      <w:bookmarkStart w:id="712" w:name="lt_pId1259"/>
      <w:bookmarkStart w:id="713" w:name="lt_pId1260"/>
      <w:bookmarkStart w:id="714" w:name="lt_pId1261"/>
      <w:bookmarkStart w:id="715" w:name="_Toc162520648"/>
      <w:bookmarkEnd w:id="712"/>
      <w:bookmarkEnd w:id="713"/>
      <w:bookmarkEnd w:id="714"/>
      <w:r w:rsidRPr="005269E6">
        <w:rPr>
          <w:rtl/>
          <w:lang w:bidi="ar-SY"/>
        </w:rPr>
        <w:t xml:space="preserve">الملاحظة </w:t>
      </w:r>
      <w:r w:rsidRPr="005269E6">
        <w:t>30</w:t>
      </w:r>
      <w:r w:rsidRPr="005269E6">
        <w:rPr>
          <w:rtl/>
          <w:lang w:bidi="ar-SY"/>
        </w:rPr>
        <w:tab/>
      </w:r>
      <w:r w:rsidR="002156EB" w:rsidRPr="005269E6">
        <w:rPr>
          <w:rtl/>
          <w:lang w:bidi="ar-SY"/>
        </w:rPr>
        <w:t>التغير في التقديرات المحاسبية والأخطاء</w:t>
      </w:r>
      <w:bookmarkEnd w:id="715"/>
    </w:p>
    <w:p w14:paraId="4E4A4B68" w14:textId="5A708175" w:rsidR="00A71067" w:rsidRPr="005269E6" w:rsidRDefault="002D03CD" w:rsidP="002C7F47">
      <w:pPr>
        <w:rPr>
          <w:rtl/>
          <w:lang w:bidi="ar-SY"/>
        </w:rPr>
      </w:pPr>
      <w:r w:rsidRPr="005269E6">
        <w:rPr>
          <w:rtl/>
          <w:lang w:bidi="ar-SY"/>
        </w:rPr>
        <w:t xml:space="preserve">خلال عام 2022، غير الاتحاد سياساته المحاسبية فيما يتعلق </w:t>
      </w:r>
      <w:r w:rsidRPr="005269E6">
        <w:rPr>
          <w:rFonts w:hint="cs"/>
          <w:rtl/>
          <w:lang w:bidi="ar-SY"/>
        </w:rPr>
        <w:t>بتثبيت</w:t>
      </w:r>
      <w:r w:rsidRPr="005269E6">
        <w:rPr>
          <w:rtl/>
          <w:lang w:bidi="ar-SY"/>
        </w:rPr>
        <w:t xml:space="preserve"> القرض طويل الأجل الوارد من مؤسسة مباني المنظمات الدولية والمساهمات الواردة من أجل اتفاقات الرعاية. وخلال السنة اكتشف الاتحاد أيضا</w:t>
      </w:r>
      <w:r w:rsidR="002C7F47" w:rsidRPr="005269E6">
        <w:rPr>
          <w:rFonts w:hint="cs"/>
          <w:rtl/>
          <w:lang w:bidi="ar-SY"/>
        </w:rPr>
        <w:t>ً</w:t>
      </w:r>
      <w:r w:rsidRPr="005269E6">
        <w:rPr>
          <w:rtl/>
          <w:lang w:bidi="ar-SY"/>
        </w:rPr>
        <w:t xml:space="preserve"> أن بعض الأخطاء قد أدرجت في البيانات المالية المؤكدة</w:t>
      </w:r>
      <w:r w:rsidRPr="005269E6">
        <w:rPr>
          <w:rFonts w:hint="cs"/>
          <w:rtl/>
          <w:lang w:bidi="ar-SY"/>
        </w:rPr>
        <w:t xml:space="preserve"> </w:t>
      </w:r>
      <w:r w:rsidRPr="005269E6">
        <w:rPr>
          <w:rtl/>
          <w:lang w:bidi="ar-SY"/>
        </w:rPr>
        <w:t>لعام 2021.</w:t>
      </w:r>
    </w:p>
    <w:p w14:paraId="133BAC86" w14:textId="2923585F" w:rsidR="00A71067" w:rsidRPr="005269E6" w:rsidRDefault="002D03CD" w:rsidP="002C7F47">
      <w:pPr>
        <w:rPr>
          <w:rtl/>
          <w:lang w:bidi="ar-SY"/>
        </w:rPr>
      </w:pPr>
      <w:r w:rsidRPr="005269E6">
        <w:rPr>
          <w:rtl/>
          <w:lang w:bidi="ar-SY"/>
        </w:rPr>
        <w:t>ووفقا</w:t>
      </w:r>
      <w:r w:rsidR="002C7F47" w:rsidRPr="005269E6">
        <w:rPr>
          <w:rFonts w:hint="cs"/>
          <w:rtl/>
          <w:lang w:bidi="ar-SY"/>
        </w:rPr>
        <w:t>ً</w:t>
      </w:r>
      <w:r w:rsidRPr="005269E6">
        <w:rPr>
          <w:rtl/>
          <w:lang w:bidi="ar-SY"/>
        </w:rPr>
        <w:t xml:space="preserve"> للمع</w:t>
      </w:r>
      <w:r w:rsidRPr="005269E6">
        <w:rPr>
          <w:rFonts w:hint="cs"/>
          <w:rtl/>
          <w:lang w:bidi="ar-SY"/>
        </w:rPr>
        <w:t>ي</w:t>
      </w:r>
      <w:r w:rsidRPr="005269E6">
        <w:rPr>
          <w:rtl/>
          <w:lang w:bidi="ar-SY"/>
        </w:rPr>
        <w:t xml:space="preserve">ار </w:t>
      </w:r>
      <w:r w:rsidRPr="005269E6">
        <w:rPr>
          <w:lang w:bidi="ar-SY"/>
        </w:rPr>
        <w:t>IPSAS 3</w:t>
      </w:r>
      <w:r w:rsidRPr="005269E6">
        <w:rPr>
          <w:rtl/>
          <w:lang w:bidi="ar-SY"/>
        </w:rPr>
        <w:t>، ونتيجة لما سبق، أعيدت معالجة البيانات المالية لعام 2021 لضمان إمكانية المقارنة.</w:t>
      </w:r>
    </w:p>
    <w:p w14:paraId="6F0B67A7" w14:textId="3E0FB90E" w:rsidR="002156EB" w:rsidRPr="005269E6" w:rsidRDefault="00195953" w:rsidP="002C7F47">
      <w:pPr>
        <w:spacing w:after="120"/>
        <w:rPr>
          <w:rtl/>
          <w:lang w:bidi="ar-SY"/>
        </w:rPr>
      </w:pPr>
      <w:r w:rsidRPr="005269E6">
        <w:rPr>
          <w:rtl/>
          <w:lang w:bidi="ar-SY"/>
        </w:rPr>
        <w:t xml:space="preserve">ويرد أدناه وصف لآثار التغييرات في السياسات المحاسبية وتصويبات أخطاء الفترة السابقة. </w:t>
      </w:r>
      <w:r w:rsidRPr="005269E6">
        <w:rPr>
          <w:rFonts w:hint="cs"/>
          <w:rtl/>
          <w:lang w:bidi="ar-SY"/>
        </w:rPr>
        <w:t>و</w:t>
      </w:r>
      <w:r w:rsidRPr="005269E6">
        <w:rPr>
          <w:rtl/>
          <w:lang w:bidi="ar-SY"/>
        </w:rPr>
        <w:t xml:space="preserve">جميع المبالغ المذكورة أدناه </w:t>
      </w:r>
      <w:r w:rsidRPr="005269E6">
        <w:rPr>
          <w:rFonts w:hint="cs"/>
          <w:rtl/>
          <w:lang w:bidi="ar-SY"/>
        </w:rPr>
        <w:t>هي بآلاف ال</w:t>
      </w:r>
      <w:r w:rsidRPr="005269E6">
        <w:rPr>
          <w:rtl/>
          <w:lang w:bidi="ar-SY"/>
        </w:rPr>
        <w:t>فرنك</w:t>
      </w:r>
      <w:r w:rsidRPr="005269E6">
        <w:rPr>
          <w:rFonts w:hint="cs"/>
          <w:rtl/>
          <w:lang w:bidi="ar-SY"/>
        </w:rPr>
        <w:t>ات</w:t>
      </w:r>
      <w:r w:rsidRPr="005269E6">
        <w:rPr>
          <w:rtl/>
          <w:lang w:bidi="ar-SY"/>
        </w:rPr>
        <w:t xml:space="preserve"> </w:t>
      </w:r>
      <w:r w:rsidRPr="005269E6">
        <w:rPr>
          <w:rFonts w:hint="cs"/>
          <w:rtl/>
          <w:lang w:bidi="ar-SY"/>
        </w:rPr>
        <w:t>ال</w:t>
      </w:r>
      <w:r w:rsidRPr="005269E6">
        <w:rPr>
          <w:rtl/>
          <w:lang w:bidi="ar-SY"/>
        </w:rPr>
        <w:t>سويسري</w:t>
      </w:r>
      <w:r w:rsidRPr="005269E6">
        <w:rPr>
          <w:rFonts w:hint="cs"/>
          <w:rtl/>
          <w:lang w:bidi="ar-SY"/>
        </w:rPr>
        <w:t>ة</w:t>
      </w:r>
      <w:r w:rsidRPr="005269E6">
        <w:rPr>
          <w:rtl/>
          <w:lang w:bidi="ar-SY"/>
        </w:rPr>
        <w:t>.</w:t>
      </w:r>
    </w:p>
    <w:p w14:paraId="0BCC3C13" w14:textId="471854AC" w:rsidR="00A71067" w:rsidRPr="005269E6" w:rsidRDefault="00195953" w:rsidP="00696AA6">
      <w:pPr>
        <w:pStyle w:val="Heading5"/>
        <w:rPr>
          <w:rtl/>
          <w:lang w:bidi="ar-SY"/>
        </w:rPr>
      </w:pPr>
      <w:bookmarkStart w:id="716" w:name="_Toc162520649"/>
      <w:r w:rsidRPr="005269E6">
        <w:rPr>
          <w:rtl/>
          <w:lang w:bidi="ar-SY"/>
        </w:rPr>
        <w:t xml:space="preserve">بيان الوضع المالي للسنة المنتهية في 31 ديسمبر 2021 و2020 (أعيد </w:t>
      </w:r>
      <w:r w:rsidRPr="005269E6">
        <w:rPr>
          <w:rFonts w:hint="cs"/>
          <w:rtl/>
          <w:lang w:bidi="ar-SY"/>
        </w:rPr>
        <w:t>بيانه</w:t>
      </w:r>
      <w:r w:rsidRPr="005269E6">
        <w:rPr>
          <w:rtl/>
          <w:lang w:bidi="ar-SY"/>
        </w:rPr>
        <w:t>)</w:t>
      </w:r>
      <w:bookmarkEnd w:id="716"/>
    </w:p>
    <w:tbl>
      <w:tblPr>
        <w:bidiVisual/>
        <w:tblW w:w="5332" w:type="pct"/>
        <w:jc w:val="center"/>
        <w:tblLook w:val="04A0" w:firstRow="1" w:lastRow="0" w:firstColumn="1" w:lastColumn="0" w:noHBand="0" w:noVBand="1"/>
      </w:tblPr>
      <w:tblGrid>
        <w:gridCol w:w="1615"/>
        <w:gridCol w:w="1316"/>
        <w:gridCol w:w="1349"/>
        <w:gridCol w:w="1154"/>
        <w:gridCol w:w="938"/>
        <w:gridCol w:w="271"/>
        <w:gridCol w:w="1349"/>
        <w:gridCol w:w="1154"/>
        <w:gridCol w:w="1133"/>
      </w:tblGrid>
      <w:tr w:rsidR="00AC2AAE" w:rsidRPr="005269E6" w14:paraId="3DE05884" w14:textId="77777777" w:rsidTr="00AC2AAE">
        <w:trPr>
          <w:trHeight w:val="540"/>
          <w:jc w:val="center"/>
        </w:trPr>
        <w:tc>
          <w:tcPr>
            <w:tcW w:w="1615" w:type="dxa"/>
            <w:tcBorders>
              <w:top w:val="nil"/>
              <w:left w:val="nil"/>
              <w:bottom w:val="nil"/>
              <w:right w:val="nil"/>
            </w:tcBorders>
            <w:shd w:val="clear" w:color="000000" w:fill="0070C0"/>
            <w:noWrap/>
            <w:vAlign w:val="center"/>
            <w:hideMark/>
          </w:tcPr>
          <w:p w14:paraId="35762EAF" w14:textId="68F6DE8A" w:rsidR="00AC1EF8" w:rsidRPr="005269E6" w:rsidRDefault="00195953" w:rsidP="002C7F47">
            <w:pPr>
              <w:tabs>
                <w:tab w:val="clear" w:pos="794"/>
              </w:tabs>
              <w:spacing w:before="40" w:after="40" w:line="240" w:lineRule="exact"/>
              <w:jc w:val="center"/>
              <w:rPr>
                <w:rFonts w:eastAsia="Times New Roman"/>
                <w:b/>
                <w:bCs/>
                <w:color w:val="000000"/>
                <w:sz w:val="16"/>
                <w:szCs w:val="16"/>
                <w:lang w:val="en-GB" w:eastAsia="en-GB"/>
              </w:rPr>
            </w:pPr>
            <w:r w:rsidRPr="005269E6">
              <w:rPr>
                <w:rFonts w:eastAsia="Times New Roman"/>
                <w:b/>
                <w:bCs/>
                <w:color w:val="000000"/>
                <w:sz w:val="16"/>
                <w:szCs w:val="16"/>
                <w:rtl/>
                <w:lang w:val="en-GB" w:eastAsia="en-GB"/>
              </w:rPr>
              <w:t>وصف</w:t>
            </w:r>
          </w:p>
        </w:tc>
        <w:tc>
          <w:tcPr>
            <w:tcW w:w="1316" w:type="dxa"/>
            <w:tcBorders>
              <w:top w:val="nil"/>
              <w:left w:val="nil"/>
              <w:bottom w:val="nil"/>
              <w:right w:val="nil"/>
            </w:tcBorders>
            <w:shd w:val="clear" w:color="000000" w:fill="0070C0"/>
            <w:vAlign w:val="center"/>
            <w:hideMark/>
          </w:tcPr>
          <w:p w14:paraId="11E9D268" w14:textId="6C75F1A6" w:rsidR="00AC1EF8" w:rsidRPr="005269E6" w:rsidRDefault="00AC1EF8" w:rsidP="002C7F47">
            <w:pPr>
              <w:tabs>
                <w:tab w:val="clear" w:pos="794"/>
              </w:tabs>
              <w:spacing w:before="40" w:after="40" w:line="240" w:lineRule="exact"/>
              <w:jc w:val="center"/>
              <w:rPr>
                <w:rFonts w:eastAsia="Times New Roman"/>
                <w:b/>
                <w:bCs/>
                <w:color w:val="000000"/>
                <w:sz w:val="16"/>
                <w:szCs w:val="16"/>
                <w:rtl/>
                <w:lang w:val="en-GB" w:eastAsia="en-GB" w:bidi="ar-SY"/>
              </w:rPr>
            </w:pPr>
            <w:r w:rsidRPr="005269E6">
              <w:rPr>
                <w:rFonts w:eastAsia="Times New Roman"/>
                <w:b/>
                <w:bCs/>
                <w:color w:val="000000"/>
                <w:sz w:val="16"/>
                <w:szCs w:val="16"/>
                <w:rtl/>
                <w:lang w:val="en-GB" w:eastAsia="en-GB" w:bidi="ar-SY"/>
              </w:rPr>
              <w:t>ملاحظات</w:t>
            </w:r>
          </w:p>
        </w:tc>
        <w:tc>
          <w:tcPr>
            <w:tcW w:w="1349" w:type="dxa"/>
            <w:tcBorders>
              <w:top w:val="nil"/>
              <w:left w:val="nil"/>
              <w:bottom w:val="nil"/>
              <w:right w:val="nil"/>
            </w:tcBorders>
            <w:shd w:val="clear" w:color="000000" w:fill="0070C0"/>
            <w:vAlign w:val="center"/>
          </w:tcPr>
          <w:p w14:paraId="6109183B" w14:textId="0BB744BA" w:rsidR="00AC1EF8" w:rsidRPr="005269E6" w:rsidRDefault="00AC1EF8" w:rsidP="002C7F47">
            <w:pPr>
              <w:tabs>
                <w:tab w:val="clear" w:pos="794"/>
              </w:tabs>
              <w:spacing w:before="40" w:after="40" w:line="240" w:lineRule="exact"/>
              <w:jc w:val="center"/>
              <w:rPr>
                <w:rFonts w:eastAsia="Times New Roman"/>
                <w:b/>
                <w:bCs/>
                <w:color w:val="000000"/>
                <w:sz w:val="16"/>
                <w:szCs w:val="16"/>
                <w:lang w:eastAsia="en-GB"/>
              </w:rPr>
            </w:pPr>
            <w:r w:rsidRPr="005269E6">
              <w:rPr>
                <w:rFonts w:eastAsia="Times New Roman"/>
                <w:b/>
                <w:bCs/>
                <w:color w:val="000000"/>
                <w:sz w:val="16"/>
                <w:szCs w:val="16"/>
                <w:lang w:eastAsia="en-GB"/>
              </w:rPr>
              <w:t>31</w:t>
            </w:r>
            <w:r w:rsidRPr="005269E6">
              <w:rPr>
                <w:rFonts w:eastAsia="Times New Roman"/>
                <w:b/>
                <w:bCs/>
                <w:color w:val="000000"/>
                <w:sz w:val="16"/>
                <w:szCs w:val="16"/>
                <w:rtl/>
                <w:lang w:eastAsia="en-GB" w:bidi="ar-SY"/>
              </w:rPr>
              <w:t xml:space="preserve"> ديسمبر </w:t>
            </w:r>
            <w:r w:rsidRPr="005269E6">
              <w:rPr>
                <w:rFonts w:eastAsia="Times New Roman"/>
                <w:b/>
                <w:bCs/>
                <w:color w:val="000000"/>
                <w:sz w:val="16"/>
                <w:szCs w:val="16"/>
                <w:lang w:eastAsia="en-GB" w:bidi="ar-SY"/>
              </w:rPr>
              <w:t>2021</w:t>
            </w:r>
          </w:p>
        </w:tc>
        <w:tc>
          <w:tcPr>
            <w:tcW w:w="1154" w:type="dxa"/>
            <w:tcBorders>
              <w:top w:val="nil"/>
              <w:left w:val="nil"/>
              <w:bottom w:val="nil"/>
              <w:right w:val="nil"/>
            </w:tcBorders>
            <w:shd w:val="clear" w:color="000000" w:fill="0070C0"/>
            <w:vAlign w:val="center"/>
          </w:tcPr>
          <w:p w14:paraId="6571B7A4" w14:textId="0AC87D0C" w:rsidR="00AC1EF8" w:rsidRPr="005269E6" w:rsidRDefault="00195953" w:rsidP="002C7F47">
            <w:pPr>
              <w:tabs>
                <w:tab w:val="clear" w:pos="794"/>
              </w:tabs>
              <w:spacing w:before="40" w:after="40" w:line="240" w:lineRule="exact"/>
              <w:jc w:val="center"/>
              <w:rPr>
                <w:rFonts w:eastAsia="Times New Roman"/>
                <w:b/>
                <w:bCs/>
                <w:color w:val="000000"/>
                <w:sz w:val="16"/>
                <w:szCs w:val="16"/>
                <w:lang w:eastAsia="en-GB"/>
              </w:rPr>
            </w:pPr>
            <w:r w:rsidRPr="005269E6">
              <w:rPr>
                <w:rFonts w:eastAsia="Times New Roman"/>
                <w:b/>
                <w:bCs/>
                <w:color w:val="000000"/>
                <w:sz w:val="16"/>
                <w:szCs w:val="16"/>
                <w:rtl/>
                <w:lang w:eastAsia="en-GB"/>
              </w:rPr>
              <w:t>بيانات مراجعة</w:t>
            </w:r>
          </w:p>
        </w:tc>
        <w:tc>
          <w:tcPr>
            <w:tcW w:w="938" w:type="dxa"/>
            <w:tcBorders>
              <w:top w:val="nil"/>
              <w:left w:val="nil"/>
              <w:bottom w:val="nil"/>
              <w:right w:val="nil"/>
            </w:tcBorders>
            <w:shd w:val="clear" w:color="000000" w:fill="0070C0"/>
            <w:vAlign w:val="center"/>
          </w:tcPr>
          <w:p w14:paraId="5239A9A9" w14:textId="3313568D" w:rsidR="00AC1EF8" w:rsidRPr="005269E6" w:rsidRDefault="00AC1EF8" w:rsidP="00AC2AAE">
            <w:pPr>
              <w:tabs>
                <w:tab w:val="clear" w:pos="794"/>
              </w:tabs>
              <w:spacing w:before="40" w:after="40" w:line="240" w:lineRule="exact"/>
              <w:jc w:val="center"/>
              <w:rPr>
                <w:rFonts w:eastAsia="Times New Roman"/>
                <w:b/>
                <w:bCs/>
                <w:color w:val="000000"/>
                <w:sz w:val="16"/>
                <w:szCs w:val="16"/>
                <w:rtl/>
                <w:lang w:eastAsia="en-GB" w:bidi="ar-SY"/>
              </w:rPr>
            </w:pPr>
            <w:r w:rsidRPr="005269E6">
              <w:rPr>
                <w:rFonts w:eastAsia="Times New Roman"/>
                <w:b/>
                <w:bCs/>
                <w:color w:val="000000"/>
                <w:sz w:val="16"/>
                <w:szCs w:val="16"/>
                <w:lang w:eastAsia="en-GB"/>
              </w:rPr>
              <w:t>31</w:t>
            </w:r>
            <w:r w:rsidRPr="005269E6">
              <w:rPr>
                <w:rFonts w:eastAsia="Times New Roman"/>
                <w:b/>
                <w:bCs/>
                <w:color w:val="000000"/>
                <w:sz w:val="16"/>
                <w:szCs w:val="16"/>
                <w:rtl/>
                <w:lang w:eastAsia="en-GB" w:bidi="ar-SY"/>
              </w:rPr>
              <w:t xml:space="preserve"> ديسمبر </w:t>
            </w:r>
            <w:r w:rsidRPr="005269E6">
              <w:rPr>
                <w:rFonts w:eastAsia="Times New Roman"/>
                <w:b/>
                <w:bCs/>
                <w:color w:val="000000"/>
                <w:sz w:val="16"/>
                <w:szCs w:val="16"/>
                <w:lang w:eastAsia="en-GB" w:bidi="ar-SY"/>
              </w:rPr>
              <w:t>2021</w:t>
            </w:r>
            <w:r w:rsidR="00AC2AAE" w:rsidRPr="005269E6">
              <w:rPr>
                <w:rFonts w:eastAsia="Times New Roman"/>
                <w:b/>
                <w:bCs/>
                <w:color w:val="000000"/>
                <w:sz w:val="16"/>
                <w:szCs w:val="16"/>
                <w:lang w:eastAsia="en-GB" w:bidi="ar-SY"/>
              </w:rPr>
              <w:br/>
            </w:r>
            <w:r w:rsidRPr="005269E6">
              <w:rPr>
                <w:rFonts w:eastAsia="Times New Roman"/>
                <w:b/>
                <w:bCs/>
                <w:color w:val="000000"/>
                <w:sz w:val="16"/>
                <w:szCs w:val="16"/>
                <w:rtl/>
                <w:lang w:eastAsia="en-GB" w:bidi="ar-SY"/>
              </w:rPr>
              <w:t>(</w:t>
            </w:r>
            <w:r w:rsidR="00195953" w:rsidRPr="005269E6">
              <w:rPr>
                <w:rFonts w:eastAsia="Times New Roman"/>
                <w:b/>
                <w:bCs/>
                <w:color w:val="000000"/>
                <w:sz w:val="16"/>
                <w:szCs w:val="16"/>
                <w:rtl/>
                <w:lang w:eastAsia="en-GB" w:bidi="ar-SY"/>
              </w:rPr>
              <w:t>أعيد بيانه</w:t>
            </w:r>
            <w:r w:rsidRPr="005269E6">
              <w:rPr>
                <w:rFonts w:eastAsia="Times New Roman"/>
                <w:b/>
                <w:bCs/>
                <w:color w:val="000000"/>
                <w:sz w:val="16"/>
                <w:szCs w:val="16"/>
                <w:rtl/>
                <w:lang w:eastAsia="en-GB" w:bidi="ar-SY"/>
              </w:rPr>
              <w:t>)</w:t>
            </w:r>
          </w:p>
        </w:tc>
        <w:tc>
          <w:tcPr>
            <w:tcW w:w="271" w:type="dxa"/>
            <w:tcBorders>
              <w:top w:val="nil"/>
              <w:left w:val="nil"/>
              <w:bottom w:val="nil"/>
              <w:right w:val="nil"/>
            </w:tcBorders>
            <w:shd w:val="clear" w:color="auto" w:fill="auto"/>
            <w:vAlign w:val="center"/>
          </w:tcPr>
          <w:p w14:paraId="613B3F9F" w14:textId="77777777" w:rsidR="00AC1EF8" w:rsidRPr="005269E6" w:rsidRDefault="00AC1EF8" w:rsidP="002C7F47">
            <w:pPr>
              <w:tabs>
                <w:tab w:val="clear" w:pos="794"/>
              </w:tabs>
              <w:spacing w:before="40" w:after="40" w:line="240" w:lineRule="exact"/>
              <w:jc w:val="center"/>
              <w:rPr>
                <w:rFonts w:eastAsia="Times New Roman"/>
                <w:b/>
                <w:bCs/>
                <w:color w:val="000000"/>
                <w:sz w:val="16"/>
                <w:szCs w:val="16"/>
                <w:rtl/>
                <w:lang w:val="en-GB" w:eastAsia="en-GB"/>
              </w:rPr>
            </w:pPr>
          </w:p>
        </w:tc>
        <w:tc>
          <w:tcPr>
            <w:tcW w:w="1349" w:type="dxa"/>
            <w:tcBorders>
              <w:top w:val="nil"/>
              <w:left w:val="nil"/>
              <w:bottom w:val="nil"/>
              <w:right w:val="nil"/>
            </w:tcBorders>
            <w:shd w:val="clear" w:color="000000" w:fill="0070C0"/>
            <w:vAlign w:val="center"/>
            <w:hideMark/>
          </w:tcPr>
          <w:p w14:paraId="092E95FC" w14:textId="4D0E9369" w:rsidR="00AC1EF8" w:rsidRPr="005269E6" w:rsidRDefault="00AC1EF8" w:rsidP="002C7F47">
            <w:pPr>
              <w:tabs>
                <w:tab w:val="clear" w:pos="794"/>
              </w:tabs>
              <w:spacing w:before="40" w:after="40" w:line="240" w:lineRule="exact"/>
              <w:jc w:val="center"/>
              <w:rPr>
                <w:rFonts w:eastAsia="Times New Roman"/>
                <w:b/>
                <w:bCs/>
                <w:color w:val="000000"/>
                <w:sz w:val="16"/>
                <w:szCs w:val="16"/>
                <w:rtl/>
                <w:lang w:eastAsia="en-GB" w:bidi="ar-SY"/>
              </w:rPr>
            </w:pPr>
            <w:r w:rsidRPr="005269E6">
              <w:rPr>
                <w:rFonts w:eastAsia="Times New Roman"/>
                <w:b/>
                <w:bCs/>
                <w:color w:val="000000"/>
                <w:sz w:val="16"/>
                <w:szCs w:val="16"/>
                <w:lang w:val="en-GB" w:eastAsia="en-GB"/>
              </w:rPr>
              <w:t>31</w:t>
            </w:r>
            <w:r w:rsidRPr="005269E6">
              <w:rPr>
                <w:rFonts w:eastAsia="Times New Roman"/>
                <w:b/>
                <w:bCs/>
                <w:color w:val="000000"/>
                <w:sz w:val="16"/>
                <w:szCs w:val="16"/>
                <w:rtl/>
                <w:lang w:val="en-GB" w:eastAsia="en-GB" w:bidi="ar-SY"/>
              </w:rPr>
              <w:t xml:space="preserve"> ديسمبر </w:t>
            </w:r>
            <w:r w:rsidRPr="005269E6">
              <w:rPr>
                <w:rFonts w:eastAsia="Times New Roman"/>
                <w:b/>
                <w:bCs/>
                <w:color w:val="000000"/>
                <w:sz w:val="16"/>
                <w:szCs w:val="16"/>
                <w:lang w:eastAsia="en-GB" w:bidi="ar-SY"/>
              </w:rPr>
              <w:t>2020</w:t>
            </w:r>
          </w:p>
        </w:tc>
        <w:tc>
          <w:tcPr>
            <w:tcW w:w="1154" w:type="dxa"/>
            <w:tcBorders>
              <w:top w:val="nil"/>
              <w:left w:val="nil"/>
              <w:bottom w:val="nil"/>
              <w:right w:val="nil"/>
            </w:tcBorders>
            <w:shd w:val="clear" w:color="000000" w:fill="0070C0"/>
            <w:vAlign w:val="center"/>
          </w:tcPr>
          <w:p w14:paraId="63FDD216" w14:textId="77317B42" w:rsidR="00AC1EF8" w:rsidRPr="005269E6" w:rsidRDefault="00195953" w:rsidP="002C7F47">
            <w:pPr>
              <w:tabs>
                <w:tab w:val="clear" w:pos="794"/>
              </w:tabs>
              <w:spacing w:before="40" w:after="40" w:line="240" w:lineRule="exact"/>
              <w:jc w:val="center"/>
              <w:rPr>
                <w:rFonts w:eastAsia="Times New Roman"/>
                <w:b/>
                <w:bCs/>
                <w:color w:val="000000"/>
                <w:sz w:val="16"/>
                <w:szCs w:val="16"/>
                <w:lang w:eastAsia="en-GB"/>
              </w:rPr>
            </w:pPr>
            <w:r w:rsidRPr="005269E6">
              <w:rPr>
                <w:rFonts w:eastAsia="Times New Roman"/>
                <w:b/>
                <w:bCs/>
                <w:color w:val="000000"/>
                <w:sz w:val="16"/>
                <w:szCs w:val="16"/>
                <w:rtl/>
                <w:lang w:eastAsia="en-GB"/>
              </w:rPr>
              <w:t>بيانات مراجعة</w:t>
            </w:r>
          </w:p>
        </w:tc>
        <w:tc>
          <w:tcPr>
            <w:tcW w:w="1133" w:type="dxa"/>
            <w:tcBorders>
              <w:top w:val="nil"/>
              <w:left w:val="nil"/>
              <w:bottom w:val="nil"/>
              <w:right w:val="nil"/>
            </w:tcBorders>
            <w:shd w:val="clear" w:color="000000" w:fill="0070C0"/>
            <w:vAlign w:val="center"/>
            <w:hideMark/>
          </w:tcPr>
          <w:p w14:paraId="5B3C9300" w14:textId="6E13A887" w:rsidR="00AC1EF8" w:rsidRPr="005269E6" w:rsidRDefault="00AC1EF8" w:rsidP="002C7F47">
            <w:pPr>
              <w:tabs>
                <w:tab w:val="clear" w:pos="794"/>
              </w:tabs>
              <w:spacing w:before="40" w:after="40" w:line="240" w:lineRule="exact"/>
              <w:jc w:val="center"/>
              <w:rPr>
                <w:rFonts w:eastAsia="Times New Roman"/>
                <w:b/>
                <w:bCs/>
                <w:color w:val="000000"/>
                <w:sz w:val="16"/>
                <w:szCs w:val="16"/>
                <w:rtl/>
                <w:lang w:val="en-GB" w:eastAsia="en-GB"/>
              </w:rPr>
            </w:pPr>
            <w:r w:rsidRPr="005269E6">
              <w:rPr>
                <w:rFonts w:eastAsia="Times New Roman"/>
                <w:b/>
                <w:bCs/>
                <w:color w:val="000000"/>
                <w:sz w:val="16"/>
                <w:szCs w:val="16"/>
                <w:lang w:eastAsia="en-GB"/>
              </w:rPr>
              <w:t>31</w:t>
            </w:r>
            <w:r w:rsidRPr="005269E6">
              <w:rPr>
                <w:rFonts w:eastAsia="Times New Roman"/>
                <w:b/>
                <w:bCs/>
                <w:color w:val="000000"/>
                <w:sz w:val="16"/>
                <w:szCs w:val="16"/>
                <w:rtl/>
                <w:lang w:eastAsia="en-GB" w:bidi="ar-SY"/>
              </w:rPr>
              <w:t xml:space="preserve"> ديسمبر </w:t>
            </w:r>
            <w:r w:rsidRPr="005269E6">
              <w:rPr>
                <w:rFonts w:eastAsia="Times New Roman"/>
                <w:b/>
                <w:bCs/>
                <w:color w:val="000000"/>
                <w:sz w:val="16"/>
                <w:szCs w:val="16"/>
                <w:lang w:eastAsia="en-GB" w:bidi="ar-SY"/>
              </w:rPr>
              <w:t>2020</w:t>
            </w:r>
            <w:r w:rsidR="00AC2AAE" w:rsidRPr="005269E6">
              <w:rPr>
                <w:rFonts w:eastAsia="Times New Roman"/>
                <w:b/>
                <w:bCs/>
                <w:color w:val="000000"/>
                <w:sz w:val="16"/>
                <w:szCs w:val="16"/>
                <w:lang w:eastAsia="en-GB" w:bidi="ar-SY"/>
              </w:rPr>
              <w:br/>
            </w:r>
            <w:r w:rsidRPr="005269E6">
              <w:rPr>
                <w:rFonts w:eastAsia="Times New Roman"/>
                <w:b/>
                <w:bCs/>
                <w:color w:val="000000"/>
                <w:sz w:val="16"/>
                <w:szCs w:val="16"/>
                <w:rtl/>
                <w:lang w:eastAsia="en-GB" w:bidi="ar-SY"/>
              </w:rPr>
              <w:t xml:space="preserve"> (</w:t>
            </w:r>
            <w:r w:rsidR="00195953" w:rsidRPr="005269E6">
              <w:rPr>
                <w:rFonts w:eastAsia="Times New Roman"/>
                <w:b/>
                <w:bCs/>
                <w:color w:val="000000"/>
                <w:sz w:val="16"/>
                <w:szCs w:val="16"/>
                <w:rtl/>
                <w:lang w:eastAsia="en-GB" w:bidi="ar-SY"/>
              </w:rPr>
              <w:t>أعيد بيانه</w:t>
            </w:r>
            <w:r w:rsidRPr="005269E6">
              <w:rPr>
                <w:rFonts w:eastAsia="Times New Roman"/>
                <w:b/>
                <w:bCs/>
                <w:color w:val="000000"/>
                <w:sz w:val="16"/>
                <w:szCs w:val="16"/>
                <w:rtl/>
                <w:lang w:eastAsia="en-GB" w:bidi="ar-SY"/>
              </w:rPr>
              <w:t>)</w:t>
            </w:r>
          </w:p>
        </w:tc>
      </w:tr>
      <w:tr w:rsidR="007C5053" w:rsidRPr="005269E6" w14:paraId="5CB83E0C" w14:textId="77777777" w:rsidTr="00FE51D3">
        <w:trPr>
          <w:trHeight w:val="255"/>
          <w:jc w:val="center"/>
        </w:trPr>
        <w:tc>
          <w:tcPr>
            <w:tcW w:w="1615" w:type="dxa"/>
            <w:tcBorders>
              <w:top w:val="nil"/>
              <w:left w:val="nil"/>
              <w:bottom w:val="nil"/>
              <w:right w:val="nil"/>
            </w:tcBorders>
            <w:shd w:val="clear" w:color="auto" w:fill="auto"/>
            <w:noWrap/>
            <w:vAlign w:val="center"/>
            <w:hideMark/>
          </w:tcPr>
          <w:p w14:paraId="62B0A0E9" w14:textId="40FD245B" w:rsidR="00AC1EF8" w:rsidRPr="005269E6" w:rsidRDefault="00BA3B59" w:rsidP="00FE51D3">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rtl/>
                <w:lang w:val="en-GB" w:eastAsia="en-GB"/>
              </w:rPr>
              <w:t>الأصول</w:t>
            </w:r>
          </w:p>
        </w:tc>
        <w:tc>
          <w:tcPr>
            <w:tcW w:w="1316" w:type="dxa"/>
            <w:tcBorders>
              <w:top w:val="nil"/>
              <w:left w:val="nil"/>
              <w:bottom w:val="nil"/>
              <w:right w:val="nil"/>
            </w:tcBorders>
            <w:shd w:val="clear" w:color="auto" w:fill="auto"/>
            <w:noWrap/>
            <w:vAlign w:val="bottom"/>
          </w:tcPr>
          <w:p w14:paraId="2D19E622" w14:textId="48281E71" w:rsidR="00AC1EF8" w:rsidRPr="005269E6" w:rsidRDefault="00AC1EF8" w:rsidP="00796FC2">
            <w:pPr>
              <w:tabs>
                <w:tab w:val="clear" w:pos="794"/>
              </w:tabs>
              <w:spacing w:before="40" w:after="40" w:line="240" w:lineRule="exact"/>
              <w:jc w:val="center"/>
              <w:rPr>
                <w:rFonts w:eastAsia="Times New Roman"/>
                <w:color w:val="000000"/>
                <w:sz w:val="16"/>
                <w:szCs w:val="16"/>
                <w:lang w:val="en-GB" w:eastAsia="en-GB"/>
              </w:rPr>
            </w:pPr>
          </w:p>
        </w:tc>
        <w:tc>
          <w:tcPr>
            <w:tcW w:w="1349" w:type="dxa"/>
            <w:tcBorders>
              <w:top w:val="nil"/>
              <w:left w:val="nil"/>
              <w:bottom w:val="nil"/>
              <w:right w:val="nil"/>
            </w:tcBorders>
          </w:tcPr>
          <w:p w14:paraId="0C43D005" w14:textId="77777777" w:rsidR="00AC1EF8" w:rsidRPr="005269E6" w:rsidRDefault="00AC1EF8" w:rsidP="00696AA6">
            <w:pPr>
              <w:tabs>
                <w:tab w:val="clear" w:pos="794"/>
              </w:tabs>
              <w:spacing w:before="40" w:after="40" w:line="240" w:lineRule="exact"/>
              <w:jc w:val="left"/>
              <w:rPr>
                <w:rFonts w:eastAsia="Times New Roman"/>
                <w:color w:val="000000"/>
                <w:sz w:val="16"/>
                <w:szCs w:val="16"/>
                <w:lang w:val="en-GB" w:eastAsia="en-GB"/>
              </w:rPr>
            </w:pPr>
          </w:p>
        </w:tc>
        <w:tc>
          <w:tcPr>
            <w:tcW w:w="1154" w:type="dxa"/>
            <w:tcBorders>
              <w:top w:val="nil"/>
              <w:left w:val="nil"/>
              <w:bottom w:val="nil"/>
              <w:right w:val="nil"/>
            </w:tcBorders>
          </w:tcPr>
          <w:p w14:paraId="3E604565" w14:textId="2B84447A" w:rsidR="00AC1EF8" w:rsidRPr="005269E6" w:rsidRDefault="00AC1EF8" w:rsidP="00696AA6">
            <w:pPr>
              <w:tabs>
                <w:tab w:val="clear" w:pos="794"/>
              </w:tabs>
              <w:spacing w:before="40" w:after="40" w:line="240" w:lineRule="exact"/>
              <w:jc w:val="left"/>
              <w:rPr>
                <w:rFonts w:eastAsia="Times New Roman"/>
                <w:color w:val="000000"/>
                <w:sz w:val="16"/>
                <w:szCs w:val="16"/>
                <w:lang w:val="en-GB" w:eastAsia="en-GB"/>
              </w:rPr>
            </w:pPr>
          </w:p>
        </w:tc>
        <w:tc>
          <w:tcPr>
            <w:tcW w:w="938" w:type="dxa"/>
            <w:tcBorders>
              <w:top w:val="nil"/>
              <w:left w:val="nil"/>
              <w:bottom w:val="nil"/>
              <w:right w:val="nil"/>
            </w:tcBorders>
          </w:tcPr>
          <w:p w14:paraId="559E77DF" w14:textId="0778BFBC" w:rsidR="00AC1EF8" w:rsidRPr="005269E6" w:rsidRDefault="00AC1EF8" w:rsidP="00696AA6">
            <w:pPr>
              <w:tabs>
                <w:tab w:val="clear" w:pos="794"/>
              </w:tabs>
              <w:spacing w:before="40" w:after="40" w:line="240" w:lineRule="exact"/>
              <w:jc w:val="left"/>
              <w:rPr>
                <w:rFonts w:eastAsia="Times New Roman"/>
                <w:color w:val="000000"/>
                <w:sz w:val="16"/>
                <w:szCs w:val="16"/>
                <w:lang w:val="en-GB" w:eastAsia="en-GB"/>
              </w:rPr>
            </w:pPr>
          </w:p>
        </w:tc>
        <w:tc>
          <w:tcPr>
            <w:tcW w:w="271" w:type="dxa"/>
            <w:tcBorders>
              <w:top w:val="nil"/>
              <w:left w:val="nil"/>
              <w:bottom w:val="nil"/>
              <w:right w:val="nil"/>
            </w:tcBorders>
            <w:shd w:val="clear" w:color="auto" w:fill="auto"/>
          </w:tcPr>
          <w:p w14:paraId="6FB71EA0" w14:textId="77777777" w:rsidR="00AC1EF8" w:rsidRPr="005269E6" w:rsidRDefault="00AC1EF8"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3B6997D4" w14:textId="65CC7526" w:rsidR="00AC1EF8" w:rsidRPr="005269E6" w:rsidRDefault="00AC1EF8" w:rsidP="00696AA6">
            <w:pPr>
              <w:tabs>
                <w:tab w:val="clear" w:pos="794"/>
              </w:tabs>
              <w:spacing w:before="40" w:after="40" w:line="240" w:lineRule="exact"/>
              <w:jc w:val="left"/>
              <w:rPr>
                <w:rFonts w:eastAsia="Times New Roman"/>
                <w:color w:val="000000"/>
                <w:sz w:val="16"/>
                <w:szCs w:val="16"/>
                <w:lang w:val="en-GB" w:eastAsia="en-GB"/>
              </w:rPr>
            </w:pPr>
          </w:p>
        </w:tc>
        <w:tc>
          <w:tcPr>
            <w:tcW w:w="1154" w:type="dxa"/>
            <w:tcBorders>
              <w:top w:val="nil"/>
              <w:left w:val="nil"/>
              <w:bottom w:val="nil"/>
              <w:right w:val="nil"/>
            </w:tcBorders>
          </w:tcPr>
          <w:p w14:paraId="3B90B339" w14:textId="77777777" w:rsidR="00AC1EF8" w:rsidRPr="005269E6" w:rsidRDefault="00AC1EF8" w:rsidP="00696AA6">
            <w:pPr>
              <w:tabs>
                <w:tab w:val="clear" w:pos="794"/>
              </w:tabs>
              <w:spacing w:before="40" w:after="40" w:line="240" w:lineRule="exact"/>
              <w:jc w:val="left"/>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5CF2767B" w14:textId="2E1D77FB" w:rsidR="00AC1EF8" w:rsidRPr="005269E6" w:rsidRDefault="00AC1EF8" w:rsidP="00696AA6">
            <w:pPr>
              <w:tabs>
                <w:tab w:val="clear" w:pos="794"/>
              </w:tabs>
              <w:spacing w:before="40" w:after="40" w:line="240" w:lineRule="exact"/>
              <w:jc w:val="left"/>
              <w:rPr>
                <w:rFonts w:eastAsia="Times New Roman"/>
                <w:color w:val="000000"/>
                <w:sz w:val="16"/>
                <w:szCs w:val="16"/>
                <w:lang w:val="en-GB" w:eastAsia="en-GB"/>
              </w:rPr>
            </w:pPr>
          </w:p>
        </w:tc>
      </w:tr>
      <w:tr w:rsidR="005E7F70" w:rsidRPr="005269E6" w14:paraId="7AB96519" w14:textId="77777777" w:rsidTr="00FE51D3">
        <w:trPr>
          <w:trHeight w:val="255"/>
          <w:jc w:val="center"/>
        </w:trPr>
        <w:tc>
          <w:tcPr>
            <w:tcW w:w="1615" w:type="dxa"/>
            <w:tcBorders>
              <w:top w:val="nil"/>
              <w:left w:val="nil"/>
              <w:bottom w:val="nil"/>
              <w:right w:val="nil"/>
            </w:tcBorders>
            <w:shd w:val="clear" w:color="auto" w:fill="auto"/>
            <w:noWrap/>
            <w:vAlign w:val="center"/>
          </w:tcPr>
          <w:p w14:paraId="6E028C33" w14:textId="02B61B0B" w:rsidR="003871F6" w:rsidRPr="005269E6" w:rsidRDefault="00BA3B59" w:rsidP="00FE51D3">
            <w:pPr>
              <w:tabs>
                <w:tab w:val="clear" w:pos="794"/>
              </w:tabs>
              <w:spacing w:before="40" w:after="40" w:line="240" w:lineRule="exact"/>
              <w:jc w:val="left"/>
              <w:rPr>
                <w:rFonts w:eastAsia="Times New Roman"/>
                <w:b/>
                <w:bCs/>
                <w:color w:val="000000"/>
                <w:sz w:val="16"/>
                <w:szCs w:val="16"/>
                <w:rtl/>
                <w:lang w:val="en-GB" w:eastAsia="en-GB"/>
              </w:rPr>
            </w:pPr>
            <w:r w:rsidRPr="005269E6">
              <w:rPr>
                <w:rFonts w:eastAsia="Times New Roman"/>
                <w:b/>
                <w:bCs/>
                <w:color w:val="000000"/>
                <w:sz w:val="16"/>
                <w:szCs w:val="16"/>
                <w:rtl/>
                <w:lang w:val="en-GB" w:eastAsia="en-GB"/>
              </w:rPr>
              <w:t>الأصول الجارية</w:t>
            </w:r>
          </w:p>
        </w:tc>
        <w:tc>
          <w:tcPr>
            <w:tcW w:w="1316" w:type="dxa"/>
            <w:tcBorders>
              <w:top w:val="nil"/>
              <w:left w:val="nil"/>
              <w:bottom w:val="nil"/>
              <w:right w:val="nil"/>
            </w:tcBorders>
            <w:shd w:val="clear" w:color="auto" w:fill="auto"/>
            <w:noWrap/>
            <w:vAlign w:val="bottom"/>
          </w:tcPr>
          <w:p w14:paraId="72C9654E" w14:textId="77777777" w:rsidR="003871F6" w:rsidRPr="005269E6" w:rsidRDefault="003871F6" w:rsidP="00796FC2">
            <w:pPr>
              <w:tabs>
                <w:tab w:val="clear" w:pos="794"/>
              </w:tabs>
              <w:spacing w:before="40" w:after="40" w:line="240" w:lineRule="exact"/>
              <w:jc w:val="center"/>
              <w:rPr>
                <w:rFonts w:eastAsia="Times New Roman"/>
                <w:color w:val="000000"/>
                <w:sz w:val="16"/>
                <w:szCs w:val="16"/>
                <w:lang w:val="en-GB" w:eastAsia="en-GB"/>
              </w:rPr>
            </w:pPr>
          </w:p>
        </w:tc>
        <w:tc>
          <w:tcPr>
            <w:tcW w:w="1349" w:type="dxa"/>
            <w:tcBorders>
              <w:top w:val="nil"/>
              <w:left w:val="nil"/>
              <w:bottom w:val="nil"/>
              <w:right w:val="nil"/>
            </w:tcBorders>
          </w:tcPr>
          <w:p w14:paraId="33404704" w14:textId="77777777" w:rsidR="003871F6" w:rsidRPr="005269E6" w:rsidRDefault="003871F6" w:rsidP="00696AA6">
            <w:pPr>
              <w:tabs>
                <w:tab w:val="clear" w:pos="794"/>
              </w:tabs>
              <w:spacing w:before="40" w:after="40" w:line="240" w:lineRule="exact"/>
              <w:jc w:val="left"/>
              <w:rPr>
                <w:rFonts w:eastAsia="Times New Roman"/>
                <w:color w:val="000000"/>
                <w:sz w:val="16"/>
                <w:szCs w:val="16"/>
                <w:lang w:val="en-GB" w:eastAsia="en-GB"/>
              </w:rPr>
            </w:pPr>
          </w:p>
        </w:tc>
        <w:tc>
          <w:tcPr>
            <w:tcW w:w="1154" w:type="dxa"/>
            <w:tcBorders>
              <w:top w:val="nil"/>
              <w:left w:val="nil"/>
              <w:bottom w:val="nil"/>
              <w:right w:val="nil"/>
            </w:tcBorders>
          </w:tcPr>
          <w:p w14:paraId="43F12AA9" w14:textId="77777777" w:rsidR="003871F6" w:rsidRPr="005269E6" w:rsidRDefault="003871F6" w:rsidP="00696AA6">
            <w:pPr>
              <w:tabs>
                <w:tab w:val="clear" w:pos="794"/>
              </w:tabs>
              <w:spacing w:before="40" w:after="40" w:line="240" w:lineRule="exact"/>
              <w:jc w:val="left"/>
              <w:rPr>
                <w:rFonts w:eastAsia="Times New Roman"/>
                <w:color w:val="000000"/>
                <w:sz w:val="16"/>
                <w:szCs w:val="16"/>
                <w:lang w:val="en-GB" w:eastAsia="en-GB"/>
              </w:rPr>
            </w:pPr>
          </w:p>
        </w:tc>
        <w:tc>
          <w:tcPr>
            <w:tcW w:w="938" w:type="dxa"/>
            <w:tcBorders>
              <w:top w:val="nil"/>
              <w:left w:val="nil"/>
              <w:bottom w:val="nil"/>
              <w:right w:val="nil"/>
            </w:tcBorders>
          </w:tcPr>
          <w:p w14:paraId="15FE76CE" w14:textId="77777777" w:rsidR="003871F6" w:rsidRPr="005269E6" w:rsidRDefault="003871F6" w:rsidP="00696AA6">
            <w:pPr>
              <w:tabs>
                <w:tab w:val="clear" w:pos="794"/>
              </w:tabs>
              <w:spacing w:before="40" w:after="40" w:line="240" w:lineRule="exact"/>
              <w:jc w:val="left"/>
              <w:rPr>
                <w:rFonts w:eastAsia="Times New Roman"/>
                <w:color w:val="000000"/>
                <w:sz w:val="16"/>
                <w:szCs w:val="16"/>
                <w:lang w:val="en-GB" w:eastAsia="en-GB"/>
              </w:rPr>
            </w:pPr>
          </w:p>
        </w:tc>
        <w:tc>
          <w:tcPr>
            <w:tcW w:w="271" w:type="dxa"/>
            <w:tcBorders>
              <w:top w:val="nil"/>
              <w:left w:val="nil"/>
              <w:bottom w:val="nil"/>
              <w:right w:val="nil"/>
            </w:tcBorders>
            <w:shd w:val="clear" w:color="auto" w:fill="auto"/>
          </w:tcPr>
          <w:p w14:paraId="5E207568" w14:textId="77777777" w:rsidR="003871F6" w:rsidRPr="005269E6" w:rsidRDefault="003871F6"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1E44F5F1" w14:textId="77777777" w:rsidR="003871F6" w:rsidRPr="005269E6" w:rsidRDefault="003871F6" w:rsidP="00696AA6">
            <w:pPr>
              <w:tabs>
                <w:tab w:val="clear" w:pos="794"/>
              </w:tabs>
              <w:spacing w:before="40" w:after="40" w:line="240" w:lineRule="exact"/>
              <w:jc w:val="left"/>
              <w:rPr>
                <w:rFonts w:eastAsia="Times New Roman"/>
                <w:color w:val="000000"/>
                <w:sz w:val="16"/>
                <w:szCs w:val="16"/>
                <w:lang w:val="en-GB" w:eastAsia="en-GB"/>
              </w:rPr>
            </w:pPr>
          </w:p>
        </w:tc>
        <w:tc>
          <w:tcPr>
            <w:tcW w:w="1154" w:type="dxa"/>
            <w:tcBorders>
              <w:top w:val="nil"/>
              <w:left w:val="nil"/>
              <w:bottom w:val="nil"/>
              <w:right w:val="nil"/>
            </w:tcBorders>
          </w:tcPr>
          <w:p w14:paraId="569BEC40" w14:textId="77777777" w:rsidR="003871F6" w:rsidRPr="005269E6" w:rsidRDefault="003871F6" w:rsidP="00696AA6">
            <w:pPr>
              <w:tabs>
                <w:tab w:val="clear" w:pos="794"/>
              </w:tabs>
              <w:spacing w:before="40" w:after="40" w:line="240" w:lineRule="exact"/>
              <w:jc w:val="left"/>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36C33AF4" w14:textId="77777777" w:rsidR="003871F6" w:rsidRPr="005269E6" w:rsidRDefault="003871F6" w:rsidP="00696AA6">
            <w:pPr>
              <w:tabs>
                <w:tab w:val="clear" w:pos="794"/>
              </w:tabs>
              <w:spacing w:before="40" w:after="40" w:line="240" w:lineRule="exact"/>
              <w:jc w:val="left"/>
              <w:rPr>
                <w:rFonts w:eastAsia="Times New Roman"/>
                <w:color w:val="000000"/>
                <w:sz w:val="16"/>
                <w:szCs w:val="16"/>
                <w:lang w:val="en-GB" w:eastAsia="en-GB"/>
              </w:rPr>
            </w:pPr>
          </w:p>
        </w:tc>
      </w:tr>
      <w:tr w:rsidR="007C5053" w:rsidRPr="005269E6" w14:paraId="1C2D5BD5" w14:textId="77777777" w:rsidTr="00FE51D3">
        <w:trPr>
          <w:trHeight w:val="255"/>
          <w:jc w:val="center"/>
        </w:trPr>
        <w:tc>
          <w:tcPr>
            <w:tcW w:w="1615" w:type="dxa"/>
            <w:tcBorders>
              <w:top w:val="nil"/>
              <w:left w:val="nil"/>
              <w:bottom w:val="nil"/>
              <w:right w:val="nil"/>
            </w:tcBorders>
            <w:shd w:val="clear" w:color="auto" w:fill="auto"/>
            <w:noWrap/>
            <w:vAlign w:val="center"/>
            <w:hideMark/>
          </w:tcPr>
          <w:p w14:paraId="23314BBF" w14:textId="56984108" w:rsidR="00A770A4" w:rsidRPr="005269E6" w:rsidRDefault="00667792" w:rsidP="00FE51D3">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rtl/>
                <w:lang w:val="en-GB" w:eastAsia="en-GB"/>
              </w:rPr>
              <w:t>الأموال النقدية وما يعادلها</w:t>
            </w:r>
          </w:p>
        </w:tc>
        <w:tc>
          <w:tcPr>
            <w:tcW w:w="1316" w:type="dxa"/>
            <w:tcBorders>
              <w:top w:val="nil"/>
              <w:left w:val="nil"/>
              <w:bottom w:val="nil"/>
              <w:right w:val="nil"/>
            </w:tcBorders>
            <w:shd w:val="clear" w:color="auto" w:fill="auto"/>
            <w:noWrap/>
            <w:vAlign w:val="bottom"/>
          </w:tcPr>
          <w:p w14:paraId="35339BC1" w14:textId="79F5285C" w:rsidR="00A770A4" w:rsidRPr="005269E6" w:rsidRDefault="00796FC2" w:rsidP="00796FC2">
            <w:pPr>
              <w:tabs>
                <w:tab w:val="clear" w:pos="794"/>
              </w:tabs>
              <w:spacing w:before="40" w:after="40" w:line="240" w:lineRule="exact"/>
              <w:jc w:val="center"/>
              <w:rPr>
                <w:rFonts w:eastAsia="Times New Roman"/>
                <w:i/>
                <w:iCs/>
                <w:sz w:val="16"/>
                <w:szCs w:val="16"/>
                <w:lang w:eastAsia="en-GB" w:bidi="ar-SY"/>
              </w:rPr>
            </w:pPr>
            <w:r w:rsidRPr="005269E6">
              <w:rPr>
                <w:rFonts w:eastAsia="Times New Roman"/>
                <w:i/>
                <w:iCs/>
                <w:sz w:val="16"/>
                <w:szCs w:val="16"/>
                <w:rtl/>
                <w:lang w:eastAsia="en-GB" w:bidi="ar-SY"/>
              </w:rPr>
              <w:t xml:space="preserve">الملاحظة </w:t>
            </w:r>
            <w:r w:rsidRPr="005269E6">
              <w:rPr>
                <w:rFonts w:eastAsia="Times New Roman"/>
                <w:i/>
                <w:iCs/>
                <w:sz w:val="16"/>
                <w:szCs w:val="16"/>
                <w:lang w:eastAsia="en-GB" w:bidi="ar-SY"/>
              </w:rPr>
              <w:t>7.30</w:t>
            </w:r>
          </w:p>
        </w:tc>
        <w:tc>
          <w:tcPr>
            <w:tcW w:w="1349" w:type="dxa"/>
            <w:tcBorders>
              <w:top w:val="nil"/>
              <w:left w:val="nil"/>
              <w:bottom w:val="nil"/>
              <w:right w:val="nil"/>
            </w:tcBorders>
            <w:vAlign w:val="bottom"/>
          </w:tcPr>
          <w:p w14:paraId="00FBA8EB" w14:textId="013219B1" w:rsidR="00A770A4" w:rsidRPr="005269E6" w:rsidRDefault="00A770A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sz w:val="16"/>
                <w:szCs w:val="16"/>
                <w:lang w:eastAsia="en-GB"/>
              </w:rPr>
              <w:t>130 392</w:t>
            </w:r>
          </w:p>
        </w:tc>
        <w:tc>
          <w:tcPr>
            <w:tcW w:w="1154" w:type="dxa"/>
            <w:tcBorders>
              <w:top w:val="nil"/>
              <w:left w:val="nil"/>
              <w:bottom w:val="nil"/>
              <w:right w:val="nil"/>
            </w:tcBorders>
            <w:vAlign w:val="bottom"/>
          </w:tcPr>
          <w:p w14:paraId="7B85EE42" w14:textId="5ECFC058" w:rsidR="00A770A4" w:rsidRPr="005269E6" w:rsidRDefault="00C528CF"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73 419</w:t>
            </w:r>
          </w:p>
        </w:tc>
        <w:tc>
          <w:tcPr>
            <w:tcW w:w="938" w:type="dxa"/>
            <w:tcBorders>
              <w:top w:val="nil"/>
              <w:left w:val="nil"/>
              <w:bottom w:val="nil"/>
              <w:right w:val="nil"/>
            </w:tcBorders>
            <w:vAlign w:val="bottom"/>
          </w:tcPr>
          <w:p w14:paraId="17EB0BE4" w14:textId="2E8456F3" w:rsidR="00A770A4" w:rsidRPr="005269E6" w:rsidRDefault="0028021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203 811</w:t>
            </w:r>
          </w:p>
        </w:tc>
        <w:tc>
          <w:tcPr>
            <w:tcW w:w="271" w:type="dxa"/>
            <w:tcBorders>
              <w:top w:val="nil"/>
              <w:left w:val="nil"/>
              <w:bottom w:val="nil"/>
              <w:right w:val="nil"/>
            </w:tcBorders>
            <w:shd w:val="clear" w:color="auto" w:fill="auto"/>
            <w:vAlign w:val="bottom"/>
          </w:tcPr>
          <w:p w14:paraId="6906F1DD"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2F33D5F6" w14:textId="33B54AAC"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99 406</w:t>
            </w:r>
          </w:p>
        </w:tc>
        <w:tc>
          <w:tcPr>
            <w:tcW w:w="1154" w:type="dxa"/>
            <w:tcBorders>
              <w:top w:val="nil"/>
              <w:left w:val="nil"/>
              <w:bottom w:val="nil"/>
              <w:right w:val="nil"/>
            </w:tcBorders>
            <w:vAlign w:val="bottom"/>
          </w:tcPr>
          <w:p w14:paraId="36E38580" w14:textId="22912773"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35 924</w:t>
            </w:r>
          </w:p>
        </w:tc>
        <w:tc>
          <w:tcPr>
            <w:tcW w:w="1133" w:type="dxa"/>
            <w:tcBorders>
              <w:top w:val="nil"/>
              <w:left w:val="nil"/>
              <w:bottom w:val="nil"/>
              <w:right w:val="nil"/>
            </w:tcBorders>
            <w:shd w:val="clear" w:color="auto" w:fill="auto"/>
            <w:noWrap/>
            <w:vAlign w:val="bottom"/>
          </w:tcPr>
          <w:p w14:paraId="72A417AE" w14:textId="1933F2CA"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135 330</w:t>
            </w:r>
          </w:p>
        </w:tc>
      </w:tr>
      <w:tr w:rsidR="007C5053" w:rsidRPr="005269E6" w14:paraId="37570D46" w14:textId="77777777" w:rsidTr="00FE51D3">
        <w:trPr>
          <w:trHeight w:val="255"/>
          <w:jc w:val="center"/>
        </w:trPr>
        <w:tc>
          <w:tcPr>
            <w:tcW w:w="1615" w:type="dxa"/>
            <w:tcBorders>
              <w:top w:val="nil"/>
              <w:left w:val="nil"/>
              <w:bottom w:val="nil"/>
              <w:right w:val="nil"/>
            </w:tcBorders>
            <w:shd w:val="clear" w:color="auto" w:fill="auto"/>
            <w:noWrap/>
            <w:vAlign w:val="center"/>
            <w:hideMark/>
          </w:tcPr>
          <w:p w14:paraId="1328CA55" w14:textId="0017D2C5" w:rsidR="00A770A4" w:rsidRPr="005269E6" w:rsidRDefault="00667792" w:rsidP="00FE51D3">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rtl/>
                <w:lang w:val="en-GB" w:eastAsia="en-GB"/>
              </w:rPr>
              <w:t>الاستثمارات</w:t>
            </w:r>
          </w:p>
        </w:tc>
        <w:tc>
          <w:tcPr>
            <w:tcW w:w="1316" w:type="dxa"/>
            <w:tcBorders>
              <w:top w:val="nil"/>
              <w:left w:val="nil"/>
              <w:bottom w:val="nil"/>
              <w:right w:val="nil"/>
            </w:tcBorders>
            <w:shd w:val="clear" w:color="auto" w:fill="auto"/>
            <w:noWrap/>
            <w:vAlign w:val="bottom"/>
          </w:tcPr>
          <w:p w14:paraId="1EE6CB17" w14:textId="6423875C" w:rsidR="00A770A4" w:rsidRPr="005269E6" w:rsidRDefault="00796FC2" w:rsidP="00796FC2">
            <w:pPr>
              <w:tabs>
                <w:tab w:val="clear" w:pos="794"/>
              </w:tabs>
              <w:spacing w:before="40" w:after="40" w:line="240" w:lineRule="exact"/>
              <w:jc w:val="center"/>
              <w:rPr>
                <w:rFonts w:eastAsia="Times New Roman"/>
                <w:i/>
                <w:iCs/>
                <w:sz w:val="16"/>
                <w:szCs w:val="16"/>
                <w:rtl/>
                <w:lang w:eastAsia="en-GB" w:bidi="ar-SY"/>
              </w:rPr>
            </w:pPr>
            <w:r w:rsidRPr="005269E6">
              <w:rPr>
                <w:rFonts w:eastAsia="Times New Roman"/>
                <w:i/>
                <w:iCs/>
                <w:sz w:val="16"/>
                <w:szCs w:val="16"/>
                <w:rtl/>
                <w:lang w:eastAsia="en-GB" w:bidi="ar-SY"/>
              </w:rPr>
              <w:t xml:space="preserve">الملاحظة </w:t>
            </w:r>
            <w:r w:rsidRPr="005269E6">
              <w:rPr>
                <w:rFonts w:eastAsia="Times New Roman"/>
                <w:i/>
                <w:iCs/>
                <w:sz w:val="16"/>
                <w:szCs w:val="16"/>
                <w:lang w:eastAsia="en-GB" w:bidi="ar-SY"/>
              </w:rPr>
              <w:t>7.30</w:t>
            </w:r>
            <w:r w:rsidRPr="005269E6">
              <w:rPr>
                <w:rFonts w:eastAsia="Times New Roman"/>
                <w:i/>
                <w:iCs/>
                <w:sz w:val="16"/>
                <w:szCs w:val="16"/>
                <w:rtl/>
                <w:lang w:eastAsia="en-GB" w:bidi="ar-SY"/>
              </w:rPr>
              <w:t xml:space="preserve"> و</w:t>
            </w:r>
            <w:r w:rsidRPr="005269E6">
              <w:rPr>
                <w:rFonts w:eastAsia="Times New Roman"/>
                <w:i/>
                <w:iCs/>
                <w:sz w:val="16"/>
                <w:szCs w:val="16"/>
                <w:lang w:eastAsia="en-GB" w:bidi="ar-SY"/>
              </w:rPr>
              <w:t>8.30</w:t>
            </w:r>
          </w:p>
        </w:tc>
        <w:tc>
          <w:tcPr>
            <w:tcW w:w="1349" w:type="dxa"/>
            <w:tcBorders>
              <w:top w:val="nil"/>
              <w:left w:val="nil"/>
              <w:bottom w:val="nil"/>
              <w:right w:val="nil"/>
            </w:tcBorders>
            <w:vAlign w:val="bottom"/>
          </w:tcPr>
          <w:p w14:paraId="03EA8D35" w14:textId="7A104269" w:rsidR="00A770A4" w:rsidRPr="005269E6" w:rsidRDefault="00A770A4" w:rsidP="00696AA6">
            <w:pPr>
              <w:tabs>
                <w:tab w:val="clear" w:pos="794"/>
              </w:tabs>
              <w:spacing w:before="40" w:after="40" w:line="240" w:lineRule="exact"/>
              <w:jc w:val="left"/>
              <w:rPr>
                <w:rFonts w:eastAsia="Times New Roman"/>
                <w:sz w:val="16"/>
                <w:szCs w:val="16"/>
                <w:lang w:eastAsia="en-GB"/>
              </w:rPr>
            </w:pPr>
            <w:r w:rsidRPr="005269E6">
              <w:rPr>
                <w:rFonts w:eastAsia="Times New Roman"/>
                <w:sz w:val="16"/>
                <w:szCs w:val="16"/>
                <w:lang w:eastAsia="en-GB" w:bidi="ar-SY"/>
              </w:rPr>
              <w:t>95 033</w:t>
            </w:r>
          </w:p>
        </w:tc>
        <w:tc>
          <w:tcPr>
            <w:tcW w:w="1154" w:type="dxa"/>
            <w:tcBorders>
              <w:top w:val="nil"/>
              <w:left w:val="nil"/>
              <w:bottom w:val="nil"/>
              <w:right w:val="nil"/>
            </w:tcBorders>
            <w:vAlign w:val="bottom"/>
          </w:tcPr>
          <w:p w14:paraId="54BBA7C3" w14:textId="0FA18E64" w:rsidR="00A770A4" w:rsidRPr="005269E6" w:rsidRDefault="0076527E" w:rsidP="00696AA6">
            <w:pPr>
              <w:tabs>
                <w:tab w:val="clear" w:pos="794"/>
              </w:tabs>
              <w:spacing w:before="40" w:after="40" w:line="240" w:lineRule="exact"/>
              <w:jc w:val="left"/>
              <w:rPr>
                <w:rFonts w:eastAsia="Times New Roman"/>
                <w:sz w:val="16"/>
                <w:szCs w:val="16"/>
                <w:lang w:eastAsia="en-GB"/>
              </w:rPr>
            </w:pPr>
            <w:r w:rsidRPr="005269E6">
              <w:rPr>
                <w:rFonts w:eastAsia="Times New Roman"/>
                <w:sz w:val="16"/>
                <w:szCs w:val="16"/>
                <w:lang w:eastAsia="en-GB"/>
              </w:rPr>
              <w:t>(</w:t>
            </w:r>
            <w:r w:rsidRPr="005269E6">
              <w:rPr>
                <w:rFonts w:eastAsia="Times New Roman"/>
                <w:color w:val="000000"/>
                <w:sz w:val="16"/>
                <w:szCs w:val="16"/>
                <w:lang w:eastAsia="en-GB"/>
              </w:rPr>
              <w:t>73 758)</w:t>
            </w:r>
          </w:p>
        </w:tc>
        <w:tc>
          <w:tcPr>
            <w:tcW w:w="938" w:type="dxa"/>
            <w:tcBorders>
              <w:top w:val="nil"/>
              <w:left w:val="nil"/>
              <w:bottom w:val="nil"/>
              <w:right w:val="nil"/>
            </w:tcBorders>
            <w:vAlign w:val="bottom"/>
          </w:tcPr>
          <w:p w14:paraId="1709EB47" w14:textId="48AAE8A7" w:rsidR="00A770A4" w:rsidRPr="005269E6" w:rsidRDefault="0028021E" w:rsidP="00696AA6">
            <w:pPr>
              <w:tabs>
                <w:tab w:val="clear" w:pos="794"/>
              </w:tabs>
              <w:spacing w:before="40" w:after="40" w:line="240" w:lineRule="exact"/>
              <w:jc w:val="left"/>
              <w:rPr>
                <w:rFonts w:eastAsia="Times New Roman"/>
                <w:sz w:val="16"/>
                <w:szCs w:val="16"/>
                <w:lang w:eastAsia="en-GB"/>
              </w:rPr>
            </w:pPr>
            <w:r w:rsidRPr="005269E6">
              <w:rPr>
                <w:rFonts w:eastAsia="Times New Roman"/>
                <w:sz w:val="16"/>
                <w:szCs w:val="16"/>
                <w:lang w:eastAsia="en-GB"/>
              </w:rPr>
              <w:t>21 275</w:t>
            </w:r>
          </w:p>
        </w:tc>
        <w:tc>
          <w:tcPr>
            <w:tcW w:w="271" w:type="dxa"/>
            <w:tcBorders>
              <w:top w:val="nil"/>
              <w:left w:val="nil"/>
              <w:bottom w:val="nil"/>
              <w:right w:val="nil"/>
            </w:tcBorders>
            <w:shd w:val="clear" w:color="auto" w:fill="auto"/>
            <w:vAlign w:val="bottom"/>
          </w:tcPr>
          <w:p w14:paraId="376E4FAE" w14:textId="77777777" w:rsidR="00A770A4" w:rsidRPr="005269E6" w:rsidRDefault="00A770A4" w:rsidP="00696AA6">
            <w:pPr>
              <w:tabs>
                <w:tab w:val="clear" w:pos="794"/>
              </w:tabs>
              <w:spacing w:before="40" w:after="40" w:line="240" w:lineRule="exact"/>
              <w:jc w:val="left"/>
              <w:rPr>
                <w:rFonts w:eastAsia="Times New Roman"/>
                <w:sz w:val="16"/>
                <w:szCs w:val="16"/>
                <w:lang w:val="en-GB" w:eastAsia="en-GB"/>
              </w:rPr>
            </w:pPr>
          </w:p>
        </w:tc>
        <w:tc>
          <w:tcPr>
            <w:tcW w:w="1349" w:type="dxa"/>
            <w:tcBorders>
              <w:top w:val="nil"/>
              <w:left w:val="nil"/>
              <w:bottom w:val="nil"/>
              <w:right w:val="nil"/>
            </w:tcBorders>
            <w:shd w:val="clear" w:color="auto" w:fill="auto"/>
            <w:noWrap/>
            <w:vAlign w:val="bottom"/>
          </w:tcPr>
          <w:p w14:paraId="7293C5ED" w14:textId="63A396D6" w:rsidR="00A770A4" w:rsidRPr="005269E6" w:rsidRDefault="0028021E" w:rsidP="00696AA6">
            <w:pPr>
              <w:tabs>
                <w:tab w:val="clear" w:pos="794"/>
              </w:tabs>
              <w:spacing w:before="40" w:after="40" w:line="240" w:lineRule="exact"/>
              <w:jc w:val="left"/>
              <w:rPr>
                <w:rFonts w:eastAsia="Times New Roman"/>
                <w:sz w:val="16"/>
                <w:szCs w:val="16"/>
                <w:lang w:val="en-GB" w:eastAsia="en-GB"/>
              </w:rPr>
            </w:pPr>
            <w:r w:rsidRPr="005269E6">
              <w:rPr>
                <w:rFonts w:eastAsia="Times New Roman"/>
                <w:sz w:val="16"/>
                <w:szCs w:val="16"/>
                <w:lang w:val="en-GB" w:eastAsia="en-GB"/>
              </w:rPr>
              <w:t>95 516</w:t>
            </w:r>
          </w:p>
        </w:tc>
        <w:tc>
          <w:tcPr>
            <w:tcW w:w="1154" w:type="dxa"/>
            <w:tcBorders>
              <w:top w:val="nil"/>
              <w:left w:val="nil"/>
              <w:bottom w:val="nil"/>
              <w:right w:val="nil"/>
            </w:tcBorders>
            <w:vAlign w:val="bottom"/>
          </w:tcPr>
          <w:p w14:paraId="1E2426F7" w14:textId="3FAD0B7C" w:rsidR="00A770A4" w:rsidRPr="005269E6" w:rsidRDefault="0028021E" w:rsidP="00696AA6">
            <w:pPr>
              <w:tabs>
                <w:tab w:val="clear" w:pos="794"/>
              </w:tabs>
              <w:spacing w:before="40" w:after="40" w:line="240" w:lineRule="exact"/>
              <w:jc w:val="left"/>
              <w:rPr>
                <w:rFonts w:eastAsia="Times New Roman"/>
                <w:sz w:val="16"/>
                <w:szCs w:val="16"/>
                <w:lang w:val="en-GB" w:eastAsia="en-GB"/>
              </w:rPr>
            </w:pPr>
            <w:r w:rsidRPr="005269E6">
              <w:rPr>
                <w:rFonts w:eastAsia="Times New Roman"/>
                <w:sz w:val="16"/>
                <w:szCs w:val="16"/>
                <w:lang w:val="en-GB" w:eastAsia="en-GB"/>
              </w:rPr>
              <w:t>(36 263)</w:t>
            </w:r>
          </w:p>
        </w:tc>
        <w:tc>
          <w:tcPr>
            <w:tcW w:w="1133" w:type="dxa"/>
            <w:tcBorders>
              <w:top w:val="nil"/>
              <w:left w:val="nil"/>
              <w:bottom w:val="nil"/>
              <w:right w:val="nil"/>
            </w:tcBorders>
            <w:shd w:val="clear" w:color="auto" w:fill="auto"/>
            <w:noWrap/>
            <w:vAlign w:val="bottom"/>
          </w:tcPr>
          <w:p w14:paraId="2A1D0BB6" w14:textId="4405C718" w:rsidR="00A770A4" w:rsidRPr="005269E6" w:rsidRDefault="0028021E" w:rsidP="00696AA6">
            <w:pPr>
              <w:tabs>
                <w:tab w:val="clear" w:pos="794"/>
              </w:tabs>
              <w:spacing w:before="40" w:after="40" w:line="240" w:lineRule="exact"/>
              <w:jc w:val="left"/>
              <w:rPr>
                <w:rFonts w:eastAsia="Times New Roman"/>
                <w:sz w:val="16"/>
                <w:szCs w:val="16"/>
                <w:lang w:val="en-GB" w:eastAsia="en-GB"/>
              </w:rPr>
            </w:pPr>
            <w:r w:rsidRPr="005269E6">
              <w:rPr>
                <w:rFonts w:eastAsia="Times New Roman"/>
                <w:sz w:val="16"/>
                <w:szCs w:val="16"/>
                <w:lang w:val="en-GB" w:eastAsia="en-GB"/>
              </w:rPr>
              <w:t>59 253</w:t>
            </w:r>
          </w:p>
        </w:tc>
      </w:tr>
      <w:tr w:rsidR="007C5053" w:rsidRPr="005269E6" w14:paraId="36A6D997" w14:textId="77777777" w:rsidTr="00FE51D3">
        <w:trPr>
          <w:trHeight w:val="255"/>
          <w:jc w:val="center"/>
        </w:trPr>
        <w:tc>
          <w:tcPr>
            <w:tcW w:w="1615" w:type="dxa"/>
            <w:tcBorders>
              <w:top w:val="nil"/>
              <w:left w:val="nil"/>
              <w:bottom w:val="nil"/>
              <w:right w:val="nil"/>
            </w:tcBorders>
            <w:shd w:val="clear" w:color="auto" w:fill="auto"/>
            <w:noWrap/>
            <w:vAlign w:val="center"/>
            <w:hideMark/>
          </w:tcPr>
          <w:p w14:paraId="21A50D33" w14:textId="057EA5B8" w:rsidR="00A770A4" w:rsidRPr="005269E6" w:rsidRDefault="00667792" w:rsidP="00FE51D3">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rtl/>
                <w:lang w:val="en-GB" w:eastAsia="en-GB"/>
              </w:rPr>
              <w:t>الذمم المدينة - المعاملات التبادلية</w:t>
            </w:r>
          </w:p>
        </w:tc>
        <w:tc>
          <w:tcPr>
            <w:tcW w:w="1316" w:type="dxa"/>
            <w:tcBorders>
              <w:top w:val="nil"/>
              <w:left w:val="nil"/>
              <w:bottom w:val="nil"/>
              <w:right w:val="nil"/>
            </w:tcBorders>
            <w:shd w:val="clear" w:color="auto" w:fill="auto"/>
            <w:noWrap/>
            <w:vAlign w:val="bottom"/>
          </w:tcPr>
          <w:p w14:paraId="53F81E0A" w14:textId="75A43B07" w:rsidR="00A770A4" w:rsidRPr="005269E6" w:rsidRDefault="00A770A4" w:rsidP="00796FC2">
            <w:pPr>
              <w:tabs>
                <w:tab w:val="clear" w:pos="794"/>
              </w:tabs>
              <w:spacing w:before="40" w:after="40" w:line="240" w:lineRule="exact"/>
              <w:jc w:val="center"/>
              <w:rPr>
                <w:rFonts w:eastAsia="Times New Roman"/>
                <w:i/>
                <w:iCs/>
                <w:color w:val="000000"/>
                <w:sz w:val="16"/>
                <w:szCs w:val="16"/>
                <w:rtl/>
                <w:lang w:eastAsia="en-GB" w:bidi="ar-SY"/>
              </w:rPr>
            </w:pPr>
          </w:p>
        </w:tc>
        <w:tc>
          <w:tcPr>
            <w:tcW w:w="1349" w:type="dxa"/>
            <w:tcBorders>
              <w:top w:val="nil"/>
              <w:left w:val="nil"/>
              <w:bottom w:val="nil"/>
              <w:right w:val="nil"/>
            </w:tcBorders>
            <w:vAlign w:val="bottom"/>
          </w:tcPr>
          <w:p w14:paraId="2D0E9F5A" w14:textId="5CD0AF4E" w:rsidR="00A770A4" w:rsidRPr="005269E6" w:rsidRDefault="00A770A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bidi="ar-SY"/>
              </w:rPr>
              <w:t>10 989</w:t>
            </w:r>
          </w:p>
        </w:tc>
        <w:tc>
          <w:tcPr>
            <w:tcW w:w="1154" w:type="dxa"/>
            <w:tcBorders>
              <w:top w:val="nil"/>
              <w:left w:val="nil"/>
              <w:bottom w:val="nil"/>
              <w:right w:val="nil"/>
            </w:tcBorders>
            <w:vAlign w:val="bottom"/>
          </w:tcPr>
          <w:p w14:paraId="765521A3" w14:textId="43E05769" w:rsidR="00A770A4" w:rsidRPr="005269E6" w:rsidRDefault="0076527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938" w:type="dxa"/>
            <w:tcBorders>
              <w:top w:val="nil"/>
              <w:left w:val="nil"/>
              <w:bottom w:val="nil"/>
              <w:right w:val="nil"/>
            </w:tcBorders>
            <w:vAlign w:val="bottom"/>
          </w:tcPr>
          <w:p w14:paraId="70A54E88" w14:textId="46D8B0FD" w:rsidR="00A770A4" w:rsidRPr="005269E6" w:rsidRDefault="0028021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10 989</w:t>
            </w:r>
          </w:p>
        </w:tc>
        <w:tc>
          <w:tcPr>
            <w:tcW w:w="271" w:type="dxa"/>
            <w:tcBorders>
              <w:top w:val="nil"/>
              <w:left w:val="nil"/>
              <w:bottom w:val="nil"/>
              <w:right w:val="nil"/>
            </w:tcBorders>
            <w:shd w:val="clear" w:color="auto" w:fill="auto"/>
            <w:vAlign w:val="bottom"/>
          </w:tcPr>
          <w:p w14:paraId="152299AA" w14:textId="4D937DA8"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10C29CA3" w14:textId="4ABC46F9"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8 481</w:t>
            </w:r>
          </w:p>
        </w:tc>
        <w:tc>
          <w:tcPr>
            <w:tcW w:w="1154" w:type="dxa"/>
            <w:tcBorders>
              <w:top w:val="nil"/>
              <w:left w:val="nil"/>
              <w:bottom w:val="nil"/>
              <w:right w:val="nil"/>
            </w:tcBorders>
            <w:vAlign w:val="bottom"/>
          </w:tcPr>
          <w:p w14:paraId="095DC3A6" w14:textId="33FBA915"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c>
          <w:tcPr>
            <w:tcW w:w="1133" w:type="dxa"/>
            <w:tcBorders>
              <w:top w:val="nil"/>
              <w:left w:val="nil"/>
              <w:bottom w:val="nil"/>
              <w:right w:val="nil"/>
            </w:tcBorders>
            <w:shd w:val="clear" w:color="auto" w:fill="auto"/>
            <w:noWrap/>
            <w:vAlign w:val="bottom"/>
          </w:tcPr>
          <w:p w14:paraId="14FFDBFB" w14:textId="6A425CCA"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8 481</w:t>
            </w:r>
          </w:p>
        </w:tc>
      </w:tr>
      <w:tr w:rsidR="007C5053" w:rsidRPr="005269E6" w14:paraId="051A230F" w14:textId="77777777" w:rsidTr="00FE51D3">
        <w:trPr>
          <w:trHeight w:val="255"/>
          <w:jc w:val="center"/>
        </w:trPr>
        <w:tc>
          <w:tcPr>
            <w:tcW w:w="1615" w:type="dxa"/>
            <w:tcBorders>
              <w:top w:val="nil"/>
              <w:left w:val="nil"/>
              <w:bottom w:val="nil"/>
              <w:right w:val="nil"/>
            </w:tcBorders>
            <w:shd w:val="clear" w:color="auto" w:fill="auto"/>
            <w:noWrap/>
            <w:vAlign w:val="center"/>
          </w:tcPr>
          <w:p w14:paraId="39F6528B" w14:textId="6AC82019" w:rsidR="00A770A4" w:rsidRPr="005269E6" w:rsidRDefault="00667792" w:rsidP="00FE51D3">
            <w:pPr>
              <w:tabs>
                <w:tab w:val="clear" w:pos="794"/>
              </w:tabs>
              <w:spacing w:before="40" w:after="40" w:line="240" w:lineRule="exact"/>
              <w:jc w:val="left"/>
              <w:rPr>
                <w:rFonts w:eastAsia="Times New Roman"/>
                <w:color w:val="000000"/>
                <w:sz w:val="16"/>
                <w:szCs w:val="16"/>
                <w:rtl/>
                <w:lang w:val="en-GB" w:eastAsia="en-GB" w:bidi="ar-SY"/>
              </w:rPr>
            </w:pPr>
            <w:r w:rsidRPr="005269E6">
              <w:rPr>
                <w:rFonts w:eastAsia="Times New Roman"/>
                <w:color w:val="000000"/>
                <w:sz w:val="16"/>
                <w:szCs w:val="16"/>
                <w:rtl/>
                <w:lang w:val="en-GB" w:eastAsia="en-GB"/>
              </w:rPr>
              <w:t>الذمم المدينة – المعاملات غير التبادلية</w:t>
            </w:r>
          </w:p>
        </w:tc>
        <w:tc>
          <w:tcPr>
            <w:tcW w:w="1316" w:type="dxa"/>
            <w:tcBorders>
              <w:top w:val="nil"/>
              <w:left w:val="nil"/>
              <w:bottom w:val="nil"/>
              <w:right w:val="nil"/>
            </w:tcBorders>
            <w:shd w:val="clear" w:color="auto" w:fill="auto"/>
            <w:noWrap/>
            <w:vAlign w:val="bottom"/>
          </w:tcPr>
          <w:p w14:paraId="39C96C6C" w14:textId="09D4F455" w:rsidR="00A770A4" w:rsidRPr="005269E6" w:rsidRDefault="00796FC2" w:rsidP="00796FC2">
            <w:pPr>
              <w:tabs>
                <w:tab w:val="clear" w:pos="794"/>
              </w:tabs>
              <w:spacing w:before="40" w:after="40" w:line="240" w:lineRule="exact"/>
              <w:jc w:val="center"/>
              <w:rPr>
                <w:rFonts w:eastAsia="Times New Roman"/>
                <w:i/>
                <w:iCs/>
                <w:color w:val="000000"/>
                <w:sz w:val="16"/>
                <w:szCs w:val="16"/>
                <w:rtl/>
                <w:lang w:eastAsia="en-GB" w:bidi="ar-SY"/>
              </w:rPr>
            </w:pPr>
            <w:r w:rsidRPr="005269E6">
              <w:rPr>
                <w:rFonts w:eastAsia="Times New Roman"/>
                <w:i/>
                <w:iCs/>
                <w:color w:val="000000"/>
                <w:sz w:val="16"/>
                <w:szCs w:val="16"/>
                <w:rtl/>
                <w:lang w:eastAsia="en-GB" w:bidi="ar-SY"/>
              </w:rPr>
              <w:t xml:space="preserve">الملاحظة </w:t>
            </w:r>
            <w:r w:rsidRPr="005269E6">
              <w:rPr>
                <w:rFonts w:eastAsia="Times New Roman"/>
                <w:i/>
                <w:iCs/>
                <w:color w:val="000000"/>
                <w:sz w:val="16"/>
                <w:szCs w:val="16"/>
                <w:lang w:eastAsia="en-GB" w:bidi="ar-SY"/>
              </w:rPr>
              <w:t>2.30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3.30</w:t>
            </w:r>
          </w:p>
        </w:tc>
        <w:tc>
          <w:tcPr>
            <w:tcW w:w="1349" w:type="dxa"/>
            <w:tcBorders>
              <w:top w:val="nil"/>
              <w:left w:val="nil"/>
              <w:bottom w:val="nil"/>
              <w:right w:val="nil"/>
            </w:tcBorders>
            <w:vAlign w:val="bottom"/>
          </w:tcPr>
          <w:p w14:paraId="06CF3546" w14:textId="4CE21DC6" w:rsidR="00A770A4" w:rsidRPr="005269E6" w:rsidRDefault="00A770A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bidi="ar-SY"/>
              </w:rPr>
              <w:t>76 931</w:t>
            </w:r>
          </w:p>
        </w:tc>
        <w:tc>
          <w:tcPr>
            <w:tcW w:w="1154" w:type="dxa"/>
            <w:tcBorders>
              <w:top w:val="nil"/>
              <w:left w:val="nil"/>
              <w:bottom w:val="nil"/>
              <w:right w:val="nil"/>
            </w:tcBorders>
            <w:vAlign w:val="bottom"/>
          </w:tcPr>
          <w:p w14:paraId="66F9ED15" w14:textId="6CE16D8B" w:rsidR="00A770A4" w:rsidRPr="005269E6" w:rsidRDefault="0076527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(68 429)</w:t>
            </w:r>
          </w:p>
        </w:tc>
        <w:tc>
          <w:tcPr>
            <w:tcW w:w="938" w:type="dxa"/>
            <w:tcBorders>
              <w:top w:val="nil"/>
              <w:left w:val="nil"/>
              <w:bottom w:val="nil"/>
              <w:right w:val="nil"/>
            </w:tcBorders>
            <w:vAlign w:val="bottom"/>
          </w:tcPr>
          <w:p w14:paraId="7F514179" w14:textId="5B27D54A" w:rsidR="00A770A4" w:rsidRPr="005269E6" w:rsidRDefault="0028021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8 502</w:t>
            </w:r>
          </w:p>
        </w:tc>
        <w:tc>
          <w:tcPr>
            <w:tcW w:w="271" w:type="dxa"/>
            <w:tcBorders>
              <w:top w:val="nil"/>
              <w:left w:val="nil"/>
              <w:bottom w:val="nil"/>
              <w:right w:val="nil"/>
            </w:tcBorders>
            <w:shd w:val="clear" w:color="auto" w:fill="auto"/>
            <w:vAlign w:val="bottom"/>
          </w:tcPr>
          <w:p w14:paraId="7240547C"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6B49C1C8" w14:textId="64A4C480"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89 306</w:t>
            </w:r>
          </w:p>
        </w:tc>
        <w:tc>
          <w:tcPr>
            <w:tcW w:w="1154" w:type="dxa"/>
            <w:tcBorders>
              <w:top w:val="nil"/>
              <w:left w:val="nil"/>
              <w:bottom w:val="nil"/>
              <w:right w:val="nil"/>
            </w:tcBorders>
            <w:vAlign w:val="bottom"/>
          </w:tcPr>
          <w:p w14:paraId="409ED2DF" w14:textId="1220F853"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(81 910)</w:t>
            </w:r>
          </w:p>
        </w:tc>
        <w:tc>
          <w:tcPr>
            <w:tcW w:w="1133" w:type="dxa"/>
            <w:tcBorders>
              <w:top w:val="nil"/>
              <w:left w:val="nil"/>
              <w:bottom w:val="nil"/>
              <w:right w:val="nil"/>
            </w:tcBorders>
            <w:shd w:val="clear" w:color="auto" w:fill="auto"/>
            <w:noWrap/>
            <w:vAlign w:val="bottom"/>
          </w:tcPr>
          <w:p w14:paraId="079BF532" w14:textId="5DF782D5"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7 396</w:t>
            </w:r>
          </w:p>
        </w:tc>
      </w:tr>
      <w:tr w:rsidR="005E7F70" w:rsidRPr="005269E6" w14:paraId="2919523C" w14:textId="77777777" w:rsidTr="00FE51D3">
        <w:trPr>
          <w:trHeight w:val="255"/>
          <w:jc w:val="center"/>
        </w:trPr>
        <w:tc>
          <w:tcPr>
            <w:tcW w:w="1615" w:type="dxa"/>
            <w:tcBorders>
              <w:top w:val="nil"/>
              <w:left w:val="nil"/>
              <w:bottom w:val="nil"/>
              <w:right w:val="nil"/>
            </w:tcBorders>
            <w:shd w:val="clear" w:color="auto" w:fill="auto"/>
            <w:noWrap/>
            <w:vAlign w:val="center"/>
          </w:tcPr>
          <w:p w14:paraId="3CF8BD93" w14:textId="798995D2" w:rsidR="00A770A4" w:rsidRPr="005269E6" w:rsidRDefault="00667792"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المخزونات</w:t>
            </w:r>
          </w:p>
        </w:tc>
        <w:tc>
          <w:tcPr>
            <w:tcW w:w="1316" w:type="dxa"/>
            <w:tcBorders>
              <w:top w:val="nil"/>
              <w:left w:val="nil"/>
              <w:bottom w:val="nil"/>
              <w:right w:val="nil"/>
            </w:tcBorders>
            <w:shd w:val="clear" w:color="auto" w:fill="auto"/>
            <w:noWrap/>
            <w:vAlign w:val="bottom"/>
          </w:tcPr>
          <w:p w14:paraId="2D8D909D" w14:textId="28F19019" w:rsidR="00A770A4" w:rsidRPr="005269E6" w:rsidRDefault="00A770A4" w:rsidP="00796FC2">
            <w:pPr>
              <w:tabs>
                <w:tab w:val="clear" w:pos="794"/>
              </w:tabs>
              <w:spacing w:before="40" w:after="40" w:line="240" w:lineRule="exact"/>
              <w:jc w:val="center"/>
              <w:rPr>
                <w:rFonts w:eastAsia="Times New Roman"/>
                <w:i/>
                <w:iCs/>
                <w:color w:val="000000"/>
                <w:sz w:val="16"/>
                <w:szCs w:val="16"/>
                <w:rtl/>
                <w:lang w:eastAsia="en-GB" w:bidi="ar-SY"/>
              </w:rPr>
            </w:pPr>
          </w:p>
        </w:tc>
        <w:tc>
          <w:tcPr>
            <w:tcW w:w="1349" w:type="dxa"/>
            <w:tcBorders>
              <w:top w:val="nil"/>
              <w:left w:val="nil"/>
              <w:bottom w:val="nil"/>
              <w:right w:val="nil"/>
            </w:tcBorders>
            <w:vAlign w:val="bottom"/>
          </w:tcPr>
          <w:p w14:paraId="2AF19334" w14:textId="199D17FD" w:rsidR="00A770A4" w:rsidRPr="005269E6" w:rsidRDefault="00A770A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bidi="ar-SY"/>
              </w:rPr>
              <w:t>467</w:t>
            </w:r>
          </w:p>
        </w:tc>
        <w:tc>
          <w:tcPr>
            <w:tcW w:w="1154" w:type="dxa"/>
            <w:tcBorders>
              <w:top w:val="nil"/>
              <w:left w:val="nil"/>
              <w:bottom w:val="nil"/>
              <w:right w:val="nil"/>
            </w:tcBorders>
            <w:vAlign w:val="bottom"/>
          </w:tcPr>
          <w:p w14:paraId="10A90643" w14:textId="1F344DEE" w:rsidR="00A770A4" w:rsidRPr="005269E6" w:rsidRDefault="0076527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938" w:type="dxa"/>
            <w:tcBorders>
              <w:top w:val="nil"/>
              <w:left w:val="nil"/>
              <w:bottom w:val="nil"/>
              <w:right w:val="nil"/>
            </w:tcBorders>
            <w:vAlign w:val="bottom"/>
          </w:tcPr>
          <w:p w14:paraId="3F62000C" w14:textId="2BF2C461" w:rsidR="00A770A4" w:rsidRPr="005269E6" w:rsidRDefault="0028021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467</w:t>
            </w:r>
          </w:p>
        </w:tc>
        <w:tc>
          <w:tcPr>
            <w:tcW w:w="271" w:type="dxa"/>
            <w:tcBorders>
              <w:top w:val="nil"/>
              <w:left w:val="nil"/>
              <w:bottom w:val="nil"/>
              <w:right w:val="nil"/>
            </w:tcBorders>
            <w:shd w:val="clear" w:color="auto" w:fill="auto"/>
            <w:vAlign w:val="bottom"/>
          </w:tcPr>
          <w:p w14:paraId="2DA89FAE"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3902AF74" w14:textId="357D289F"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459</w:t>
            </w:r>
          </w:p>
        </w:tc>
        <w:tc>
          <w:tcPr>
            <w:tcW w:w="1154" w:type="dxa"/>
            <w:tcBorders>
              <w:top w:val="nil"/>
              <w:left w:val="nil"/>
              <w:bottom w:val="nil"/>
              <w:right w:val="nil"/>
            </w:tcBorders>
            <w:vAlign w:val="bottom"/>
          </w:tcPr>
          <w:p w14:paraId="3711B56E" w14:textId="1D8C2A84"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c>
          <w:tcPr>
            <w:tcW w:w="1133" w:type="dxa"/>
            <w:tcBorders>
              <w:top w:val="nil"/>
              <w:left w:val="nil"/>
              <w:bottom w:val="nil"/>
              <w:right w:val="nil"/>
            </w:tcBorders>
            <w:shd w:val="clear" w:color="auto" w:fill="auto"/>
            <w:noWrap/>
            <w:vAlign w:val="bottom"/>
          </w:tcPr>
          <w:p w14:paraId="3D6A10F5" w14:textId="719A3999"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459</w:t>
            </w:r>
          </w:p>
        </w:tc>
      </w:tr>
      <w:tr w:rsidR="005E7F70" w:rsidRPr="005269E6" w14:paraId="23A4F169" w14:textId="77777777" w:rsidTr="00FE51D3">
        <w:trPr>
          <w:trHeight w:val="255"/>
          <w:jc w:val="center"/>
        </w:trPr>
        <w:tc>
          <w:tcPr>
            <w:tcW w:w="1615" w:type="dxa"/>
            <w:tcBorders>
              <w:top w:val="nil"/>
              <w:left w:val="nil"/>
              <w:bottom w:val="nil"/>
              <w:right w:val="nil"/>
            </w:tcBorders>
            <w:shd w:val="clear" w:color="auto" w:fill="auto"/>
            <w:noWrap/>
            <w:vAlign w:val="center"/>
          </w:tcPr>
          <w:p w14:paraId="4962A920" w14:textId="499F1DDC" w:rsidR="00A770A4" w:rsidRPr="005269E6" w:rsidRDefault="00667792"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lastRenderedPageBreak/>
              <w:t>الذمم المدينة الأخرى</w:t>
            </w:r>
          </w:p>
        </w:tc>
        <w:tc>
          <w:tcPr>
            <w:tcW w:w="1316" w:type="dxa"/>
            <w:tcBorders>
              <w:top w:val="nil"/>
              <w:left w:val="nil"/>
              <w:bottom w:val="nil"/>
              <w:right w:val="nil"/>
            </w:tcBorders>
            <w:shd w:val="clear" w:color="auto" w:fill="auto"/>
            <w:noWrap/>
            <w:vAlign w:val="bottom"/>
          </w:tcPr>
          <w:p w14:paraId="68FEF9E7" w14:textId="3A9B0CC0" w:rsidR="00A770A4" w:rsidRPr="005269E6" w:rsidRDefault="00B77987" w:rsidP="00796FC2">
            <w:pPr>
              <w:tabs>
                <w:tab w:val="clear" w:pos="794"/>
              </w:tabs>
              <w:spacing w:before="40" w:after="40" w:line="240" w:lineRule="exact"/>
              <w:jc w:val="center"/>
              <w:rPr>
                <w:rFonts w:eastAsia="Times New Roman"/>
                <w:i/>
                <w:iCs/>
                <w:color w:val="000000"/>
                <w:sz w:val="16"/>
                <w:szCs w:val="16"/>
                <w:rtl/>
                <w:lang w:eastAsia="en-GB" w:bidi="ar-SY"/>
              </w:rPr>
            </w:pPr>
            <w:r w:rsidRPr="005269E6">
              <w:rPr>
                <w:rFonts w:eastAsia="Times New Roman"/>
                <w:i/>
                <w:iCs/>
                <w:color w:val="000000"/>
                <w:sz w:val="16"/>
                <w:szCs w:val="16"/>
                <w:rtl/>
                <w:lang w:eastAsia="en-GB" w:bidi="ar-SY"/>
              </w:rPr>
              <w:t xml:space="preserve">الملاحظة </w:t>
            </w:r>
            <w:r w:rsidRPr="005269E6">
              <w:rPr>
                <w:rFonts w:eastAsia="Times New Roman"/>
                <w:i/>
                <w:iCs/>
                <w:color w:val="000000"/>
                <w:sz w:val="16"/>
                <w:szCs w:val="16"/>
                <w:lang w:eastAsia="en-GB" w:bidi="ar-SY"/>
              </w:rPr>
              <w:t>6.30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7.30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9.30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10.30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12.30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13.30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18.30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24.30</w:t>
            </w:r>
          </w:p>
        </w:tc>
        <w:tc>
          <w:tcPr>
            <w:tcW w:w="1349" w:type="dxa"/>
            <w:tcBorders>
              <w:top w:val="nil"/>
              <w:left w:val="nil"/>
              <w:bottom w:val="single" w:sz="4" w:space="0" w:color="auto"/>
              <w:right w:val="nil"/>
            </w:tcBorders>
            <w:vAlign w:val="bottom"/>
          </w:tcPr>
          <w:p w14:paraId="18C6057C" w14:textId="3AADFD55" w:rsidR="00A770A4" w:rsidRPr="005269E6" w:rsidRDefault="00A770A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bidi="ar-SY"/>
              </w:rPr>
              <w:t>7 118</w:t>
            </w:r>
          </w:p>
        </w:tc>
        <w:tc>
          <w:tcPr>
            <w:tcW w:w="1154" w:type="dxa"/>
            <w:tcBorders>
              <w:top w:val="nil"/>
              <w:left w:val="nil"/>
              <w:bottom w:val="single" w:sz="4" w:space="0" w:color="auto"/>
              <w:right w:val="nil"/>
            </w:tcBorders>
            <w:vAlign w:val="bottom"/>
          </w:tcPr>
          <w:p w14:paraId="7FCD3578" w14:textId="100871B6" w:rsidR="00A770A4" w:rsidRPr="005269E6" w:rsidRDefault="0076527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(793)</w:t>
            </w:r>
          </w:p>
        </w:tc>
        <w:tc>
          <w:tcPr>
            <w:tcW w:w="938" w:type="dxa"/>
            <w:tcBorders>
              <w:top w:val="nil"/>
              <w:left w:val="nil"/>
              <w:bottom w:val="single" w:sz="4" w:space="0" w:color="auto"/>
              <w:right w:val="nil"/>
            </w:tcBorders>
            <w:vAlign w:val="bottom"/>
          </w:tcPr>
          <w:p w14:paraId="7E892B1C" w14:textId="0693E067" w:rsidR="00A770A4" w:rsidRPr="005269E6" w:rsidRDefault="0028021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6 325</w:t>
            </w:r>
          </w:p>
        </w:tc>
        <w:tc>
          <w:tcPr>
            <w:tcW w:w="271" w:type="dxa"/>
            <w:tcBorders>
              <w:top w:val="nil"/>
              <w:left w:val="nil"/>
              <w:bottom w:val="nil"/>
              <w:right w:val="nil"/>
            </w:tcBorders>
            <w:shd w:val="clear" w:color="auto" w:fill="auto"/>
            <w:vAlign w:val="bottom"/>
          </w:tcPr>
          <w:p w14:paraId="6F47CE60"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single" w:sz="4" w:space="0" w:color="auto"/>
              <w:right w:val="nil"/>
            </w:tcBorders>
            <w:shd w:val="clear" w:color="auto" w:fill="auto"/>
            <w:noWrap/>
            <w:vAlign w:val="bottom"/>
          </w:tcPr>
          <w:p w14:paraId="30C526CC" w14:textId="5512643C"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9 439</w:t>
            </w:r>
          </w:p>
        </w:tc>
        <w:tc>
          <w:tcPr>
            <w:tcW w:w="1154" w:type="dxa"/>
            <w:tcBorders>
              <w:top w:val="nil"/>
              <w:left w:val="nil"/>
              <w:bottom w:val="single" w:sz="4" w:space="0" w:color="auto"/>
              <w:right w:val="nil"/>
            </w:tcBorders>
            <w:vAlign w:val="bottom"/>
          </w:tcPr>
          <w:p w14:paraId="166E2592" w14:textId="50058DED"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(1 326)</w:t>
            </w:r>
          </w:p>
        </w:tc>
        <w:tc>
          <w:tcPr>
            <w:tcW w:w="1133" w:type="dxa"/>
            <w:tcBorders>
              <w:top w:val="nil"/>
              <w:left w:val="nil"/>
              <w:bottom w:val="single" w:sz="4" w:space="0" w:color="auto"/>
              <w:right w:val="nil"/>
            </w:tcBorders>
            <w:shd w:val="clear" w:color="auto" w:fill="auto"/>
            <w:noWrap/>
            <w:vAlign w:val="bottom"/>
          </w:tcPr>
          <w:p w14:paraId="1AA41421" w14:textId="342DE460" w:rsidR="00A770A4" w:rsidRPr="005269E6" w:rsidRDefault="0028021E"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8 113</w:t>
            </w:r>
          </w:p>
        </w:tc>
      </w:tr>
      <w:tr w:rsidR="005E7F70" w:rsidRPr="005269E6" w14:paraId="23912DBB" w14:textId="77777777" w:rsidTr="00FE51D3">
        <w:trPr>
          <w:trHeight w:val="255"/>
          <w:jc w:val="center"/>
        </w:trPr>
        <w:tc>
          <w:tcPr>
            <w:tcW w:w="1615" w:type="dxa"/>
            <w:tcBorders>
              <w:top w:val="nil"/>
              <w:left w:val="nil"/>
              <w:bottom w:val="nil"/>
              <w:right w:val="nil"/>
            </w:tcBorders>
            <w:shd w:val="clear" w:color="auto" w:fill="auto"/>
            <w:noWrap/>
            <w:vAlign w:val="center"/>
          </w:tcPr>
          <w:p w14:paraId="6FCDDC4B" w14:textId="16A77BFC" w:rsidR="00A770A4" w:rsidRPr="005269E6" w:rsidRDefault="00667792" w:rsidP="00FE51D3">
            <w:pPr>
              <w:tabs>
                <w:tab w:val="clear" w:pos="794"/>
              </w:tabs>
              <w:spacing w:before="40" w:after="40" w:line="240" w:lineRule="exact"/>
              <w:jc w:val="left"/>
              <w:rPr>
                <w:rFonts w:eastAsia="Times New Roman"/>
                <w:b/>
                <w:bCs/>
                <w:color w:val="000000"/>
                <w:sz w:val="16"/>
                <w:szCs w:val="16"/>
                <w:rtl/>
                <w:lang w:val="en-GB" w:eastAsia="en-GB"/>
              </w:rPr>
            </w:pPr>
            <w:r w:rsidRPr="005269E6">
              <w:rPr>
                <w:rFonts w:eastAsia="Times New Roman"/>
                <w:b/>
                <w:bCs/>
                <w:color w:val="000000"/>
                <w:sz w:val="16"/>
                <w:szCs w:val="16"/>
                <w:rtl/>
                <w:lang w:val="en-GB" w:eastAsia="en-GB" w:bidi="ar-SY"/>
              </w:rPr>
              <w:t>مجموع الأصول الجارية</w:t>
            </w:r>
          </w:p>
        </w:tc>
        <w:tc>
          <w:tcPr>
            <w:tcW w:w="1316" w:type="dxa"/>
            <w:tcBorders>
              <w:top w:val="nil"/>
              <w:left w:val="nil"/>
              <w:bottom w:val="nil"/>
              <w:right w:val="nil"/>
            </w:tcBorders>
            <w:shd w:val="clear" w:color="auto" w:fill="auto"/>
            <w:noWrap/>
            <w:vAlign w:val="bottom"/>
          </w:tcPr>
          <w:p w14:paraId="47892241" w14:textId="52E4215D" w:rsidR="00A770A4" w:rsidRPr="005269E6" w:rsidRDefault="00A770A4" w:rsidP="00796FC2">
            <w:pPr>
              <w:tabs>
                <w:tab w:val="clear" w:pos="794"/>
              </w:tabs>
              <w:spacing w:before="40" w:after="40" w:line="240" w:lineRule="exact"/>
              <w:jc w:val="center"/>
              <w:rPr>
                <w:rFonts w:eastAsia="Times New Roman"/>
                <w:b/>
                <w:bCs/>
                <w:i/>
                <w:iCs/>
                <w:color w:val="000000"/>
                <w:sz w:val="16"/>
                <w:szCs w:val="16"/>
                <w:rtl/>
                <w:lang w:eastAsia="en-GB" w:bidi="ar-SY"/>
              </w:rPr>
            </w:pPr>
          </w:p>
        </w:tc>
        <w:tc>
          <w:tcPr>
            <w:tcW w:w="1349" w:type="dxa"/>
            <w:tcBorders>
              <w:top w:val="single" w:sz="4" w:space="0" w:color="auto"/>
              <w:left w:val="nil"/>
              <w:bottom w:val="nil"/>
              <w:right w:val="nil"/>
            </w:tcBorders>
            <w:vAlign w:val="bottom"/>
          </w:tcPr>
          <w:p w14:paraId="72F3FEF0" w14:textId="353F8E36" w:rsidR="00A770A4" w:rsidRPr="005269E6" w:rsidRDefault="00A770A4"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bidi="ar-SY"/>
              </w:rPr>
              <w:t>320 930</w:t>
            </w:r>
          </w:p>
        </w:tc>
        <w:tc>
          <w:tcPr>
            <w:tcW w:w="1154" w:type="dxa"/>
            <w:tcBorders>
              <w:top w:val="single" w:sz="4" w:space="0" w:color="auto"/>
              <w:left w:val="nil"/>
              <w:bottom w:val="nil"/>
              <w:right w:val="nil"/>
            </w:tcBorders>
            <w:vAlign w:val="bottom"/>
          </w:tcPr>
          <w:p w14:paraId="15882989" w14:textId="2BE2B4E4" w:rsidR="00A770A4" w:rsidRPr="005269E6" w:rsidRDefault="0076527E"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(69 560)</w:t>
            </w:r>
          </w:p>
        </w:tc>
        <w:tc>
          <w:tcPr>
            <w:tcW w:w="938" w:type="dxa"/>
            <w:tcBorders>
              <w:top w:val="single" w:sz="4" w:space="0" w:color="auto"/>
              <w:left w:val="nil"/>
              <w:bottom w:val="nil"/>
              <w:right w:val="nil"/>
            </w:tcBorders>
            <w:vAlign w:val="bottom"/>
          </w:tcPr>
          <w:p w14:paraId="23AE396C" w14:textId="3C4222AC" w:rsidR="00A770A4" w:rsidRPr="005269E6" w:rsidRDefault="0028021E"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251 370</w:t>
            </w:r>
          </w:p>
        </w:tc>
        <w:tc>
          <w:tcPr>
            <w:tcW w:w="271" w:type="dxa"/>
            <w:tcBorders>
              <w:top w:val="nil"/>
              <w:left w:val="nil"/>
              <w:bottom w:val="nil"/>
              <w:right w:val="nil"/>
            </w:tcBorders>
            <w:shd w:val="clear" w:color="auto" w:fill="auto"/>
            <w:vAlign w:val="bottom"/>
          </w:tcPr>
          <w:p w14:paraId="6DDDB71A" w14:textId="77777777" w:rsidR="00A770A4" w:rsidRPr="005269E6" w:rsidRDefault="00A770A4" w:rsidP="00696AA6">
            <w:pPr>
              <w:tabs>
                <w:tab w:val="clear" w:pos="794"/>
              </w:tabs>
              <w:spacing w:before="40" w:after="40" w:line="240" w:lineRule="exact"/>
              <w:jc w:val="left"/>
              <w:rPr>
                <w:rFonts w:eastAsia="Times New Roman"/>
                <w:b/>
                <w:bCs/>
                <w:color w:val="000000"/>
                <w:sz w:val="16"/>
                <w:szCs w:val="16"/>
                <w:lang w:val="en-GB" w:eastAsia="en-GB"/>
              </w:rPr>
            </w:pPr>
          </w:p>
        </w:tc>
        <w:tc>
          <w:tcPr>
            <w:tcW w:w="1349" w:type="dxa"/>
            <w:tcBorders>
              <w:top w:val="single" w:sz="4" w:space="0" w:color="auto"/>
              <w:left w:val="nil"/>
              <w:bottom w:val="nil"/>
              <w:right w:val="nil"/>
            </w:tcBorders>
            <w:shd w:val="clear" w:color="auto" w:fill="auto"/>
            <w:noWrap/>
            <w:vAlign w:val="bottom"/>
          </w:tcPr>
          <w:p w14:paraId="6DC65C99" w14:textId="1D2D8773" w:rsidR="00A770A4" w:rsidRPr="005269E6" w:rsidRDefault="001316B7"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302 607</w:t>
            </w:r>
          </w:p>
        </w:tc>
        <w:tc>
          <w:tcPr>
            <w:tcW w:w="1154" w:type="dxa"/>
            <w:tcBorders>
              <w:top w:val="single" w:sz="4" w:space="0" w:color="auto"/>
              <w:left w:val="nil"/>
              <w:bottom w:val="nil"/>
              <w:right w:val="nil"/>
            </w:tcBorders>
            <w:vAlign w:val="bottom"/>
          </w:tcPr>
          <w:p w14:paraId="6DDB5908" w14:textId="672333F8" w:rsidR="00A770A4" w:rsidRPr="005269E6" w:rsidRDefault="001316B7"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(83 575)</w:t>
            </w:r>
          </w:p>
        </w:tc>
        <w:tc>
          <w:tcPr>
            <w:tcW w:w="1133" w:type="dxa"/>
            <w:tcBorders>
              <w:top w:val="single" w:sz="4" w:space="0" w:color="auto"/>
              <w:left w:val="nil"/>
              <w:bottom w:val="nil"/>
              <w:right w:val="nil"/>
            </w:tcBorders>
            <w:shd w:val="clear" w:color="auto" w:fill="auto"/>
            <w:noWrap/>
            <w:vAlign w:val="bottom"/>
          </w:tcPr>
          <w:p w14:paraId="12F38710" w14:textId="39D352A1" w:rsidR="00A770A4" w:rsidRPr="005269E6" w:rsidRDefault="001316B7"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219 032</w:t>
            </w:r>
          </w:p>
        </w:tc>
      </w:tr>
      <w:tr w:rsidR="007C5053" w:rsidRPr="005269E6" w14:paraId="72DF1A48" w14:textId="77777777" w:rsidTr="00FE51D3">
        <w:trPr>
          <w:trHeight w:val="92"/>
          <w:jc w:val="center"/>
        </w:trPr>
        <w:tc>
          <w:tcPr>
            <w:tcW w:w="1615" w:type="dxa"/>
            <w:tcBorders>
              <w:top w:val="nil"/>
              <w:left w:val="nil"/>
              <w:bottom w:val="nil"/>
              <w:right w:val="nil"/>
            </w:tcBorders>
            <w:shd w:val="clear" w:color="auto" w:fill="auto"/>
            <w:noWrap/>
            <w:vAlign w:val="center"/>
          </w:tcPr>
          <w:p w14:paraId="56BFAA26" w14:textId="113D8DAC" w:rsidR="00A770A4" w:rsidRPr="005269E6" w:rsidRDefault="00A770A4" w:rsidP="00FE51D3">
            <w:pPr>
              <w:tabs>
                <w:tab w:val="clear" w:pos="794"/>
              </w:tabs>
              <w:spacing w:before="0" w:line="200" w:lineRule="exact"/>
              <w:jc w:val="left"/>
              <w:rPr>
                <w:rFonts w:eastAsia="Times New Roman"/>
                <w:b/>
                <w:bCs/>
                <w:color w:val="000000"/>
                <w:sz w:val="16"/>
                <w:szCs w:val="16"/>
                <w:rtl/>
                <w:lang w:val="en-GB" w:eastAsia="en-GB" w:bidi="ar-SY"/>
              </w:rPr>
            </w:pPr>
          </w:p>
        </w:tc>
        <w:tc>
          <w:tcPr>
            <w:tcW w:w="1316" w:type="dxa"/>
            <w:tcBorders>
              <w:top w:val="nil"/>
              <w:left w:val="nil"/>
              <w:bottom w:val="nil"/>
              <w:right w:val="nil"/>
            </w:tcBorders>
            <w:shd w:val="clear" w:color="auto" w:fill="auto"/>
            <w:noWrap/>
            <w:vAlign w:val="bottom"/>
          </w:tcPr>
          <w:p w14:paraId="11EF5A62" w14:textId="045EE3D2" w:rsidR="00A770A4" w:rsidRPr="005269E6" w:rsidRDefault="00A770A4" w:rsidP="00B77987">
            <w:pPr>
              <w:tabs>
                <w:tab w:val="clear" w:pos="794"/>
              </w:tabs>
              <w:spacing w:before="0" w:line="200" w:lineRule="exact"/>
              <w:jc w:val="center"/>
              <w:rPr>
                <w:rFonts w:eastAsia="Times New Roman"/>
                <w:b/>
                <w:bCs/>
                <w:i/>
                <w:iCs/>
                <w:color w:val="000000"/>
                <w:sz w:val="16"/>
                <w:szCs w:val="16"/>
                <w:rtl/>
                <w:lang w:val="en-GB" w:eastAsia="en-GB"/>
              </w:rPr>
            </w:pPr>
          </w:p>
        </w:tc>
        <w:tc>
          <w:tcPr>
            <w:tcW w:w="1349" w:type="dxa"/>
            <w:tcBorders>
              <w:top w:val="nil"/>
              <w:left w:val="nil"/>
              <w:bottom w:val="nil"/>
              <w:right w:val="nil"/>
            </w:tcBorders>
            <w:vAlign w:val="bottom"/>
          </w:tcPr>
          <w:p w14:paraId="560F4E4B" w14:textId="77777777" w:rsidR="00A770A4" w:rsidRPr="005269E6" w:rsidRDefault="00A770A4" w:rsidP="00696AA6">
            <w:pPr>
              <w:tabs>
                <w:tab w:val="clear" w:pos="794"/>
              </w:tabs>
              <w:spacing w:before="0" w:line="200" w:lineRule="exact"/>
              <w:jc w:val="left"/>
              <w:rPr>
                <w:rFonts w:eastAsia="Times New Roman"/>
                <w:b/>
                <w:bCs/>
                <w:color w:val="000000"/>
                <w:sz w:val="16"/>
                <w:szCs w:val="16"/>
                <w:lang w:eastAsia="en-GB"/>
              </w:rPr>
            </w:pPr>
          </w:p>
        </w:tc>
        <w:tc>
          <w:tcPr>
            <w:tcW w:w="1154" w:type="dxa"/>
            <w:tcBorders>
              <w:top w:val="nil"/>
              <w:left w:val="nil"/>
              <w:bottom w:val="nil"/>
              <w:right w:val="nil"/>
            </w:tcBorders>
            <w:vAlign w:val="bottom"/>
          </w:tcPr>
          <w:p w14:paraId="69036762" w14:textId="63873BD5" w:rsidR="00A770A4" w:rsidRPr="005269E6" w:rsidRDefault="00A770A4" w:rsidP="00696AA6">
            <w:pPr>
              <w:tabs>
                <w:tab w:val="clear" w:pos="794"/>
              </w:tabs>
              <w:spacing w:before="0" w:line="200" w:lineRule="exact"/>
              <w:jc w:val="left"/>
              <w:rPr>
                <w:rFonts w:eastAsia="Times New Roman"/>
                <w:b/>
                <w:bCs/>
                <w:color w:val="000000"/>
                <w:sz w:val="16"/>
                <w:szCs w:val="16"/>
                <w:lang w:eastAsia="en-GB"/>
              </w:rPr>
            </w:pPr>
          </w:p>
        </w:tc>
        <w:tc>
          <w:tcPr>
            <w:tcW w:w="938" w:type="dxa"/>
            <w:tcBorders>
              <w:top w:val="nil"/>
              <w:left w:val="nil"/>
              <w:bottom w:val="nil"/>
              <w:right w:val="nil"/>
            </w:tcBorders>
            <w:vAlign w:val="bottom"/>
          </w:tcPr>
          <w:p w14:paraId="266B2EA1" w14:textId="6DB412C7" w:rsidR="00A770A4" w:rsidRPr="005269E6" w:rsidRDefault="00A770A4" w:rsidP="00696AA6">
            <w:pPr>
              <w:tabs>
                <w:tab w:val="clear" w:pos="794"/>
              </w:tabs>
              <w:spacing w:before="0" w:line="200" w:lineRule="exact"/>
              <w:jc w:val="left"/>
              <w:rPr>
                <w:rFonts w:eastAsia="Times New Roman"/>
                <w:b/>
                <w:bCs/>
                <w:color w:val="000000"/>
                <w:sz w:val="16"/>
                <w:szCs w:val="16"/>
                <w:lang w:eastAsia="en-GB"/>
              </w:rPr>
            </w:pPr>
          </w:p>
        </w:tc>
        <w:tc>
          <w:tcPr>
            <w:tcW w:w="271" w:type="dxa"/>
            <w:tcBorders>
              <w:top w:val="nil"/>
              <w:left w:val="nil"/>
              <w:bottom w:val="nil"/>
              <w:right w:val="nil"/>
            </w:tcBorders>
            <w:shd w:val="clear" w:color="auto" w:fill="auto"/>
            <w:vAlign w:val="bottom"/>
          </w:tcPr>
          <w:p w14:paraId="34C9203C" w14:textId="77777777" w:rsidR="00A770A4" w:rsidRPr="005269E6" w:rsidRDefault="00A770A4" w:rsidP="00696AA6">
            <w:pPr>
              <w:tabs>
                <w:tab w:val="clear" w:pos="794"/>
              </w:tabs>
              <w:spacing w:before="0" w:line="200" w:lineRule="exact"/>
              <w:jc w:val="left"/>
              <w:rPr>
                <w:rFonts w:eastAsia="Times New Roman"/>
                <w:b/>
                <w:bCs/>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78E8A5D6" w14:textId="3FC46DC6" w:rsidR="00A770A4" w:rsidRPr="005269E6" w:rsidRDefault="00A770A4" w:rsidP="00696AA6">
            <w:pPr>
              <w:tabs>
                <w:tab w:val="clear" w:pos="794"/>
              </w:tabs>
              <w:spacing w:before="0" w:line="200" w:lineRule="exact"/>
              <w:jc w:val="left"/>
              <w:rPr>
                <w:rFonts w:eastAsia="Times New Roman"/>
                <w:b/>
                <w:bCs/>
                <w:color w:val="000000"/>
                <w:sz w:val="16"/>
                <w:szCs w:val="16"/>
                <w:lang w:val="en-GB" w:eastAsia="en-GB"/>
              </w:rPr>
            </w:pPr>
          </w:p>
        </w:tc>
        <w:tc>
          <w:tcPr>
            <w:tcW w:w="1154" w:type="dxa"/>
            <w:tcBorders>
              <w:top w:val="nil"/>
              <w:left w:val="nil"/>
              <w:bottom w:val="nil"/>
              <w:right w:val="nil"/>
            </w:tcBorders>
            <w:vAlign w:val="bottom"/>
          </w:tcPr>
          <w:p w14:paraId="4D699503" w14:textId="77777777" w:rsidR="00A770A4" w:rsidRPr="005269E6" w:rsidRDefault="00A770A4" w:rsidP="00696AA6">
            <w:pPr>
              <w:tabs>
                <w:tab w:val="clear" w:pos="794"/>
              </w:tabs>
              <w:spacing w:before="0" w:line="200" w:lineRule="exact"/>
              <w:jc w:val="left"/>
              <w:rPr>
                <w:rFonts w:eastAsia="Times New Roman"/>
                <w:b/>
                <w:bCs/>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102EEA4C" w14:textId="7BEFF62F" w:rsidR="00A770A4" w:rsidRPr="005269E6" w:rsidRDefault="00A770A4" w:rsidP="00696AA6">
            <w:pPr>
              <w:tabs>
                <w:tab w:val="clear" w:pos="794"/>
              </w:tabs>
              <w:spacing w:before="0" w:line="200" w:lineRule="exact"/>
              <w:jc w:val="left"/>
              <w:rPr>
                <w:rFonts w:eastAsia="Times New Roman"/>
                <w:b/>
                <w:bCs/>
                <w:color w:val="000000"/>
                <w:sz w:val="16"/>
                <w:szCs w:val="16"/>
                <w:lang w:val="en-GB" w:eastAsia="en-GB"/>
              </w:rPr>
            </w:pPr>
          </w:p>
        </w:tc>
      </w:tr>
      <w:tr w:rsidR="007C5053" w:rsidRPr="005269E6" w14:paraId="7A465CCE" w14:textId="77777777" w:rsidTr="00FE51D3">
        <w:trPr>
          <w:trHeight w:val="255"/>
          <w:jc w:val="center"/>
        </w:trPr>
        <w:tc>
          <w:tcPr>
            <w:tcW w:w="1615" w:type="dxa"/>
            <w:tcBorders>
              <w:top w:val="nil"/>
              <w:left w:val="nil"/>
              <w:bottom w:val="nil"/>
              <w:right w:val="nil"/>
            </w:tcBorders>
            <w:shd w:val="clear" w:color="auto" w:fill="auto"/>
            <w:noWrap/>
            <w:vAlign w:val="center"/>
          </w:tcPr>
          <w:p w14:paraId="74003098" w14:textId="6D56734E" w:rsidR="00A770A4" w:rsidRPr="005269E6" w:rsidRDefault="00667792" w:rsidP="00FE51D3">
            <w:pPr>
              <w:tabs>
                <w:tab w:val="clear" w:pos="794"/>
              </w:tabs>
              <w:spacing w:before="40" w:after="40" w:line="240" w:lineRule="exact"/>
              <w:jc w:val="left"/>
              <w:rPr>
                <w:rFonts w:eastAsia="Times New Roman"/>
                <w:color w:val="000000"/>
                <w:sz w:val="16"/>
                <w:szCs w:val="16"/>
                <w:rtl/>
                <w:lang w:val="en-GB" w:eastAsia="en-GB" w:bidi="ar-SY"/>
              </w:rPr>
            </w:pPr>
            <w:r w:rsidRPr="005269E6">
              <w:rPr>
                <w:rFonts w:eastAsia="Times New Roman"/>
                <w:b/>
                <w:bCs/>
                <w:color w:val="000000"/>
                <w:sz w:val="16"/>
                <w:szCs w:val="16"/>
                <w:rtl/>
                <w:lang w:val="en-GB" w:eastAsia="en-GB" w:bidi="ar-SY"/>
              </w:rPr>
              <w:t>الأصول غير الجارية</w:t>
            </w:r>
          </w:p>
        </w:tc>
        <w:tc>
          <w:tcPr>
            <w:tcW w:w="1316" w:type="dxa"/>
            <w:tcBorders>
              <w:top w:val="nil"/>
              <w:left w:val="nil"/>
              <w:bottom w:val="nil"/>
              <w:right w:val="nil"/>
            </w:tcBorders>
            <w:shd w:val="clear" w:color="auto" w:fill="auto"/>
            <w:noWrap/>
            <w:vAlign w:val="bottom"/>
          </w:tcPr>
          <w:p w14:paraId="46551B8C" w14:textId="0068B5F3" w:rsidR="00A770A4" w:rsidRPr="005269E6" w:rsidRDefault="00A770A4"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66653CD3"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eastAsia="en-GB"/>
              </w:rPr>
            </w:pPr>
          </w:p>
        </w:tc>
        <w:tc>
          <w:tcPr>
            <w:tcW w:w="1154" w:type="dxa"/>
            <w:tcBorders>
              <w:top w:val="nil"/>
              <w:left w:val="nil"/>
              <w:bottom w:val="nil"/>
              <w:right w:val="nil"/>
            </w:tcBorders>
            <w:vAlign w:val="bottom"/>
          </w:tcPr>
          <w:p w14:paraId="2D50CD17" w14:textId="0B2A0743" w:rsidR="00A770A4" w:rsidRPr="005269E6" w:rsidRDefault="00A770A4" w:rsidP="00696AA6">
            <w:pPr>
              <w:tabs>
                <w:tab w:val="clear" w:pos="794"/>
              </w:tabs>
              <w:spacing w:before="40" w:after="40" w:line="240" w:lineRule="exact"/>
              <w:jc w:val="left"/>
              <w:rPr>
                <w:rFonts w:eastAsia="Times New Roman"/>
                <w:color w:val="000000"/>
                <w:sz w:val="16"/>
                <w:szCs w:val="16"/>
                <w:lang w:eastAsia="en-GB"/>
              </w:rPr>
            </w:pPr>
          </w:p>
        </w:tc>
        <w:tc>
          <w:tcPr>
            <w:tcW w:w="938" w:type="dxa"/>
            <w:tcBorders>
              <w:top w:val="nil"/>
              <w:left w:val="nil"/>
              <w:bottom w:val="nil"/>
              <w:right w:val="nil"/>
            </w:tcBorders>
            <w:vAlign w:val="bottom"/>
          </w:tcPr>
          <w:p w14:paraId="4A0EAC17" w14:textId="419FDF92" w:rsidR="00A770A4" w:rsidRPr="005269E6" w:rsidRDefault="00A770A4" w:rsidP="00696AA6">
            <w:pPr>
              <w:tabs>
                <w:tab w:val="clear" w:pos="794"/>
              </w:tabs>
              <w:spacing w:before="40" w:after="40" w:line="240" w:lineRule="exact"/>
              <w:jc w:val="left"/>
              <w:rPr>
                <w:rFonts w:eastAsia="Times New Roman"/>
                <w:color w:val="000000"/>
                <w:sz w:val="16"/>
                <w:szCs w:val="16"/>
                <w:lang w:eastAsia="en-GB"/>
              </w:rPr>
            </w:pPr>
          </w:p>
        </w:tc>
        <w:tc>
          <w:tcPr>
            <w:tcW w:w="271" w:type="dxa"/>
            <w:tcBorders>
              <w:top w:val="nil"/>
              <w:left w:val="nil"/>
              <w:bottom w:val="nil"/>
              <w:right w:val="nil"/>
            </w:tcBorders>
            <w:shd w:val="clear" w:color="auto" w:fill="auto"/>
            <w:vAlign w:val="bottom"/>
          </w:tcPr>
          <w:p w14:paraId="6EB7BC70"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2FECCD37" w14:textId="571C2B58"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154" w:type="dxa"/>
            <w:tcBorders>
              <w:top w:val="nil"/>
              <w:left w:val="nil"/>
              <w:bottom w:val="nil"/>
              <w:right w:val="nil"/>
            </w:tcBorders>
            <w:vAlign w:val="bottom"/>
          </w:tcPr>
          <w:p w14:paraId="4EA5EBFF"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2A898F2C" w14:textId="13AF7EF3"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r>
      <w:tr w:rsidR="007C5053" w:rsidRPr="005269E6" w14:paraId="6C7E27E5" w14:textId="77777777" w:rsidTr="00FE51D3">
        <w:trPr>
          <w:trHeight w:val="255"/>
          <w:jc w:val="center"/>
        </w:trPr>
        <w:tc>
          <w:tcPr>
            <w:tcW w:w="1615" w:type="dxa"/>
            <w:tcBorders>
              <w:top w:val="nil"/>
              <w:left w:val="nil"/>
              <w:bottom w:val="nil"/>
              <w:right w:val="nil"/>
            </w:tcBorders>
            <w:shd w:val="clear" w:color="auto" w:fill="auto"/>
            <w:noWrap/>
            <w:vAlign w:val="center"/>
          </w:tcPr>
          <w:p w14:paraId="78633229" w14:textId="55369643" w:rsidR="00A770A4" w:rsidRPr="005269E6" w:rsidRDefault="00667792" w:rsidP="00FE51D3">
            <w:pPr>
              <w:tabs>
                <w:tab w:val="clear" w:pos="794"/>
              </w:tabs>
              <w:spacing w:before="40" w:after="40" w:line="240" w:lineRule="exact"/>
              <w:jc w:val="left"/>
              <w:rPr>
                <w:rFonts w:eastAsia="Times New Roman"/>
                <w:b/>
                <w:bCs/>
                <w:color w:val="000000"/>
                <w:sz w:val="16"/>
                <w:szCs w:val="16"/>
                <w:rtl/>
                <w:lang w:val="en-GB" w:eastAsia="en-GB" w:bidi="ar-SY"/>
              </w:rPr>
            </w:pPr>
            <w:r w:rsidRPr="005269E6">
              <w:rPr>
                <w:rFonts w:eastAsia="Times New Roman"/>
                <w:color w:val="000000"/>
                <w:sz w:val="16"/>
                <w:szCs w:val="16"/>
                <w:rtl/>
                <w:lang w:val="en-GB" w:eastAsia="en-GB"/>
              </w:rPr>
              <w:t>الممتلكات والمنشآت والمعدات</w:t>
            </w:r>
          </w:p>
        </w:tc>
        <w:tc>
          <w:tcPr>
            <w:tcW w:w="1316" w:type="dxa"/>
            <w:tcBorders>
              <w:top w:val="nil"/>
              <w:left w:val="nil"/>
              <w:bottom w:val="nil"/>
              <w:right w:val="nil"/>
            </w:tcBorders>
            <w:shd w:val="clear" w:color="auto" w:fill="auto"/>
            <w:noWrap/>
            <w:vAlign w:val="bottom"/>
          </w:tcPr>
          <w:p w14:paraId="10883B52" w14:textId="68B6B542" w:rsidR="00A770A4" w:rsidRPr="005269E6" w:rsidRDefault="00A770A4"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6F6A3D49" w14:textId="29E45B81" w:rsidR="00A770A4" w:rsidRPr="005269E6" w:rsidRDefault="00F33E87"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71 671</w:t>
            </w:r>
          </w:p>
        </w:tc>
        <w:tc>
          <w:tcPr>
            <w:tcW w:w="1154" w:type="dxa"/>
            <w:tcBorders>
              <w:top w:val="nil"/>
              <w:left w:val="nil"/>
              <w:bottom w:val="nil"/>
              <w:right w:val="nil"/>
            </w:tcBorders>
            <w:vAlign w:val="bottom"/>
          </w:tcPr>
          <w:p w14:paraId="21CFA24C" w14:textId="33426931" w:rsidR="00A770A4" w:rsidRPr="005269E6" w:rsidRDefault="0076527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938" w:type="dxa"/>
            <w:tcBorders>
              <w:top w:val="nil"/>
              <w:left w:val="nil"/>
              <w:bottom w:val="nil"/>
              <w:right w:val="nil"/>
            </w:tcBorders>
            <w:vAlign w:val="bottom"/>
          </w:tcPr>
          <w:p w14:paraId="555865F8" w14:textId="45D23253" w:rsidR="00A770A4" w:rsidRPr="005269E6" w:rsidRDefault="001316B7"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71 671</w:t>
            </w:r>
          </w:p>
        </w:tc>
        <w:tc>
          <w:tcPr>
            <w:tcW w:w="271" w:type="dxa"/>
            <w:tcBorders>
              <w:top w:val="nil"/>
              <w:left w:val="nil"/>
              <w:bottom w:val="nil"/>
              <w:right w:val="nil"/>
            </w:tcBorders>
            <w:shd w:val="clear" w:color="auto" w:fill="auto"/>
            <w:vAlign w:val="bottom"/>
          </w:tcPr>
          <w:p w14:paraId="1B2CD360"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3B4CC93D" w14:textId="3C5F6EA8" w:rsidR="00A770A4" w:rsidRPr="005269E6" w:rsidRDefault="001316B7"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78 040</w:t>
            </w:r>
          </w:p>
        </w:tc>
        <w:tc>
          <w:tcPr>
            <w:tcW w:w="1154" w:type="dxa"/>
            <w:tcBorders>
              <w:top w:val="nil"/>
              <w:left w:val="nil"/>
              <w:bottom w:val="nil"/>
              <w:right w:val="nil"/>
            </w:tcBorders>
            <w:vAlign w:val="bottom"/>
          </w:tcPr>
          <w:p w14:paraId="5E2270DA" w14:textId="3424F3E1" w:rsidR="00A770A4" w:rsidRPr="005269E6" w:rsidRDefault="001316B7"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c>
          <w:tcPr>
            <w:tcW w:w="1133" w:type="dxa"/>
            <w:tcBorders>
              <w:top w:val="nil"/>
              <w:left w:val="nil"/>
              <w:bottom w:val="nil"/>
              <w:right w:val="nil"/>
            </w:tcBorders>
            <w:shd w:val="clear" w:color="auto" w:fill="auto"/>
            <w:noWrap/>
            <w:vAlign w:val="bottom"/>
          </w:tcPr>
          <w:p w14:paraId="0BD10374" w14:textId="08F92454" w:rsidR="00A770A4" w:rsidRPr="005269E6" w:rsidRDefault="001316B7"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78 040</w:t>
            </w:r>
          </w:p>
        </w:tc>
      </w:tr>
      <w:tr w:rsidR="007C5053" w:rsidRPr="005269E6" w14:paraId="32053CBD" w14:textId="77777777" w:rsidTr="00FE51D3">
        <w:trPr>
          <w:trHeight w:val="255"/>
          <w:jc w:val="center"/>
        </w:trPr>
        <w:tc>
          <w:tcPr>
            <w:tcW w:w="1615" w:type="dxa"/>
            <w:tcBorders>
              <w:top w:val="nil"/>
              <w:left w:val="nil"/>
              <w:bottom w:val="nil"/>
              <w:right w:val="nil"/>
            </w:tcBorders>
            <w:shd w:val="clear" w:color="auto" w:fill="auto"/>
            <w:noWrap/>
            <w:vAlign w:val="center"/>
          </w:tcPr>
          <w:p w14:paraId="5799ED1A" w14:textId="405DF08A" w:rsidR="00F33E87" w:rsidRPr="005269E6" w:rsidRDefault="00667792"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الأصول غير المادية</w:t>
            </w:r>
          </w:p>
        </w:tc>
        <w:tc>
          <w:tcPr>
            <w:tcW w:w="1316" w:type="dxa"/>
            <w:tcBorders>
              <w:top w:val="nil"/>
              <w:left w:val="nil"/>
              <w:bottom w:val="nil"/>
              <w:right w:val="nil"/>
            </w:tcBorders>
            <w:shd w:val="clear" w:color="auto" w:fill="auto"/>
            <w:noWrap/>
            <w:vAlign w:val="bottom"/>
          </w:tcPr>
          <w:p w14:paraId="4729ECE4" w14:textId="77777777" w:rsidR="00F33E87" w:rsidRPr="005269E6" w:rsidRDefault="00F33E87"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2E71B6A1" w14:textId="3C1C03E0" w:rsidR="00F33E87" w:rsidRPr="005269E6" w:rsidRDefault="00F33E87"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792</w:t>
            </w:r>
          </w:p>
        </w:tc>
        <w:tc>
          <w:tcPr>
            <w:tcW w:w="1154" w:type="dxa"/>
            <w:tcBorders>
              <w:top w:val="nil"/>
              <w:left w:val="nil"/>
              <w:bottom w:val="nil"/>
              <w:right w:val="nil"/>
            </w:tcBorders>
            <w:vAlign w:val="bottom"/>
          </w:tcPr>
          <w:p w14:paraId="5B78031F" w14:textId="15CA58E4" w:rsidR="00F33E87" w:rsidRPr="005269E6" w:rsidRDefault="0076527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938" w:type="dxa"/>
            <w:tcBorders>
              <w:top w:val="nil"/>
              <w:left w:val="nil"/>
              <w:bottom w:val="nil"/>
              <w:right w:val="nil"/>
            </w:tcBorders>
            <w:vAlign w:val="bottom"/>
          </w:tcPr>
          <w:p w14:paraId="261CA4CA" w14:textId="3C8BAC85" w:rsidR="00F33E87" w:rsidRPr="005269E6" w:rsidRDefault="001316B7"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792</w:t>
            </w:r>
          </w:p>
        </w:tc>
        <w:tc>
          <w:tcPr>
            <w:tcW w:w="271" w:type="dxa"/>
            <w:tcBorders>
              <w:top w:val="nil"/>
              <w:left w:val="nil"/>
              <w:bottom w:val="nil"/>
              <w:right w:val="nil"/>
            </w:tcBorders>
            <w:shd w:val="clear" w:color="auto" w:fill="auto"/>
            <w:vAlign w:val="bottom"/>
          </w:tcPr>
          <w:p w14:paraId="33EA9BC5" w14:textId="77777777" w:rsidR="00F33E87" w:rsidRPr="005269E6" w:rsidRDefault="00F33E87"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4A66ABDC" w14:textId="624BC115" w:rsidR="00F33E87" w:rsidRPr="005269E6" w:rsidRDefault="001316B7"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1 443</w:t>
            </w:r>
          </w:p>
        </w:tc>
        <w:tc>
          <w:tcPr>
            <w:tcW w:w="1154" w:type="dxa"/>
            <w:tcBorders>
              <w:top w:val="nil"/>
              <w:left w:val="nil"/>
              <w:bottom w:val="nil"/>
              <w:right w:val="nil"/>
            </w:tcBorders>
            <w:vAlign w:val="bottom"/>
          </w:tcPr>
          <w:p w14:paraId="5FDBE1D9" w14:textId="0F3B28FC" w:rsidR="00F33E87" w:rsidRPr="005269E6" w:rsidRDefault="001316B7"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c>
          <w:tcPr>
            <w:tcW w:w="1133" w:type="dxa"/>
            <w:tcBorders>
              <w:top w:val="nil"/>
              <w:left w:val="nil"/>
              <w:bottom w:val="nil"/>
              <w:right w:val="nil"/>
            </w:tcBorders>
            <w:shd w:val="clear" w:color="auto" w:fill="auto"/>
            <w:noWrap/>
            <w:vAlign w:val="bottom"/>
          </w:tcPr>
          <w:p w14:paraId="11743440" w14:textId="6C45F558" w:rsidR="00F33E87" w:rsidRPr="005269E6" w:rsidRDefault="001316B7"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1 443</w:t>
            </w:r>
          </w:p>
        </w:tc>
      </w:tr>
      <w:tr w:rsidR="007C5053" w:rsidRPr="005269E6" w14:paraId="014B82C4" w14:textId="77777777" w:rsidTr="00FE51D3">
        <w:trPr>
          <w:trHeight w:val="255"/>
          <w:jc w:val="center"/>
        </w:trPr>
        <w:tc>
          <w:tcPr>
            <w:tcW w:w="1615" w:type="dxa"/>
            <w:tcBorders>
              <w:top w:val="nil"/>
              <w:left w:val="nil"/>
              <w:bottom w:val="nil"/>
              <w:right w:val="nil"/>
            </w:tcBorders>
            <w:shd w:val="clear" w:color="auto" w:fill="auto"/>
            <w:noWrap/>
            <w:vAlign w:val="center"/>
          </w:tcPr>
          <w:p w14:paraId="593C12D2" w14:textId="5A551A6E" w:rsidR="00F33E87" w:rsidRPr="005269E6" w:rsidRDefault="00667792"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الأصول قيد الإنشاء</w:t>
            </w:r>
          </w:p>
        </w:tc>
        <w:tc>
          <w:tcPr>
            <w:tcW w:w="1316" w:type="dxa"/>
            <w:tcBorders>
              <w:top w:val="nil"/>
              <w:left w:val="nil"/>
              <w:bottom w:val="nil"/>
              <w:right w:val="nil"/>
            </w:tcBorders>
            <w:shd w:val="clear" w:color="auto" w:fill="auto"/>
            <w:noWrap/>
            <w:vAlign w:val="bottom"/>
          </w:tcPr>
          <w:p w14:paraId="70AADF0C" w14:textId="77777777" w:rsidR="00F33E87" w:rsidRPr="005269E6" w:rsidRDefault="00F33E87"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663BCA9D" w14:textId="565B599E" w:rsidR="00F33E87" w:rsidRPr="005269E6" w:rsidRDefault="00F33E87"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13 732</w:t>
            </w:r>
          </w:p>
        </w:tc>
        <w:tc>
          <w:tcPr>
            <w:tcW w:w="1154" w:type="dxa"/>
            <w:tcBorders>
              <w:top w:val="nil"/>
              <w:left w:val="nil"/>
              <w:bottom w:val="nil"/>
              <w:right w:val="nil"/>
            </w:tcBorders>
            <w:vAlign w:val="bottom"/>
          </w:tcPr>
          <w:p w14:paraId="1ED8E199" w14:textId="0EC0DF60" w:rsidR="00F33E87" w:rsidRPr="005269E6" w:rsidRDefault="0076527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938" w:type="dxa"/>
            <w:tcBorders>
              <w:top w:val="nil"/>
              <w:left w:val="nil"/>
              <w:bottom w:val="nil"/>
              <w:right w:val="nil"/>
            </w:tcBorders>
            <w:vAlign w:val="bottom"/>
          </w:tcPr>
          <w:p w14:paraId="01536807" w14:textId="6605A8F8" w:rsidR="00F33E87" w:rsidRPr="005269E6" w:rsidRDefault="001316B7"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13 732</w:t>
            </w:r>
          </w:p>
        </w:tc>
        <w:tc>
          <w:tcPr>
            <w:tcW w:w="271" w:type="dxa"/>
            <w:tcBorders>
              <w:top w:val="nil"/>
              <w:left w:val="nil"/>
              <w:bottom w:val="nil"/>
              <w:right w:val="nil"/>
            </w:tcBorders>
            <w:shd w:val="clear" w:color="auto" w:fill="auto"/>
            <w:vAlign w:val="bottom"/>
          </w:tcPr>
          <w:p w14:paraId="77CA85EB" w14:textId="0F637841" w:rsidR="00F33E87" w:rsidRPr="005269E6" w:rsidRDefault="00F33E87"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2F807D1D" w14:textId="609A331D" w:rsidR="00F33E87" w:rsidRPr="005269E6" w:rsidRDefault="001316B7"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9 443</w:t>
            </w:r>
          </w:p>
        </w:tc>
        <w:tc>
          <w:tcPr>
            <w:tcW w:w="1154" w:type="dxa"/>
            <w:tcBorders>
              <w:top w:val="nil"/>
              <w:left w:val="nil"/>
              <w:bottom w:val="nil"/>
              <w:right w:val="nil"/>
            </w:tcBorders>
            <w:vAlign w:val="bottom"/>
          </w:tcPr>
          <w:p w14:paraId="6F4C8066" w14:textId="16A7BA20" w:rsidR="00F33E87" w:rsidRPr="005269E6" w:rsidRDefault="001316B7"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c>
          <w:tcPr>
            <w:tcW w:w="1133" w:type="dxa"/>
            <w:tcBorders>
              <w:top w:val="nil"/>
              <w:left w:val="nil"/>
              <w:bottom w:val="nil"/>
              <w:right w:val="nil"/>
            </w:tcBorders>
            <w:shd w:val="clear" w:color="auto" w:fill="auto"/>
            <w:noWrap/>
            <w:vAlign w:val="bottom"/>
          </w:tcPr>
          <w:p w14:paraId="64E6B21A" w14:textId="36096FB0" w:rsidR="00F33E87" w:rsidRPr="005269E6" w:rsidRDefault="001316B7"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9 443</w:t>
            </w:r>
          </w:p>
        </w:tc>
      </w:tr>
      <w:tr w:rsidR="007C5053" w:rsidRPr="005269E6" w14:paraId="433DD301" w14:textId="77777777" w:rsidTr="00FE51D3">
        <w:trPr>
          <w:trHeight w:val="255"/>
          <w:jc w:val="center"/>
        </w:trPr>
        <w:tc>
          <w:tcPr>
            <w:tcW w:w="1615" w:type="dxa"/>
            <w:tcBorders>
              <w:top w:val="nil"/>
              <w:left w:val="nil"/>
              <w:bottom w:val="nil"/>
              <w:right w:val="nil"/>
            </w:tcBorders>
            <w:shd w:val="clear" w:color="auto" w:fill="auto"/>
            <w:noWrap/>
            <w:vAlign w:val="center"/>
          </w:tcPr>
          <w:p w14:paraId="137F1442" w14:textId="66379B13" w:rsidR="00F33E87" w:rsidRPr="005269E6" w:rsidRDefault="00696AA6"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hint="cs"/>
                <w:color w:val="000000"/>
                <w:sz w:val="16"/>
                <w:szCs w:val="16"/>
                <w:rtl/>
                <w:lang w:val="en-GB" w:eastAsia="en-GB"/>
              </w:rPr>
              <w:t xml:space="preserve">جمعية </w:t>
            </w:r>
            <w:r w:rsidR="00667792" w:rsidRPr="005269E6">
              <w:rPr>
                <w:rFonts w:eastAsia="Times New Roman"/>
                <w:color w:val="000000"/>
                <w:sz w:val="16"/>
                <w:szCs w:val="16"/>
                <w:lang w:val="en-GB" w:eastAsia="en-GB"/>
              </w:rPr>
              <w:t>UNSMIS</w:t>
            </w:r>
          </w:p>
        </w:tc>
        <w:tc>
          <w:tcPr>
            <w:tcW w:w="1316" w:type="dxa"/>
            <w:tcBorders>
              <w:top w:val="nil"/>
              <w:left w:val="nil"/>
              <w:bottom w:val="nil"/>
              <w:right w:val="nil"/>
            </w:tcBorders>
            <w:shd w:val="clear" w:color="auto" w:fill="auto"/>
            <w:noWrap/>
            <w:vAlign w:val="bottom"/>
          </w:tcPr>
          <w:p w14:paraId="0D38E9C4" w14:textId="0D4B3B47" w:rsidR="00F33E87" w:rsidRPr="005269E6" w:rsidRDefault="00B77987" w:rsidP="00796FC2">
            <w:pPr>
              <w:tabs>
                <w:tab w:val="clear" w:pos="794"/>
              </w:tabs>
              <w:spacing w:before="40" w:after="40" w:line="240" w:lineRule="exact"/>
              <w:jc w:val="center"/>
              <w:rPr>
                <w:rFonts w:eastAsia="Times New Roman"/>
                <w:i/>
                <w:iCs/>
                <w:color w:val="000000"/>
                <w:sz w:val="16"/>
                <w:szCs w:val="16"/>
                <w:rtl/>
                <w:lang w:eastAsia="en-GB" w:bidi="ar-SY"/>
              </w:rPr>
            </w:pPr>
            <w:r w:rsidRPr="005269E6">
              <w:rPr>
                <w:rFonts w:eastAsia="Times New Roman"/>
                <w:i/>
                <w:iCs/>
                <w:color w:val="000000"/>
                <w:sz w:val="16"/>
                <w:szCs w:val="16"/>
                <w:rtl/>
                <w:lang w:val="en-GB" w:eastAsia="en-GB"/>
              </w:rPr>
              <w:t xml:space="preserve">الملاحظة </w:t>
            </w:r>
            <w:r w:rsidRPr="005269E6">
              <w:rPr>
                <w:rFonts w:eastAsia="Times New Roman"/>
                <w:i/>
                <w:iCs/>
                <w:color w:val="000000"/>
                <w:sz w:val="16"/>
                <w:szCs w:val="16"/>
                <w:lang w:eastAsia="en-GB"/>
              </w:rPr>
              <w:t>4.30</w:t>
            </w:r>
          </w:p>
        </w:tc>
        <w:tc>
          <w:tcPr>
            <w:tcW w:w="1349" w:type="dxa"/>
            <w:tcBorders>
              <w:top w:val="nil"/>
              <w:left w:val="nil"/>
              <w:bottom w:val="single" w:sz="4" w:space="0" w:color="auto"/>
              <w:right w:val="nil"/>
            </w:tcBorders>
            <w:vAlign w:val="bottom"/>
          </w:tcPr>
          <w:p w14:paraId="5B6CCA1C" w14:textId="403CD15E" w:rsidR="00F33E87" w:rsidRPr="005269E6" w:rsidRDefault="00F33E87"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16 267</w:t>
            </w:r>
          </w:p>
        </w:tc>
        <w:tc>
          <w:tcPr>
            <w:tcW w:w="1154" w:type="dxa"/>
            <w:tcBorders>
              <w:top w:val="nil"/>
              <w:left w:val="nil"/>
              <w:bottom w:val="single" w:sz="4" w:space="0" w:color="auto"/>
              <w:right w:val="nil"/>
            </w:tcBorders>
            <w:vAlign w:val="bottom"/>
          </w:tcPr>
          <w:p w14:paraId="77928011" w14:textId="6129F917" w:rsidR="00F33E87" w:rsidRPr="005269E6" w:rsidRDefault="0076527E"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(16 267)</w:t>
            </w:r>
          </w:p>
        </w:tc>
        <w:tc>
          <w:tcPr>
            <w:tcW w:w="938" w:type="dxa"/>
            <w:tcBorders>
              <w:top w:val="nil"/>
              <w:left w:val="nil"/>
              <w:bottom w:val="single" w:sz="4" w:space="0" w:color="auto"/>
              <w:right w:val="nil"/>
            </w:tcBorders>
            <w:vAlign w:val="bottom"/>
          </w:tcPr>
          <w:p w14:paraId="4A47FB98" w14:textId="230E77F3" w:rsidR="00F33E87" w:rsidRPr="005269E6" w:rsidRDefault="001316B7"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271" w:type="dxa"/>
            <w:tcBorders>
              <w:top w:val="nil"/>
              <w:left w:val="nil"/>
              <w:bottom w:val="nil"/>
              <w:right w:val="nil"/>
            </w:tcBorders>
            <w:shd w:val="clear" w:color="auto" w:fill="auto"/>
            <w:vAlign w:val="bottom"/>
          </w:tcPr>
          <w:p w14:paraId="468BD3F4" w14:textId="77777777" w:rsidR="00F33E87" w:rsidRPr="005269E6" w:rsidRDefault="00F33E87"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single" w:sz="4" w:space="0" w:color="auto"/>
              <w:right w:val="nil"/>
            </w:tcBorders>
            <w:shd w:val="clear" w:color="auto" w:fill="auto"/>
            <w:noWrap/>
            <w:vAlign w:val="bottom"/>
          </w:tcPr>
          <w:p w14:paraId="7D4F1A65" w14:textId="7CC71CF1" w:rsidR="00F33E87" w:rsidRPr="005269E6" w:rsidRDefault="001316B7"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17 441</w:t>
            </w:r>
          </w:p>
        </w:tc>
        <w:tc>
          <w:tcPr>
            <w:tcW w:w="1154" w:type="dxa"/>
            <w:tcBorders>
              <w:top w:val="nil"/>
              <w:left w:val="nil"/>
              <w:bottom w:val="single" w:sz="4" w:space="0" w:color="auto"/>
              <w:right w:val="nil"/>
            </w:tcBorders>
            <w:vAlign w:val="bottom"/>
          </w:tcPr>
          <w:p w14:paraId="5EB47DF7" w14:textId="05BB919F" w:rsidR="00F33E87" w:rsidRPr="005269E6" w:rsidRDefault="001316B7"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(17 441)</w:t>
            </w:r>
          </w:p>
        </w:tc>
        <w:tc>
          <w:tcPr>
            <w:tcW w:w="1133" w:type="dxa"/>
            <w:tcBorders>
              <w:top w:val="nil"/>
              <w:left w:val="nil"/>
              <w:bottom w:val="single" w:sz="4" w:space="0" w:color="auto"/>
              <w:right w:val="nil"/>
            </w:tcBorders>
            <w:shd w:val="clear" w:color="auto" w:fill="auto"/>
            <w:noWrap/>
            <w:vAlign w:val="bottom"/>
          </w:tcPr>
          <w:p w14:paraId="4D514E83" w14:textId="07CE4420" w:rsidR="00F33E87" w:rsidRPr="005269E6" w:rsidRDefault="001316B7"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r>
      <w:tr w:rsidR="007C5053" w:rsidRPr="005269E6" w14:paraId="6CFC7D42" w14:textId="77777777" w:rsidTr="00FE51D3">
        <w:trPr>
          <w:trHeight w:val="255"/>
          <w:jc w:val="center"/>
        </w:trPr>
        <w:tc>
          <w:tcPr>
            <w:tcW w:w="1615" w:type="dxa"/>
            <w:tcBorders>
              <w:top w:val="nil"/>
              <w:left w:val="nil"/>
              <w:bottom w:val="nil"/>
              <w:right w:val="nil"/>
            </w:tcBorders>
            <w:shd w:val="clear" w:color="auto" w:fill="auto"/>
            <w:noWrap/>
            <w:vAlign w:val="center"/>
          </w:tcPr>
          <w:p w14:paraId="514FE815" w14:textId="25D05F4A" w:rsidR="00F33E87" w:rsidRPr="005269E6" w:rsidRDefault="00667792" w:rsidP="00FE51D3">
            <w:pPr>
              <w:tabs>
                <w:tab w:val="clear" w:pos="794"/>
              </w:tabs>
              <w:spacing w:before="40" w:after="40" w:line="240" w:lineRule="exact"/>
              <w:jc w:val="left"/>
              <w:rPr>
                <w:rFonts w:eastAsia="Times New Roman"/>
                <w:b/>
                <w:bCs/>
                <w:color w:val="000000"/>
                <w:sz w:val="16"/>
                <w:szCs w:val="16"/>
                <w:rtl/>
                <w:lang w:val="en-GB" w:eastAsia="en-GB"/>
              </w:rPr>
            </w:pPr>
            <w:r w:rsidRPr="005269E6">
              <w:rPr>
                <w:rFonts w:eastAsia="Times New Roman"/>
                <w:b/>
                <w:bCs/>
                <w:color w:val="000000"/>
                <w:sz w:val="16"/>
                <w:szCs w:val="16"/>
                <w:rtl/>
                <w:lang w:val="en-GB" w:eastAsia="en-GB"/>
              </w:rPr>
              <w:t>مجموع الأصول غير الجارية</w:t>
            </w:r>
          </w:p>
        </w:tc>
        <w:tc>
          <w:tcPr>
            <w:tcW w:w="1316" w:type="dxa"/>
            <w:tcBorders>
              <w:top w:val="nil"/>
              <w:left w:val="nil"/>
              <w:bottom w:val="nil"/>
              <w:right w:val="nil"/>
            </w:tcBorders>
            <w:shd w:val="clear" w:color="auto" w:fill="auto"/>
            <w:noWrap/>
            <w:vAlign w:val="bottom"/>
          </w:tcPr>
          <w:p w14:paraId="01875961" w14:textId="77777777" w:rsidR="00F33E87" w:rsidRPr="005269E6" w:rsidRDefault="00F33E87"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single" w:sz="4" w:space="0" w:color="auto"/>
              <w:left w:val="nil"/>
              <w:bottom w:val="nil"/>
              <w:right w:val="nil"/>
            </w:tcBorders>
            <w:vAlign w:val="bottom"/>
          </w:tcPr>
          <w:p w14:paraId="407C995B" w14:textId="091D2056" w:rsidR="00F33E87" w:rsidRPr="005269E6" w:rsidRDefault="00F33E87"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102 462</w:t>
            </w:r>
          </w:p>
        </w:tc>
        <w:tc>
          <w:tcPr>
            <w:tcW w:w="1154" w:type="dxa"/>
            <w:tcBorders>
              <w:top w:val="single" w:sz="4" w:space="0" w:color="auto"/>
              <w:left w:val="nil"/>
              <w:bottom w:val="nil"/>
              <w:right w:val="nil"/>
            </w:tcBorders>
            <w:vAlign w:val="bottom"/>
          </w:tcPr>
          <w:p w14:paraId="07141DF7" w14:textId="621EB637" w:rsidR="00F33E87" w:rsidRPr="005269E6" w:rsidRDefault="0076527E"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(16 267)</w:t>
            </w:r>
          </w:p>
        </w:tc>
        <w:tc>
          <w:tcPr>
            <w:tcW w:w="938" w:type="dxa"/>
            <w:tcBorders>
              <w:top w:val="single" w:sz="4" w:space="0" w:color="auto"/>
              <w:left w:val="nil"/>
              <w:bottom w:val="nil"/>
              <w:right w:val="nil"/>
            </w:tcBorders>
            <w:vAlign w:val="bottom"/>
          </w:tcPr>
          <w:p w14:paraId="29CE4CDF" w14:textId="036B327E" w:rsidR="00F33E87" w:rsidRPr="005269E6" w:rsidRDefault="001316B7"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w:t>
            </w:r>
            <w:r w:rsidR="00BD4BF1" w:rsidRPr="005269E6">
              <w:rPr>
                <w:rFonts w:eastAsia="Times New Roman"/>
                <w:b/>
                <w:bCs/>
                <w:color w:val="000000"/>
                <w:sz w:val="16"/>
                <w:szCs w:val="16"/>
                <w:lang w:eastAsia="en-GB"/>
              </w:rPr>
              <w:t>68 195</w:t>
            </w:r>
            <w:r w:rsidRPr="005269E6">
              <w:rPr>
                <w:rFonts w:eastAsia="Times New Roman"/>
                <w:b/>
                <w:bCs/>
                <w:color w:val="000000"/>
                <w:sz w:val="16"/>
                <w:szCs w:val="16"/>
                <w:lang w:eastAsia="en-GB"/>
              </w:rPr>
              <w:t>)</w:t>
            </w:r>
          </w:p>
        </w:tc>
        <w:tc>
          <w:tcPr>
            <w:tcW w:w="271" w:type="dxa"/>
            <w:tcBorders>
              <w:top w:val="nil"/>
              <w:left w:val="nil"/>
              <w:bottom w:val="nil"/>
              <w:right w:val="nil"/>
            </w:tcBorders>
            <w:shd w:val="clear" w:color="auto" w:fill="auto"/>
            <w:vAlign w:val="bottom"/>
          </w:tcPr>
          <w:p w14:paraId="6A67CD11" w14:textId="77777777" w:rsidR="00F33E87" w:rsidRPr="005269E6" w:rsidRDefault="00F33E87"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single" w:sz="4" w:space="0" w:color="auto"/>
              <w:left w:val="nil"/>
              <w:bottom w:val="nil"/>
              <w:right w:val="nil"/>
            </w:tcBorders>
            <w:shd w:val="clear" w:color="auto" w:fill="auto"/>
            <w:noWrap/>
            <w:vAlign w:val="bottom"/>
          </w:tcPr>
          <w:p w14:paraId="2B32FF03" w14:textId="731E5A49" w:rsidR="00F33E87" w:rsidRPr="005269E6" w:rsidRDefault="00BD4BF1"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106 367</w:t>
            </w:r>
          </w:p>
        </w:tc>
        <w:tc>
          <w:tcPr>
            <w:tcW w:w="1154" w:type="dxa"/>
            <w:tcBorders>
              <w:top w:val="single" w:sz="4" w:space="0" w:color="auto"/>
              <w:left w:val="nil"/>
              <w:bottom w:val="nil"/>
              <w:right w:val="nil"/>
            </w:tcBorders>
            <w:vAlign w:val="bottom"/>
          </w:tcPr>
          <w:p w14:paraId="5E6DD6E7" w14:textId="319B9835" w:rsidR="00F33E87" w:rsidRPr="005269E6" w:rsidRDefault="00BD4BF1"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(17 441)</w:t>
            </w:r>
          </w:p>
        </w:tc>
        <w:tc>
          <w:tcPr>
            <w:tcW w:w="1133" w:type="dxa"/>
            <w:tcBorders>
              <w:top w:val="single" w:sz="4" w:space="0" w:color="auto"/>
              <w:left w:val="nil"/>
              <w:bottom w:val="nil"/>
              <w:right w:val="nil"/>
            </w:tcBorders>
            <w:shd w:val="clear" w:color="auto" w:fill="auto"/>
            <w:noWrap/>
            <w:vAlign w:val="bottom"/>
          </w:tcPr>
          <w:p w14:paraId="36DA3A54" w14:textId="31FC7827" w:rsidR="00F33E87" w:rsidRPr="005269E6" w:rsidRDefault="00BD4BF1"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88 926</w:t>
            </w:r>
          </w:p>
        </w:tc>
      </w:tr>
      <w:tr w:rsidR="007C5053" w:rsidRPr="005269E6" w14:paraId="1B015151" w14:textId="77777777" w:rsidTr="00FE51D3">
        <w:trPr>
          <w:trHeight w:val="72"/>
          <w:jc w:val="center"/>
        </w:trPr>
        <w:tc>
          <w:tcPr>
            <w:tcW w:w="1615" w:type="dxa"/>
            <w:tcBorders>
              <w:top w:val="nil"/>
              <w:left w:val="nil"/>
              <w:bottom w:val="nil"/>
              <w:right w:val="nil"/>
            </w:tcBorders>
            <w:shd w:val="clear" w:color="auto" w:fill="auto"/>
            <w:noWrap/>
            <w:vAlign w:val="center"/>
          </w:tcPr>
          <w:p w14:paraId="3ECD6338" w14:textId="7C5C6664" w:rsidR="00A770A4" w:rsidRPr="005269E6" w:rsidRDefault="00A770A4" w:rsidP="00FE51D3">
            <w:pPr>
              <w:tabs>
                <w:tab w:val="clear" w:pos="794"/>
              </w:tabs>
              <w:spacing w:before="0" w:line="200" w:lineRule="exact"/>
              <w:jc w:val="left"/>
              <w:rPr>
                <w:rFonts w:eastAsia="Times New Roman"/>
                <w:b/>
                <w:bCs/>
                <w:color w:val="000000"/>
                <w:sz w:val="16"/>
                <w:szCs w:val="16"/>
                <w:rtl/>
                <w:lang w:val="en-GB" w:eastAsia="en-GB" w:bidi="ar-SY"/>
              </w:rPr>
            </w:pPr>
          </w:p>
        </w:tc>
        <w:tc>
          <w:tcPr>
            <w:tcW w:w="1316" w:type="dxa"/>
            <w:tcBorders>
              <w:top w:val="nil"/>
              <w:left w:val="nil"/>
              <w:bottom w:val="nil"/>
              <w:right w:val="nil"/>
            </w:tcBorders>
            <w:shd w:val="clear" w:color="auto" w:fill="auto"/>
            <w:noWrap/>
            <w:vAlign w:val="bottom"/>
          </w:tcPr>
          <w:p w14:paraId="68642BE4" w14:textId="13E8E946" w:rsidR="00A770A4" w:rsidRPr="005269E6" w:rsidRDefault="00A770A4" w:rsidP="000676A1">
            <w:pPr>
              <w:tabs>
                <w:tab w:val="clear" w:pos="794"/>
              </w:tabs>
              <w:spacing w:before="0" w:line="200" w:lineRule="exact"/>
              <w:jc w:val="center"/>
              <w:rPr>
                <w:rFonts w:eastAsia="Times New Roman"/>
                <w:i/>
                <w:iCs/>
                <w:color w:val="000000"/>
                <w:sz w:val="16"/>
                <w:szCs w:val="16"/>
                <w:rtl/>
                <w:lang w:eastAsia="en-GB" w:bidi="ar-SY"/>
              </w:rPr>
            </w:pPr>
          </w:p>
        </w:tc>
        <w:tc>
          <w:tcPr>
            <w:tcW w:w="1349" w:type="dxa"/>
            <w:tcBorders>
              <w:top w:val="nil"/>
              <w:left w:val="nil"/>
              <w:bottom w:val="nil"/>
              <w:right w:val="nil"/>
            </w:tcBorders>
            <w:vAlign w:val="bottom"/>
          </w:tcPr>
          <w:p w14:paraId="0B541BFF" w14:textId="77777777" w:rsidR="00A770A4" w:rsidRPr="005269E6" w:rsidRDefault="00A770A4" w:rsidP="00696AA6">
            <w:pPr>
              <w:tabs>
                <w:tab w:val="clear" w:pos="794"/>
              </w:tabs>
              <w:spacing w:before="0" w:line="200" w:lineRule="exact"/>
              <w:jc w:val="left"/>
              <w:rPr>
                <w:rFonts w:eastAsia="Times New Roman"/>
                <w:color w:val="000000"/>
                <w:sz w:val="16"/>
                <w:szCs w:val="16"/>
                <w:lang w:eastAsia="en-GB"/>
              </w:rPr>
            </w:pPr>
          </w:p>
        </w:tc>
        <w:tc>
          <w:tcPr>
            <w:tcW w:w="1154" w:type="dxa"/>
            <w:tcBorders>
              <w:top w:val="nil"/>
              <w:left w:val="nil"/>
              <w:bottom w:val="nil"/>
              <w:right w:val="nil"/>
            </w:tcBorders>
            <w:vAlign w:val="bottom"/>
          </w:tcPr>
          <w:p w14:paraId="2883E04B" w14:textId="79715198" w:rsidR="00A770A4" w:rsidRPr="005269E6" w:rsidRDefault="00A770A4" w:rsidP="00696AA6">
            <w:pPr>
              <w:tabs>
                <w:tab w:val="clear" w:pos="794"/>
              </w:tabs>
              <w:spacing w:before="0" w:line="200" w:lineRule="exact"/>
              <w:jc w:val="left"/>
              <w:rPr>
                <w:rFonts w:eastAsia="Times New Roman"/>
                <w:color w:val="000000"/>
                <w:sz w:val="16"/>
                <w:szCs w:val="16"/>
                <w:lang w:eastAsia="en-GB"/>
              </w:rPr>
            </w:pPr>
          </w:p>
        </w:tc>
        <w:tc>
          <w:tcPr>
            <w:tcW w:w="938" w:type="dxa"/>
            <w:tcBorders>
              <w:top w:val="nil"/>
              <w:left w:val="nil"/>
              <w:bottom w:val="nil"/>
              <w:right w:val="nil"/>
            </w:tcBorders>
            <w:vAlign w:val="bottom"/>
          </w:tcPr>
          <w:p w14:paraId="65F4ADC8" w14:textId="3B6E5CBF" w:rsidR="00A770A4" w:rsidRPr="005269E6" w:rsidRDefault="00A770A4" w:rsidP="00696AA6">
            <w:pPr>
              <w:tabs>
                <w:tab w:val="clear" w:pos="794"/>
              </w:tabs>
              <w:spacing w:before="0" w:line="200" w:lineRule="exact"/>
              <w:jc w:val="left"/>
              <w:rPr>
                <w:rFonts w:eastAsia="Times New Roman"/>
                <w:color w:val="000000"/>
                <w:sz w:val="16"/>
                <w:szCs w:val="16"/>
                <w:lang w:eastAsia="en-GB"/>
              </w:rPr>
            </w:pPr>
          </w:p>
        </w:tc>
        <w:tc>
          <w:tcPr>
            <w:tcW w:w="271" w:type="dxa"/>
            <w:tcBorders>
              <w:top w:val="nil"/>
              <w:left w:val="nil"/>
              <w:bottom w:val="nil"/>
              <w:right w:val="nil"/>
            </w:tcBorders>
            <w:shd w:val="clear" w:color="auto" w:fill="auto"/>
            <w:vAlign w:val="bottom"/>
          </w:tcPr>
          <w:p w14:paraId="3604C5A4" w14:textId="77777777" w:rsidR="00A770A4" w:rsidRPr="005269E6" w:rsidRDefault="00A770A4" w:rsidP="00696AA6">
            <w:pPr>
              <w:tabs>
                <w:tab w:val="clear" w:pos="794"/>
              </w:tabs>
              <w:spacing w:before="0" w:line="20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76BBB755" w14:textId="54F0F831" w:rsidR="00A770A4" w:rsidRPr="005269E6" w:rsidRDefault="00A770A4" w:rsidP="00696AA6">
            <w:pPr>
              <w:tabs>
                <w:tab w:val="clear" w:pos="794"/>
              </w:tabs>
              <w:spacing w:before="0" w:line="200" w:lineRule="exact"/>
              <w:jc w:val="left"/>
              <w:rPr>
                <w:rFonts w:eastAsia="Times New Roman"/>
                <w:color w:val="000000"/>
                <w:sz w:val="16"/>
                <w:szCs w:val="16"/>
                <w:lang w:val="en-GB" w:eastAsia="en-GB"/>
              </w:rPr>
            </w:pPr>
          </w:p>
        </w:tc>
        <w:tc>
          <w:tcPr>
            <w:tcW w:w="1154" w:type="dxa"/>
            <w:tcBorders>
              <w:top w:val="nil"/>
              <w:left w:val="nil"/>
              <w:bottom w:val="nil"/>
              <w:right w:val="nil"/>
            </w:tcBorders>
            <w:vAlign w:val="bottom"/>
          </w:tcPr>
          <w:p w14:paraId="618D9690" w14:textId="77777777" w:rsidR="00A770A4" w:rsidRPr="005269E6" w:rsidRDefault="00A770A4" w:rsidP="00696AA6">
            <w:pPr>
              <w:tabs>
                <w:tab w:val="clear" w:pos="794"/>
              </w:tabs>
              <w:spacing w:before="0" w:line="200" w:lineRule="exact"/>
              <w:jc w:val="left"/>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1A752461" w14:textId="304151EF" w:rsidR="00A770A4" w:rsidRPr="005269E6" w:rsidRDefault="00A770A4" w:rsidP="00696AA6">
            <w:pPr>
              <w:tabs>
                <w:tab w:val="clear" w:pos="794"/>
              </w:tabs>
              <w:spacing w:before="0" w:line="200" w:lineRule="exact"/>
              <w:jc w:val="left"/>
              <w:rPr>
                <w:rFonts w:eastAsia="Times New Roman"/>
                <w:color w:val="000000"/>
                <w:sz w:val="16"/>
                <w:szCs w:val="16"/>
                <w:lang w:val="en-GB" w:eastAsia="en-GB"/>
              </w:rPr>
            </w:pPr>
          </w:p>
        </w:tc>
      </w:tr>
      <w:tr w:rsidR="007C5053" w:rsidRPr="005269E6" w14:paraId="7C419B5A" w14:textId="77777777" w:rsidTr="00FE51D3">
        <w:trPr>
          <w:trHeight w:val="255"/>
          <w:jc w:val="center"/>
        </w:trPr>
        <w:tc>
          <w:tcPr>
            <w:tcW w:w="1615" w:type="dxa"/>
            <w:tcBorders>
              <w:top w:val="nil"/>
              <w:left w:val="nil"/>
              <w:bottom w:val="nil"/>
              <w:right w:val="nil"/>
            </w:tcBorders>
            <w:shd w:val="clear" w:color="auto" w:fill="auto"/>
            <w:noWrap/>
            <w:vAlign w:val="center"/>
          </w:tcPr>
          <w:p w14:paraId="1C994D1F" w14:textId="4F671275" w:rsidR="00A770A4" w:rsidRPr="005269E6" w:rsidRDefault="00667792" w:rsidP="00FE51D3">
            <w:pPr>
              <w:tabs>
                <w:tab w:val="clear" w:pos="794"/>
              </w:tabs>
              <w:spacing w:before="40" w:after="40" w:line="240" w:lineRule="exact"/>
              <w:jc w:val="left"/>
              <w:rPr>
                <w:rFonts w:eastAsia="Times New Roman"/>
                <w:b/>
                <w:bCs/>
                <w:color w:val="000000"/>
                <w:sz w:val="16"/>
                <w:szCs w:val="16"/>
                <w:rtl/>
                <w:lang w:val="en-GB" w:eastAsia="en-GB" w:bidi="ar-SY"/>
              </w:rPr>
            </w:pPr>
            <w:r w:rsidRPr="005269E6">
              <w:rPr>
                <w:rFonts w:eastAsia="Times New Roman"/>
                <w:b/>
                <w:bCs/>
                <w:color w:val="000000"/>
                <w:sz w:val="16"/>
                <w:szCs w:val="16"/>
                <w:rtl/>
                <w:lang w:val="en-GB" w:eastAsia="en-GB"/>
              </w:rPr>
              <w:t>مجموع الأصول</w:t>
            </w:r>
          </w:p>
        </w:tc>
        <w:tc>
          <w:tcPr>
            <w:tcW w:w="1316" w:type="dxa"/>
            <w:tcBorders>
              <w:top w:val="nil"/>
              <w:left w:val="nil"/>
              <w:bottom w:val="nil"/>
              <w:right w:val="nil"/>
            </w:tcBorders>
            <w:shd w:val="clear" w:color="auto" w:fill="auto"/>
            <w:noWrap/>
            <w:vAlign w:val="bottom"/>
          </w:tcPr>
          <w:p w14:paraId="403056AF" w14:textId="49DA46B9" w:rsidR="00A770A4" w:rsidRPr="005269E6" w:rsidRDefault="00A770A4"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37249CC8" w14:textId="2263E382" w:rsidR="00A770A4" w:rsidRPr="005269E6" w:rsidRDefault="00CC1B64"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432 392</w:t>
            </w:r>
          </w:p>
        </w:tc>
        <w:tc>
          <w:tcPr>
            <w:tcW w:w="1154" w:type="dxa"/>
            <w:tcBorders>
              <w:top w:val="nil"/>
              <w:left w:val="nil"/>
              <w:bottom w:val="nil"/>
              <w:right w:val="nil"/>
            </w:tcBorders>
            <w:vAlign w:val="bottom"/>
          </w:tcPr>
          <w:p w14:paraId="54697E38" w14:textId="592210FC" w:rsidR="00A770A4" w:rsidRPr="005269E6" w:rsidRDefault="000676A1"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(85 827)</w:t>
            </w:r>
          </w:p>
        </w:tc>
        <w:tc>
          <w:tcPr>
            <w:tcW w:w="938" w:type="dxa"/>
            <w:tcBorders>
              <w:top w:val="nil"/>
              <w:left w:val="nil"/>
              <w:bottom w:val="nil"/>
              <w:right w:val="nil"/>
            </w:tcBorders>
            <w:vAlign w:val="bottom"/>
          </w:tcPr>
          <w:p w14:paraId="197A48CD" w14:textId="4892ECF2" w:rsidR="00A770A4" w:rsidRPr="005269E6" w:rsidRDefault="00BD4BF1"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337 565</w:t>
            </w:r>
          </w:p>
        </w:tc>
        <w:tc>
          <w:tcPr>
            <w:tcW w:w="271" w:type="dxa"/>
            <w:tcBorders>
              <w:top w:val="nil"/>
              <w:left w:val="nil"/>
              <w:bottom w:val="nil"/>
              <w:right w:val="nil"/>
            </w:tcBorders>
            <w:shd w:val="clear" w:color="auto" w:fill="auto"/>
            <w:vAlign w:val="bottom"/>
          </w:tcPr>
          <w:p w14:paraId="31F1C060"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0347900E" w14:textId="386FC072" w:rsidR="00A770A4" w:rsidRPr="005269E6" w:rsidRDefault="00BD4BF1"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408 974</w:t>
            </w:r>
          </w:p>
        </w:tc>
        <w:tc>
          <w:tcPr>
            <w:tcW w:w="1154" w:type="dxa"/>
            <w:tcBorders>
              <w:top w:val="nil"/>
              <w:left w:val="nil"/>
              <w:bottom w:val="nil"/>
              <w:right w:val="nil"/>
            </w:tcBorders>
            <w:vAlign w:val="bottom"/>
          </w:tcPr>
          <w:p w14:paraId="58D5D13A" w14:textId="390160DB" w:rsidR="00A770A4" w:rsidRPr="005269E6" w:rsidRDefault="00BD4BF1"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(101 016)</w:t>
            </w:r>
          </w:p>
        </w:tc>
        <w:tc>
          <w:tcPr>
            <w:tcW w:w="1133" w:type="dxa"/>
            <w:tcBorders>
              <w:top w:val="nil"/>
              <w:left w:val="nil"/>
              <w:bottom w:val="nil"/>
              <w:right w:val="nil"/>
            </w:tcBorders>
            <w:shd w:val="clear" w:color="auto" w:fill="auto"/>
            <w:noWrap/>
            <w:vAlign w:val="bottom"/>
          </w:tcPr>
          <w:p w14:paraId="6B6E29AC" w14:textId="6543C4B7" w:rsidR="00A770A4" w:rsidRPr="005269E6" w:rsidRDefault="00BD4BF1"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307 958</w:t>
            </w:r>
          </w:p>
        </w:tc>
      </w:tr>
      <w:tr w:rsidR="007C5053" w:rsidRPr="005269E6" w14:paraId="290F8E9D" w14:textId="77777777" w:rsidTr="00FE51D3">
        <w:trPr>
          <w:trHeight w:val="255"/>
          <w:jc w:val="center"/>
        </w:trPr>
        <w:tc>
          <w:tcPr>
            <w:tcW w:w="1615" w:type="dxa"/>
            <w:tcBorders>
              <w:top w:val="nil"/>
              <w:left w:val="nil"/>
              <w:bottom w:val="nil"/>
              <w:right w:val="nil"/>
            </w:tcBorders>
            <w:shd w:val="clear" w:color="auto" w:fill="auto"/>
            <w:noWrap/>
            <w:vAlign w:val="center"/>
          </w:tcPr>
          <w:p w14:paraId="7BF1C3CD" w14:textId="3544291B" w:rsidR="00A770A4" w:rsidRPr="005269E6" w:rsidRDefault="00667792" w:rsidP="00FE51D3">
            <w:pPr>
              <w:tabs>
                <w:tab w:val="clear" w:pos="794"/>
              </w:tabs>
              <w:spacing w:before="40" w:after="40" w:line="240" w:lineRule="exact"/>
              <w:jc w:val="left"/>
              <w:rPr>
                <w:rFonts w:eastAsia="Times New Roman"/>
                <w:b/>
                <w:bCs/>
                <w:color w:val="000000"/>
                <w:sz w:val="16"/>
                <w:szCs w:val="16"/>
                <w:rtl/>
                <w:lang w:val="en-GB" w:eastAsia="en-GB" w:bidi="ar-SY"/>
              </w:rPr>
            </w:pPr>
            <w:r w:rsidRPr="005269E6">
              <w:rPr>
                <w:rFonts w:eastAsia="Times New Roman"/>
                <w:b/>
                <w:bCs/>
                <w:color w:val="000000"/>
                <w:sz w:val="16"/>
                <w:szCs w:val="16"/>
                <w:rtl/>
                <w:lang w:val="en-GB" w:eastAsia="en-GB"/>
              </w:rPr>
              <w:t>الخصوم</w:t>
            </w:r>
          </w:p>
        </w:tc>
        <w:tc>
          <w:tcPr>
            <w:tcW w:w="1316" w:type="dxa"/>
            <w:tcBorders>
              <w:top w:val="nil"/>
              <w:left w:val="nil"/>
              <w:bottom w:val="nil"/>
              <w:right w:val="nil"/>
            </w:tcBorders>
            <w:shd w:val="clear" w:color="auto" w:fill="auto"/>
            <w:noWrap/>
            <w:vAlign w:val="bottom"/>
          </w:tcPr>
          <w:p w14:paraId="04F19646" w14:textId="17165B04" w:rsidR="00A770A4" w:rsidRPr="005269E6" w:rsidRDefault="00A770A4" w:rsidP="00796FC2">
            <w:pPr>
              <w:tabs>
                <w:tab w:val="clear" w:pos="794"/>
              </w:tabs>
              <w:spacing w:before="40" w:after="40" w:line="240" w:lineRule="exact"/>
              <w:jc w:val="center"/>
              <w:rPr>
                <w:rFonts w:eastAsia="Times New Roman"/>
                <w:i/>
                <w:iCs/>
                <w:color w:val="000000"/>
                <w:sz w:val="16"/>
                <w:szCs w:val="16"/>
                <w:rtl/>
                <w:lang w:eastAsia="en-GB" w:bidi="ar-SY"/>
              </w:rPr>
            </w:pPr>
          </w:p>
        </w:tc>
        <w:tc>
          <w:tcPr>
            <w:tcW w:w="1349" w:type="dxa"/>
            <w:tcBorders>
              <w:top w:val="nil"/>
              <w:left w:val="nil"/>
              <w:bottom w:val="nil"/>
              <w:right w:val="nil"/>
            </w:tcBorders>
            <w:vAlign w:val="bottom"/>
          </w:tcPr>
          <w:p w14:paraId="2C89E72E"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eastAsia="en-GB"/>
              </w:rPr>
            </w:pPr>
          </w:p>
        </w:tc>
        <w:tc>
          <w:tcPr>
            <w:tcW w:w="1154" w:type="dxa"/>
            <w:tcBorders>
              <w:top w:val="nil"/>
              <w:left w:val="nil"/>
              <w:bottom w:val="nil"/>
              <w:right w:val="nil"/>
            </w:tcBorders>
            <w:vAlign w:val="bottom"/>
          </w:tcPr>
          <w:p w14:paraId="06C0C843" w14:textId="2B24597D" w:rsidR="00A770A4" w:rsidRPr="005269E6" w:rsidRDefault="00A770A4" w:rsidP="00696AA6">
            <w:pPr>
              <w:tabs>
                <w:tab w:val="clear" w:pos="794"/>
              </w:tabs>
              <w:spacing w:before="40" w:after="40" w:line="240" w:lineRule="exact"/>
              <w:jc w:val="left"/>
              <w:rPr>
                <w:rFonts w:eastAsia="Times New Roman"/>
                <w:color w:val="000000"/>
                <w:sz w:val="16"/>
                <w:szCs w:val="16"/>
                <w:lang w:eastAsia="en-GB"/>
              </w:rPr>
            </w:pPr>
          </w:p>
        </w:tc>
        <w:tc>
          <w:tcPr>
            <w:tcW w:w="938" w:type="dxa"/>
            <w:tcBorders>
              <w:top w:val="nil"/>
              <w:left w:val="nil"/>
              <w:bottom w:val="nil"/>
              <w:right w:val="nil"/>
            </w:tcBorders>
            <w:vAlign w:val="bottom"/>
          </w:tcPr>
          <w:p w14:paraId="431EA637" w14:textId="1D531341" w:rsidR="00A770A4" w:rsidRPr="005269E6" w:rsidRDefault="00A770A4" w:rsidP="00696AA6">
            <w:pPr>
              <w:tabs>
                <w:tab w:val="clear" w:pos="794"/>
              </w:tabs>
              <w:spacing w:before="40" w:after="40" w:line="240" w:lineRule="exact"/>
              <w:jc w:val="left"/>
              <w:rPr>
                <w:rFonts w:eastAsia="Times New Roman"/>
                <w:color w:val="000000"/>
                <w:sz w:val="16"/>
                <w:szCs w:val="16"/>
                <w:lang w:eastAsia="en-GB"/>
              </w:rPr>
            </w:pPr>
          </w:p>
        </w:tc>
        <w:tc>
          <w:tcPr>
            <w:tcW w:w="271" w:type="dxa"/>
            <w:tcBorders>
              <w:top w:val="nil"/>
              <w:left w:val="nil"/>
              <w:bottom w:val="nil"/>
              <w:right w:val="nil"/>
            </w:tcBorders>
            <w:shd w:val="clear" w:color="auto" w:fill="auto"/>
            <w:vAlign w:val="bottom"/>
          </w:tcPr>
          <w:p w14:paraId="4050AB49"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09DB5AF5" w14:textId="214CE0A6"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154" w:type="dxa"/>
            <w:tcBorders>
              <w:top w:val="nil"/>
              <w:left w:val="nil"/>
              <w:bottom w:val="nil"/>
              <w:right w:val="nil"/>
            </w:tcBorders>
            <w:vAlign w:val="bottom"/>
          </w:tcPr>
          <w:p w14:paraId="29EAB047"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3F3D2DB7" w14:textId="2FDF36FA"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r>
      <w:tr w:rsidR="007C5053" w:rsidRPr="005269E6" w14:paraId="60AB5C3A" w14:textId="77777777" w:rsidTr="00FE51D3">
        <w:trPr>
          <w:trHeight w:val="255"/>
          <w:jc w:val="center"/>
        </w:trPr>
        <w:tc>
          <w:tcPr>
            <w:tcW w:w="1615" w:type="dxa"/>
            <w:tcBorders>
              <w:top w:val="nil"/>
              <w:left w:val="nil"/>
              <w:bottom w:val="nil"/>
              <w:right w:val="nil"/>
            </w:tcBorders>
            <w:shd w:val="clear" w:color="auto" w:fill="auto"/>
            <w:noWrap/>
            <w:vAlign w:val="center"/>
          </w:tcPr>
          <w:p w14:paraId="7C03211A" w14:textId="4E940555" w:rsidR="00894183" w:rsidRPr="005269E6" w:rsidRDefault="00667792" w:rsidP="00FE51D3">
            <w:pPr>
              <w:tabs>
                <w:tab w:val="clear" w:pos="794"/>
              </w:tabs>
              <w:spacing w:before="40" w:after="40" w:line="240" w:lineRule="exact"/>
              <w:jc w:val="left"/>
              <w:rPr>
                <w:rFonts w:eastAsia="Times New Roman"/>
                <w:b/>
                <w:bCs/>
                <w:color w:val="000000"/>
                <w:sz w:val="16"/>
                <w:szCs w:val="16"/>
                <w:rtl/>
                <w:lang w:val="en-GB" w:eastAsia="en-GB" w:bidi="ar-SY"/>
              </w:rPr>
            </w:pPr>
            <w:r w:rsidRPr="005269E6">
              <w:rPr>
                <w:rFonts w:eastAsia="Times New Roman"/>
                <w:b/>
                <w:bCs/>
                <w:color w:val="000000"/>
                <w:sz w:val="16"/>
                <w:szCs w:val="16"/>
                <w:rtl/>
                <w:lang w:val="en-GB" w:eastAsia="en-GB"/>
              </w:rPr>
              <w:t>الخصوم الجارية</w:t>
            </w:r>
          </w:p>
        </w:tc>
        <w:tc>
          <w:tcPr>
            <w:tcW w:w="1316" w:type="dxa"/>
            <w:tcBorders>
              <w:top w:val="nil"/>
              <w:left w:val="nil"/>
              <w:bottom w:val="nil"/>
              <w:right w:val="nil"/>
            </w:tcBorders>
            <w:shd w:val="clear" w:color="auto" w:fill="auto"/>
            <w:noWrap/>
            <w:vAlign w:val="bottom"/>
          </w:tcPr>
          <w:p w14:paraId="1F19EAF8" w14:textId="77777777" w:rsidR="00894183" w:rsidRPr="005269E6" w:rsidRDefault="00894183" w:rsidP="00796FC2">
            <w:pPr>
              <w:tabs>
                <w:tab w:val="clear" w:pos="794"/>
              </w:tabs>
              <w:spacing w:before="40" w:after="40" w:line="240" w:lineRule="exact"/>
              <w:jc w:val="center"/>
              <w:rPr>
                <w:rFonts w:eastAsia="Times New Roman"/>
                <w:i/>
                <w:iCs/>
                <w:color w:val="000000"/>
                <w:sz w:val="16"/>
                <w:szCs w:val="16"/>
                <w:rtl/>
                <w:lang w:eastAsia="en-GB" w:bidi="ar-SY"/>
              </w:rPr>
            </w:pPr>
          </w:p>
        </w:tc>
        <w:tc>
          <w:tcPr>
            <w:tcW w:w="1349" w:type="dxa"/>
            <w:tcBorders>
              <w:top w:val="nil"/>
              <w:left w:val="nil"/>
              <w:bottom w:val="nil"/>
              <w:right w:val="nil"/>
            </w:tcBorders>
            <w:vAlign w:val="bottom"/>
          </w:tcPr>
          <w:p w14:paraId="4057DDC6"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eastAsia="en-GB"/>
              </w:rPr>
            </w:pPr>
          </w:p>
        </w:tc>
        <w:tc>
          <w:tcPr>
            <w:tcW w:w="1154" w:type="dxa"/>
            <w:tcBorders>
              <w:top w:val="nil"/>
              <w:left w:val="nil"/>
              <w:bottom w:val="nil"/>
              <w:right w:val="nil"/>
            </w:tcBorders>
            <w:vAlign w:val="bottom"/>
          </w:tcPr>
          <w:p w14:paraId="05E3B8D2"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eastAsia="en-GB"/>
              </w:rPr>
            </w:pPr>
          </w:p>
        </w:tc>
        <w:tc>
          <w:tcPr>
            <w:tcW w:w="938" w:type="dxa"/>
            <w:tcBorders>
              <w:top w:val="nil"/>
              <w:left w:val="nil"/>
              <w:bottom w:val="nil"/>
              <w:right w:val="nil"/>
            </w:tcBorders>
            <w:vAlign w:val="bottom"/>
          </w:tcPr>
          <w:p w14:paraId="0C35F322"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eastAsia="en-GB"/>
              </w:rPr>
            </w:pPr>
          </w:p>
        </w:tc>
        <w:tc>
          <w:tcPr>
            <w:tcW w:w="271" w:type="dxa"/>
            <w:tcBorders>
              <w:top w:val="nil"/>
              <w:left w:val="nil"/>
              <w:bottom w:val="nil"/>
              <w:right w:val="nil"/>
            </w:tcBorders>
            <w:shd w:val="clear" w:color="auto" w:fill="auto"/>
            <w:vAlign w:val="bottom"/>
          </w:tcPr>
          <w:p w14:paraId="0CBD2497"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4F316209"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val="en-GB" w:eastAsia="en-GB"/>
              </w:rPr>
            </w:pPr>
          </w:p>
        </w:tc>
        <w:tc>
          <w:tcPr>
            <w:tcW w:w="1154" w:type="dxa"/>
            <w:tcBorders>
              <w:top w:val="nil"/>
              <w:left w:val="nil"/>
              <w:bottom w:val="nil"/>
              <w:right w:val="nil"/>
            </w:tcBorders>
            <w:vAlign w:val="bottom"/>
          </w:tcPr>
          <w:p w14:paraId="348AE16A"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4EF679CC"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val="en-GB" w:eastAsia="en-GB"/>
              </w:rPr>
            </w:pPr>
          </w:p>
        </w:tc>
      </w:tr>
      <w:tr w:rsidR="007C5053" w:rsidRPr="005269E6" w14:paraId="4652D4E2" w14:textId="77777777" w:rsidTr="00FE51D3">
        <w:trPr>
          <w:trHeight w:val="255"/>
          <w:jc w:val="center"/>
        </w:trPr>
        <w:tc>
          <w:tcPr>
            <w:tcW w:w="1615" w:type="dxa"/>
            <w:tcBorders>
              <w:top w:val="nil"/>
              <w:left w:val="nil"/>
              <w:bottom w:val="nil"/>
              <w:right w:val="nil"/>
            </w:tcBorders>
            <w:shd w:val="clear" w:color="auto" w:fill="auto"/>
            <w:noWrap/>
            <w:vAlign w:val="center"/>
          </w:tcPr>
          <w:p w14:paraId="54DEDB4D" w14:textId="185BAD1A" w:rsidR="00A770A4" w:rsidRPr="005269E6" w:rsidRDefault="00081F43" w:rsidP="00FE51D3">
            <w:pPr>
              <w:tabs>
                <w:tab w:val="clear" w:pos="794"/>
              </w:tabs>
              <w:spacing w:before="40" w:after="40" w:line="240" w:lineRule="exact"/>
              <w:jc w:val="left"/>
              <w:rPr>
                <w:rFonts w:eastAsia="Times New Roman"/>
                <w:b/>
                <w:bCs/>
                <w:color w:val="000000"/>
                <w:sz w:val="16"/>
                <w:szCs w:val="16"/>
                <w:rtl/>
                <w:lang w:val="en-GB" w:eastAsia="en-GB" w:bidi="ar-SY"/>
              </w:rPr>
            </w:pPr>
            <w:r w:rsidRPr="005269E6">
              <w:rPr>
                <w:rFonts w:eastAsia="Times New Roman"/>
                <w:color w:val="000000"/>
                <w:sz w:val="16"/>
                <w:szCs w:val="16"/>
                <w:rtl/>
                <w:lang w:val="en-GB" w:eastAsia="en-GB"/>
              </w:rPr>
              <w:t>الذمم الدائنة</w:t>
            </w:r>
          </w:p>
        </w:tc>
        <w:tc>
          <w:tcPr>
            <w:tcW w:w="1316" w:type="dxa"/>
            <w:tcBorders>
              <w:top w:val="nil"/>
              <w:left w:val="nil"/>
              <w:bottom w:val="nil"/>
              <w:right w:val="nil"/>
            </w:tcBorders>
            <w:shd w:val="clear" w:color="auto" w:fill="auto"/>
            <w:noWrap/>
            <w:vAlign w:val="bottom"/>
          </w:tcPr>
          <w:p w14:paraId="048FF0A5" w14:textId="6C0C936A" w:rsidR="00A770A4" w:rsidRPr="005269E6" w:rsidRDefault="00B77987" w:rsidP="00796FC2">
            <w:pPr>
              <w:tabs>
                <w:tab w:val="clear" w:pos="794"/>
              </w:tabs>
              <w:spacing w:before="40" w:after="40" w:line="240" w:lineRule="exact"/>
              <w:jc w:val="center"/>
              <w:rPr>
                <w:rFonts w:eastAsia="Times New Roman"/>
                <w:i/>
                <w:iCs/>
                <w:color w:val="000000"/>
                <w:sz w:val="16"/>
                <w:szCs w:val="16"/>
                <w:rtl/>
                <w:lang w:eastAsia="en-GB" w:bidi="ar-SY"/>
              </w:rPr>
            </w:pPr>
            <w:r w:rsidRPr="005269E6">
              <w:rPr>
                <w:rFonts w:eastAsia="Times New Roman"/>
                <w:i/>
                <w:iCs/>
                <w:color w:val="000000"/>
                <w:sz w:val="16"/>
                <w:szCs w:val="16"/>
                <w:rtl/>
                <w:lang w:val="en-GB" w:eastAsia="en-GB"/>
              </w:rPr>
              <w:t xml:space="preserve">الملاحظة </w:t>
            </w:r>
            <w:r w:rsidRPr="005269E6">
              <w:rPr>
                <w:rFonts w:eastAsia="Times New Roman"/>
                <w:i/>
                <w:iCs/>
                <w:color w:val="000000"/>
                <w:sz w:val="16"/>
                <w:szCs w:val="16"/>
                <w:lang w:val="en-GB" w:eastAsia="en-GB"/>
              </w:rPr>
              <w:t>13.30</w:t>
            </w:r>
            <w:r w:rsidRPr="005269E6">
              <w:rPr>
                <w:rFonts w:eastAsia="Times New Roman"/>
                <w:i/>
                <w:iCs/>
                <w:color w:val="000000"/>
                <w:sz w:val="16"/>
                <w:szCs w:val="16"/>
                <w:rtl/>
                <w:lang w:val="en-GB" w:eastAsia="en-GB" w:bidi="ar-SY"/>
              </w:rPr>
              <w:t xml:space="preserve"> و</w:t>
            </w:r>
            <w:r w:rsidRPr="005269E6">
              <w:rPr>
                <w:rFonts w:eastAsia="Times New Roman"/>
                <w:i/>
                <w:iCs/>
                <w:color w:val="000000"/>
                <w:sz w:val="16"/>
                <w:szCs w:val="16"/>
                <w:lang w:eastAsia="en-GB" w:bidi="ar-SY"/>
              </w:rPr>
              <w:t>19.30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3.30</w:t>
            </w:r>
          </w:p>
        </w:tc>
        <w:tc>
          <w:tcPr>
            <w:tcW w:w="1349" w:type="dxa"/>
            <w:tcBorders>
              <w:top w:val="nil"/>
              <w:left w:val="nil"/>
              <w:bottom w:val="nil"/>
              <w:right w:val="nil"/>
            </w:tcBorders>
            <w:vAlign w:val="bottom"/>
          </w:tcPr>
          <w:p w14:paraId="5269CEE5" w14:textId="24A184DB" w:rsidR="00A770A4" w:rsidRPr="005269E6" w:rsidRDefault="000351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6 796</w:t>
            </w:r>
          </w:p>
        </w:tc>
        <w:tc>
          <w:tcPr>
            <w:tcW w:w="1154" w:type="dxa"/>
            <w:tcBorders>
              <w:top w:val="nil"/>
              <w:left w:val="nil"/>
              <w:bottom w:val="nil"/>
              <w:right w:val="nil"/>
            </w:tcBorders>
            <w:vAlign w:val="bottom"/>
          </w:tcPr>
          <w:p w14:paraId="677C1741" w14:textId="0BEE0580" w:rsidR="00A770A4" w:rsidRPr="005269E6" w:rsidRDefault="000B054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660</w:t>
            </w:r>
          </w:p>
        </w:tc>
        <w:tc>
          <w:tcPr>
            <w:tcW w:w="938" w:type="dxa"/>
            <w:tcBorders>
              <w:top w:val="nil"/>
              <w:left w:val="nil"/>
              <w:bottom w:val="nil"/>
              <w:right w:val="nil"/>
            </w:tcBorders>
            <w:vAlign w:val="bottom"/>
          </w:tcPr>
          <w:p w14:paraId="210F8AFD" w14:textId="135E636C" w:rsidR="00A770A4" w:rsidRPr="005269E6" w:rsidRDefault="00BD4BF1"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7 456</w:t>
            </w:r>
          </w:p>
        </w:tc>
        <w:tc>
          <w:tcPr>
            <w:tcW w:w="271" w:type="dxa"/>
            <w:tcBorders>
              <w:top w:val="nil"/>
              <w:left w:val="nil"/>
              <w:bottom w:val="nil"/>
              <w:right w:val="nil"/>
            </w:tcBorders>
            <w:shd w:val="clear" w:color="auto" w:fill="auto"/>
            <w:vAlign w:val="bottom"/>
          </w:tcPr>
          <w:p w14:paraId="622FA9E1"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6C53C35B" w14:textId="7BC2D3ED" w:rsidR="00A770A4"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6 015</w:t>
            </w:r>
          </w:p>
        </w:tc>
        <w:tc>
          <w:tcPr>
            <w:tcW w:w="1154" w:type="dxa"/>
            <w:tcBorders>
              <w:top w:val="nil"/>
              <w:left w:val="nil"/>
              <w:bottom w:val="nil"/>
              <w:right w:val="nil"/>
            </w:tcBorders>
            <w:vAlign w:val="bottom"/>
          </w:tcPr>
          <w:p w14:paraId="3FEDE45F" w14:textId="2E5AB694" w:rsidR="00A770A4"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(328)</w:t>
            </w:r>
          </w:p>
        </w:tc>
        <w:tc>
          <w:tcPr>
            <w:tcW w:w="1133" w:type="dxa"/>
            <w:tcBorders>
              <w:top w:val="nil"/>
              <w:left w:val="nil"/>
              <w:bottom w:val="nil"/>
              <w:right w:val="nil"/>
            </w:tcBorders>
            <w:shd w:val="clear" w:color="auto" w:fill="auto"/>
            <w:noWrap/>
            <w:vAlign w:val="bottom"/>
          </w:tcPr>
          <w:p w14:paraId="647A63C8" w14:textId="6D0C4594" w:rsidR="00A770A4"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5 687</w:t>
            </w:r>
          </w:p>
        </w:tc>
      </w:tr>
      <w:tr w:rsidR="007C5053" w:rsidRPr="005269E6" w14:paraId="367FB738" w14:textId="77777777" w:rsidTr="00FE51D3">
        <w:trPr>
          <w:trHeight w:val="255"/>
          <w:jc w:val="center"/>
        </w:trPr>
        <w:tc>
          <w:tcPr>
            <w:tcW w:w="1615" w:type="dxa"/>
            <w:tcBorders>
              <w:top w:val="nil"/>
              <w:left w:val="nil"/>
              <w:bottom w:val="nil"/>
              <w:right w:val="nil"/>
            </w:tcBorders>
            <w:shd w:val="clear" w:color="auto" w:fill="auto"/>
            <w:noWrap/>
            <w:vAlign w:val="center"/>
          </w:tcPr>
          <w:p w14:paraId="72BDCB26" w14:textId="4AD8FD7A" w:rsidR="00A770A4" w:rsidRPr="005269E6" w:rsidRDefault="00081F43" w:rsidP="00FE51D3">
            <w:pPr>
              <w:tabs>
                <w:tab w:val="clear" w:pos="794"/>
              </w:tabs>
              <w:spacing w:before="40" w:after="40" w:line="240" w:lineRule="exact"/>
              <w:jc w:val="left"/>
              <w:rPr>
                <w:rFonts w:eastAsia="Times New Roman"/>
                <w:b/>
                <w:bCs/>
                <w:color w:val="000000"/>
                <w:sz w:val="16"/>
                <w:szCs w:val="16"/>
                <w:rtl/>
                <w:lang w:val="en-GB" w:eastAsia="en-GB" w:bidi="ar-SY"/>
              </w:rPr>
            </w:pPr>
            <w:r w:rsidRPr="005269E6">
              <w:rPr>
                <w:rFonts w:eastAsia="Times New Roman"/>
                <w:color w:val="000000"/>
                <w:sz w:val="16"/>
                <w:szCs w:val="16"/>
                <w:rtl/>
                <w:lang w:val="en-GB" w:eastAsia="en-GB"/>
              </w:rPr>
              <w:t>المساهمات الواردة مقدما</w:t>
            </w:r>
          </w:p>
        </w:tc>
        <w:tc>
          <w:tcPr>
            <w:tcW w:w="1316" w:type="dxa"/>
            <w:tcBorders>
              <w:top w:val="nil"/>
              <w:left w:val="nil"/>
              <w:bottom w:val="nil"/>
              <w:right w:val="nil"/>
            </w:tcBorders>
            <w:shd w:val="clear" w:color="auto" w:fill="auto"/>
            <w:noWrap/>
            <w:vAlign w:val="bottom"/>
          </w:tcPr>
          <w:p w14:paraId="762763F7" w14:textId="260D9CB2" w:rsidR="00A770A4" w:rsidRPr="005269E6" w:rsidRDefault="00A770A4"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21B9709D" w14:textId="63727F2D" w:rsidR="00A770A4" w:rsidRPr="005269E6" w:rsidRDefault="000351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1154" w:type="dxa"/>
            <w:tcBorders>
              <w:top w:val="nil"/>
              <w:left w:val="nil"/>
              <w:bottom w:val="nil"/>
              <w:right w:val="nil"/>
            </w:tcBorders>
            <w:vAlign w:val="bottom"/>
          </w:tcPr>
          <w:p w14:paraId="59E00BC1" w14:textId="17A1C90D" w:rsidR="00A770A4" w:rsidRPr="005269E6" w:rsidRDefault="000B054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53 572</w:t>
            </w:r>
          </w:p>
        </w:tc>
        <w:tc>
          <w:tcPr>
            <w:tcW w:w="938" w:type="dxa"/>
            <w:tcBorders>
              <w:top w:val="nil"/>
              <w:left w:val="nil"/>
              <w:bottom w:val="nil"/>
              <w:right w:val="nil"/>
            </w:tcBorders>
            <w:vAlign w:val="bottom"/>
          </w:tcPr>
          <w:p w14:paraId="603301F9" w14:textId="5289FEC5" w:rsidR="00A770A4" w:rsidRPr="005269E6" w:rsidRDefault="00BD4BF1"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53 572</w:t>
            </w:r>
          </w:p>
        </w:tc>
        <w:tc>
          <w:tcPr>
            <w:tcW w:w="271" w:type="dxa"/>
            <w:tcBorders>
              <w:top w:val="nil"/>
              <w:left w:val="nil"/>
              <w:bottom w:val="nil"/>
              <w:right w:val="nil"/>
            </w:tcBorders>
            <w:shd w:val="clear" w:color="auto" w:fill="auto"/>
            <w:vAlign w:val="bottom"/>
          </w:tcPr>
          <w:p w14:paraId="2676FBF1"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1FDFA86B" w14:textId="12FFB7EA" w:rsidR="00A770A4"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c>
          <w:tcPr>
            <w:tcW w:w="1154" w:type="dxa"/>
            <w:tcBorders>
              <w:top w:val="nil"/>
              <w:left w:val="nil"/>
              <w:bottom w:val="nil"/>
              <w:right w:val="nil"/>
            </w:tcBorders>
            <w:vAlign w:val="bottom"/>
          </w:tcPr>
          <w:p w14:paraId="67A09C26" w14:textId="4D3C158D" w:rsidR="00A770A4"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43 795</w:t>
            </w:r>
          </w:p>
        </w:tc>
        <w:tc>
          <w:tcPr>
            <w:tcW w:w="1133" w:type="dxa"/>
            <w:tcBorders>
              <w:top w:val="nil"/>
              <w:left w:val="nil"/>
              <w:bottom w:val="nil"/>
              <w:right w:val="nil"/>
            </w:tcBorders>
            <w:shd w:val="clear" w:color="auto" w:fill="auto"/>
            <w:noWrap/>
            <w:vAlign w:val="bottom"/>
          </w:tcPr>
          <w:p w14:paraId="624CC71E" w14:textId="1D232358" w:rsidR="00A770A4"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43 795</w:t>
            </w:r>
          </w:p>
        </w:tc>
      </w:tr>
      <w:tr w:rsidR="007C5053" w:rsidRPr="005269E6" w14:paraId="233FBC47" w14:textId="77777777" w:rsidTr="00FE51D3">
        <w:trPr>
          <w:trHeight w:val="255"/>
          <w:jc w:val="center"/>
        </w:trPr>
        <w:tc>
          <w:tcPr>
            <w:tcW w:w="1615" w:type="dxa"/>
            <w:tcBorders>
              <w:top w:val="nil"/>
              <w:left w:val="nil"/>
              <w:bottom w:val="nil"/>
              <w:right w:val="nil"/>
            </w:tcBorders>
            <w:shd w:val="clear" w:color="auto" w:fill="auto"/>
            <w:noWrap/>
            <w:vAlign w:val="center"/>
          </w:tcPr>
          <w:p w14:paraId="70B0D76D" w14:textId="318F54D4" w:rsidR="00894183" w:rsidRPr="005269E6" w:rsidRDefault="00081F43"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الإيرادات المؤجَلة</w:t>
            </w:r>
          </w:p>
        </w:tc>
        <w:tc>
          <w:tcPr>
            <w:tcW w:w="1316" w:type="dxa"/>
            <w:tcBorders>
              <w:top w:val="nil"/>
              <w:left w:val="nil"/>
              <w:bottom w:val="nil"/>
              <w:right w:val="nil"/>
            </w:tcBorders>
            <w:shd w:val="clear" w:color="auto" w:fill="auto"/>
            <w:noWrap/>
            <w:vAlign w:val="bottom"/>
          </w:tcPr>
          <w:p w14:paraId="4B456D34" w14:textId="77777777" w:rsidR="00894183" w:rsidRPr="005269E6" w:rsidRDefault="00894183"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417B406D" w14:textId="447C8F9A" w:rsidR="00894183" w:rsidRPr="005269E6" w:rsidRDefault="000351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132 416</w:t>
            </w:r>
          </w:p>
        </w:tc>
        <w:tc>
          <w:tcPr>
            <w:tcW w:w="1154" w:type="dxa"/>
            <w:tcBorders>
              <w:top w:val="nil"/>
              <w:left w:val="nil"/>
              <w:bottom w:val="nil"/>
              <w:right w:val="nil"/>
            </w:tcBorders>
            <w:vAlign w:val="bottom"/>
          </w:tcPr>
          <w:p w14:paraId="30637BF3" w14:textId="461F20C1" w:rsidR="00894183" w:rsidRPr="005269E6" w:rsidRDefault="000B054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(122 001)</w:t>
            </w:r>
          </w:p>
        </w:tc>
        <w:tc>
          <w:tcPr>
            <w:tcW w:w="938" w:type="dxa"/>
            <w:tcBorders>
              <w:top w:val="nil"/>
              <w:left w:val="nil"/>
              <w:bottom w:val="nil"/>
              <w:right w:val="nil"/>
            </w:tcBorders>
            <w:vAlign w:val="bottom"/>
          </w:tcPr>
          <w:p w14:paraId="7396F7C2" w14:textId="4FDF6E2E" w:rsidR="00894183" w:rsidRPr="005269E6" w:rsidRDefault="00BD4BF1"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10 415</w:t>
            </w:r>
          </w:p>
        </w:tc>
        <w:tc>
          <w:tcPr>
            <w:tcW w:w="271" w:type="dxa"/>
            <w:tcBorders>
              <w:top w:val="nil"/>
              <w:left w:val="nil"/>
              <w:bottom w:val="nil"/>
              <w:right w:val="nil"/>
            </w:tcBorders>
            <w:shd w:val="clear" w:color="auto" w:fill="auto"/>
            <w:vAlign w:val="bottom"/>
          </w:tcPr>
          <w:p w14:paraId="01ABCF8E" w14:textId="75F77E03" w:rsidR="00894183" w:rsidRPr="005269E6" w:rsidRDefault="00894183"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37463AA7" w14:textId="0DFB413E" w:rsidR="00894183"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132 566</w:t>
            </w:r>
          </w:p>
        </w:tc>
        <w:tc>
          <w:tcPr>
            <w:tcW w:w="1154" w:type="dxa"/>
            <w:tcBorders>
              <w:top w:val="nil"/>
              <w:left w:val="nil"/>
              <w:bottom w:val="nil"/>
              <w:right w:val="nil"/>
            </w:tcBorders>
            <w:vAlign w:val="bottom"/>
          </w:tcPr>
          <w:p w14:paraId="1C44D7C3" w14:textId="65C56E02" w:rsidR="00894183"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(122 705)</w:t>
            </w:r>
          </w:p>
        </w:tc>
        <w:tc>
          <w:tcPr>
            <w:tcW w:w="1133" w:type="dxa"/>
            <w:tcBorders>
              <w:top w:val="nil"/>
              <w:left w:val="nil"/>
              <w:bottom w:val="nil"/>
              <w:right w:val="nil"/>
            </w:tcBorders>
            <w:shd w:val="clear" w:color="auto" w:fill="auto"/>
            <w:noWrap/>
            <w:vAlign w:val="bottom"/>
          </w:tcPr>
          <w:p w14:paraId="18161C13" w14:textId="5FC03ADC" w:rsidR="00894183"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9 861</w:t>
            </w:r>
          </w:p>
        </w:tc>
      </w:tr>
      <w:tr w:rsidR="007C5053" w:rsidRPr="005269E6" w14:paraId="52155F25" w14:textId="77777777" w:rsidTr="00FE51D3">
        <w:trPr>
          <w:trHeight w:val="255"/>
          <w:jc w:val="center"/>
        </w:trPr>
        <w:tc>
          <w:tcPr>
            <w:tcW w:w="1615" w:type="dxa"/>
            <w:tcBorders>
              <w:top w:val="nil"/>
              <w:left w:val="nil"/>
              <w:bottom w:val="nil"/>
              <w:right w:val="nil"/>
            </w:tcBorders>
            <w:shd w:val="clear" w:color="auto" w:fill="auto"/>
            <w:noWrap/>
            <w:vAlign w:val="center"/>
          </w:tcPr>
          <w:p w14:paraId="5F26AC2F" w14:textId="290EA6CB" w:rsidR="00894183" w:rsidRPr="005269E6" w:rsidRDefault="00081F43"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القروض والديون المالية</w:t>
            </w:r>
          </w:p>
        </w:tc>
        <w:tc>
          <w:tcPr>
            <w:tcW w:w="1316" w:type="dxa"/>
            <w:tcBorders>
              <w:top w:val="nil"/>
              <w:left w:val="nil"/>
              <w:bottom w:val="nil"/>
              <w:right w:val="nil"/>
            </w:tcBorders>
            <w:shd w:val="clear" w:color="auto" w:fill="auto"/>
            <w:noWrap/>
            <w:vAlign w:val="bottom"/>
          </w:tcPr>
          <w:p w14:paraId="69A87059" w14:textId="77777777" w:rsidR="00894183" w:rsidRPr="005269E6" w:rsidRDefault="00894183"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7DEAE809" w14:textId="0A20CE07" w:rsidR="00894183" w:rsidRPr="005269E6" w:rsidRDefault="000351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1 391</w:t>
            </w:r>
          </w:p>
        </w:tc>
        <w:tc>
          <w:tcPr>
            <w:tcW w:w="1154" w:type="dxa"/>
            <w:tcBorders>
              <w:top w:val="nil"/>
              <w:left w:val="nil"/>
              <w:bottom w:val="nil"/>
              <w:right w:val="nil"/>
            </w:tcBorders>
            <w:vAlign w:val="bottom"/>
          </w:tcPr>
          <w:p w14:paraId="37D49C14" w14:textId="3338704B" w:rsidR="00894183" w:rsidRPr="005269E6" w:rsidRDefault="000B054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938" w:type="dxa"/>
            <w:tcBorders>
              <w:top w:val="nil"/>
              <w:left w:val="nil"/>
              <w:bottom w:val="nil"/>
              <w:right w:val="nil"/>
            </w:tcBorders>
            <w:vAlign w:val="bottom"/>
          </w:tcPr>
          <w:p w14:paraId="72747A03" w14:textId="442AD041" w:rsidR="00894183" w:rsidRPr="005269E6" w:rsidRDefault="00BD4BF1"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1 391</w:t>
            </w:r>
          </w:p>
        </w:tc>
        <w:tc>
          <w:tcPr>
            <w:tcW w:w="271" w:type="dxa"/>
            <w:tcBorders>
              <w:top w:val="nil"/>
              <w:left w:val="nil"/>
              <w:bottom w:val="nil"/>
              <w:right w:val="nil"/>
            </w:tcBorders>
            <w:shd w:val="clear" w:color="auto" w:fill="auto"/>
            <w:vAlign w:val="bottom"/>
          </w:tcPr>
          <w:p w14:paraId="7979C19E"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4F05C667" w14:textId="6DFAD66B" w:rsidR="00894183"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1 391</w:t>
            </w:r>
          </w:p>
        </w:tc>
        <w:tc>
          <w:tcPr>
            <w:tcW w:w="1154" w:type="dxa"/>
            <w:tcBorders>
              <w:top w:val="nil"/>
              <w:left w:val="nil"/>
              <w:bottom w:val="nil"/>
              <w:right w:val="nil"/>
            </w:tcBorders>
            <w:vAlign w:val="bottom"/>
          </w:tcPr>
          <w:p w14:paraId="2B994EF0" w14:textId="4B00BA56" w:rsidR="00894183"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c>
          <w:tcPr>
            <w:tcW w:w="1133" w:type="dxa"/>
            <w:tcBorders>
              <w:top w:val="nil"/>
              <w:left w:val="nil"/>
              <w:bottom w:val="nil"/>
              <w:right w:val="nil"/>
            </w:tcBorders>
            <w:shd w:val="clear" w:color="auto" w:fill="auto"/>
            <w:noWrap/>
            <w:vAlign w:val="bottom"/>
          </w:tcPr>
          <w:p w14:paraId="337607C8" w14:textId="73EB7EBD" w:rsidR="00894183"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1 391</w:t>
            </w:r>
          </w:p>
        </w:tc>
      </w:tr>
      <w:tr w:rsidR="007C5053" w:rsidRPr="005269E6" w14:paraId="5D813F8F" w14:textId="77777777" w:rsidTr="00FE51D3">
        <w:trPr>
          <w:trHeight w:val="255"/>
          <w:jc w:val="center"/>
        </w:trPr>
        <w:tc>
          <w:tcPr>
            <w:tcW w:w="1615" w:type="dxa"/>
            <w:tcBorders>
              <w:top w:val="nil"/>
              <w:left w:val="nil"/>
              <w:bottom w:val="nil"/>
              <w:right w:val="nil"/>
            </w:tcBorders>
            <w:shd w:val="clear" w:color="auto" w:fill="auto"/>
            <w:noWrap/>
            <w:vAlign w:val="center"/>
          </w:tcPr>
          <w:p w14:paraId="425E19F8" w14:textId="0840EFA5" w:rsidR="00894183" w:rsidRPr="005269E6" w:rsidRDefault="00081F43"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استحقاقات الموظفين</w:t>
            </w:r>
          </w:p>
        </w:tc>
        <w:tc>
          <w:tcPr>
            <w:tcW w:w="1316" w:type="dxa"/>
            <w:tcBorders>
              <w:top w:val="nil"/>
              <w:left w:val="nil"/>
              <w:bottom w:val="nil"/>
              <w:right w:val="nil"/>
            </w:tcBorders>
            <w:shd w:val="clear" w:color="auto" w:fill="auto"/>
            <w:noWrap/>
            <w:vAlign w:val="bottom"/>
          </w:tcPr>
          <w:p w14:paraId="2F1710D8" w14:textId="77777777" w:rsidR="00894183" w:rsidRPr="005269E6" w:rsidRDefault="00894183"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22EDE877" w14:textId="52334D9D" w:rsidR="00894183" w:rsidRPr="005269E6" w:rsidRDefault="000351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424</w:t>
            </w:r>
          </w:p>
        </w:tc>
        <w:tc>
          <w:tcPr>
            <w:tcW w:w="1154" w:type="dxa"/>
            <w:tcBorders>
              <w:top w:val="nil"/>
              <w:left w:val="nil"/>
              <w:bottom w:val="nil"/>
              <w:right w:val="nil"/>
            </w:tcBorders>
            <w:vAlign w:val="bottom"/>
          </w:tcPr>
          <w:p w14:paraId="1BFBE756" w14:textId="1738C178" w:rsidR="00894183" w:rsidRPr="005269E6" w:rsidRDefault="000B054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938" w:type="dxa"/>
            <w:tcBorders>
              <w:top w:val="nil"/>
              <w:left w:val="nil"/>
              <w:bottom w:val="nil"/>
              <w:right w:val="nil"/>
            </w:tcBorders>
            <w:vAlign w:val="bottom"/>
          </w:tcPr>
          <w:p w14:paraId="29E69A5F" w14:textId="44AA9DB0" w:rsidR="00894183" w:rsidRPr="005269E6" w:rsidRDefault="00BD4BF1"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424</w:t>
            </w:r>
          </w:p>
        </w:tc>
        <w:tc>
          <w:tcPr>
            <w:tcW w:w="271" w:type="dxa"/>
            <w:tcBorders>
              <w:top w:val="nil"/>
              <w:left w:val="nil"/>
              <w:bottom w:val="nil"/>
              <w:right w:val="nil"/>
            </w:tcBorders>
            <w:shd w:val="clear" w:color="auto" w:fill="auto"/>
            <w:vAlign w:val="bottom"/>
          </w:tcPr>
          <w:p w14:paraId="0EBCF6F9"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025B5460" w14:textId="4C9F2AE6" w:rsidR="00894183"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10</w:t>
            </w:r>
          </w:p>
        </w:tc>
        <w:tc>
          <w:tcPr>
            <w:tcW w:w="1154" w:type="dxa"/>
            <w:tcBorders>
              <w:top w:val="nil"/>
              <w:left w:val="nil"/>
              <w:bottom w:val="nil"/>
              <w:right w:val="nil"/>
            </w:tcBorders>
            <w:vAlign w:val="bottom"/>
          </w:tcPr>
          <w:p w14:paraId="04C096E8" w14:textId="113D890F" w:rsidR="00894183"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c>
          <w:tcPr>
            <w:tcW w:w="1133" w:type="dxa"/>
            <w:tcBorders>
              <w:top w:val="nil"/>
              <w:left w:val="nil"/>
              <w:bottom w:val="nil"/>
              <w:right w:val="nil"/>
            </w:tcBorders>
            <w:shd w:val="clear" w:color="auto" w:fill="auto"/>
            <w:noWrap/>
            <w:vAlign w:val="bottom"/>
          </w:tcPr>
          <w:p w14:paraId="6B6A0651" w14:textId="5464C343" w:rsidR="00894183"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10</w:t>
            </w:r>
          </w:p>
        </w:tc>
      </w:tr>
      <w:tr w:rsidR="007C5053" w:rsidRPr="005269E6" w14:paraId="5212D94D" w14:textId="77777777" w:rsidTr="00FE51D3">
        <w:trPr>
          <w:trHeight w:val="255"/>
          <w:jc w:val="center"/>
        </w:trPr>
        <w:tc>
          <w:tcPr>
            <w:tcW w:w="1615" w:type="dxa"/>
            <w:tcBorders>
              <w:top w:val="nil"/>
              <w:left w:val="nil"/>
              <w:bottom w:val="nil"/>
              <w:right w:val="nil"/>
            </w:tcBorders>
            <w:shd w:val="clear" w:color="auto" w:fill="auto"/>
            <w:noWrap/>
            <w:vAlign w:val="center"/>
          </w:tcPr>
          <w:p w14:paraId="42704277" w14:textId="1969484A" w:rsidR="00894183" w:rsidRPr="005269E6" w:rsidRDefault="002D48E5"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الأرصدة الاحتياطية</w:t>
            </w:r>
          </w:p>
        </w:tc>
        <w:tc>
          <w:tcPr>
            <w:tcW w:w="1316" w:type="dxa"/>
            <w:tcBorders>
              <w:top w:val="nil"/>
              <w:left w:val="nil"/>
              <w:bottom w:val="nil"/>
              <w:right w:val="nil"/>
            </w:tcBorders>
            <w:shd w:val="clear" w:color="auto" w:fill="auto"/>
            <w:noWrap/>
            <w:vAlign w:val="bottom"/>
          </w:tcPr>
          <w:p w14:paraId="67B2B030" w14:textId="77777777" w:rsidR="00894183" w:rsidRPr="005269E6" w:rsidRDefault="00894183"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4D1DFCED" w14:textId="277D8948" w:rsidR="00894183" w:rsidRPr="005269E6" w:rsidRDefault="000351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1 372</w:t>
            </w:r>
          </w:p>
        </w:tc>
        <w:tc>
          <w:tcPr>
            <w:tcW w:w="1154" w:type="dxa"/>
            <w:tcBorders>
              <w:top w:val="nil"/>
              <w:left w:val="nil"/>
              <w:bottom w:val="nil"/>
              <w:right w:val="nil"/>
            </w:tcBorders>
            <w:vAlign w:val="bottom"/>
          </w:tcPr>
          <w:p w14:paraId="127CE19F" w14:textId="7762D25C" w:rsidR="00894183" w:rsidRPr="005269E6" w:rsidRDefault="000B054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938" w:type="dxa"/>
            <w:tcBorders>
              <w:top w:val="nil"/>
              <w:left w:val="nil"/>
              <w:bottom w:val="nil"/>
              <w:right w:val="nil"/>
            </w:tcBorders>
            <w:vAlign w:val="bottom"/>
          </w:tcPr>
          <w:p w14:paraId="5BE85C37" w14:textId="26250733" w:rsidR="00894183" w:rsidRPr="005269E6" w:rsidRDefault="00BD4BF1"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1 372</w:t>
            </w:r>
          </w:p>
        </w:tc>
        <w:tc>
          <w:tcPr>
            <w:tcW w:w="271" w:type="dxa"/>
            <w:tcBorders>
              <w:top w:val="nil"/>
              <w:left w:val="nil"/>
              <w:bottom w:val="nil"/>
              <w:right w:val="nil"/>
            </w:tcBorders>
            <w:shd w:val="clear" w:color="auto" w:fill="auto"/>
            <w:vAlign w:val="bottom"/>
          </w:tcPr>
          <w:p w14:paraId="7C268072"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6C1A86C7" w14:textId="47604666" w:rsidR="00894183"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1 105</w:t>
            </w:r>
          </w:p>
        </w:tc>
        <w:tc>
          <w:tcPr>
            <w:tcW w:w="1154" w:type="dxa"/>
            <w:tcBorders>
              <w:top w:val="nil"/>
              <w:left w:val="nil"/>
              <w:bottom w:val="nil"/>
              <w:right w:val="nil"/>
            </w:tcBorders>
            <w:vAlign w:val="bottom"/>
          </w:tcPr>
          <w:p w14:paraId="50B179C0" w14:textId="53798D99" w:rsidR="00894183"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c>
          <w:tcPr>
            <w:tcW w:w="1133" w:type="dxa"/>
            <w:tcBorders>
              <w:top w:val="nil"/>
              <w:left w:val="nil"/>
              <w:bottom w:val="nil"/>
              <w:right w:val="nil"/>
            </w:tcBorders>
            <w:shd w:val="clear" w:color="auto" w:fill="auto"/>
            <w:noWrap/>
            <w:vAlign w:val="bottom"/>
          </w:tcPr>
          <w:p w14:paraId="4398A586" w14:textId="08A82F05" w:rsidR="00894183" w:rsidRPr="005269E6" w:rsidRDefault="00BD4BF1"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1 105</w:t>
            </w:r>
          </w:p>
        </w:tc>
      </w:tr>
      <w:tr w:rsidR="007C5053" w:rsidRPr="005269E6" w14:paraId="325B83E2" w14:textId="77777777" w:rsidTr="00FE51D3">
        <w:trPr>
          <w:trHeight w:val="255"/>
          <w:jc w:val="center"/>
        </w:trPr>
        <w:tc>
          <w:tcPr>
            <w:tcW w:w="1615" w:type="dxa"/>
            <w:tcBorders>
              <w:top w:val="nil"/>
              <w:left w:val="nil"/>
              <w:bottom w:val="nil"/>
              <w:right w:val="nil"/>
            </w:tcBorders>
            <w:shd w:val="clear" w:color="auto" w:fill="auto"/>
            <w:noWrap/>
            <w:vAlign w:val="center"/>
          </w:tcPr>
          <w:p w14:paraId="0B76FC49" w14:textId="17D509DC" w:rsidR="00894183" w:rsidRPr="005269E6" w:rsidRDefault="002D48E5"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الديون الأخرى</w:t>
            </w:r>
          </w:p>
        </w:tc>
        <w:tc>
          <w:tcPr>
            <w:tcW w:w="1316" w:type="dxa"/>
            <w:tcBorders>
              <w:top w:val="nil"/>
              <w:left w:val="nil"/>
              <w:bottom w:val="nil"/>
              <w:right w:val="nil"/>
            </w:tcBorders>
            <w:shd w:val="clear" w:color="auto" w:fill="auto"/>
            <w:noWrap/>
            <w:vAlign w:val="bottom"/>
          </w:tcPr>
          <w:p w14:paraId="6EB941FA" w14:textId="4C59A598" w:rsidR="00894183" w:rsidRPr="005269E6" w:rsidRDefault="00CF268E" w:rsidP="00796FC2">
            <w:pPr>
              <w:tabs>
                <w:tab w:val="clear" w:pos="794"/>
              </w:tabs>
              <w:spacing w:before="40" w:after="40" w:line="240" w:lineRule="exact"/>
              <w:jc w:val="center"/>
              <w:rPr>
                <w:rFonts w:eastAsia="Times New Roman"/>
                <w:i/>
                <w:iCs/>
                <w:color w:val="000000"/>
                <w:sz w:val="16"/>
                <w:szCs w:val="16"/>
                <w:rtl/>
                <w:lang w:eastAsia="en-GB" w:bidi="ar-SY"/>
              </w:rPr>
            </w:pPr>
            <w:r w:rsidRPr="005269E6">
              <w:rPr>
                <w:rFonts w:eastAsia="Times New Roman"/>
                <w:i/>
                <w:iCs/>
                <w:color w:val="000000"/>
                <w:sz w:val="16"/>
                <w:szCs w:val="16"/>
                <w:rtl/>
                <w:lang w:val="en-GB" w:eastAsia="en-GB"/>
              </w:rPr>
              <w:t xml:space="preserve">الملاحظة </w:t>
            </w:r>
            <w:r w:rsidRPr="005269E6">
              <w:rPr>
                <w:rFonts w:eastAsia="Times New Roman"/>
                <w:i/>
                <w:iCs/>
                <w:color w:val="000000"/>
                <w:sz w:val="16"/>
                <w:szCs w:val="16"/>
                <w:lang w:eastAsia="en-GB"/>
              </w:rPr>
              <w:t>12.30</w:t>
            </w:r>
          </w:p>
        </w:tc>
        <w:tc>
          <w:tcPr>
            <w:tcW w:w="1349" w:type="dxa"/>
            <w:tcBorders>
              <w:top w:val="nil"/>
              <w:left w:val="nil"/>
              <w:bottom w:val="nil"/>
              <w:right w:val="nil"/>
            </w:tcBorders>
            <w:vAlign w:val="bottom"/>
          </w:tcPr>
          <w:p w14:paraId="5424FC45" w14:textId="26EF48E8" w:rsidR="00894183" w:rsidRPr="005269E6" w:rsidRDefault="000351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4 804</w:t>
            </w:r>
          </w:p>
        </w:tc>
        <w:tc>
          <w:tcPr>
            <w:tcW w:w="1154" w:type="dxa"/>
            <w:tcBorders>
              <w:top w:val="nil"/>
              <w:left w:val="nil"/>
              <w:bottom w:val="nil"/>
              <w:right w:val="nil"/>
            </w:tcBorders>
            <w:vAlign w:val="bottom"/>
          </w:tcPr>
          <w:p w14:paraId="29EEC500" w14:textId="7A6F58B9" w:rsidR="00894183" w:rsidRPr="005269E6" w:rsidRDefault="000B054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158</w:t>
            </w:r>
          </w:p>
        </w:tc>
        <w:tc>
          <w:tcPr>
            <w:tcW w:w="938" w:type="dxa"/>
            <w:tcBorders>
              <w:top w:val="nil"/>
              <w:left w:val="nil"/>
              <w:bottom w:val="nil"/>
              <w:right w:val="nil"/>
            </w:tcBorders>
            <w:vAlign w:val="bottom"/>
          </w:tcPr>
          <w:p w14:paraId="480853FC" w14:textId="7906A84B" w:rsidR="00894183" w:rsidRPr="005269E6" w:rsidRDefault="00BD4BF1"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 xml:space="preserve">4 </w:t>
            </w:r>
            <w:r w:rsidR="005E7F70" w:rsidRPr="005269E6">
              <w:rPr>
                <w:rFonts w:eastAsia="Times New Roman"/>
                <w:color w:val="000000"/>
                <w:sz w:val="16"/>
                <w:szCs w:val="16"/>
                <w:lang w:eastAsia="en-GB"/>
              </w:rPr>
              <w:t>962</w:t>
            </w:r>
          </w:p>
        </w:tc>
        <w:tc>
          <w:tcPr>
            <w:tcW w:w="271" w:type="dxa"/>
            <w:tcBorders>
              <w:top w:val="nil"/>
              <w:left w:val="nil"/>
              <w:bottom w:val="nil"/>
              <w:right w:val="nil"/>
            </w:tcBorders>
            <w:shd w:val="clear" w:color="auto" w:fill="auto"/>
            <w:vAlign w:val="bottom"/>
          </w:tcPr>
          <w:p w14:paraId="028AD33A"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22D60208" w14:textId="26E514FE" w:rsidR="00894183" w:rsidRPr="005269E6" w:rsidRDefault="005E7F70"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4 999</w:t>
            </w:r>
          </w:p>
        </w:tc>
        <w:tc>
          <w:tcPr>
            <w:tcW w:w="1154" w:type="dxa"/>
            <w:tcBorders>
              <w:top w:val="nil"/>
              <w:left w:val="nil"/>
              <w:bottom w:val="nil"/>
              <w:right w:val="nil"/>
            </w:tcBorders>
            <w:vAlign w:val="bottom"/>
          </w:tcPr>
          <w:p w14:paraId="0718BBF6" w14:textId="3D631E3A" w:rsidR="00894183" w:rsidRPr="005269E6" w:rsidRDefault="005E7F70"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c>
          <w:tcPr>
            <w:tcW w:w="1133" w:type="dxa"/>
            <w:tcBorders>
              <w:top w:val="nil"/>
              <w:left w:val="nil"/>
              <w:bottom w:val="nil"/>
              <w:right w:val="nil"/>
            </w:tcBorders>
            <w:shd w:val="clear" w:color="auto" w:fill="auto"/>
            <w:noWrap/>
            <w:vAlign w:val="bottom"/>
          </w:tcPr>
          <w:p w14:paraId="5AEF88AF" w14:textId="481189B0" w:rsidR="00894183" w:rsidRPr="005269E6" w:rsidRDefault="005E7F70"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4 999</w:t>
            </w:r>
          </w:p>
        </w:tc>
      </w:tr>
      <w:tr w:rsidR="007C5053" w:rsidRPr="005269E6" w14:paraId="5BD4B0AA" w14:textId="77777777" w:rsidTr="00FE51D3">
        <w:trPr>
          <w:trHeight w:val="255"/>
          <w:jc w:val="center"/>
        </w:trPr>
        <w:tc>
          <w:tcPr>
            <w:tcW w:w="1615" w:type="dxa"/>
            <w:tcBorders>
              <w:top w:val="nil"/>
              <w:left w:val="nil"/>
              <w:bottom w:val="nil"/>
              <w:right w:val="nil"/>
            </w:tcBorders>
            <w:shd w:val="clear" w:color="auto" w:fill="auto"/>
            <w:noWrap/>
            <w:vAlign w:val="center"/>
          </w:tcPr>
          <w:p w14:paraId="7BDF3490" w14:textId="043837F9" w:rsidR="00894183" w:rsidRPr="005269E6" w:rsidRDefault="00696AA6"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hint="cs"/>
                <w:color w:val="000000"/>
                <w:sz w:val="16"/>
                <w:szCs w:val="16"/>
                <w:rtl/>
                <w:lang w:val="en-GB" w:eastAsia="en-GB"/>
              </w:rPr>
              <w:t xml:space="preserve">جمعية </w:t>
            </w:r>
            <w:r w:rsidRPr="005269E6">
              <w:rPr>
                <w:rFonts w:eastAsia="Times New Roman"/>
                <w:color w:val="000000"/>
                <w:sz w:val="16"/>
                <w:szCs w:val="16"/>
                <w:lang w:val="en-GB" w:eastAsia="en-GB"/>
              </w:rPr>
              <w:t>UNSMIS</w:t>
            </w:r>
          </w:p>
        </w:tc>
        <w:tc>
          <w:tcPr>
            <w:tcW w:w="1316" w:type="dxa"/>
            <w:tcBorders>
              <w:top w:val="nil"/>
              <w:left w:val="nil"/>
              <w:bottom w:val="nil"/>
              <w:right w:val="nil"/>
            </w:tcBorders>
            <w:shd w:val="clear" w:color="auto" w:fill="auto"/>
            <w:noWrap/>
            <w:vAlign w:val="bottom"/>
          </w:tcPr>
          <w:p w14:paraId="3CF072BF" w14:textId="7AF53787" w:rsidR="00894183" w:rsidRPr="005269E6" w:rsidRDefault="00CF268E" w:rsidP="00796FC2">
            <w:pPr>
              <w:tabs>
                <w:tab w:val="clear" w:pos="794"/>
              </w:tabs>
              <w:spacing w:before="40" w:after="40" w:line="240" w:lineRule="exact"/>
              <w:jc w:val="center"/>
              <w:rPr>
                <w:rFonts w:eastAsia="Times New Roman"/>
                <w:i/>
                <w:iCs/>
                <w:color w:val="000000"/>
                <w:sz w:val="16"/>
                <w:szCs w:val="16"/>
                <w:rtl/>
                <w:lang w:eastAsia="en-GB" w:bidi="ar-SY"/>
              </w:rPr>
            </w:pPr>
            <w:r w:rsidRPr="005269E6">
              <w:rPr>
                <w:rFonts w:eastAsia="Times New Roman"/>
                <w:i/>
                <w:iCs/>
                <w:color w:val="000000"/>
                <w:sz w:val="16"/>
                <w:szCs w:val="16"/>
                <w:rtl/>
                <w:lang w:val="en-GB" w:eastAsia="en-GB"/>
              </w:rPr>
              <w:t xml:space="preserve">الملاحظة </w:t>
            </w:r>
            <w:r w:rsidRPr="005269E6">
              <w:rPr>
                <w:rFonts w:eastAsia="Times New Roman"/>
                <w:i/>
                <w:iCs/>
                <w:color w:val="000000"/>
                <w:sz w:val="16"/>
                <w:szCs w:val="16"/>
                <w:lang w:eastAsia="en-GB"/>
              </w:rPr>
              <w:t>4.30</w:t>
            </w:r>
          </w:p>
        </w:tc>
        <w:tc>
          <w:tcPr>
            <w:tcW w:w="1349" w:type="dxa"/>
            <w:tcBorders>
              <w:top w:val="nil"/>
              <w:left w:val="nil"/>
              <w:bottom w:val="single" w:sz="4" w:space="0" w:color="auto"/>
              <w:right w:val="nil"/>
            </w:tcBorders>
            <w:vAlign w:val="bottom"/>
          </w:tcPr>
          <w:p w14:paraId="6F6EDBBB" w14:textId="29CE40C2" w:rsidR="00894183" w:rsidRPr="005269E6" w:rsidRDefault="000351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1 538</w:t>
            </w:r>
          </w:p>
        </w:tc>
        <w:tc>
          <w:tcPr>
            <w:tcW w:w="1154" w:type="dxa"/>
            <w:tcBorders>
              <w:top w:val="nil"/>
              <w:left w:val="nil"/>
              <w:bottom w:val="single" w:sz="4" w:space="0" w:color="auto"/>
              <w:right w:val="nil"/>
            </w:tcBorders>
            <w:vAlign w:val="bottom"/>
          </w:tcPr>
          <w:p w14:paraId="0AF086AE" w14:textId="61777DC1" w:rsidR="00894183" w:rsidRPr="005269E6" w:rsidRDefault="000B0544"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(1 538)</w:t>
            </w:r>
          </w:p>
        </w:tc>
        <w:tc>
          <w:tcPr>
            <w:tcW w:w="938" w:type="dxa"/>
            <w:tcBorders>
              <w:top w:val="nil"/>
              <w:left w:val="nil"/>
              <w:bottom w:val="single" w:sz="4" w:space="0" w:color="auto"/>
              <w:right w:val="nil"/>
            </w:tcBorders>
            <w:vAlign w:val="bottom"/>
          </w:tcPr>
          <w:p w14:paraId="486B6A7F" w14:textId="63DBF855" w:rsidR="00894183" w:rsidRPr="005269E6" w:rsidRDefault="005E7F70"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271" w:type="dxa"/>
            <w:tcBorders>
              <w:top w:val="nil"/>
              <w:left w:val="nil"/>
              <w:bottom w:val="nil"/>
              <w:right w:val="nil"/>
            </w:tcBorders>
            <w:shd w:val="clear" w:color="auto" w:fill="auto"/>
            <w:vAlign w:val="bottom"/>
          </w:tcPr>
          <w:p w14:paraId="5BE16732"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single" w:sz="4" w:space="0" w:color="auto"/>
              <w:right w:val="nil"/>
            </w:tcBorders>
            <w:shd w:val="clear" w:color="auto" w:fill="auto"/>
            <w:noWrap/>
            <w:vAlign w:val="bottom"/>
          </w:tcPr>
          <w:p w14:paraId="7140D9EE" w14:textId="3F087D48" w:rsidR="00894183" w:rsidRPr="005269E6" w:rsidRDefault="005E7F70"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1 496</w:t>
            </w:r>
          </w:p>
        </w:tc>
        <w:tc>
          <w:tcPr>
            <w:tcW w:w="1154" w:type="dxa"/>
            <w:tcBorders>
              <w:top w:val="nil"/>
              <w:left w:val="nil"/>
              <w:bottom w:val="single" w:sz="4" w:space="0" w:color="auto"/>
              <w:right w:val="nil"/>
            </w:tcBorders>
            <w:vAlign w:val="bottom"/>
          </w:tcPr>
          <w:p w14:paraId="5FF56776" w14:textId="62C7CC1D" w:rsidR="00894183" w:rsidRPr="005269E6" w:rsidRDefault="005E7F70"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(1 496)</w:t>
            </w:r>
          </w:p>
        </w:tc>
        <w:tc>
          <w:tcPr>
            <w:tcW w:w="1133" w:type="dxa"/>
            <w:tcBorders>
              <w:top w:val="nil"/>
              <w:left w:val="nil"/>
              <w:bottom w:val="single" w:sz="4" w:space="0" w:color="auto"/>
              <w:right w:val="nil"/>
            </w:tcBorders>
            <w:shd w:val="clear" w:color="auto" w:fill="auto"/>
            <w:noWrap/>
            <w:vAlign w:val="bottom"/>
          </w:tcPr>
          <w:p w14:paraId="648EF833" w14:textId="25EE6AD0" w:rsidR="00894183" w:rsidRPr="005269E6" w:rsidRDefault="005E7F70"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r>
      <w:tr w:rsidR="007C5053" w:rsidRPr="005269E6" w14:paraId="7546B387" w14:textId="77777777" w:rsidTr="00FE51D3">
        <w:trPr>
          <w:trHeight w:val="255"/>
          <w:jc w:val="center"/>
        </w:trPr>
        <w:tc>
          <w:tcPr>
            <w:tcW w:w="1615" w:type="dxa"/>
            <w:tcBorders>
              <w:top w:val="nil"/>
              <w:left w:val="nil"/>
              <w:bottom w:val="nil"/>
              <w:right w:val="nil"/>
            </w:tcBorders>
            <w:shd w:val="clear" w:color="auto" w:fill="auto"/>
            <w:noWrap/>
            <w:vAlign w:val="center"/>
          </w:tcPr>
          <w:p w14:paraId="7F4B68CB" w14:textId="5ECFF903" w:rsidR="00894183" w:rsidRPr="005269E6" w:rsidRDefault="002D48E5" w:rsidP="00FE51D3">
            <w:pPr>
              <w:tabs>
                <w:tab w:val="clear" w:pos="794"/>
              </w:tabs>
              <w:spacing w:before="40" w:after="40" w:line="240" w:lineRule="exact"/>
              <w:jc w:val="left"/>
              <w:rPr>
                <w:rFonts w:eastAsia="Times New Roman"/>
                <w:b/>
                <w:bCs/>
                <w:color w:val="000000"/>
                <w:sz w:val="16"/>
                <w:szCs w:val="16"/>
                <w:rtl/>
                <w:lang w:val="en-GB" w:eastAsia="en-GB"/>
              </w:rPr>
            </w:pPr>
            <w:r w:rsidRPr="005269E6">
              <w:rPr>
                <w:rFonts w:eastAsia="Times New Roman"/>
                <w:b/>
                <w:bCs/>
                <w:color w:val="000000"/>
                <w:sz w:val="16"/>
                <w:szCs w:val="16"/>
                <w:rtl/>
                <w:lang w:val="en-GB" w:eastAsia="en-GB"/>
              </w:rPr>
              <w:t>مجموع الخصوم الجارية</w:t>
            </w:r>
          </w:p>
        </w:tc>
        <w:tc>
          <w:tcPr>
            <w:tcW w:w="1316" w:type="dxa"/>
            <w:tcBorders>
              <w:top w:val="nil"/>
              <w:left w:val="nil"/>
              <w:bottom w:val="nil"/>
              <w:right w:val="nil"/>
            </w:tcBorders>
            <w:shd w:val="clear" w:color="auto" w:fill="auto"/>
            <w:noWrap/>
            <w:vAlign w:val="bottom"/>
          </w:tcPr>
          <w:p w14:paraId="0B002D95" w14:textId="77777777" w:rsidR="00894183" w:rsidRPr="005269E6" w:rsidRDefault="00894183"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single" w:sz="4" w:space="0" w:color="auto"/>
              <w:left w:val="nil"/>
              <w:bottom w:val="nil"/>
              <w:right w:val="nil"/>
            </w:tcBorders>
            <w:vAlign w:val="bottom"/>
          </w:tcPr>
          <w:p w14:paraId="20E16E18" w14:textId="6493EEFD" w:rsidR="00894183" w:rsidRPr="005269E6" w:rsidRDefault="000351CC"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148 741</w:t>
            </w:r>
          </w:p>
        </w:tc>
        <w:tc>
          <w:tcPr>
            <w:tcW w:w="1154" w:type="dxa"/>
            <w:tcBorders>
              <w:top w:val="single" w:sz="4" w:space="0" w:color="auto"/>
              <w:left w:val="nil"/>
              <w:bottom w:val="nil"/>
              <w:right w:val="nil"/>
            </w:tcBorders>
            <w:vAlign w:val="bottom"/>
          </w:tcPr>
          <w:p w14:paraId="034954B5" w14:textId="3BCB6EDF" w:rsidR="00894183" w:rsidRPr="005269E6" w:rsidRDefault="000B0544"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(69 149)</w:t>
            </w:r>
          </w:p>
        </w:tc>
        <w:tc>
          <w:tcPr>
            <w:tcW w:w="938" w:type="dxa"/>
            <w:tcBorders>
              <w:top w:val="single" w:sz="4" w:space="0" w:color="auto"/>
              <w:left w:val="nil"/>
              <w:bottom w:val="nil"/>
              <w:right w:val="nil"/>
            </w:tcBorders>
            <w:vAlign w:val="bottom"/>
          </w:tcPr>
          <w:p w14:paraId="2F4349E5" w14:textId="511CABB1" w:rsidR="00894183" w:rsidRPr="005269E6" w:rsidRDefault="005E7F70"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79 592</w:t>
            </w:r>
          </w:p>
        </w:tc>
        <w:tc>
          <w:tcPr>
            <w:tcW w:w="271" w:type="dxa"/>
            <w:tcBorders>
              <w:top w:val="nil"/>
              <w:left w:val="nil"/>
              <w:bottom w:val="nil"/>
              <w:right w:val="nil"/>
            </w:tcBorders>
            <w:shd w:val="clear" w:color="auto" w:fill="auto"/>
            <w:vAlign w:val="bottom"/>
          </w:tcPr>
          <w:p w14:paraId="43769B21" w14:textId="25D70B20" w:rsidR="00894183" w:rsidRPr="005269E6" w:rsidRDefault="00894183" w:rsidP="00696AA6">
            <w:pPr>
              <w:tabs>
                <w:tab w:val="clear" w:pos="794"/>
              </w:tabs>
              <w:spacing w:before="40" w:after="40" w:line="240" w:lineRule="exact"/>
              <w:jc w:val="left"/>
              <w:rPr>
                <w:rFonts w:eastAsia="Times New Roman"/>
                <w:b/>
                <w:bCs/>
                <w:color w:val="000000"/>
                <w:sz w:val="16"/>
                <w:szCs w:val="16"/>
                <w:lang w:val="en-GB" w:eastAsia="en-GB"/>
              </w:rPr>
            </w:pPr>
          </w:p>
        </w:tc>
        <w:tc>
          <w:tcPr>
            <w:tcW w:w="1349" w:type="dxa"/>
            <w:tcBorders>
              <w:top w:val="single" w:sz="4" w:space="0" w:color="auto"/>
              <w:left w:val="nil"/>
              <w:bottom w:val="nil"/>
              <w:right w:val="nil"/>
            </w:tcBorders>
            <w:shd w:val="clear" w:color="auto" w:fill="auto"/>
            <w:noWrap/>
            <w:vAlign w:val="bottom"/>
          </w:tcPr>
          <w:p w14:paraId="382A0FAA" w14:textId="5A63B75E" w:rsidR="00894183" w:rsidRPr="005269E6" w:rsidRDefault="005E7F70"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147 582</w:t>
            </w:r>
          </w:p>
        </w:tc>
        <w:tc>
          <w:tcPr>
            <w:tcW w:w="1154" w:type="dxa"/>
            <w:tcBorders>
              <w:top w:val="single" w:sz="4" w:space="0" w:color="auto"/>
              <w:left w:val="nil"/>
              <w:bottom w:val="nil"/>
              <w:right w:val="nil"/>
            </w:tcBorders>
            <w:vAlign w:val="bottom"/>
          </w:tcPr>
          <w:p w14:paraId="40A7BBF5" w14:textId="75CDA376" w:rsidR="00894183" w:rsidRPr="005269E6" w:rsidRDefault="005E7F70"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(80 734)</w:t>
            </w:r>
          </w:p>
        </w:tc>
        <w:tc>
          <w:tcPr>
            <w:tcW w:w="1133" w:type="dxa"/>
            <w:tcBorders>
              <w:top w:val="single" w:sz="4" w:space="0" w:color="auto"/>
              <w:left w:val="nil"/>
              <w:bottom w:val="nil"/>
              <w:right w:val="nil"/>
            </w:tcBorders>
            <w:shd w:val="clear" w:color="auto" w:fill="auto"/>
            <w:noWrap/>
            <w:vAlign w:val="bottom"/>
          </w:tcPr>
          <w:p w14:paraId="7DE27F9D" w14:textId="13DBDA15" w:rsidR="00894183" w:rsidRPr="005269E6" w:rsidRDefault="005E7F70"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66 848</w:t>
            </w:r>
          </w:p>
        </w:tc>
      </w:tr>
      <w:tr w:rsidR="007C5053" w:rsidRPr="005269E6" w14:paraId="7286D3E3" w14:textId="77777777" w:rsidTr="00FE51D3">
        <w:trPr>
          <w:trHeight w:val="175"/>
          <w:jc w:val="center"/>
        </w:trPr>
        <w:tc>
          <w:tcPr>
            <w:tcW w:w="1615" w:type="dxa"/>
            <w:tcBorders>
              <w:top w:val="nil"/>
              <w:left w:val="nil"/>
              <w:bottom w:val="nil"/>
              <w:right w:val="nil"/>
            </w:tcBorders>
            <w:shd w:val="clear" w:color="auto" w:fill="auto"/>
            <w:noWrap/>
            <w:vAlign w:val="center"/>
          </w:tcPr>
          <w:p w14:paraId="346227DF" w14:textId="3AED353D" w:rsidR="00894183" w:rsidRPr="005269E6" w:rsidRDefault="00894183" w:rsidP="00FE51D3">
            <w:pPr>
              <w:tabs>
                <w:tab w:val="clear" w:pos="794"/>
              </w:tabs>
              <w:spacing w:before="0" w:line="200" w:lineRule="exact"/>
              <w:jc w:val="left"/>
              <w:rPr>
                <w:rFonts w:eastAsia="Times New Roman"/>
                <w:color w:val="000000"/>
                <w:sz w:val="16"/>
                <w:szCs w:val="16"/>
                <w:rtl/>
                <w:lang w:val="en-GB" w:eastAsia="en-GB"/>
              </w:rPr>
            </w:pPr>
          </w:p>
        </w:tc>
        <w:tc>
          <w:tcPr>
            <w:tcW w:w="1316" w:type="dxa"/>
            <w:tcBorders>
              <w:top w:val="nil"/>
              <w:left w:val="nil"/>
              <w:bottom w:val="nil"/>
              <w:right w:val="nil"/>
            </w:tcBorders>
            <w:shd w:val="clear" w:color="auto" w:fill="auto"/>
            <w:noWrap/>
            <w:vAlign w:val="bottom"/>
          </w:tcPr>
          <w:p w14:paraId="34A06A28" w14:textId="77777777" w:rsidR="00894183" w:rsidRPr="005269E6" w:rsidRDefault="00894183" w:rsidP="000B0544">
            <w:pPr>
              <w:tabs>
                <w:tab w:val="clear" w:pos="794"/>
              </w:tabs>
              <w:spacing w:before="0" w:line="20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091559B3" w14:textId="77777777" w:rsidR="00894183" w:rsidRPr="005269E6" w:rsidRDefault="00894183" w:rsidP="00696AA6">
            <w:pPr>
              <w:tabs>
                <w:tab w:val="clear" w:pos="794"/>
              </w:tabs>
              <w:spacing w:before="0" w:line="200" w:lineRule="exact"/>
              <w:jc w:val="left"/>
              <w:rPr>
                <w:rFonts w:eastAsia="Times New Roman"/>
                <w:color w:val="000000"/>
                <w:sz w:val="16"/>
                <w:szCs w:val="16"/>
                <w:lang w:eastAsia="en-GB"/>
              </w:rPr>
            </w:pPr>
          </w:p>
        </w:tc>
        <w:tc>
          <w:tcPr>
            <w:tcW w:w="1154" w:type="dxa"/>
            <w:tcBorders>
              <w:top w:val="nil"/>
              <w:left w:val="nil"/>
              <w:bottom w:val="nil"/>
              <w:right w:val="nil"/>
            </w:tcBorders>
            <w:vAlign w:val="bottom"/>
          </w:tcPr>
          <w:p w14:paraId="131EE15A" w14:textId="77777777" w:rsidR="00894183" w:rsidRPr="005269E6" w:rsidRDefault="00894183" w:rsidP="00696AA6">
            <w:pPr>
              <w:tabs>
                <w:tab w:val="clear" w:pos="794"/>
              </w:tabs>
              <w:spacing w:before="0" w:line="200" w:lineRule="exact"/>
              <w:jc w:val="left"/>
              <w:rPr>
                <w:rFonts w:eastAsia="Times New Roman"/>
                <w:color w:val="000000"/>
                <w:sz w:val="16"/>
                <w:szCs w:val="16"/>
                <w:lang w:eastAsia="en-GB"/>
              </w:rPr>
            </w:pPr>
          </w:p>
        </w:tc>
        <w:tc>
          <w:tcPr>
            <w:tcW w:w="938" w:type="dxa"/>
            <w:tcBorders>
              <w:top w:val="nil"/>
              <w:left w:val="nil"/>
              <w:bottom w:val="nil"/>
              <w:right w:val="nil"/>
            </w:tcBorders>
            <w:vAlign w:val="bottom"/>
          </w:tcPr>
          <w:p w14:paraId="22B7EB73" w14:textId="77777777" w:rsidR="00894183" w:rsidRPr="005269E6" w:rsidRDefault="00894183" w:rsidP="00696AA6">
            <w:pPr>
              <w:tabs>
                <w:tab w:val="clear" w:pos="794"/>
              </w:tabs>
              <w:spacing w:before="0" w:line="200" w:lineRule="exact"/>
              <w:jc w:val="left"/>
              <w:rPr>
                <w:rFonts w:eastAsia="Times New Roman"/>
                <w:color w:val="000000"/>
                <w:sz w:val="16"/>
                <w:szCs w:val="16"/>
                <w:lang w:eastAsia="en-GB"/>
              </w:rPr>
            </w:pPr>
          </w:p>
        </w:tc>
        <w:tc>
          <w:tcPr>
            <w:tcW w:w="271" w:type="dxa"/>
            <w:tcBorders>
              <w:top w:val="nil"/>
              <w:left w:val="nil"/>
              <w:bottom w:val="nil"/>
              <w:right w:val="nil"/>
            </w:tcBorders>
            <w:shd w:val="clear" w:color="auto" w:fill="auto"/>
            <w:vAlign w:val="bottom"/>
          </w:tcPr>
          <w:p w14:paraId="04D065A2" w14:textId="77777777" w:rsidR="00894183" w:rsidRPr="005269E6" w:rsidRDefault="00894183" w:rsidP="00696AA6">
            <w:pPr>
              <w:tabs>
                <w:tab w:val="clear" w:pos="794"/>
              </w:tabs>
              <w:spacing w:before="0" w:line="20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49D7BCEF" w14:textId="77777777" w:rsidR="00894183" w:rsidRPr="005269E6" w:rsidRDefault="00894183" w:rsidP="00696AA6">
            <w:pPr>
              <w:tabs>
                <w:tab w:val="clear" w:pos="794"/>
              </w:tabs>
              <w:spacing w:before="0" w:line="200" w:lineRule="exact"/>
              <w:jc w:val="left"/>
              <w:rPr>
                <w:rFonts w:eastAsia="Times New Roman"/>
                <w:color w:val="000000"/>
                <w:sz w:val="16"/>
                <w:szCs w:val="16"/>
                <w:lang w:val="en-GB" w:eastAsia="en-GB"/>
              </w:rPr>
            </w:pPr>
          </w:p>
        </w:tc>
        <w:tc>
          <w:tcPr>
            <w:tcW w:w="1154" w:type="dxa"/>
            <w:tcBorders>
              <w:top w:val="nil"/>
              <w:left w:val="nil"/>
              <w:bottom w:val="nil"/>
              <w:right w:val="nil"/>
            </w:tcBorders>
            <w:vAlign w:val="bottom"/>
          </w:tcPr>
          <w:p w14:paraId="747808CB" w14:textId="77777777" w:rsidR="00894183" w:rsidRPr="005269E6" w:rsidRDefault="00894183" w:rsidP="00696AA6">
            <w:pPr>
              <w:tabs>
                <w:tab w:val="clear" w:pos="794"/>
              </w:tabs>
              <w:spacing w:before="0" w:line="200" w:lineRule="exact"/>
              <w:jc w:val="left"/>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3BF64A22" w14:textId="77777777" w:rsidR="00894183" w:rsidRPr="005269E6" w:rsidRDefault="00894183" w:rsidP="00696AA6">
            <w:pPr>
              <w:tabs>
                <w:tab w:val="clear" w:pos="794"/>
              </w:tabs>
              <w:spacing w:before="0" w:line="200" w:lineRule="exact"/>
              <w:jc w:val="left"/>
              <w:rPr>
                <w:rFonts w:eastAsia="Times New Roman"/>
                <w:color w:val="000000"/>
                <w:sz w:val="16"/>
                <w:szCs w:val="16"/>
                <w:lang w:val="en-GB" w:eastAsia="en-GB"/>
              </w:rPr>
            </w:pPr>
          </w:p>
        </w:tc>
      </w:tr>
      <w:tr w:rsidR="007C5053" w:rsidRPr="005269E6" w14:paraId="6662A882" w14:textId="77777777" w:rsidTr="00FE51D3">
        <w:trPr>
          <w:trHeight w:val="255"/>
          <w:jc w:val="center"/>
        </w:trPr>
        <w:tc>
          <w:tcPr>
            <w:tcW w:w="1615" w:type="dxa"/>
            <w:tcBorders>
              <w:top w:val="nil"/>
              <w:left w:val="nil"/>
              <w:bottom w:val="nil"/>
              <w:right w:val="nil"/>
            </w:tcBorders>
            <w:shd w:val="clear" w:color="auto" w:fill="auto"/>
            <w:noWrap/>
            <w:vAlign w:val="center"/>
          </w:tcPr>
          <w:p w14:paraId="62310D87" w14:textId="0BB43895" w:rsidR="00796FC2" w:rsidRPr="005269E6" w:rsidRDefault="002D48E5"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b/>
                <w:bCs/>
                <w:color w:val="000000"/>
                <w:sz w:val="16"/>
                <w:szCs w:val="16"/>
                <w:rtl/>
                <w:lang w:val="en-GB" w:eastAsia="en-GB"/>
              </w:rPr>
              <w:t>الخصوم غير الجارية</w:t>
            </w:r>
          </w:p>
        </w:tc>
        <w:tc>
          <w:tcPr>
            <w:tcW w:w="1316" w:type="dxa"/>
            <w:tcBorders>
              <w:top w:val="nil"/>
              <w:left w:val="nil"/>
              <w:bottom w:val="nil"/>
              <w:right w:val="nil"/>
            </w:tcBorders>
            <w:shd w:val="clear" w:color="auto" w:fill="auto"/>
            <w:noWrap/>
            <w:vAlign w:val="bottom"/>
          </w:tcPr>
          <w:p w14:paraId="0EE0E783" w14:textId="77777777" w:rsidR="00796FC2" w:rsidRPr="005269E6" w:rsidRDefault="00796FC2"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651E3C8B"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eastAsia="en-GB"/>
              </w:rPr>
            </w:pPr>
          </w:p>
        </w:tc>
        <w:tc>
          <w:tcPr>
            <w:tcW w:w="1154" w:type="dxa"/>
            <w:tcBorders>
              <w:top w:val="nil"/>
              <w:left w:val="nil"/>
              <w:bottom w:val="nil"/>
              <w:right w:val="nil"/>
            </w:tcBorders>
            <w:vAlign w:val="bottom"/>
          </w:tcPr>
          <w:p w14:paraId="540583ED"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eastAsia="en-GB"/>
              </w:rPr>
            </w:pPr>
          </w:p>
        </w:tc>
        <w:tc>
          <w:tcPr>
            <w:tcW w:w="938" w:type="dxa"/>
            <w:tcBorders>
              <w:top w:val="nil"/>
              <w:left w:val="nil"/>
              <w:bottom w:val="nil"/>
              <w:right w:val="nil"/>
            </w:tcBorders>
            <w:vAlign w:val="bottom"/>
          </w:tcPr>
          <w:p w14:paraId="72A2F65C"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eastAsia="en-GB"/>
              </w:rPr>
            </w:pPr>
          </w:p>
        </w:tc>
        <w:tc>
          <w:tcPr>
            <w:tcW w:w="271" w:type="dxa"/>
            <w:tcBorders>
              <w:top w:val="nil"/>
              <w:left w:val="nil"/>
              <w:bottom w:val="nil"/>
              <w:right w:val="nil"/>
            </w:tcBorders>
            <w:shd w:val="clear" w:color="auto" w:fill="auto"/>
            <w:vAlign w:val="bottom"/>
          </w:tcPr>
          <w:p w14:paraId="70D20A66"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44E5E94F"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val="en-GB" w:eastAsia="en-GB"/>
              </w:rPr>
            </w:pPr>
          </w:p>
        </w:tc>
        <w:tc>
          <w:tcPr>
            <w:tcW w:w="1154" w:type="dxa"/>
            <w:tcBorders>
              <w:top w:val="nil"/>
              <w:left w:val="nil"/>
              <w:bottom w:val="nil"/>
              <w:right w:val="nil"/>
            </w:tcBorders>
            <w:vAlign w:val="bottom"/>
          </w:tcPr>
          <w:p w14:paraId="43345816"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4A241C68"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val="en-GB" w:eastAsia="en-GB"/>
              </w:rPr>
            </w:pPr>
          </w:p>
        </w:tc>
      </w:tr>
      <w:tr w:rsidR="007C5053" w:rsidRPr="005269E6" w14:paraId="090BBFAC" w14:textId="77777777" w:rsidTr="00FE51D3">
        <w:trPr>
          <w:trHeight w:val="255"/>
          <w:jc w:val="center"/>
        </w:trPr>
        <w:tc>
          <w:tcPr>
            <w:tcW w:w="1615" w:type="dxa"/>
            <w:tcBorders>
              <w:top w:val="nil"/>
              <w:left w:val="nil"/>
              <w:bottom w:val="nil"/>
              <w:right w:val="nil"/>
            </w:tcBorders>
            <w:shd w:val="clear" w:color="auto" w:fill="auto"/>
            <w:noWrap/>
            <w:vAlign w:val="center"/>
          </w:tcPr>
          <w:p w14:paraId="1A48B448" w14:textId="56AEF004" w:rsidR="00796FC2" w:rsidRPr="005269E6" w:rsidRDefault="002D48E5"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القروض</w:t>
            </w:r>
          </w:p>
        </w:tc>
        <w:tc>
          <w:tcPr>
            <w:tcW w:w="1316" w:type="dxa"/>
            <w:tcBorders>
              <w:top w:val="nil"/>
              <w:left w:val="nil"/>
              <w:bottom w:val="nil"/>
              <w:right w:val="nil"/>
            </w:tcBorders>
            <w:shd w:val="clear" w:color="auto" w:fill="auto"/>
            <w:noWrap/>
            <w:vAlign w:val="bottom"/>
          </w:tcPr>
          <w:p w14:paraId="7238FCFA" w14:textId="77777777" w:rsidR="00796FC2" w:rsidRPr="005269E6" w:rsidRDefault="00796FC2"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0F4E0653" w14:textId="3F3C3DF2" w:rsidR="00796FC2" w:rsidRPr="005269E6" w:rsidRDefault="00796FC2"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51 991</w:t>
            </w:r>
          </w:p>
        </w:tc>
        <w:tc>
          <w:tcPr>
            <w:tcW w:w="1154" w:type="dxa"/>
            <w:tcBorders>
              <w:top w:val="nil"/>
              <w:left w:val="nil"/>
              <w:bottom w:val="nil"/>
              <w:right w:val="nil"/>
            </w:tcBorders>
            <w:vAlign w:val="bottom"/>
          </w:tcPr>
          <w:p w14:paraId="3F55493D" w14:textId="49E28F34" w:rsidR="00796FC2"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938" w:type="dxa"/>
            <w:tcBorders>
              <w:top w:val="nil"/>
              <w:left w:val="nil"/>
              <w:bottom w:val="nil"/>
              <w:right w:val="nil"/>
            </w:tcBorders>
            <w:vAlign w:val="bottom"/>
          </w:tcPr>
          <w:p w14:paraId="45E76DA5" w14:textId="5C53B0B4" w:rsidR="00796FC2" w:rsidRPr="005269E6" w:rsidRDefault="007C5053"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51 991</w:t>
            </w:r>
          </w:p>
        </w:tc>
        <w:tc>
          <w:tcPr>
            <w:tcW w:w="271" w:type="dxa"/>
            <w:tcBorders>
              <w:top w:val="nil"/>
              <w:left w:val="nil"/>
              <w:bottom w:val="nil"/>
              <w:right w:val="nil"/>
            </w:tcBorders>
            <w:shd w:val="clear" w:color="auto" w:fill="auto"/>
            <w:vAlign w:val="bottom"/>
          </w:tcPr>
          <w:p w14:paraId="5A662D87" w14:textId="1C07FD4D" w:rsidR="00796FC2" w:rsidRPr="005269E6" w:rsidRDefault="00796FC2"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1CED850A" w14:textId="0025F046" w:rsidR="00796FC2" w:rsidRPr="005269E6" w:rsidRDefault="007C5053"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45 718</w:t>
            </w:r>
          </w:p>
        </w:tc>
        <w:tc>
          <w:tcPr>
            <w:tcW w:w="1154" w:type="dxa"/>
            <w:tcBorders>
              <w:top w:val="nil"/>
              <w:left w:val="nil"/>
              <w:bottom w:val="nil"/>
              <w:right w:val="nil"/>
            </w:tcBorders>
            <w:vAlign w:val="bottom"/>
          </w:tcPr>
          <w:p w14:paraId="5F1580CF" w14:textId="4A7F57D7" w:rsidR="00796FC2" w:rsidRPr="005269E6" w:rsidRDefault="007C5053"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c>
          <w:tcPr>
            <w:tcW w:w="1133" w:type="dxa"/>
            <w:tcBorders>
              <w:top w:val="nil"/>
              <w:left w:val="nil"/>
              <w:bottom w:val="nil"/>
              <w:right w:val="nil"/>
            </w:tcBorders>
            <w:shd w:val="clear" w:color="auto" w:fill="auto"/>
            <w:noWrap/>
            <w:vAlign w:val="bottom"/>
          </w:tcPr>
          <w:p w14:paraId="56FB7D88" w14:textId="755ABE8F" w:rsidR="00796FC2" w:rsidRPr="005269E6" w:rsidRDefault="007C5053"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45 718</w:t>
            </w:r>
          </w:p>
        </w:tc>
      </w:tr>
      <w:tr w:rsidR="007C5053" w:rsidRPr="005269E6" w14:paraId="32988670" w14:textId="77777777" w:rsidTr="00FE51D3">
        <w:trPr>
          <w:trHeight w:val="255"/>
          <w:jc w:val="center"/>
        </w:trPr>
        <w:tc>
          <w:tcPr>
            <w:tcW w:w="1615" w:type="dxa"/>
            <w:tcBorders>
              <w:top w:val="nil"/>
              <w:left w:val="nil"/>
              <w:bottom w:val="nil"/>
              <w:right w:val="nil"/>
            </w:tcBorders>
            <w:shd w:val="clear" w:color="auto" w:fill="auto"/>
            <w:noWrap/>
            <w:vAlign w:val="center"/>
          </w:tcPr>
          <w:p w14:paraId="22C4E73A" w14:textId="5FAEF741" w:rsidR="00796FC2" w:rsidRPr="005269E6" w:rsidRDefault="002D48E5" w:rsidP="00FE51D3">
            <w:pPr>
              <w:tabs>
                <w:tab w:val="clear" w:pos="794"/>
              </w:tabs>
              <w:spacing w:before="40" w:after="40" w:line="240" w:lineRule="exact"/>
              <w:jc w:val="left"/>
              <w:rPr>
                <w:rFonts w:eastAsia="Times New Roman"/>
                <w:color w:val="000000"/>
                <w:sz w:val="16"/>
                <w:szCs w:val="16"/>
                <w:rtl/>
                <w:lang w:val="en-GB" w:eastAsia="en-GB" w:bidi="ar-SY"/>
              </w:rPr>
            </w:pPr>
            <w:r w:rsidRPr="005269E6">
              <w:rPr>
                <w:rFonts w:eastAsia="Times New Roman"/>
                <w:color w:val="000000"/>
                <w:sz w:val="16"/>
                <w:szCs w:val="16"/>
                <w:rtl/>
                <w:lang w:val="en-GB" w:eastAsia="en-GB"/>
              </w:rPr>
              <w:t>استحقاقات الموظفين</w:t>
            </w:r>
          </w:p>
        </w:tc>
        <w:tc>
          <w:tcPr>
            <w:tcW w:w="1316" w:type="dxa"/>
            <w:tcBorders>
              <w:top w:val="nil"/>
              <w:left w:val="nil"/>
              <w:bottom w:val="nil"/>
              <w:right w:val="nil"/>
            </w:tcBorders>
            <w:shd w:val="clear" w:color="auto" w:fill="auto"/>
            <w:noWrap/>
            <w:vAlign w:val="bottom"/>
          </w:tcPr>
          <w:p w14:paraId="76E76951" w14:textId="77777777" w:rsidR="00796FC2" w:rsidRPr="005269E6" w:rsidRDefault="00796FC2"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nil"/>
              <w:left w:val="nil"/>
              <w:bottom w:val="nil"/>
              <w:right w:val="nil"/>
            </w:tcBorders>
            <w:vAlign w:val="bottom"/>
          </w:tcPr>
          <w:p w14:paraId="26C0530C" w14:textId="23FABDA6" w:rsidR="00796FC2" w:rsidRPr="005269E6" w:rsidRDefault="00796FC2"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570 083</w:t>
            </w:r>
          </w:p>
        </w:tc>
        <w:tc>
          <w:tcPr>
            <w:tcW w:w="1154" w:type="dxa"/>
            <w:tcBorders>
              <w:top w:val="nil"/>
              <w:left w:val="nil"/>
              <w:bottom w:val="nil"/>
              <w:right w:val="nil"/>
            </w:tcBorders>
            <w:vAlign w:val="bottom"/>
          </w:tcPr>
          <w:p w14:paraId="3B3EA856" w14:textId="139C993B" w:rsidR="00796FC2"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938" w:type="dxa"/>
            <w:tcBorders>
              <w:top w:val="nil"/>
              <w:left w:val="nil"/>
              <w:bottom w:val="nil"/>
              <w:right w:val="nil"/>
            </w:tcBorders>
            <w:vAlign w:val="bottom"/>
          </w:tcPr>
          <w:p w14:paraId="6DCCAED3" w14:textId="39125AF0" w:rsidR="00796FC2" w:rsidRPr="005269E6" w:rsidRDefault="007C5053"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570 083</w:t>
            </w:r>
          </w:p>
        </w:tc>
        <w:tc>
          <w:tcPr>
            <w:tcW w:w="271" w:type="dxa"/>
            <w:tcBorders>
              <w:top w:val="nil"/>
              <w:left w:val="nil"/>
              <w:bottom w:val="nil"/>
              <w:right w:val="nil"/>
            </w:tcBorders>
            <w:shd w:val="clear" w:color="auto" w:fill="auto"/>
            <w:vAlign w:val="bottom"/>
          </w:tcPr>
          <w:p w14:paraId="605BCEB5"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3D15F1E9" w14:textId="391808ED" w:rsidR="00796FC2" w:rsidRPr="005269E6" w:rsidRDefault="007C5053"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656 021</w:t>
            </w:r>
          </w:p>
        </w:tc>
        <w:tc>
          <w:tcPr>
            <w:tcW w:w="1154" w:type="dxa"/>
            <w:tcBorders>
              <w:top w:val="nil"/>
              <w:left w:val="nil"/>
              <w:bottom w:val="nil"/>
              <w:right w:val="nil"/>
            </w:tcBorders>
            <w:vAlign w:val="bottom"/>
          </w:tcPr>
          <w:p w14:paraId="0DEE50AA" w14:textId="6A1B4602" w:rsidR="00796FC2" w:rsidRPr="005269E6" w:rsidRDefault="007C5053"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c>
          <w:tcPr>
            <w:tcW w:w="1133" w:type="dxa"/>
            <w:tcBorders>
              <w:top w:val="nil"/>
              <w:left w:val="nil"/>
              <w:bottom w:val="nil"/>
              <w:right w:val="nil"/>
            </w:tcBorders>
            <w:shd w:val="clear" w:color="auto" w:fill="auto"/>
            <w:noWrap/>
            <w:vAlign w:val="bottom"/>
          </w:tcPr>
          <w:p w14:paraId="0A993525" w14:textId="2BD486E3" w:rsidR="00796FC2" w:rsidRPr="005269E6" w:rsidRDefault="007C5053"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656 021</w:t>
            </w:r>
          </w:p>
        </w:tc>
      </w:tr>
      <w:tr w:rsidR="007C5053" w:rsidRPr="005269E6" w14:paraId="2DCCCBD6" w14:textId="77777777" w:rsidTr="00FE51D3">
        <w:trPr>
          <w:trHeight w:val="255"/>
          <w:jc w:val="center"/>
        </w:trPr>
        <w:tc>
          <w:tcPr>
            <w:tcW w:w="1615" w:type="dxa"/>
            <w:tcBorders>
              <w:top w:val="nil"/>
              <w:left w:val="nil"/>
              <w:bottom w:val="nil"/>
              <w:right w:val="nil"/>
            </w:tcBorders>
            <w:shd w:val="clear" w:color="auto" w:fill="auto"/>
            <w:noWrap/>
            <w:vAlign w:val="center"/>
          </w:tcPr>
          <w:p w14:paraId="219712C2" w14:textId="3EB3BA9C" w:rsidR="00796FC2" w:rsidRPr="005269E6" w:rsidRDefault="002D48E5"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الأموال الخارجية المخصصة</w:t>
            </w:r>
          </w:p>
        </w:tc>
        <w:tc>
          <w:tcPr>
            <w:tcW w:w="1316" w:type="dxa"/>
            <w:tcBorders>
              <w:top w:val="nil"/>
              <w:left w:val="nil"/>
              <w:bottom w:val="nil"/>
              <w:right w:val="nil"/>
            </w:tcBorders>
            <w:shd w:val="clear" w:color="auto" w:fill="auto"/>
            <w:noWrap/>
            <w:vAlign w:val="bottom"/>
          </w:tcPr>
          <w:p w14:paraId="3BB773EB" w14:textId="6ED65693" w:rsidR="00796FC2" w:rsidRPr="005269E6" w:rsidRDefault="00CF268E" w:rsidP="00796FC2">
            <w:pPr>
              <w:tabs>
                <w:tab w:val="clear" w:pos="794"/>
              </w:tabs>
              <w:spacing w:before="40" w:after="40" w:line="240" w:lineRule="exact"/>
              <w:jc w:val="center"/>
              <w:rPr>
                <w:rFonts w:eastAsia="Times New Roman"/>
                <w:i/>
                <w:iCs/>
                <w:color w:val="000000"/>
                <w:sz w:val="16"/>
                <w:szCs w:val="16"/>
                <w:rtl/>
                <w:lang w:eastAsia="en-GB" w:bidi="ar-SY"/>
              </w:rPr>
            </w:pPr>
            <w:r w:rsidRPr="005269E6">
              <w:rPr>
                <w:rFonts w:eastAsia="Times New Roman"/>
                <w:i/>
                <w:iCs/>
                <w:color w:val="000000"/>
                <w:sz w:val="16"/>
                <w:szCs w:val="16"/>
                <w:rtl/>
                <w:lang w:val="en-GB" w:eastAsia="en-GB"/>
              </w:rPr>
              <w:t xml:space="preserve">الملاحظة </w:t>
            </w:r>
            <w:r w:rsidRPr="005269E6">
              <w:rPr>
                <w:rFonts w:eastAsia="Times New Roman"/>
                <w:i/>
                <w:iCs/>
                <w:color w:val="000000"/>
                <w:sz w:val="16"/>
                <w:szCs w:val="16"/>
                <w:lang w:eastAsia="en-GB"/>
              </w:rPr>
              <w:t>11.30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15.30</w:t>
            </w:r>
          </w:p>
        </w:tc>
        <w:tc>
          <w:tcPr>
            <w:tcW w:w="1349" w:type="dxa"/>
            <w:tcBorders>
              <w:top w:val="nil"/>
              <w:left w:val="nil"/>
              <w:bottom w:val="nil"/>
              <w:right w:val="nil"/>
            </w:tcBorders>
            <w:vAlign w:val="bottom"/>
          </w:tcPr>
          <w:p w14:paraId="07E6D73D" w14:textId="6590F0C9" w:rsidR="00796FC2" w:rsidRPr="005269E6" w:rsidRDefault="00796FC2"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46 336</w:t>
            </w:r>
          </w:p>
        </w:tc>
        <w:tc>
          <w:tcPr>
            <w:tcW w:w="1154" w:type="dxa"/>
            <w:tcBorders>
              <w:top w:val="nil"/>
              <w:left w:val="nil"/>
              <w:bottom w:val="nil"/>
              <w:right w:val="nil"/>
            </w:tcBorders>
            <w:vAlign w:val="bottom"/>
          </w:tcPr>
          <w:p w14:paraId="3DDC02F9" w14:textId="7CF5AE93" w:rsidR="00796FC2"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(2 866)</w:t>
            </w:r>
          </w:p>
        </w:tc>
        <w:tc>
          <w:tcPr>
            <w:tcW w:w="938" w:type="dxa"/>
            <w:tcBorders>
              <w:top w:val="nil"/>
              <w:left w:val="nil"/>
              <w:bottom w:val="nil"/>
              <w:right w:val="nil"/>
            </w:tcBorders>
            <w:vAlign w:val="bottom"/>
          </w:tcPr>
          <w:p w14:paraId="3C6ACCB2" w14:textId="109F328A" w:rsidR="00796FC2" w:rsidRPr="005269E6" w:rsidRDefault="007C5053"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43 470</w:t>
            </w:r>
          </w:p>
        </w:tc>
        <w:tc>
          <w:tcPr>
            <w:tcW w:w="271" w:type="dxa"/>
            <w:tcBorders>
              <w:top w:val="nil"/>
              <w:left w:val="nil"/>
              <w:bottom w:val="nil"/>
              <w:right w:val="nil"/>
            </w:tcBorders>
            <w:shd w:val="clear" w:color="auto" w:fill="auto"/>
            <w:vAlign w:val="bottom"/>
          </w:tcPr>
          <w:p w14:paraId="683B9204"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505D9CFC" w14:textId="64F9667C" w:rsidR="00796FC2" w:rsidRPr="005269E6" w:rsidRDefault="007C5053"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38 430</w:t>
            </w:r>
          </w:p>
        </w:tc>
        <w:tc>
          <w:tcPr>
            <w:tcW w:w="1154" w:type="dxa"/>
            <w:tcBorders>
              <w:top w:val="nil"/>
              <w:left w:val="nil"/>
              <w:bottom w:val="nil"/>
              <w:right w:val="nil"/>
            </w:tcBorders>
            <w:vAlign w:val="bottom"/>
          </w:tcPr>
          <w:p w14:paraId="325C6137" w14:textId="43D8ED7C" w:rsidR="00796FC2" w:rsidRPr="005269E6" w:rsidRDefault="007C5053"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(2 870)</w:t>
            </w:r>
          </w:p>
        </w:tc>
        <w:tc>
          <w:tcPr>
            <w:tcW w:w="1133" w:type="dxa"/>
            <w:tcBorders>
              <w:top w:val="nil"/>
              <w:left w:val="nil"/>
              <w:bottom w:val="nil"/>
              <w:right w:val="nil"/>
            </w:tcBorders>
            <w:shd w:val="clear" w:color="auto" w:fill="auto"/>
            <w:noWrap/>
            <w:vAlign w:val="bottom"/>
          </w:tcPr>
          <w:p w14:paraId="1D0A4383" w14:textId="7B34EC15" w:rsidR="00796FC2" w:rsidRPr="005269E6" w:rsidRDefault="007C5053"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35 560</w:t>
            </w:r>
          </w:p>
        </w:tc>
      </w:tr>
      <w:tr w:rsidR="007C5053" w:rsidRPr="005269E6" w14:paraId="384F1A27" w14:textId="77777777" w:rsidTr="00FE51D3">
        <w:trPr>
          <w:trHeight w:val="255"/>
          <w:jc w:val="center"/>
        </w:trPr>
        <w:tc>
          <w:tcPr>
            <w:tcW w:w="1615" w:type="dxa"/>
            <w:tcBorders>
              <w:top w:val="nil"/>
              <w:left w:val="nil"/>
              <w:bottom w:val="nil"/>
              <w:right w:val="nil"/>
            </w:tcBorders>
            <w:shd w:val="clear" w:color="auto" w:fill="auto"/>
            <w:noWrap/>
            <w:vAlign w:val="center"/>
          </w:tcPr>
          <w:p w14:paraId="24B4A304" w14:textId="0FCC7AB2" w:rsidR="00796FC2" w:rsidRPr="005269E6" w:rsidRDefault="002D48E5"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الأموال الخارجية في طور التخصيص</w:t>
            </w:r>
          </w:p>
        </w:tc>
        <w:tc>
          <w:tcPr>
            <w:tcW w:w="1316" w:type="dxa"/>
            <w:tcBorders>
              <w:top w:val="nil"/>
              <w:left w:val="nil"/>
              <w:bottom w:val="nil"/>
              <w:right w:val="nil"/>
            </w:tcBorders>
            <w:shd w:val="clear" w:color="auto" w:fill="auto"/>
            <w:noWrap/>
            <w:vAlign w:val="bottom"/>
          </w:tcPr>
          <w:p w14:paraId="40DE94DD" w14:textId="75A41B9D" w:rsidR="00796FC2" w:rsidRPr="005269E6" w:rsidRDefault="00CF268E" w:rsidP="00796FC2">
            <w:pPr>
              <w:tabs>
                <w:tab w:val="clear" w:pos="794"/>
              </w:tabs>
              <w:spacing w:before="40" w:after="40" w:line="240" w:lineRule="exact"/>
              <w:jc w:val="center"/>
              <w:rPr>
                <w:rFonts w:eastAsia="Times New Roman"/>
                <w:i/>
                <w:iCs/>
                <w:color w:val="000000"/>
                <w:sz w:val="16"/>
                <w:szCs w:val="16"/>
                <w:rtl/>
                <w:lang w:val="en-GB" w:eastAsia="en-GB"/>
              </w:rPr>
            </w:pPr>
            <w:r w:rsidRPr="005269E6">
              <w:rPr>
                <w:rFonts w:eastAsia="Times New Roman"/>
                <w:i/>
                <w:iCs/>
                <w:color w:val="000000"/>
                <w:sz w:val="16"/>
                <w:szCs w:val="16"/>
                <w:rtl/>
                <w:lang w:val="en-GB" w:eastAsia="en-GB"/>
              </w:rPr>
              <w:t xml:space="preserve">الملاحظة </w:t>
            </w:r>
            <w:r w:rsidRPr="005269E6">
              <w:rPr>
                <w:rFonts w:eastAsia="Times New Roman"/>
                <w:i/>
                <w:iCs/>
                <w:color w:val="000000"/>
                <w:sz w:val="16"/>
                <w:szCs w:val="16"/>
                <w:lang w:eastAsia="en-GB" w:bidi="ar-SY"/>
              </w:rPr>
              <w:t>18.30</w:t>
            </w:r>
          </w:p>
        </w:tc>
        <w:tc>
          <w:tcPr>
            <w:tcW w:w="1349" w:type="dxa"/>
            <w:tcBorders>
              <w:top w:val="nil"/>
              <w:left w:val="nil"/>
              <w:bottom w:val="nil"/>
              <w:right w:val="nil"/>
            </w:tcBorders>
            <w:vAlign w:val="bottom"/>
          </w:tcPr>
          <w:p w14:paraId="3601B5E8" w14:textId="7B6EF54D" w:rsidR="00796FC2" w:rsidRPr="005269E6" w:rsidRDefault="00796FC2"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3 684</w:t>
            </w:r>
          </w:p>
        </w:tc>
        <w:tc>
          <w:tcPr>
            <w:tcW w:w="1154" w:type="dxa"/>
            <w:tcBorders>
              <w:top w:val="nil"/>
              <w:left w:val="nil"/>
              <w:bottom w:val="nil"/>
              <w:right w:val="nil"/>
            </w:tcBorders>
            <w:vAlign w:val="bottom"/>
          </w:tcPr>
          <w:p w14:paraId="7AAC5407" w14:textId="39664C7A" w:rsidR="00796FC2"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(468)</w:t>
            </w:r>
          </w:p>
        </w:tc>
        <w:tc>
          <w:tcPr>
            <w:tcW w:w="938" w:type="dxa"/>
            <w:tcBorders>
              <w:top w:val="nil"/>
              <w:left w:val="nil"/>
              <w:bottom w:val="nil"/>
              <w:right w:val="nil"/>
            </w:tcBorders>
            <w:vAlign w:val="bottom"/>
          </w:tcPr>
          <w:p w14:paraId="40208D13" w14:textId="0960E129" w:rsidR="00796FC2" w:rsidRPr="005269E6" w:rsidRDefault="007C5053"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3 216</w:t>
            </w:r>
          </w:p>
        </w:tc>
        <w:tc>
          <w:tcPr>
            <w:tcW w:w="271" w:type="dxa"/>
            <w:tcBorders>
              <w:top w:val="nil"/>
              <w:left w:val="nil"/>
              <w:bottom w:val="nil"/>
              <w:right w:val="nil"/>
            </w:tcBorders>
            <w:shd w:val="clear" w:color="auto" w:fill="auto"/>
            <w:vAlign w:val="bottom"/>
          </w:tcPr>
          <w:p w14:paraId="3BD0E78C"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584FB0F0" w14:textId="547664FE" w:rsidR="00796FC2" w:rsidRPr="005269E6" w:rsidRDefault="007C5053"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4 353</w:t>
            </w:r>
          </w:p>
        </w:tc>
        <w:tc>
          <w:tcPr>
            <w:tcW w:w="1154" w:type="dxa"/>
            <w:tcBorders>
              <w:top w:val="nil"/>
              <w:left w:val="nil"/>
              <w:bottom w:val="nil"/>
              <w:right w:val="nil"/>
            </w:tcBorders>
            <w:vAlign w:val="bottom"/>
          </w:tcPr>
          <w:p w14:paraId="0443C12E" w14:textId="5B761139" w:rsidR="00796FC2" w:rsidRPr="005269E6" w:rsidRDefault="007C5053"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r w:rsidR="00171206" w:rsidRPr="005269E6">
              <w:rPr>
                <w:rFonts w:eastAsia="Times New Roman"/>
                <w:color w:val="000000"/>
                <w:sz w:val="16"/>
                <w:szCs w:val="16"/>
                <w:lang w:val="en-GB" w:eastAsia="en-GB"/>
              </w:rPr>
              <w:t>486</w:t>
            </w:r>
            <w:r w:rsidRPr="005269E6">
              <w:rPr>
                <w:rFonts w:eastAsia="Times New Roman"/>
                <w:color w:val="000000"/>
                <w:sz w:val="16"/>
                <w:szCs w:val="16"/>
                <w:lang w:val="en-GB" w:eastAsia="en-GB"/>
              </w:rPr>
              <w:t>)</w:t>
            </w:r>
          </w:p>
        </w:tc>
        <w:tc>
          <w:tcPr>
            <w:tcW w:w="1133" w:type="dxa"/>
            <w:tcBorders>
              <w:top w:val="nil"/>
              <w:left w:val="nil"/>
              <w:bottom w:val="nil"/>
              <w:right w:val="nil"/>
            </w:tcBorders>
            <w:shd w:val="clear" w:color="auto" w:fill="auto"/>
            <w:noWrap/>
            <w:vAlign w:val="bottom"/>
          </w:tcPr>
          <w:p w14:paraId="3656BAF5" w14:textId="5C6F39AA" w:rsidR="00796FC2" w:rsidRPr="005269E6" w:rsidRDefault="00171206"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3 885</w:t>
            </w:r>
          </w:p>
        </w:tc>
      </w:tr>
      <w:tr w:rsidR="007C5053" w:rsidRPr="005269E6" w14:paraId="54955061" w14:textId="77777777" w:rsidTr="00FE51D3">
        <w:trPr>
          <w:trHeight w:val="255"/>
          <w:jc w:val="center"/>
        </w:trPr>
        <w:tc>
          <w:tcPr>
            <w:tcW w:w="1615" w:type="dxa"/>
            <w:tcBorders>
              <w:top w:val="nil"/>
              <w:left w:val="nil"/>
              <w:bottom w:val="nil"/>
              <w:right w:val="nil"/>
            </w:tcBorders>
            <w:shd w:val="clear" w:color="auto" w:fill="auto"/>
            <w:noWrap/>
            <w:vAlign w:val="center"/>
          </w:tcPr>
          <w:p w14:paraId="1361E012" w14:textId="443DF4F8" w:rsidR="00796FC2" w:rsidRPr="005269E6" w:rsidRDefault="00696AA6"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hint="cs"/>
                <w:color w:val="000000"/>
                <w:sz w:val="16"/>
                <w:szCs w:val="16"/>
                <w:rtl/>
                <w:lang w:val="en-GB" w:eastAsia="en-GB"/>
              </w:rPr>
              <w:t xml:space="preserve">جمعية </w:t>
            </w:r>
            <w:r w:rsidRPr="005269E6">
              <w:rPr>
                <w:rFonts w:eastAsia="Times New Roman"/>
                <w:color w:val="000000"/>
                <w:sz w:val="16"/>
                <w:szCs w:val="16"/>
                <w:lang w:val="en-GB" w:eastAsia="en-GB"/>
              </w:rPr>
              <w:t>UNSMIS</w:t>
            </w:r>
          </w:p>
        </w:tc>
        <w:tc>
          <w:tcPr>
            <w:tcW w:w="1316" w:type="dxa"/>
            <w:tcBorders>
              <w:top w:val="nil"/>
              <w:left w:val="nil"/>
              <w:bottom w:val="nil"/>
              <w:right w:val="nil"/>
            </w:tcBorders>
            <w:shd w:val="clear" w:color="auto" w:fill="auto"/>
            <w:noWrap/>
            <w:vAlign w:val="bottom"/>
          </w:tcPr>
          <w:p w14:paraId="2CDDD527" w14:textId="626D734A" w:rsidR="00796FC2" w:rsidRPr="005269E6" w:rsidRDefault="00181DE7" w:rsidP="00796FC2">
            <w:pPr>
              <w:tabs>
                <w:tab w:val="clear" w:pos="794"/>
              </w:tabs>
              <w:spacing w:before="40" w:after="40" w:line="240" w:lineRule="exact"/>
              <w:jc w:val="center"/>
              <w:rPr>
                <w:rFonts w:eastAsia="Times New Roman"/>
                <w:i/>
                <w:iCs/>
                <w:color w:val="000000"/>
                <w:sz w:val="16"/>
                <w:szCs w:val="16"/>
                <w:rtl/>
                <w:lang w:val="en-GB" w:eastAsia="en-GB"/>
              </w:rPr>
            </w:pPr>
            <w:r w:rsidRPr="005269E6">
              <w:rPr>
                <w:rFonts w:eastAsia="Times New Roman"/>
                <w:i/>
                <w:iCs/>
                <w:color w:val="000000"/>
                <w:sz w:val="16"/>
                <w:szCs w:val="16"/>
                <w:rtl/>
                <w:lang w:val="en-GB" w:eastAsia="en-GB"/>
              </w:rPr>
              <w:t xml:space="preserve">الملاحظة </w:t>
            </w:r>
            <w:r w:rsidRPr="005269E6">
              <w:rPr>
                <w:rFonts w:eastAsia="Times New Roman"/>
                <w:i/>
                <w:iCs/>
                <w:color w:val="000000"/>
                <w:sz w:val="16"/>
                <w:szCs w:val="16"/>
                <w:lang w:eastAsia="en-GB" w:bidi="ar-SY"/>
              </w:rPr>
              <w:t>4.30</w:t>
            </w:r>
          </w:p>
        </w:tc>
        <w:tc>
          <w:tcPr>
            <w:tcW w:w="1349" w:type="dxa"/>
            <w:tcBorders>
              <w:top w:val="nil"/>
              <w:left w:val="nil"/>
              <w:bottom w:val="single" w:sz="4" w:space="0" w:color="auto"/>
              <w:right w:val="nil"/>
            </w:tcBorders>
            <w:vAlign w:val="bottom"/>
          </w:tcPr>
          <w:p w14:paraId="5546FF00" w14:textId="67E6F080" w:rsidR="00796FC2" w:rsidRPr="005269E6" w:rsidRDefault="00796FC2"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16 267</w:t>
            </w:r>
          </w:p>
        </w:tc>
        <w:tc>
          <w:tcPr>
            <w:tcW w:w="1154" w:type="dxa"/>
            <w:tcBorders>
              <w:top w:val="nil"/>
              <w:left w:val="nil"/>
              <w:bottom w:val="single" w:sz="4" w:space="0" w:color="auto"/>
              <w:right w:val="nil"/>
            </w:tcBorders>
            <w:vAlign w:val="bottom"/>
          </w:tcPr>
          <w:p w14:paraId="1FB187EE" w14:textId="72BA5661" w:rsidR="00796FC2"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(16 267)</w:t>
            </w:r>
          </w:p>
        </w:tc>
        <w:tc>
          <w:tcPr>
            <w:tcW w:w="938" w:type="dxa"/>
            <w:tcBorders>
              <w:top w:val="nil"/>
              <w:left w:val="nil"/>
              <w:bottom w:val="single" w:sz="4" w:space="0" w:color="auto"/>
              <w:right w:val="nil"/>
            </w:tcBorders>
            <w:vAlign w:val="bottom"/>
          </w:tcPr>
          <w:p w14:paraId="78B882A2" w14:textId="320411BD" w:rsidR="00796FC2" w:rsidRPr="005269E6" w:rsidRDefault="00171206"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w:t>
            </w:r>
          </w:p>
        </w:tc>
        <w:tc>
          <w:tcPr>
            <w:tcW w:w="271" w:type="dxa"/>
            <w:tcBorders>
              <w:top w:val="nil"/>
              <w:left w:val="nil"/>
              <w:bottom w:val="nil"/>
              <w:right w:val="nil"/>
            </w:tcBorders>
            <w:shd w:val="clear" w:color="auto" w:fill="auto"/>
            <w:vAlign w:val="bottom"/>
          </w:tcPr>
          <w:p w14:paraId="59788480"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single" w:sz="4" w:space="0" w:color="auto"/>
              <w:right w:val="nil"/>
            </w:tcBorders>
            <w:shd w:val="clear" w:color="auto" w:fill="auto"/>
            <w:noWrap/>
            <w:vAlign w:val="bottom"/>
          </w:tcPr>
          <w:p w14:paraId="7F8001E1" w14:textId="6094C207" w:rsidR="00796FC2" w:rsidRPr="005269E6" w:rsidRDefault="00171206"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17 441</w:t>
            </w:r>
          </w:p>
        </w:tc>
        <w:tc>
          <w:tcPr>
            <w:tcW w:w="1154" w:type="dxa"/>
            <w:tcBorders>
              <w:top w:val="nil"/>
              <w:left w:val="nil"/>
              <w:bottom w:val="single" w:sz="4" w:space="0" w:color="auto"/>
              <w:right w:val="nil"/>
            </w:tcBorders>
            <w:vAlign w:val="bottom"/>
          </w:tcPr>
          <w:p w14:paraId="6CD51DB4" w14:textId="59DCA066" w:rsidR="00796FC2" w:rsidRPr="005269E6" w:rsidRDefault="00171206"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(17 441)</w:t>
            </w:r>
          </w:p>
        </w:tc>
        <w:tc>
          <w:tcPr>
            <w:tcW w:w="1133" w:type="dxa"/>
            <w:tcBorders>
              <w:top w:val="nil"/>
              <w:left w:val="nil"/>
              <w:bottom w:val="single" w:sz="4" w:space="0" w:color="auto"/>
              <w:right w:val="nil"/>
            </w:tcBorders>
            <w:shd w:val="clear" w:color="auto" w:fill="auto"/>
            <w:noWrap/>
            <w:vAlign w:val="bottom"/>
          </w:tcPr>
          <w:p w14:paraId="46E18417" w14:textId="00024585" w:rsidR="00796FC2" w:rsidRPr="005269E6" w:rsidRDefault="00171206"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w:t>
            </w:r>
          </w:p>
        </w:tc>
      </w:tr>
      <w:tr w:rsidR="007C5053" w:rsidRPr="005269E6" w14:paraId="51F5CB3D" w14:textId="77777777" w:rsidTr="00FE51D3">
        <w:trPr>
          <w:trHeight w:val="255"/>
          <w:jc w:val="center"/>
        </w:trPr>
        <w:tc>
          <w:tcPr>
            <w:tcW w:w="1615" w:type="dxa"/>
            <w:tcBorders>
              <w:top w:val="nil"/>
              <w:left w:val="nil"/>
              <w:bottom w:val="nil"/>
              <w:right w:val="nil"/>
            </w:tcBorders>
            <w:shd w:val="clear" w:color="auto" w:fill="auto"/>
            <w:noWrap/>
            <w:vAlign w:val="center"/>
          </w:tcPr>
          <w:p w14:paraId="4DAB1924" w14:textId="74154926" w:rsidR="00796FC2" w:rsidRPr="005269E6" w:rsidRDefault="002D48E5"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مجموع الخصوم غير الجارية</w:t>
            </w:r>
          </w:p>
        </w:tc>
        <w:tc>
          <w:tcPr>
            <w:tcW w:w="1316" w:type="dxa"/>
            <w:tcBorders>
              <w:top w:val="nil"/>
              <w:left w:val="nil"/>
              <w:bottom w:val="nil"/>
              <w:right w:val="nil"/>
            </w:tcBorders>
            <w:shd w:val="clear" w:color="auto" w:fill="auto"/>
            <w:noWrap/>
            <w:vAlign w:val="bottom"/>
          </w:tcPr>
          <w:p w14:paraId="37F06527" w14:textId="77777777" w:rsidR="00796FC2" w:rsidRPr="005269E6" w:rsidRDefault="00796FC2"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single" w:sz="4" w:space="0" w:color="auto"/>
              <w:left w:val="nil"/>
              <w:bottom w:val="nil"/>
              <w:right w:val="nil"/>
            </w:tcBorders>
            <w:vAlign w:val="bottom"/>
          </w:tcPr>
          <w:p w14:paraId="1C65524D" w14:textId="5D823F58" w:rsidR="00796FC2" w:rsidRPr="005269E6" w:rsidRDefault="00796FC2"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688 361</w:t>
            </w:r>
          </w:p>
        </w:tc>
        <w:tc>
          <w:tcPr>
            <w:tcW w:w="1154" w:type="dxa"/>
            <w:tcBorders>
              <w:top w:val="single" w:sz="4" w:space="0" w:color="auto"/>
              <w:left w:val="nil"/>
              <w:bottom w:val="nil"/>
              <w:right w:val="nil"/>
            </w:tcBorders>
            <w:vAlign w:val="bottom"/>
          </w:tcPr>
          <w:p w14:paraId="7613123C" w14:textId="24B01595" w:rsidR="00796FC2" w:rsidRPr="005269E6" w:rsidRDefault="00F572CC"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(19 602)</w:t>
            </w:r>
          </w:p>
        </w:tc>
        <w:tc>
          <w:tcPr>
            <w:tcW w:w="938" w:type="dxa"/>
            <w:tcBorders>
              <w:top w:val="single" w:sz="4" w:space="0" w:color="auto"/>
              <w:left w:val="nil"/>
              <w:bottom w:val="nil"/>
              <w:right w:val="nil"/>
            </w:tcBorders>
            <w:vAlign w:val="bottom"/>
          </w:tcPr>
          <w:p w14:paraId="54AF85D3" w14:textId="31D82E3A" w:rsidR="00796FC2" w:rsidRPr="005269E6" w:rsidRDefault="00171206"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668 759</w:t>
            </w:r>
          </w:p>
        </w:tc>
        <w:tc>
          <w:tcPr>
            <w:tcW w:w="271" w:type="dxa"/>
            <w:tcBorders>
              <w:top w:val="nil"/>
              <w:left w:val="nil"/>
              <w:bottom w:val="nil"/>
              <w:right w:val="nil"/>
            </w:tcBorders>
            <w:shd w:val="clear" w:color="auto" w:fill="auto"/>
            <w:vAlign w:val="bottom"/>
          </w:tcPr>
          <w:p w14:paraId="6CADDD92"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single" w:sz="4" w:space="0" w:color="auto"/>
              <w:left w:val="nil"/>
              <w:bottom w:val="nil"/>
              <w:right w:val="nil"/>
            </w:tcBorders>
            <w:shd w:val="clear" w:color="auto" w:fill="auto"/>
            <w:noWrap/>
            <w:vAlign w:val="bottom"/>
          </w:tcPr>
          <w:p w14:paraId="651A15C9" w14:textId="0FEF6A77" w:rsidR="00796FC2" w:rsidRPr="005269E6" w:rsidRDefault="00171206"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761 963</w:t>
            </w:r>
          </w:p>
        </w:tc>
        <w:tc>
          <w:tcPr>
            <w:tcW w:w="1154" w:type="dxa"/>
            <w:tcBorders>
              <w:top w:val="single" w:sz="4" w:space="0" w:color="auto"/>
              <w:left w:val="nil"/>
              <w:bottom w:val="nil"/>
              <w:right w:val="nil"/>
            </w:tcBorders>
            <w:vAlign w:val="bottom"/>
          </w:tcPr>
          <w:p w14:paraId="34C2A1A7" w14:textId="22E5719C" w:rsidR="00796FC2" w:rsidRPr="005269E6" w:rsidRDefault="00171206"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(20 779)</w:t>
            </w:r>
          </w:p>
        </w:tc>
        <w:tc>
          <w:tcPr>
            <w:tcW w:w="1133" w:type="dxa"/>
            <w:tcBorders>
              <w:top w:val="single" w:sz="4" w:space="0" w:color="auto"/>
              <w:left w:val="nil"/>
              <w:bottom w:val="nil"/>
              <w:right w:val="nil"/>
            </w:tcBorders>
            <w:shd w:val="clear" w:color="auto" w:fill="auto"/>
            <w:noWrap/>
            <w:vAlign w:val="bottom"/>
          </w:tcPr>
          <w:p w14:paraId="29C05125" w14:textId="78561345" w:rsidR="00796FC2" w:rsidRPr="005269E6" w:rsidRDefault="00171206"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741 184</w:t>
            </w:r>
          </w:p>
        </w:tc>
      </w:tr>
      <w:tr w:rsidR="007C5053" w:rsidRPr="005269E6" w14:paraId="0760AB93" w14:textId="77777777" w:rsidTr="00FE51D3">
        <w:trPr>
          <w:trHeight w:val="97"/>
          <w:jc w:val="center"/>
        </w:trPr>
        <w:tc>
          <w:tcPr>
            <w:tcW w:w="1615" w:type="dxa"/>
            <w:tcBorders>
              <w:top w:val="nil"/>
              <w:left w:val="nil"/>
              <w:bottom w:val="nil"/>
              <w:right w:val="nil"/>
            </w:tcBorders>
            <w:shd w:val="clear" w:color="auto" w:fill="auto"/>
            <w:noWrap/>
            <w:vAlign w:val="center"/>
          </w:tcPr>
          <w:p w14:paraId="7E28EF60" w14:textId="77777777" w:rsidR="00796FC2" w:rsidRPr="005269E6" w:rsidRDefault="00796FC2" w:rsidP="00FE51D3">
            <w:pPr>
              <w:tabs>
                <w:tab w:val="clear" w:pos="794"/>
              </w:tabs>
              <w:spacing w:before="0" w:line="200" w:lineRule="exact"/>
              <w:jc w:val="left"/>
              <w:rPr>
                <w:rFonts w:eastAsia="Times New Roman"/>
                <w:color w:val="000000"/>
                <w:sz w:val="16"/>
                <w:szCs w:val="16"/>
                <w:rtl/>
                <w:lang w:val="en-GB" w:eastAsia="en-GB"/>
              </w:rPr>
            </w:pPr>
          </w:p>
        </w:tc>
        <w:tc>
          <w:tcPr>
            <w:tcW w:w="1316" w:type="dxa"/>
            <w:tcBorders>
              <w:top w:val="nil"/>
              <w:left w:val="nil"/>
              <w:bottom w:val="nil"/>
              <w:right w:val="nil"/>
            </w:tcBorders>
            <w:shd w:val="clear" w:color="auto" w:fill="auto"/>
            <w:noWrap/>
            <w:vAlign w:val="bottom"/>
          </w:tcPr>
          <w:p w14:paraId="03742406" w14:textId="77777777" w:rsidR="00796FC2" w:rsidRPr="005269E6" w:rsidRDefault="00796FC2" w:rsidP="00796FC2">
            <w:pPr>
              <w:tabs>
                <w:tab w:val="clear" w:pos="794"/>
              </w:tabs>
              <w:spacing w:before="0" w:line="200" w:lineRule="exact"/>
              <w:jc w:val="center"/>
              <w:rPr>
                <w:rFonts w:eastAsia="Times New Roman"/>
                <w:i/>
                <w:iCs/>
                <w:color w:val="000000"/>
                <w:sz w:val="16"/>
                <w:szCs w:val="16"/>
                <w:rtl/>
                <w:lang w:val="en-GB" w:eastAsia="en-GB"/>
              </w:rPr>
            </w:pPr>
          </w:p>
        </w:tc>
        <w:tc>
          <w:tcPr>
            <w:tcW w:w="1349" w:type="dxa"/>
            <w:tcBorders>
              <w:top w:val="nil"/>
              <w:left w:val="nil"/>
              <w:bottom w:val="single" w:sz="4" w:space="0" w:color="auto"/>
              <w:right w:val="nil"/>
            </w:tcBorders>
            <w:vAlign w:val="bottom"/>
          </w:tcPr>
          <w:p w14:paraId="1996AE42" w14:textId="77777777" w:rsidR="00796FC2" w:rsidRPr="005269E6" w:rsidRDefault="00796FC2" w:rsidP="00696AA6">
            <w:pPr>
              <w:tabs>
                <w:tab w:val="clear" w:pos="794"/>
              </w:tabs>
              <w:spacing w:before="0" w:line="200" w:lineRule="exact"/>
              <w:jc w:val="left"/>
              <w:rPr>
                <w:rFonts w:eastAsia="Times New Roman"/>
                <w:color w:val="000000"/>
                <w:sz w:val="16"/>
                <w:szCs w:val="16"/>
                <w:lang w:eastAsia="en-GB"/>
              </w:rPr>
            </w:pPr>
          </w:p>
        </w:tc>
        <w:tc>
          <w:tcPr>
            <w:tcW w:w="1154" w:type="dxa"/>
            <w:tcBorders>
              <w:top w:val="nil"/>
              <w:left w:val="nil"/>
              <w:bottom w:val="single" w:sz="4" w:space="0" w:color="auto"/>
              <w:right w:val="nil"/>
            </w:tcBorders>
            <w:vAlign w:val="bottom"/>
          </w:tcPr>
          <w:p w14:paraId="44A7D6AB" w14:textId="77777777" w:rsidR="00796FC2" w:rsidRPr="005269E6" w:rsidRDefault="00796FC2" w:rsidP="00696AA6">
            <w:pPr>
              <w:tabs>
                <w:tab w:val="clear" w:pos="794"/>
              </w:tabs>
              <w:spacing w:before="0" w:line="200" w:lineRule="exact"/>
              <w:jc w:val="left"/>
              <w:rPr>
                <w:rFonts w:eastAsia="Times New Roman"/>
                <w:color w:val="000000"/>
                <w:sz w:val="16"/>
                <w:szCs w:val="16"/>
                <w:lang w:eastAsia="en-GB"/>
              </w:rPr>
            </w:pPr>
          </w:p>
        </w:tc>
        <w:tc>
          <w:tcPr>
            <w:tcW w:w="938" w:type="dxa"/>
            <w:tcBorders>
              <w:top w:val="nil"/>
              <w:left w:val="nil"/>
              <w:bottom w:val="single" w:sz="4" w:space="0" w:color="auto"/>
              <w:right w:val="nil"/>
            </w:tcBorders>
            <w:vAlign w:val="bottom"/>
          </w:tcPr>
          <w:p w14:paraId="75E33CE7" w14:textId="77777777" w:rsidR="00796FC2" w:rsidRPr="005269E6" w:rsidRDefault="00796FC2" w:rsidP="00696AA6">
            <w:pPr>
              <w:tabs>
                <w:tab w:val="clear" w:pos="794"/>
              </w:tabs>
              <w:spacing w:before="0" w:line="200" w:lineRule="exact"/>
              <w:jc w:val="left"/>
              <w:rPr>
                <w:rFonts w:eastAsia="Times New Roman"/>
                <w:color w:val="000000"/>
                <w:sz w:val="16"/>
                <w:szCs w:val="16"/>
                <w:lang w:eastAsia="en-GB"/>
              </w:rPr>
            </w:pPr>
          </w:p>
        </w:tc>
        <w:tc>
          <w:tcPr>
            <w:tcW w:w="271" w:type="dxa"/>
            <w:tcBorders>
              <w:top w:val="nil"/>
              <w:left w:val="nil"/>
              <w:bottom w:val="nil"/>
              <w:right w:val="nil"/>
            </w:tcBorders>
            <w:shd w:val="clear" w:color="auto" w:fill="auto"/>
            <w:vAlign w:val="bottom"/>
          </w:tcPr>
          <w:p w14:paraId="29A46181" w14:textId="77777777" w:rsidR="00796FC2" w:rsidRPr="005269E6" w:rsidRDefault="00796FC2" w:rsidP="00696AA6">
            <w:pPr>
              <w:tabs>
                <w:tab w:val="clear" w:pos="794"/>
              </w:tabs>
              <w:spacing w:before="0" w:line="200" w:lineRule="exact"/>
              <w:jc w:val="left"/>
              <w:rPr>
                <w:rFonts w:eastAsia="Times New Roman"/>
                <w:color w:val="000000"/>
                <w:sz w:val="16"/>
                <w:szCs w:val="16"/>
                <w:lang w:val="en-GB" w:eastAsia="en-GB"/>
              </w:rPr>
            </w:pPr>
          </w:p>
        </w:tc>
        <w:tc>
          <w:tcPr>
            <w:tcW w:w="1349" w:type="dxa"/>
            <w:tcBorders>
              <w:top w:val="nil"/>
              <w:left w:val="nil"/>
              <w:bottom w:val="single" w:sz="4" w:space="0" w:color="auto"/>
              <w:right w:val="nil"/>
            </w:tcBorders>
            <w:shd w:val="clear" w:color="auto" w:fill="auto"/>
            <w:noWrap/>
            <w:vAlign w:val="bottom"/>
          </w:tcPr>
          <w:p w14:paraId="223D67CF" w14:textId="77777777" w:rsidR="00796FC2" w:rsidRPr="005269E6" w:rsidRDefault="00796FC2" w:rsidP="00696AA6">
            <w:pPr>
              <w:tabs>
                <w:tab w:val="clear" w:pos="794"/>
              </w:tabs>
              <w:spacing w:before="0" w:line="200" w:lineRule="exact"/>
              <w:jc w:val="left"/>
              <w:rPr>
                <w:rFonts w:eastAsia="Times New Roman"/>
                <w:color w:val="000000"/>
                <w:sz w:val="16"/>
                <w:szCs w:val="16"/>
                <w:lang w:val="en-GB" w:eastAsia="en-GB"/>
              </w:rPr>
            </w:pPr>
          </w:p>
        </w:tc>
        <w:tc>
          <w:tcPr>
            <w:tcW w:w="1154" w:type="dxa"/>
            <w:tcBorders>
              <w:top w:val="nil"/>
              <w:left w:val="nil"/>
              <w:bottom w:val="single" w:sz="4" w:space="0" w:color="auto"/>
              <w:right w:val="nil"/>
            </w:tcBorders>
            <w:vAlign w:val="bottom"/>
          </w:tcPr>
          <w:p w14:paraId="28C430CA" w14:textId="77777777" w:rsidR="00796FC2" w:rsidRPr="005269E6" w:rsidRDefault="00796FC2" w:rsidP="00696AA6">
            <w:pPr>
              <w:tabs>
                <w:tab w:val="clear" w:pos="794"/>
              </w:tabs>
              <w:spacing w:before="0" w:line="200" w:lineRule="exact"/>
              <w:jc w:val="left"/>
              <w:rPr>
                <w:rFonts w:eastAsia="Times New Roman"/>
                <w:color w:val="000000"/>
                <w:sz w:val="16"/>
                <w:szCs w:val="16"/>
                <w:lang w:val="en-GB" w:eastAsia="en-GB"/>
              </w:rPr>
            </w:pPr>
          </w:p>
        </w:tc>
        <w:tc>
          <w:tcPr>
            <w:tcW w:w="1133" w:type="dxa"/>
            <w:tcBorders>
              <w:top w:val="nil"/>
              <w:left w:val="nil"/>
              <w:bottom w:val="single" w:sz="4" w:space="0" w:color="auto"/>
              <w:right w:val="nil"/>
            </w:tcBorders>
            <w:shd w:val="clear" w:color="auto" w:fill="auto"/>
            <w:noWrap/>
            <w:vAlign w:val="bottom"/>
          </w:tcPr>
          <w:p w14:paraId="09907EE4" w14:textId="77777777" w:rsidR="00796FC2" w:rsidRPr="005269E6" w:rsidRDefault="00796FC2" w:rsidP="00696AA6">
            <w:pPr>
              <w:tabs>
                <w:tab w:val="clear" w:pos="794"/>
              </w:tabs>
              <w:spacing w:before="0" w:line="200" w:lineRule="exact"/>
              <w:jc w:val="left"/>
              <w:rPr>
                <w:rFonts w:eastAsia="Times New Roman"/>
                <w:color w:val="000000"/>
                <w:sz w:val="16"/>
                <w:szCs w:val="16"/>
                <w:lang w:val="en-GB" w:eastAsia="en-GB"/>
              </w:rPr>
            </w:pPr>
          </w:p>
        </w:tc>
      </w:tr>
      <w:tr w:rsidR="005E7F70" w:rsidRPr="005269E6" w14:paraId="65B1995A" w14:textId="77777777" w:rsidTr="00FE51D3">
        <w:trPr>
          <w:trHeight w:val="255"/>
          <w:jc w:val="center"/>
        </w:trPr>
        <w:tc>
          <w:tcPr>
            <w:tcW w:w="1615" w:type="dxa"/>
            <w:tcBorders>
              <w:top w:val="nil"/>
              <w:left w:val="nil"/>
              <w:bottom w:val="nil"/>
              <w:right w:val="nil"/>
            </w:tcBorders>
            <w:shd w:val="clear" w:color="auto" w:fill="auto"/>
            <w:noWrap/>
            <w:vAlign w:val="center"/>
          </w:tcPr>
          <w:p w14:paraId="080A65BF" w14:textId="65DC1781" w:rsidR="00796FC2" w:rsidRPr="005269E6" w:rsidRDefault="002D48E5"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مجموع الخصوم</w:t>
            </w:r>
          </w:p>
        </w:tc>
        <w:tc>
          <w:tcPr>
            <w:tcW w:w="1316" w:type="dxa"/>
            <w:tcBorders>
              <w:top w:val="nil"/>
              <w:left w:val="nil"/>
              <w:bottom w:val="nil"/>
              <w:right w:val="nil"/>
            </w:tcBorders>
            <w:shd w:val="clear" w:color="auto" w:fill="auto"/>
            <w:noWrap/>
            <w:vAlign w:val="bottom"/>
          </w:tcPr>
          <w:p w14:paraId="11EDF93A" w14:textId="77777777" w:rsidR="00796FC2" w:rsidRPr="005269E6" w:rsidRDefault="00796FC2"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single" w:sz="4" w:space="0" w:color="auto"/>
              <w:left w:val="nil"/>
              <w:bottom w:val="single" w:sz="4" w:space="0" w:color="auto"/>
              <w:right w:val="nil"/>
            </w:tcBorders>
            <w:vAlign w:val="bottom"/>
          </w:tcPr>
          <w:p w14:paraId="717EF050" w14:textId="2C64E925" w:rsidR="00796FC2" w:rsidRPr="005269E6" w:rsidRDefault="00796FC2"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837 102</w:t>
            </w:r>
          </w:p>
        </w:tc>
        <w:tc>
          <w:tcPr>
            <w:tcW w:w="1154" w:type="dxa"/>
            <w:tcBorders>
              <w:top w:val="single" w:sz="4" w:space="0" w:color="auto"/>
              <w:left w:val="nil"/>
              <w:bottom w:val="single" w:sz="4" w:space="0" w:color="auto"/>
              <w:right w:val="nil"/>
            </w:tcBorders>
            <w:vAlign w:val="bottom"/>
          </w:tcPr>
          <w:p w14:paraId="2DD61E3E" w14:textId="555D2234" w:rsidR="00796FC2" w:rsidRPr="005269E6" w:rsidRDefault="00F572CC"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(88 751)</w:t>
            </w:r>
          </w:p>
        </w:tc>
        <w:tc>
          <w:tcPr>
            <w:tcW w:w="938" w:type="dxa"/>
            <w:tcBorders>
              <w:top w:val="single" w:sz="4" w:space="0" w:color="auto"/>
              <w:left w:val="nil"/>
              <w:bottom w:val="single" w:sz="4" w:space="0" w:color="auto"/>
              <w:right w:val="nil"/>
            </w:tcBorders>
            <w:vAlign w:val="bottom"/>
          </w:tcPr>
          <w:p w14:paraId="0A53056C" w14:textId="0DBBC8B1" w:rsidR="00796FC2" w:rsidRPr="005269E6" w:rsidRDefault="00171206"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748 351</w:t>
            </w:r>
          </w:p>
        </w:tc>
        <w:tc>
          <w:tcPr>
            <w:tcW w:w="271" w:type="dxa"/>
            <w:tcBorders>
              <w:top w:val="nil"/>
              <w:left w:val="nil"/>
              <w:bottom w:val="nil"/>
              <w:right w:val="nil"/>
            </w:tcBorders>
            <w:shd w:val="clear" w:color="auto" w:fill="auto"/>
            <w:vAlign w:val="bottom"/>
          </w:tcPr>
          <w:p w14:paraId="2E03ABFE" w14:textId="77777777" w:rsidR="00796FC2" w:rsidRPr="005269E6" w:rsidRDefault="00796FC2"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single" w:sz="4" w:space="0" w:color="auto"/>
              <w:left w:val="nil"/>
              <w:bottom w:val="single" w:sz="4" w:space="0" w:color="auto"/>
              <w:right w:val="nil"/>
            </w:tcBorders>
            <w:shd w:val="clear" w:color="auto" w:fill="auto"/>
            <w:noWrap/>
            <w:vAlign w:val="bottom"/>
          </w:tcPr>
          <w:p w14:paraId="5DEA0C1C" w14:textId="1AE57EF4" w:rsidR="00796FC2" w:rsidRPr="005269E6" w:rsidRDefault="00171206"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909 545</w:t>
            </w:r>
          </w:p>
        </w:tc>
        <w:tc>
          <w:tcPr>
            <w:tcW w:w="1154" w:type="dxa"/>
            <w:tcBorders>
              <w:top w:val="single" w:sz="4" w:space="0" w:color="auto"/>
              <w:left w:val="nil"/>
              <w:bottom w:val="single" w:sz="4" w:space="0" w:color="auto"/>
              <w:right w:val="nil"/>
            </w:tcBorders>
            <w:vAlign w:val="bottom"/>
          </w:tcPr>
          <w:p w14:paraId="76DF6A08" w14:textId="04CCCF44" w:rsidR="00796FC2" w:rsidRPr="005269E6" w:rsidRDefault="00171206"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(101 513)</w:t>
            </w:r>
          </w:p>
        </w:tc>
        <w:tc>
          <w:tcPr>
            <w:tcW w:w="1133" w:type="dxa"/>
            <w:tcBorders>
              <w:top w:val="single" w:sz="4" w:space="0" w:color="auto"/>
              <w:left w:val="nil"/>
              <w:bottom w:val="single" w:sz="4" w:space="0" w:color="auto"/>
              <w:right w:val="nil"/>
            </w:tcBorders>
            <w:shd w:val="clear" w:color="auto" w:fill="auto"/>
            <w:noWrap/>
            <w:vAlign w:val="bottom"/>
          </w:tcPr>
          <w:p w14:paraId="73F3A944" w14:textId="144760C6" w:rsidR="00796FC2" w:rsidRPr="005269E6" w:rsidRDefault="00171206"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808 032</w:t>
            </w:r>
          </w:p>
        </w:tc>
      </w:tr>
      <w:tr w:rsidR="005E7F70" w:rsidRPr="005269E6" w14:paraId="3CBD1BBC" w14:textId="77777777" w:rsidTr="00FE51D3">
        <w:trPr>
          <w:trHeight w:val="255"/>
          <w:jc w:val="center"/>
        </w:trPr>
        <w:tc>
          <w:tcPr>
            <w:tcW w:w="1615" w:type="dxa"/>
            <w:tcBorders>
              <w:top w:val="nil"/>
              <w:left w:val="nil"/>
              <w:bottom w:val="nil"/>
              <w:right w:val="nil"/>
            </w:tcBorders>
            <w:shd w:val="clear" w:color="auto" w:fill="auto"/>
            <w:noWrap/>
            <w:vAlign w:val="center"/>
          </w:tcPr>
          <w:p w14:paraId="6CAB8DB5" w14:textId="55BCA574" w:rsidR="00894183" w:rsidRPr="005269E6" w:rsidRDefault="002D48E5" w:rsidP="00FE51D3">
            <w:pPr>
              <w:tabs>
                <w:tab w:val="clear" w:pos="794"/>
              </w:tabs>
              <w:spacing w:before="40" w:after="40" w:line="240" w:lineRule="exact"/>
              <w:jc w:val="left"/>
              <w:rPr>
                <w:rFonts w:eastAsia="Times New Roman"/>
                <w:color w:val="000000"/>
                <w:sz w:val="16"/>
                <w:szCs w:val="16"/>
                <w:rtl/>
                <w:lang w:val="en-GB" w:eastAsia="en-GB"/>
              </w:rPr>
            </w:pPr>
            <w:r w:rsidRPr="005269E6">
              <w:rPr>
                <w:rFonts w:eastAsia="Times New Roman"/>
                <w:color w:val="000000"/>
                <w:sz w:val="16"/>
                <w:szCs w:val="16"/>
                <w:rtl/>
                <w:lang w:val="en-GB" w:eastAsia="en-GB"/>
              </w:rPr>
              <w:t>مجموع صافي الخصوم</w:t>
            </w:r>
          </w:p>
        </w:tc>
        <w:tc>
          <w:tcPr>
            <w:tcW w:w="1316" w:type="dxa"/>
            <w:tcBorders>
              <w:top w:val="nil"/>
              <w:left w:val="nil"/>
              <w:bottom w:val="nil"/>
              <w:right w:val="nil"/>
            </w:tcBorders>
            <w:shd w:val="clear" w:color="auto" w:fill="auto"/>
            <w:noWrap/>
            <w:vAlign w:val="bottom"/>
          </w:tcPr>
          <w:p w14:paraId="0C6847F3" w14:textId="77777777" w:rsidR="00894183" w:rsidRPr="005269E6" w:rsidRDefault="00894183" w:rsidP="00796FC2">
            <w:pPr>
              <w:tabs>
                <w:tab w:val="clear" w:pos="794"/>
              </w:tabs>
              <w:spacing w:before="40" w:after="40" w:line="240" w:lineRule="exact"/>
              <w:jc w:val="center"/>
              <w:rPr>
                <w:rFonts w:eastAsia="Times New Roman"/>
                <w:i/>
                <w:iCs/>
                <w:color w:val="000000"/>
                <w:sz w:val="16"/>
                <w:szCs w:val="16"/>
                <w:rtl/>
                <w:lang w:val="en-GB" w:eastAsia="en-GB"/>
              </w:rPr>
            </w:pPr>
          </w:p>
        </w:tc>
        <w:tc>
          <w:tcPr>
            <w:tcW w:w="1349" w:type="dxa"/>
            <w:tcBorders>
              <w:top w:val="single" w:sz="4" w:space="0" w:color="auto"/>
              <w:left w:val="nil"/>
              <w:bottom w:val="double" w:sz="4" w:space="0" w:color="auto"/>
              <w:right w:val="nil"/>
            </w:tcBorders>
            <w:vAlign w:val="bottom"/>
          </w:tcPr>
          <w:p w14:paraId="179CFE09" w14:textId="0C0876B7" w:rsidR="00894183" w:rsidRPr="005269E6" w:rsidRDefault="00796FC2"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(413 710)</w:t>
            </w:r>
          </w:p>
        </w:tc>
        <w:tc>
          <w:tcPr>
            <w:tcW w:w="1154" w:type="dxa"/>
            <w:tcBorders>
              <w:top w:val="single" w:sz="4" w:space="0" w:color="auto"/>
              <w:left w:val="nil"/>
              <w:bottom w:val="double" w:sz="4" w:space="0" w:color="auto"/>
              <w:right w:val="nil"/>
            </w:tcBorders>
            <w:vAlign w:val="bottom"/>
          </w:tcPr>
          <w:p w14:paraId="7CCA610E" w14:textId="7BC7F146" w:rsidR="00894183" w:rsidRPr="005269E6" w:rsidRDefault="00F572CC"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2 924</w:t>
            </w:r>
          </w:p>
        </w:tc>
        <w:tc>
          <w:tcPr>
            <w:tcW w:w="938" w:type="dxa"/>
            <w:tcBorders>
              <w:top w:val="single" w:sz="4" w:space="0" w:color="auto"/>
              <w:left w:val="nil"/>
              <w:bottom w:val="double" w:sz="4" w:space="0" w:color="auto"/>
              <w:right w:val="nil"/>
            </w:tcBorders>
            <w:vAlign w:val="bottom"/>
          </w:tcPr>
          <w:p w14:paraId="7AFA425B" w14:textId="52A8DA7B" w:rsidR="00894183" w:rsidRPr="005269E6" w:rsidRDefault="00171206"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(410 786)</w:t>
            </w:r>
          </w:p>
        </w:tc>
        <w:tc>
          <w:tcPr>
            <w:tcW w:w="271" w:type="dxa"/>
            <w:tcBorders>
              <w:top w:val="nil"/>
              <w:left w:val="nil"/>
              <w:bottom w:val="nil"/>
              <w:right w:val="nil"/>
            </w:tcBorders>
            <w:shd w:val="clear" w:color="auto" w:fill="auto"/>
            <w:vAlign w:val="bottom"/>
          </w:tcPr>
          <w:p w14:paraId="6DD08907" w14:textId="77777777" w:rsidR="00894183" w:rsidRPr="005269E6" w:rsidRDefault="00894183"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single" w:sz="4" w:space="0" w:color="auto"/>
              <w:left w:val="nil"/>
              <w:bottom w:val="double" w:sz="4" w:space="0" w:color="auto"/>
              <w:right w:val="nil"/>
            </w:tcBorders>
            <w:shd w:val="clear" w:color="auto" w:fill="auto"/>
            <w:noWrap/>
            <w:vAlign w:val="bottom"/>
          </w:tcPr>
          <w:p w14:paraId="7425C800" w14:textId="2EB10727" w:rsidR="00894183" w:rsidRPr="005269E6" w:rsidRDefault="00171206"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(500 571)</w:t>
            </w:r>
          </w:p>
        </w:tc>
        <w:tc>
          <w:tcPr>
            <w:tcW w:w="1154" w:type="dxa"/>
            <w:tcBorders>
              <w:top w:val="single" w:sz="4" w:space="0" w:color="auto"/>
              <w:left w:val="nil"/>
              <w:bottom w:val="double" w:sz="4" w:space="0" w:color="auto"/>
              <w:right w:val="nil"/>
            </w:tcBorders>
            <w:vAlign w:val="bottom"/>
          </w:tcPr>
          <w:p w14:paraId="6876AEF2" w14:textId="327F22FA" w:rsidR="00894183" w:rsidRPr="005269E6" w:rsidRDefault="00171206"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497</w:t>
            </w:r>
          </w:p>
        </w:tc>
        <w:tc>
          <w:tcPr>
            <w:tcW w:w="1133" w:type="dxa"/>
            <w:tcBorders>
              <w:top w:val="single" w:sz="4" w:space="0" w:color="auto"/>
              <w:left w:val="nil"/>
              <w:bottom w:val="double" w:sz="4" w:space="0" w:color="auto"/>
              <w:right w:val="nil"/>
            </w:tcBorders>
            <w:shd w:val="clear" w:color="auto" w:fill="auto"/>
            <w:noWrap/>
            <w:vAlign w:val="bottom"/>
          </w:tcPr>
          <w:p w14:paraId="2C225900" w14:textId="72FEAB8A" w:rsidR="00894183" w:rsidRPr="005269E6" w:rsidRDefault="00171206"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(500 074)</w:t>
            </w:r>
          </w:p>
        </w:tc>
      </w:tr>
      <w:tr w:rsidR="007C5053" w:rsidRPr="005269E6" w14:paraId="6197BDDC" w14:textId="77777777" w:rsidTr="00FE51D3">
        <w:trPr>
          <w:trHeight w:val="52"/>
          <w:jc w:val="center"/>
        </w:trPr>
        <w:tc>
          <w:tcPr>
            <w:tcW w:w="1615" w:type="dxa"/>
            <w:tcBorders>
              <w:top w:val="nil"/>
              <w:left w:val="nil"/>
              <w:bottom w:val="nil"/>
              <w:right w:val="nil"/>
            </w:tcBorders>
            <w:shd w:val="clear" w:color="auto" w:fill="auto"/>
            <w:noWrap/>
            <w:vAlign w:val="center"/>
          </w:tcPr>
          <w:p w14:paraId="5CA4B9B5" w14:textId="5B2BE5A9" w:rsidR="00A770A4" w:rsidRPr="005269E6" w:rsidRDefault="00A770A4" w:rsidP="00FE51D3">
            <w:pPr>
              <w:tabs>
                <w:tab w:val="clear" w:pos="794"/>
              </w:tabs>
              <w:spacing w:before="0" w:line="200" w:lineRule="exact"/>
              <w:jc w:val="left"/>
              <w:rPr>
                <w:rFonts w:eastAsia="Times New Roman"/>
                <w:b/>
                <w:bCs/>
                <w:color w:val="000000"/>
                <w:sz w:val="16"/>
                <w:szCs w:val="16"/>
                <w:rtl/>
                <w:lang w:val="en-GB" w:eastAsia="en-GB" w:bidi="ar-SY"/>
              </w:rPr>
            </w:pPr>
          </w:p>
        </w:tc>
        <w:tc>
          <w:tcPr>
            <w:tcW w:w="1316" w:type="dxa"/>
            <w:tcBorders>
              <w:top w:val="nil"/>
              <w:left w:val="nil"/>
              <w:bottom w:val="nil"/>
              <w:right w:val="nil"/>
            </w:tcBorders>
            <w:shd w:val="clear" w:color="auto" w:fill="auto"/>
            <w:noWrap/>
            <w:vAlign w:val="bottom"/>
          </w:tcPr>
          <w:p w14:paraId="367530D7" w14:textId="79428E0D" w:rsidR="00A770A4" w:rsidRPr="005269E6" w:rsidRDefault="00A770A4" w:rsidP="00796FC2">
            <w:pPr>
              <w:tabs>
                <w:tab w:val="clear" w:pos="794"/>
              </w:tabs>
              <w:spacing w:before="0" w:line="200" w:lineRule="exact"/>
              <w:jc w:val="center"/>
              <w:rPr>
                <w:rFonts w:eastAsia="Times New Roman"/>
                <w:i/>
                <w:iCs/>
                <w:color w:val="000000"/>
                <w:sz w:val="16"/>
                <w:szCs w:val="16"/>
                <w:rtl/>
                <w:lang w:val="en-GB" w:eastAsia="en-GB"/>
              </w:rPr>
            </w:pPr>
          </w:p>
        </w:tc>
        <w:tc>
          <w:tcPr>
            <w:tcW w:w="1349" w:type="dxa"/>
            <w:tcBorders>
              <w:top w:val="double" w:sz="4" w:space="0" w:color="auto"/>
              <w:left w:val="nil"/>
              <w:bottom w:val="nil"/>
              <w:right w:val="nil"/>
            </w:tcBorders>
            <w:vAlign w:val="bottom"/>
          </w:tcPr>
          <w:p w14:paraId="392B8895" w14:textId="77777777" w:rsidR="00A770A4" w:rsidRPr="005269E6" w:rsidRDefault="00A770A4" w:rsidP="00696AA6">
            <w:pPr>
              <w:tabs>
                <w:tab w:val="clear" w:pos="794"/>
              </w:tabs>
              <w:spacing w:before="0" w:line="200" w:lineRule="exact"/>
              <w:jc w:val="left"/>
              <w:rPr>
                <w:rFonts w:eastAsia="Times New Roman"/>
                <w:color w:val="000000"/>
                <w:sz w:val="16"/>
                <w:szCs w:val="16"/>
                <w:lang w:eastAsia="en-GB"/>
              </w:rPr>
            </w:pPr>
          </w:p>
        </w:tc>
        <w:tc>
          <w:tcPr>
            <w:tcW w:w="1154" w:type="dxa"/>
            <w:tcBorders>
              <w:top w:val="double" w:sz="4" w:space="0" w:color="auto"/>
              <w:left w:val="nil"/>
              <w:bottom w:val="nil"/>
              <w:right w:val="nil"/>
            </w:tcBorders>
            <w:vAlign w:val="bottom"/>
          </w:tcPr>
          <w:p w14:paraId="06D08351" w14:textId="579CE5DF" w:rsidR="00A770A4" w:rsidRPr="005269E6" w:rsidRDefault="00A770A4" w:rsidP="00696AA6">
            <w:pPr>
              <w:tabs>
                <w:tab w:val="clear" w:pos="794"/>
              </w:tabs>
              <w:spacing w:before="0" w:line="200" w:lineRule="exact"/>
              <w:jc w:val="left"/>
              <w:rPr>
                <w:rFonts w:eastAsia="Times New Roman"/>
                <w:color w:val="000000"/>
                <w:sz w:val="16"/>
                <w:szCs w:val="16"/>
                <w:lang w:eastAsia="en-GB"/>
              </w:rPr>
            </w:pPr>
          </w:p>
        </w:tc>
        <w:tc>
          <w:tcPr>
            <w:tcW w:w="938" w:type="dxa"/>
            <w:tcBorders>
              <w:top w:val="double" w:sz="4" w:space="0" w:color="auto"/>
              <w:left w:val="nil"/>
              <w:bottom w:val="nil"/>
              <w:right w:val="nil"/>
            </w:tcBorders>
            <w:vAlign w:val="bottom"/>
          </w:tcPr>
          <w:p w14:paraId="48DF8B03" w14:textId="771540B8" w:rsidR="00A770A4" w:rsidRPr="005269E6" w:rsidRDefault="00A770A4" w:rsidP="00696AA6">
            <w:pPr>
              <w:tabs>
                <w:tab w:val="clear" w:pos="794"/>
              </w:tabs>
              <w:spacing w:before="0" w:line="200" w:lineRule="exact"/>
              <w:jc w:val="left"/>
              <w:rPr>
                <w:rFonts w:eastAsia="Times New Roman"/>
                <w:color w:val="000000"/>
                <w:sz w:val="16"/>
                <w:szCs w:val="16"/>
                <w:lang w:eastAsia="en-GB"/>
              </w:rPr>
            </w:pPr>
          </w:p>
        </w:tc>
        <w:tc>
          <w:tcPr>
            <w:tcW w:w="271" w:type="dxa"/>
            <w:tcBorders>
              <w:top w:val="nil"/>
              <w:left w:val="nil"/>
              <w:bottom w:val="nil"/>
              <w:right w:val="nil"/>
            </w:tcBorders>
            <w:shd w:val="clear" w:color="auto" w:fill="auto"/>
            <w:vAlign w:val="bottom"/>
          </w:tcPr>
          <w:p w14:paraId="4594238D" w14:textId="77777777" w:rsidR="00A770A4" w:rsidRPr="005269E6" w:rsidRDefault="00A770A4" w:rsidP="00696AA6">
            <w:pPr>
              <w:tabs>
                <w:tab w:val="clear" w:pos="794"/>
              </w:tabs>
              <w:spacing w:before="0" w:line="200" w:lineRule="exact"/>
              <w:jc w:val="left"/>
              <w:rPr>
                <w:rFonts w:eastAsia="Times New Roman"/>
                <w:color w:val="000000"/>
                <w:sz w:val="16"/>
                <w:szCs w:val="16"/>
                <w:lang w:val="en-GB" w:eastAsia="en-GB"/>
              </w:rPr>
            </w:pPr>
          </w:p>
        </w:tc>
        <w:tc>
          <w:tcPr>
            <w:tcW w:w="1349" w:type="dxa"/>
            <w:tcBorders>
              <w:top w:val="double" w:sz="4" w:space="0" w:color="auto"/>
              <w:left w:val="nil"/>
              <w:bottom w:val="nil"/>
              <w:right w:val="nil"/>
            </w:tcBorders>
            <w:shd w:val="clear" w:color="auto" w:fill="auto"/>
            <w:noWrap/>
            <w:vAlign w:val="bottom"/>
          </w:tcPr>
          <w:p w14:paraId="42E4C2F0" w14:textId="767EBC93" w:rsidR="00A770A4" w:rsidRPr="005269E6" w:rsidRDefault="00A770A4" w:rsidP="00696AA6">
            <w:pPr>
              <w:tabs>
                <w:tab w:val="clear" w:pos="794"/>
              </w:tabs>
              <w:spacing w:before="0" w:line="200" w:lineRule="exact"/>
              <w:jc w:val="left"/>
              <w:rPr>
                <w:rFonts w:eastAsia="Times New Roman"/>
                <w:color w:val="000000"/>
                <w:sz w:val="16"/>
                <w:szCs w:val="16"/>
                <w:lang w:val="en-GB" w:eastAsia="en-GB"/>
              </w:rPr>
            </w:pPr>
          </w:p>
        </w:tc>
        <w:tc>
          <w:tcPr>
            <w:tcW w:w="1154" w:type="dxa"/>
            <w:tcBorders>
              <w:top w:val="double" w:sz="4" w:space="0" w:color="auto"/>
              <w:left w:val="nil"/>
              <w:bottom w:val="nil"/>
              <w:right w:val="nil"/>
            </w:tcBorders>
            <w:vAlign w:val="bottom"/>
          </w:tcPr>
          <w:p w14:paraId="59BD17DE" w14:textId="77777777" w:rsidR="00A770A4" w:rsidRPr="005269E6" w:rsidRDefault="00A770A4" w:rsidP="00696AA6">
            <w:pPr>
              <w:tabs>
                <w:tab w:val="clear" w:pos="794"/>
              </w:tabs>
              <w:spacing w:before="0" w:line="200" w:lineRule="exact"/>
              <w:jc w:val="left"/>
              <w:rPr>
                <w:rFonts w:eastAsia="Times New Roman"/>
                <w:color w:val="000000"/>
                <w:sz w:val="16"/>
                <w:szCs w:val="16"/>
                <w:lang w:val="en-GB" w:eastAsia="en-GB"/>
              </w:rPr>
            </w:pPr>
          </w:p>
        </w:tc>
        <w:tc>
          <w:tcPr>
            <w:tcW w:w="1133" w:type="dxa"/>
            <w:tcBorders>
              <w:top w:val="double" w:sz="4" w:space="0" w:color="auto"/>
              <w:left w:val="nil"/>
              <w:bottom w:val="nil"/>
              <w:right w:val="nil"/>
            </w:tcBorders>
            <w:shd w:val="clear" w:color="auto" w:fill="auto"/>
            <w:noWrap/>
            <w:vAlign w:val="bottom"/>
          </w:tcPr>
          <w:p w14:paraId="5D174AA7" w14:textId="3F6A9263" w:rsidR="00A770A4" w:rsidRPr="005269E6" w:rsidRDefault="00A770A4" w:rsidP="00696AA6">
            <w:pPr>
              <w:tabs>
                <w:tab w:val="clear" w:pos="794"/>
              </w:tabs>
              <w:spacing w:before="0" w:line="200" w:lineRule="exact"/>
              <w:jc w:val="left"/>
              <w:rPr>
                <w:rFonts w:eastAsia="Times New Roman"/>
                <w:color w:val="000000"/>
                <w:sz w:val="16"/>
                <w:szCs w:val="16"/>
                <w:lang w:val="en-GB" w:eastAsia="en-GB"/>
              </w:rPr>
            </w:pPr>
          </w:p>
        </w:tc>
      </w:tr>
      <w:tr w:rsidR="007C5053" w:rsidRPr="005269E6" w14:paraId="34C1D105" w14:textId="77777777" w:rsidTr="00FE51D3">
        <w:trPr>
          <w:trHeight w:val="255"/>
          <w:jc w:val="center"/>
        </w:trPr>
        <w:tc>
          <w:tcPr>
            <w:tcW w:w="1615" w:type="dxa"/>
            <w:tcBorders>
              <w:top w:val="nil"/>
              <w:left w:val="nil"/>
              <w:bottom w:val="nil"/>
              <w:right w:val="nil"/>
            </w:tcBorders>
            <w:shd w:val="clear" w:color="auto" w:fill="auto"/>
            <w:noWrap/>
            <w:vAlign w:val="center"/>
          </w:tcPr>
          <w:p w14:paraId="155B8EEB" w14:textId="4BF0EAED" w:rsidR="00A770A4" w:rsidRPr="005269E6" w:rsidRDefault="002D48E5" w:rsidP="00FE51D3">
            <w:pPr>
              <w:tabs>
                <w:tab w:val="clear" w:pos="794"/>
              </w:tabs>
              <w:spacing w:before="40" w:after="40" w:line="240" w:lineRule="exact"/>
              <w:jc w:val="left"/>
              <w:rPr>
                <w:rFonts w:eastAsia="Times New Roman"/>
                <w:b/>
                <w:bCs/>
                <w:color w:val="000000"/>
                <w:sz w:val="16"/>
                <w:szCs w:val="16"/>
                <w:rtl/>
                <w:lang w:val="en-GB" w:eastAsia="en-GB" w:bidi="ar-SY"/>
              </w:rPr>
            </w:pPr>
            <w:r w:rsidRPr="005269E6">
              <w:rPr>
                <w:rFonts w:eastAsia="Times New Roman"/>
                <w:color w:val="000000"/>
                <w:sz w:val="16"/>
                <w:szCs w:val="16"/>
                <w:rtl/>
                <w:lang w:val="en-GB" w:eastAsia="en-GB"/>
              </w:rPr>
              <w:t>حساب احتياطي الاتحاد</w:t>
            </w:r>
          </w:p>
        </w:tc>
        <w:tc>
          <w:tcPr>
            <w:tcW w:w="1316" w:type="dxa"/>
            <w:tcBorders>
              <w:top w:val="nil"/>
              <w:left w:val="nil"/>
              <w:bottom w:val="nil"/>
              <w:right w:val="nil"/>
            </w:tcBorders>
            <w:shd w:val="clear" w:color="auto" w:fill="auto"/>
            <w:noWrap/>
            <w:vAlign w:val="bottom"/>
          </w:tcPr>
          <w:p w14:paraId="748699B8" w14:textId="78DD0443" w:rsidR="00A770A4" w:rsidRPr="005269E6" w:rsidRDefault="00C528CF" w:rsidP="00796FC2">
            <w:pPr>
              <w:tabs>
                <w:tab w:val="clear" w:pos="794"/>
              </w:tabs>
              <w:spacing w:before="40" w:after="40" w:line="240" w:lineRule="exact"/>
              <w:jc w:val="center"/>
              <w:rPr>
                <w:rFonts w:eastAsia="Times New Roman"/>
                <w:i/>
                <w:iCs/>
                <w:color w:val="000000"/>
                <w:sz w:val="16"/>
                <w:szCs w:val="16"/>
                <w:rtl/>
                <w:lang w:eastAsia="en-GB" w:bidi="ar-SY"/>
              </w:rPr>
            </w:pPr>
            <w:r w:rsidRPr="005269E6">
              <w:rPr>
                <w:rFonts w:eastAsia="Times New Roman"/>
                <w:i/>
                <w:iCs/>
                <w:color w:val="000000"/>
                <w:sz w:val="16"/>
                <w:szCs w:val="16"/>
                <w:rtl/>
                <w:lang w:val="en-GB" w:eastAsia="en-GB"/>
              </w:rPr>
              <w:t xml:space="preserve">الملاحظة </w:t>
            </w:r>
            <w:r w:rsidRPr="005269E6">
              <w:rPr>
                <w:rFonts w:eastAsia="Times New Roman"/>
                <w:i/>
                <w:iCs/>
                <w:color w:val="000000"/>
                <w:sz w:val="16"/>
                <w:szCs w:val="16"/>
                <w:lang w:eastAsia="en-GB"/>
              </w:rPr>
              <w:t>4.30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14.30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19.30</w:t>
            </w:r>
          </w:p>
        </w:tc>
        <w:tc>
          <w:tcPr>
            <w:tcW w:w="1349" w:type="dxa"/>
            <w:tcBorders>
              <w:top w:val="nil"/>
              <w:left w:val="nil"/>
              <w:bottom w:val="nil"/>
              <w:right w:val="nil"/>
            </w:tcBorders>
            <w:vAlign w:val="bottom"/>
          </w:tcPr>
          <w:p w14:paraId="5A8C8DEC" w14:textId="4A23E500" w:rsidR="00A770A4" w:rsidRPr="005269E6" w:rsidRDefault="00796FC2"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27 508</w:t>
            </w:r>
          </w:p>
        </w:tc>
        <w:tc>
          <w:tcPr>
            <w:tcW w:w="1154" w:type="dxa"/>
            <w:tcBorders>
              <w:top w:val="nil"/>
              <w:left w:val="nil"/>
              <w:bottom w:val="nil"/>
              <w:right w:val="nil"/>
            </w:tcBorders>
            <w:vAlign w:val="bottom"/>
          </w:tcPr>
          <w:p w14:paraId="1E94F98F" w14:textId="637E2775" w:rsidR="00A770A4"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1 879</w:t>
            </w:r>
          </w:p>
        </w:tc>
        <w:tc>
          <w:tcPr>
            <w:tcW w:w="938" w:type="dxa"/>
            <w:tcBorders>
              <w:top w:val="nil"/>
              <w:left w:val="nil"/>
              <w:bottom w:val="nil"/>
              <w:right w:val="nil"/>
            </w:tcBorders>
            <w:vAlign w:val="bottom"/>
          </w:tcPr>
          <w:p w14:paraId="6AC42B91" w14:textId="34233752" w:rsidR="00A770A4"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29 387</w:t>
            </w:r>
          </w:p>
        </w:tc>
        <w:tc>
          <w:tcPr>
            <w:tcW w:w="271" w:type="dxa"/>
            <w:tcBorders>
              <w:top w:val="nil"/>
              <w:left w:val="nil"/>
              <w:bottom w:val="nil"/>
              <w:right w:val="nil"/>
            </w:tcBorders>
            <w:shd w:val="clear" w:color="auto" w:fill="auto"/>
            <w:vAlign w:val="bottom"/>
          </w:tcPr>
          <w:p w14:paraId="04EDA764"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02C8401B" w14:textId="423A7AF7"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25 802</w:t>
            </w:r>
          </w:p>
        </w:tc>
        <w:tc>
          <w:tcPr>
            <w:tcW w:w="1154" w:type="dxa"/>
            <w:tcBorders>
              <w:top w:val="nil"/>
              <w:left w:val="nil"/>
              <w:bottom w:val="nil"/>
              <w:right w:val="nil"/>
            </w:tcBorders>
            <w:vAlign w:val="bottom"/>
          </w:tcPr>
          <w:p w14:paraId="2F6C5B69" w14:textId="246AB307"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3 542</w:t>
            </w:r>
          </w:p>
        </w:tc>
        <w:tc>
          <w:tcPr>
            <w:tcW w:w="1133" w:type="dxa"/>
            <w:tcBorders>
              <w:top w:val="nil"/>
              <w:left w:val="nil"/>
              <w:bottom w:val="nil"/>
              <w:right w:val="nil"/>
            </w:tcBorders>
            <w:shd w:val="clear" w:color="auto" w:fill="auto"/>
            <w:noWrap/>
            <w:vAlign w:val="bottom"/>
          </w:tcPr>
          <w:p w14:paraId="57500AF9" w14:textId="45B5A91F"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29 344</w:t>
            </w:r>
          </w:p>
        </w:tc>
      </w:tr>
      <w:tr w:rsidR="007C5053" w:rsidRPr="005269E6" w14:paraId="18F741AE" w14:textId="77777777" w:rsidTr="00FE51D3">
        <w:trPr>
          <w:trHeight w:val="255"/>
          <w:jc w:val="center"/>
        </w:trPr>
        <w:tc>
          <w:tcPr>
            <w:tcW w:w="1615" w:type="dxa"/>
            <w:tcBorders>
              <w:top w:val="nil"/>
              <w:left w:val="nil"/>
              <w:bottom w:val="nil"/>
              <w:right w:val="nil"/>
            </w:tcBorders>
            <w:shd w:val="clear" w:color="auto" w:fill="auto"/>
            <w:noWrap/>
            <w:vAlign w:val="center"/>
          </w:tcPr>
          <w:p w14:paraId="0A7C8024" w14:textId="5D9DCEED" w:rsidR="00A770A4" w:rsidRPr="005269E6" w:rsidRDefault="002D48E5" w:rsidP="00FE51D3">
            <w:pPr>
              <w:tabs>
                <w:tab w:val="clear" w:pos="794"/>
              </w:tabs>
              <w:spacing w:before="40" w:after="40" w:line="240" w:lineRule="exact"/>
              <w:jc w:val="left"/>
              <w:rPr>
                <w:rFonts w:eastAsia="Times New Roman"/>
                <w:b/>
                <w:bCs/>
                <w:color w:val="000000"/>
                <w:sz w:val="16"/>
                <w:szCs w:val="16"/>
                <w:rtl/>
                <w:lang w:val="en-GB" w:eastAsia="en-GB" w:bidi="ar-SY"/>
              </w:rPr>
            </w:pPr>
            <w:r w:rsidRPr="005269E6">
              <w:rPr>
                <w:rFonts w:eastAsia="Times New Roman"/>
                <w:color w:val="000000"/>
                <w:sz w:val="16"/>
                <w:szCs w:val="16"/>
                <w:rtl/>
                <w:lang w:val="en-GB" w:eastAsia="en-GB"/>
              </w:rPr>
              <w:lastRenderedPageBreak/>
              <w:t>الاحتياطيات والأموال الأخرى</w:t>
            </w:r>
          </w:p>
        </w:tc>
        <w:tc>
          <w:tcPr>
            <w:tcW w:w="1316" w:type="dxa"/>
            <w:tcBorders>
              <w:top w:val="nil"/>
              <w:left w:val="nil"/>
              <w:bottom w:val="nil"/>
              <w:right w:val="nil"/>
            </w:tcBorders>
            <w:shd w:val="clear" w:color="auto" w:fill="auto"/>
            <w:noWrap/>
            <w:vAlign w:val="bottom"/>
          </w:tcPr>
          <w:p w14:paraId="654C97F4" w14:textId="49D1A36B" w:rsidR="00A770A4" w:rsidRPr="005269E6" w:rsidRDefault="00C528CF" w:rsidP="00796FC2">
            <w:pPr>
              <w:tabs>
                <w:tab w:val="clear" w:pos="794"/>
              </w:tabs>
              <w:spacing w:before="40" w:after="40" w:line="240" w:lineRule="exact"/>
              <w:jc w:val="center"/>
              <w:rPr>
                <w:rFonts w:eastAsia="Times New Roman"/>
                <w:i/>
                <w:iCs/>
                <w:color w:val="000000"/>
                <w:sz w:val="16"/>
                <w:szCs w:val="16"/>
                <w:rtl/>
                <w:lang w:eastAsia="en-GB" w:bidi="ar-SY"/>
              </w:rPr>
            </w:pPr>
            <w:r w:rsidRPr="005269E6">
              <w:rPr>
                <w:rFonts w:eastAsia="Times New Roman"/>
                <w:i/>
                <w:iCs/>
                <w:color w:val="000000"/>
                <w:sz w:val="16"/>
                <w:szCs w:val="16"/>
                <w:rtl/>
                <w:lang w:eastAsia="en-GB" w:bidi="ar-SY"/>
              </w:rPr>
              <w:t xml:space="preserve">الملاحظة </w:t>
            </w:r>
            <w:r w:rsidRPr="005269E6">
              <w:rPr>
                <w:rFonts w:eastAsia="Times New Roman"/>
                <w:i/>
                <w:iCs/>
                <w:color w:val="000000"/>
                <w:sz w:val="16"/>
                <w:szCs w:val="16"/>
                <w:lang w:eastAsia="en-GB" w:bidi="ar-SY"/>
              </w:rPr>
              <w:t>5.30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14.30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15.30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16.30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17.30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20.30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22.30</w:t>
            </w:r>
          </w:p>
        </w:tc>
        <w:tc>
          <w:tcPr>
            <w:tcW w:w="1349" w:type="dxa"/>
            <w:tcBorders>
              <w:top w:val="nil"/>
              <w:left w:val="nil"/>
              <w:bottom w:val="nil"/>
              <w:right w:val="nil"/>
            </w:tcBorders>
            <w:vAlign w:val="bottom"/>
          </w:tcPr>
          <w:p w14:paraId="3A9E8C30" w14:textId="1FA7855F" w:rsidR="00A770A4" w:rsidRPr="005269E6" w:rsidRDefault="00796FC2"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61 553</w:t>
            </w:r>
          </w:p>
        </w:tc>
        <w:tc>
          <w:tcPr>
            <w:tcW w:w="1154" w:type="dxa"/>
            <w:tcBorders>
              <w:top w:val="nil"/>
              <w:left w:val="nil"/>
              <w:bottom w:val="nil"/>
              <w:right w:val="nil"/>
            </w:tcBorders>
            <w:vAlign w:val="bottom"/>
          </w:tcPr>
          <w:p w14:paraId="5C418E0D" w14:textId="014F0E31" w:rsidR="00A770A4"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6 510</w:t>
            </w:r>
          </w:p>
        </w:tc>
        <w:tc>
          <w:tcPr>
            <w:tcW w:w="938" w:type="dxa"/>
            <w:tcBorders>
              <w:top w:val="nil"/>
              <w:left w:val="nil"/>
              <w:bottom w:val="nil"/>
              <w:right w:val="nil"/>
            </w:tcBorders>
            <w:vAlign w:val="bottom"/>
          </w:tcPr>
          <w:p w14:paraId="466E524B" w14:textId="258E6833" w:rsidR="00A770A4"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68 063</w:t>
            </w:r>
          </w:p>
        </w:tc>
        <w:tc>
          <w:tcPr>
            <w:tcW w:w="271" w:type="dxa"/>
            <w:tcBorders>
              <w:top w:val="nil"/>
              <w:left w:val="nil"/>
              <w:bottom w:val="nil"/>
              <w:right w:val="nil"/>
            </w:tcBorders>
            <w:shd w:val="clear" w:color="auto" w:fill="auto"/>
            <w:vAlign w:val="bottom"/>
          </w:tcPr>
          <w:p w14:paraId="1DD68A08" w14:textId="3BEB1E60"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1157DB3E" w14:textId="3269F4A4"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61 225</w:t>
            </w:r>
          </w:p>
        </w:tc>
        <w:tc>
          <w:tcPr>
            <w:tcW w:w="1154" w:type="dxa"/>
            <w:tcBorders>
              <w:top w:val="nil"/>
              <w:left w:val="nil"/>
              <w:bottom w:val="nil"/>
              <w:right w:val="nil"/>
            </w:tcBorders>
            <w:vAlign w:val="bottom"/>
          </w:tcPr>
          <w:p w14:paraId="10FA8049" w14:textId="6D8EBDC0"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(1 829)</w:t>
            </w:r>
          </w:p>
        </w:tc>
        <w:tc>
          <w:tcPr>
            <w:tcW w:w="1133" w:type="dxa"/>
            <w:tcBorders>
              <w:top w:val="nil"/>
              <w:left w:val="nil"/>
              <w:bottom w:val="nil"/>
              <w:right w:val="nil"/>
            </w:tcBorders>
            <w:shd w:val="clear" w:color="auto" w:fill="auto"/>
            <w:noWrap/>
            <w:vAlign w:val="bottom"/>
          </w:tcPr>
          <w:p w14:paraId="7282A4C0" w14:textId="46C92593"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59 396</w:t>
            </w:r>
          </w:p>
        </w:tc>
      </w:tr>
      <w:tr w:rsidR="007C5053" w:rsidRPr="005269E6" w14:paraId="42F821F0" w14:textId="77777777" w:rsidTr="00FE51D3">
        <w:trPr>
          <w:trHeight w:val="255"/>
          <w:jc w:val="center"/>
        </w:trPr>
        <w:tc>
          <w:tcPr>
            <w:tcW w:w="1615" w:type="dxa"/>
            <w:tcBorders>
              <w:top w:val="nil"/>
              <w:left w:val="nil"/>
              <w:bottom w:val="nil"/>
              <w:right w:val="nil"/>
            </w:tcBorders>
            <w:shd w:val="clear" w:color="auto" w:fill="auto"/>
            <w:noWrap/>
            <w:vAlign w:val="center"/>
          </w:tcPr>
          <w:p w14:paraId="609F614A" w14:textId="0FE8D7E7" w:rsidR="00A770A4" w:rsidRPr="005269E6" w:rsidRDefault="002D48E5" w:rsidP="00FE51D3">
            <w:pPr>
              <w:tabs>
                <w:tab w:val="clear" w:pos="794"/>
              </w:tabs>
              <w:spacing w:before="40" w:after="40" w:line="240" w:lineRule="exact"/>
              <w:jc w:val="left"/>
              <w:rPr>
                <w:rFonts w:eastAsia="Times New Roman"/>
                <w:b/>
                <w:bCs/>
                <w:color w:val="000000"/>
                <w:sz w:val="16"/>
                <w:szCs w:val="16"/>
                <w:rtl/>
                <w:lang w:val="en-GB" w:eastAsia="en-GB" w:bidi="ar-SY"/>
              </w:rPr>
            </w:pPr>
            <w:r w:rsidRPr="005269E6">
              <w:rPr>
                <w:rFonts w:eastAsia="Times New Roman"/>
                <w:color w:val="000000"/>
                <w:sz w:val="16"/>
                <w:szCs w:val="16"/>
                <w:rtl/>
                <w:lang w:val="en-GB" w:eastAsia="en-GB"/>
              </w:rPr>
              <w:t>الأموال الخارجة عن الميزانية</w:t>
            </w:r>
          </w:p>
        </w:tc>
        <w:tc>
          <w:tcPr>
            <w:tcW w:w="1316" w:type="dxa"/>
            <w:tcBorders>
              <w:top w:val="nil"/>
              <w:left w:val="nil"/>
              <w:bottom w:val="nil"/>
              <w:right w:val="nil"/>
            </w:tcBorders>
            <w:shd w:val="clear" w:color="auto" w:fill="auto"/>
            <w:noWrap/>
            <w:vAlign w:val="bottom"/>
          </w:tcPr>
          <w:p w14:paraId="5D642CBF" w14:textId="7AFB3D48" w:rsidR="00A770A4" w:rsidRPr="005269E6" w:rsidRDefault="00C528CF" w:rsidP="00796FC2">
            <w:pPr>
              <w:tabs>
                <w:tab w:val="clear" w:pos="794"/>
              </w:tabs>
              <w:spacing w:before="40" w:after="40" w:line="240" w:lineRule="exact"/>
              <w:jc w:val="center"/>
              <w:rPr>
                <w:rFonts w:eastAsia="Times New Roman"/>
                <w:i/>
                <w:iCs/>
                <w:color w:val="000000"/>
                <w:sz w:val="16"/>
                <w:szCs w:val="16"/>
                <w:rtl/>
                <w:lang w:eastAsia="en-GB" w:bidi="ar-SY"/>
              </w:rPr>
            </w:pPr>
            <w:r w:rsidRPr="005269E6">
              <w:rPr>
                <w:rFonts w:eastAsia="Times New Roman"/>
                <w:i/>
                <w:iCs/>
                <w:color w:val="000000"/>
                <w:sz w:val="16"/>
                <w:szCs w:val="16"/>
                <w:rtl/>
                <w:lang w:eastAsia="en-GB" w:bidi="ar-SY"/>
              </w:rPr>
              <w:t xml:space="preserve">الملاحظة </w:t>
            </w:r>
            <w:r w:rsidRPr="005269E6">
              <w:rPr>
                <w:rFonts w:eastAsia="Times New Roman"/>
                <w:i/>
                <w:iCs/>
                <w:color w:val="000000"/>
                <w:sz w:val="16"/>
                <w:szCs w:val="16"/>
                <w:lang w:eastAsia="en-GB" w:bidi="ar-SY"/>
              </w:rPr>
              <w:t>10.30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14.30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22.30</w:t>
            </w:r>
          </w:p>
        </w:tc>
        <w:tc>
          <w:tcPr>
            <w:tcW w:w="1349" w:type="dxa"/>
            <w:tcBorders>
              <w:top w:val="nil"/>
              <w:left w:val="nil"/>
              <w:bottom w:val="nil"/>
              <w:right w:val="nil"/>
            </w:tcBorders>
            <w:vAlign w:val="bottom"/>
          </w:tcPr>
          <w:p w14:paraId="624B6A3C" w14:textId="4383A694" w:rsidR="00A770A4" w:rsidRPr="005269E6" w:rsidRDefault="00796FC2"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8 805</w:t>
            </w:r>
          </w:p>
        </w:tc>
        <w:tc>
          <w:tcPr>
            <w:tcW w:w="1154" w:type="dxa"/>
            <w:tcBorders>
              <w:top w:val="nil"/>
              <w:left w:val="nil"/>
              <w:bottom w:val="nil"/>
              <w:right w:val="nil"/>
            </w:tcBorders>
            <w:vAlign w:val="bottom"/>
          </w:tcPr>
          <w:p w14:paraId="109F3D81" w14:textId="12890B96" w:rsidR="00A770A4"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7 816</w:t>
            </w:r>
          </w:p>
        </w:tc>
        <w:tc>
          <w:tcPr>
            <w:tcW w:w="938" w:type="dxa"/>
            <w:tcBorders>
              <w:top w:val="nil"/>
              <w:left w:val="nil"/>
              <w:bottom w:val="nil"/>
              <w:right w:val="nil"/>
            </w:tcBorders>
            <w:vAlign w:val="bottom"/>
          </w:tcPr>
          <w:p w14:paraId="6715858F" w14:textId="4DD0F9BD" w:rsidR="00A770A4"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16 621</w:t>
            </w:r>
          </w:p>
        </w:tc>
        <w:tc>
          <w:tcPr>
            <w:tcW w:w="271" w:type="dxa"/>
            <w:tcBorders>
              <w:top w:val="nil"/>
              <w:left w:val="nil"/>
              <w:bottom w:val="nil"/>
              <w:right w:val="nil"/>
            </w:tcBorders>
            <w:shd w:val="clear" w:color="auto" w:fill="auto"/>
            <w:vAlign w:val="bottom"/>
          </w:tcPr>
          <w:p w14:paraId="66CE1872"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3FB1A78D" w14:textId="7A9B4F5D"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10 383</w:t>
            </w:r>
          </w:p>
        </w:tc>
        <w:tc>
          <w:tcPr>
            <w:tcW w:w="1154" w:type="dxa"/>
            <w:tcBorders>
              <w:top w:val="nil"/>
              <w:left w:val="nil"/>
              <w:bottom w:val="nil"/>
              <w:right w:val="nil"/>
            </w:tcBorders>
            <w:vAlign w:val="bottom"/>
          </w:tcPr>
          <w:p w14:paraId="240BA79F" w14:textId="4BCF720E"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8 008</w:t>
            </w:r>
          </w:p>
        </w:tc>
        <w:tc>
          <w:tcPr>
            <w:tcW w:w="1133" w:type="dxa"/>
            <w:tcBorders>
              <w:top w:val="nil"/>
              <w:left w:val="nil"/>
              <w:bottom w:val="nil"/>
              <w:right w:val="nil"/>
            </w:tcBorders>
            <w:shd w:val="clear" w:color="auto" w:fill="auto"/>
            <w:noWrap/>
            <w:vAlign w:val="bottom"/>
          </w:tcPr>
          <w:p w14:paraId="1D759594" w14:textId="06AA8FFA"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18 391</w:t>
            </w:r>
          </w:p>
        </w:tc>
      </w:tr>
      <w:tr w:rsidR="007C5053" w:rsidRPr="005269E6" w14:paraId="295D21A3" w14:textId="77777777" w:rsidTr="00FE51D3">
        <w:trPr>
          <w:trHeight w:val="255"/>
          <w:jc w:val="center"/>
        </w:trPr>
        <w:tc>
          <w:tcPr>
            <w:tcW w:w="1615" w:type="dxa"/>
            <w:tcBorders>
              <w:top w:val="nil"/>
              <w:left w:val="nil"/>
              <w:bottom w:val="nil"/>
              <w:right w:val="nil"/>
            </w:tcBorders>
            <w:shd w:val="clear" w:color="auto" w:fill="auto"/>
            <w:noWrap/>
            <w:vAlign w:val="center"/>
          </w:tcPr>
          <w:p w14:paraId="443ABF7E" w14:textId="05AE3083" w:rsidR="00A770A4" w:rsidRPr="005269E6" w:rsidRDefault="00774823" w:rsidP="00FE51D3">
            <w:pPr>
              <w:tabs>
                <w:tab w:val="clear" w:pos="794"/>
              </w:tabs>
              <w:spacing w:before="40" w:after="40" w:line="240" w:lineRule="exact"/>
              <w:jc w:val="left"/>
              <w:rPr>
                <w:rFonts w:eastAsia="Times New Roman"/>
                <w:color w:val="000000"/>
                <w:sz w:val="16"/>
                <w:szCs w:val="16"/>
                <w:rtl/>
                <w:lang w:val="en-GB" w:eastAsia="en-GB" w:bidi="ar-SY"/>
              </w:rPr>
            </w:pPr>
            <w:r w:rsidRPr="005269E6">
              <w:rPr>
                <w:rFonts w:eastAsia="Times New Roman"/>
                <w:color w:val="000000"/>
                <w:sz w:val="16"/>
                <w:szCs w:val="16"/>
                <w:rtl/>
                <w:lang w:val="en-GB" w:eastAsia="en-GB"/>
              </w:rPr>
              <w:t>مكاسب/(خسائر) التأمين الصحي بعد انتهاء الخدمة ال</w:t>
            </w:r>
            <w:r w:rsidR="0059394B" w:rsidRPr="005269E6">
              <w:rPr>
                <w:rFonts w:eastAsia="Times New Roman"/>
                <w:color w:val="000000"/>
                <w:sz w:val="16"/>
                <w:szCs w:val="16"/>
                <w:rtl/>
                <w:lang w:val="en-GB" w:eastAsia="en-GB"/>
              </w:rPr>
              <w:t>إكتواري</w:t>
            </w:r>
            <w:r w:rsidRPr="005269E6">
              <w:rPr>
                <w:rFonts w:eastAsia="Times New Roman"/>
                <w:color w:val="000000"/>
                <w:sz w:val="16"/>
                <w:szCs w:val="16"/>
                <w:rtl/>
                <w:lang w:val="en-GB" w:eastAsia="en-GB"/>
              </w:rPr>
              <w:t>ة</w:t>
            </w:r>
          </w:p>
        </w:tc>
        <w:tc>
          <w:tcPr>
            <w:tcW w:w="1316" w:type="dxa"/>
            <w:tcBorders>
              <w:top w:val="nil"/>
              <w:left w:val="nil"/>
              <w:bottom w:val="nil"/>
              <w:right w:val="nil"/>
            </w:tcBorders>
            <w:shd w:val="clear" w:color="auto" w:fill="auto"/>
            <w:noWrap/>
            <w:vAlign w:val="bottom"/>
          </w:tcPr>
          <w:p w14:paraId="1CD10D4E" w14:textId="0027EDAA" w:rsidR="00A770A4" w:rsidRPr="005269E6" w:rsidRDefault="00C528CF" w:rsidP="00796FC2">
            <w:pPr>
              <w:tabs>
                <w:tab w:val="clear" w:pos="794"/>
              </w:tabs>
              <w:spacing w:before="40" w:after="40" w:line="240" w:lineRule="exact"/>
              <w:jc w:val="center"/>
              <w:rPr>
                <w:rFonts w:eastAsia="Times New Roman"/>
                <w:i/>
                <w:iCs/>
                <w:color w:val="000000"/>
                <w:sz w:val="16"/>
                <w:szCs w:val="16"/>
                <w:rtl/>
                <w:lang w:eastAsia="en-GB" w:bidi="ar-SY"/>
              </w:rPr>
            </w:pPr>
            <w:r w:rsidRPr="005269E6">
              <w:rPr>
                <w:rFonts w:eastAsia="Times New Roman"/>
                <w:i/>
                <w:iCs/>
                <w:color w:val="000000"/>
                <w:sz w:val="16"/>
                <w:szCs w:val="16"/>
                <w:rtl/>
                <w:lang w:val="en-GB" w:eastAsia="en-GB"/>
              </w:rPr>
              <w:t xml:space="preserve">الملاحظة </w:t>
            </w:r>
            <w:r w:rsidRPr="005269E6">
              <w:rPr>
                <w:rFonts w:eastAsia="Times New Roman"/>
                <w:i/>
                <w:iCs/>
                <w:color w:val="000000"/>
                <w:sz w:val="16"/>
                <w:szCs w:val="16"/>
                <w:lang w:eastAsia="en-GB"/>
              </w:rPr>
              <w:t>26.30</w:t>
            </w:r>
          </w:p>
        </w:tc>
        <w:tc>
          <w:tcPr>
            <w:tcW w:w="1349" w:type="dxa"/>
            <w:tcBorders>
              <w:top w:val="nil"/>
              <w:left w:val="nil"/>
              <w:bottom w:val="nil"/>
              <w:right w:val="nil"/>
            </w:tcBorders>
            <w:vAlign w:val="bottom"/>
          </w:tcPr>
          <w:p w14:paraId="573054FB" w14:textId="22DB7D2F" w:rsidR="00A770A4" w:rsidRPr="005269E6" w:rsidRDefault="00796FC2"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(162 135)</w:t>
            </w:r>
          </w:p>
        </w:tc>
        <w:tc>
          <w:tcPr>
            <w:tcW w:w="1154" w:type="dxa"/>
            <w:tcBorders>
              <w:top w:val="nil"/>
              <w:left w:val="nil"/>
              <w:bottom w:val="nil"/>
              <w:right w:val="nil"/>
            </w:tcBorders>
            <w:vAlign w:val="bottom"/>
          </w:tcPr>
          <w:p w14:paraId="2CAFF339" w14:textId="1168E702" w:rsidR="00A770A4"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(1 940)</w:t>
            </w:r>
          </w:p>
        </w:tc>
        <w:tc>
          <w:tcPr>
            <w:tcW w:w="938" w:type="dxa"/>
            <w:tcBorders>
              <w:top w:val="nil"/>
              <w:left w:val="nil"/>
              <w:bottom w:val="nil"/>
              <w:right w:val="nil"/>
            </w:tcBorders>
            <w:vAlign w:val="bottom"/>
          </w:tcPr>
          <w:p w14:paraId="1AF83C95" w14:textId="0A79E136" w:rsidR="00A770A4"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(164</w:t>
            </w:r>
            <w:r w:rsidR="002C7F47" w:rsidRPr="005269E6">
              <w:rPr>
                <w:rFonts w:eastAsia="Times New Roman"/>
                <w:color w:val="000000"/>
                <w:sz w:val="16"/>
                <w:szCs w:val="16"/>
                <w:lang w:eastAsia="en-GB"/>
              </w:rPr>
              <w:t> </w:t>
            </w:r>
            <w:r w:rsidRPr="005269E6">
              <w:rPr>
                <w:rFonts w:eastAsia="Times New Roman"/>
                <w:color w:val="000000"/>
                <w:sz w:val="16"/>
                <w:szCs w:val="16"/>
                <w:lang w:eastAsia="en-GB"/>
              </w:rPr>
              <w:t>075)</w:t>
            </w:r>
          </w:p>
        </w:tc>
        <w:tc>
          <w:tcPr>
            <w:tcW w:w="271" w:type="dxa"/>
            <w:tcBorders>
              <w:top w:val="nil"/>
              <w:left w:val="nil"/>
              <w:bottom w:val="nil"/>
              <w:right w:val="nil"/>
            </w:tcBorders>
            <w:shd w:val="clear" w:color="auto" w:fill="auto"/>
            <w:vAlign w:val="bottom"/>
          </w:tcPr>
          <w:p w14:paraId="6D9460FE"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4038F267" w14:textId="1C22E199"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(263 101)</w:t>
            </w:r>
          </w:p>
        </w:tc>
        <w:tc>
          <w:tcPr>
            <w:tcW w:w="1154" w:type="dxa"/>
            <w:tcBorders>
              <w:top w:val="nil"/>
              <w:left w:val="nil"/>
              <w:bottom w:val="nil"/>
              <w:right w:val="nil"/>
            </w:tcBorders>
            <w:vAlign w:val="bottom"/>
          </w:tcPr>
          <w:p w14:paraId="18D1EC53" w14:textId="5C6C87D6"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(4 473)</w:t>
            </w:r>
          </w:p>
        </w:tc>
        <w:tc>
          <w:tcPr>
            <w:tcW w:w="1133" w:type="dxa"/>
            <w:tcBorders>
              <w:top w:val="nil"/>
              <w:left w:val="nil"/>
              <w:bottom w:val="nil"/>
              <w:right w:val="nil"/>
            </w:tcBorders>
            <w:shd w:val="clear" w:color="auto" w:fill="auto"/>
            <w:noWrap/>
            <w:vAlign w:val="bottom"/>
          </w:tcPr>
          <w:p w14:paraId="63B81DD3" w14:textId="14C19C2D"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(267 574)</w:t>
            </w:r>
          </w:p>
        </w:tc>
      </w:tr>
      <w:tr w:rsidR="007C5053" w:rsidRPr="005269E6" w14:paraId="3DF8EFF6" w14:textId="77777777" w:rsidTr="00FE51D3">
        <w:trPr>
          <w:trHeight w:val="255"/>
          <w:jc w:val="center"/>
        </w:trPr>
        <w:tc>
          <w:tcPr>
            <w:tcW w:w="1615" w:type="dxa"/>
            <w:tcBorders>
              <w:top w:val="nil"/>
              <w:left w:val="nil"/>
              <w:bottom w:val="nil"/>
              <w:right w:val="nil"/>
            </w:tcBorders>
            <w:shd w:val="clear" w:color="auto" w:fill="auto"/>
            <w:noWrap/>
            <w:vAlign w:val="center"/>
          </w:tcPr>
          <w:p w14:paraId="74E038F6" w14:textId="0E8C5088" w:rsidR="00A770A4" w:rsidRPr="005269E6" w:rsidRDefault="00774823" w:rsidP="00FE51D3">
            <w:pPr>
              <w:tabs>
                <w:tab w:val="clear" w:pos="794"/>
              </w:tabs>
              <w:spacing w:before="40" w:after="40" w:line="240" w:lineRule="exact"/>
              <w:jc w:val="left"/>
              <w:rPr>
                <w:rFonts w:eastAsia="Times New Roman"/>
                <w:b/>
                <w:bCs/>
                <w:color w:val="000000"/>
                <w:sz w:val="16"/>
                <w:szCs w:val="16"/>
                <w:rtl/>
                <w:lang w:val="en-GB" w:eastAsia="en-GB" w:bidi="ar-SY"/>
              </w:rPr>
            </w:pPr>
            <w:r w:rsidRPr="005269E6">
              <w:rPr>
                <w:rFonts w:eastAsia="Times New Roman"/>
                <w:color w:val="000000"/>
                <w:sz w:val="16"/>
                <w:szCs w:val="16"/>
                <w:rtl/>
                <w:lang w:val="en-GB" w:eastAsia="en-GB"/>
              </w:rPr>
              <w:t>الفوائض/(العُجوزات) المتراكمة</w:t>
            </w:r>
          </w:p>
        </w:tc>
        <w:tc>
          <w:tcPr>
            <w:tcW w:w="1316" w:type="dxa"/>
            <w:tcBorders>
              <w:top w:val="nil"/>
              <w:left w:val="nil"/>
              <w:bottom w:val="nil"/>
              <w:right w:val="nil"/>
            </w:tcBorders>
            <w:shd w:val="clear" w:color="auto" w:fill="auto"/>
            <w:noWrap/>
            <w:vAlign w:val="bottom"/>
          </w:tcPr>
          <w:p w14:paraId="58F631E6" w14:textId="74E8BDFC" w:rsidR="00A770A4" w:rsidRPr="005269E6" w:rsidRDefault="00C528CF" w:rsidP="00796FC2">
            <w:pPr>
              <w:tabs>
                <w:tab w:val="clear" w:pos="794"/>
              </w:tabs>
              <w:spacing w:before="40" w:after="40" w:line="240" w:lineRule="exact"/>
              <w:jc w:val="center"/>
              <w:rPr>
                <w:rFonts w:eastAsia="Times New Roman"/>
                <w:i/>
                <w:iCs/>
                <w:color w:val="000000"/>
                <w:sz w:val="16"/>
                <w:szCs w:val="16"/>
                <w:rtl/>
                <w:lang w:eastAsia="en-GB" w:bidi="ar-SY"/>
              </w:rPr>
            </w:pPr>
            <w:r w:rsidRPr="005269E6">
              <w:rPr>
                <w:rFonts w:eastAsia="Times New Roman"/>
                <w:i/>
                <w:iCs/>
                <w:color w:val="000000"/>
                <w:sz w:val="16"/>
                <w:szCs w:val="16"/>
                <w:rtl/>
                <w:lang w:eastAsia="en-GB" w:bidi="ar-SY"/>
              </w:rPr>
              <w:t xml:space="preserve">الملاحظة </w:t>
            </w:r>
            <w:r w:rsidRPr="005269E6">
              <w:rPr>
                <w:rFonts w:eastAsia="Times New Roman"/>
                <w:i/>
                <w:iCs/>
                <w:color w:val="000000"/>
                <w:sz w:val="16"/>
                <w:szCs w:val="16"/>
                <w:lang w:eastAsia="en-GB" w:bidi="ar-SY"/>
              </w:rPr>
              <w:t>1.30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2.30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4.30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6.30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8.30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11.30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15.30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16.30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17.30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20.30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23.30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25.30</w:t>
            </w:r>
            <w:r w:rsidRPr="005269E6">
              <w:rPr>
                <w:rFonts w:eastAsia="Times New Roman"/>
                <w:i/>
                <w:iCs/>
                <w:color w:val="000000"/>
                <w:sz w:val="16"/>
                <w:szCs w:val="16"/>
                <w:rtl/>
                <w:lang w:eastAsia="en-GB" w:bidi="ar-SY"/>
              </w:rPr>
              <w:t xml:space="preserve"> و</w:t>
            </w:r>
            <w:r w:rsidRPr="005269E6">
              <w:rPr>
                <w:rFonts w:eastAsia="Times New Roman"/>
                <w:i/>
                <w:iCs/>
                <w:color w:val="000000"/>
                <w:sz w:val="16"/>
                <w:szCs w:val="16"/>
                <w:lang w:eastAsia="en-GB" w:bidi="ar-SY"/>
              </w:rPr>
              <w:t>26.30</w:t>
            </w:r>
          </w:p>
        </w:tc>
        <w:tc>
          <w:tcPr>
            <w:tcW w:w="1349" w:type="dxa"/>
            <w:tcBorders>
              <w:top w:val="nil"/>
              <w:left w:val="nil"/>
              <w:bottom w:val="nil"/>
              <w:right w:val="nil"/>
            </w:tcBorders>
            <w:vAlign w:val="bottom"/>
          </w:tcPr>
          <w:p w14:paraId="2318F7FE" w14:textId="2C25871E" w:rsidR="00A770A4" w:rsidRPr="005269E6" w:rsidRDefault="00796FC2"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(349 441)</w:t>
            </w:r>
          </w:p>
        </w:tc>
        <w:tc>
          <w:tcPr>
            <w:tcW w:w="1154" w:type="dxa"/>
            <w:tcBorders>
              <w:top w:val="nil"/>
              <w:left w:val="nil"/>
              <w:bottom w:val="nil"/>
              <w:right w:val="nil"/>
            </w:tcBorders>
            <w:vAlign w:val="bottom"/>
          </w:tcPr>
          <w:p w14:paraId="7BF88AE6" w14:textId="3D0EDEA9" w:rsidR="00A770A4"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(11 341)</w:t>
            </w:r>
          </w:p>
        </w:tc>
        <w:tc>
          <w:tcPr>
            <w:tcW w:w="938" w:type="dxa"/>
            <w:tcBorders>
              <w:top w:val="nil"/>
              <w:left w:val="nil"/>
              <w:bottom w:val="nil"/>
              <w:right w:val="nil"/>
            </w:tcBorders>
            <w:vAlign w:val="bottom"/>
          </w:tcPr>
          <w:p w14:paraId="77E51A32" w14:textId="16A8E50E" w:rsidR="00A770A4" w:rsidRPr="005269E6" w:rsidRDefault="00F572CC" w:rsidP="00696AA6">
            <w:pPr>
              <w:tabs>
                <w:tab w:val="clear" w:pos="794"/>
              </w:tabs>
              <w:spacing w:before="40" w:after="40" w:line="240" w:lineRule="exact"/>
              <w:jc w:val="left"/>
              <w:rPr>
                <w:rFonts w:eastAsia="Times New Roman"/>
                <w:color w:val="000000"/>
                <w:sz w:val="16"/>
                <w:szCs w:val="16"/>
                <w:lang w:eastAsia="en-GB"/>
              </w:rPr>
            </w:pPr>
            <w:r w:rsidRPr="005269E6">
              <w:rPr>
                <w:rFonts w:eastAsia="Times New Roman"/>
                <w:color w:val="000000"/>
                <w:sz w:val="16"/>
                <w:szCs w:val="16"/>
                <w:lang w:eastAsia="en-GB"/>
              </w:rPr>
              <w:t>(360 782)</w:t>
            </w:r>
          </w:p>
        </w:tc>
        <w:tc>
          <w:tcPr>
            <w:tcW w:w="271" w:type="dxa"/>
            <w:tcBorders>
              <w:top w:val="nil"/>
              <w:left w:val="nil"/>
              <w:bottom w:val="nil"/>
              <w:right w:val="nil"/>
            </w:tcBorders>
            <w:shd w:val="clear" w:color="auto" w:fill="auto"/>
            <w:vAlign w:val="bottom"/>
          </w:tcPr>
          <w:p w14:paraId="6F5B3A25" w14:textId="77777777" w:rsidR="00A770A4" w:rsidRPr="005269E6" w:rsidRDefault="00A770A4" w:rsidP="00696AA6">
            <w:pPr>
              <w:tabs>
                <w:tab w:val="clear" w:pos="794"/>
              </w:tabs>
              <w:spacing w:before="40" w:after="40" w:line="240" w:lineRule="exact"/>
              <w:jc w:val="left"/>
              <w:rPr>
                <w:rFonts w:eastAsia="Times New Roman"/>
                <w:color w:val="000000"/>
                <w:sz w:val="16"/>
                <w:szCs w:val="16"/>
                <w:lang w:val="en-GB" w:eastAsia="en-GB"/>
              </w:rPr>
            </w:pPr>
          </w:p>
        </w:tc>
        <w:tc>
          <w:tcPr>
            <w:tcW w:w="1349" w:type="dxa"/>
            <w:tcBorders>
              <w:top w:val="nil"/>
              <w:left w:val="nil"/>
              <w:bottom w:val="nil"/>
              <w:right w:val="nil"/>
            </w:tcBorders>
            <w:shd w:val="clear" w:color="auto" w:fill="auto"/>
            <w:noWrap/>
            <w:vAlign w:val="bottom"/>
          </w:tcPr>
          <w:p w14:paraId="2B2AE19B" w14:textId="69200185"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(334 880)</w:t>
            </w:r>
          </w:p>
        </w:tc>
        <w:tc>
          <w:tcPr>
            <w:tcW w:w="1154" w:type="dxa"/>
            <w:tcBorders>
              <w:top w:val="nil"/>
              <w:left w:val="nil"/>
              <w:bottom w:val="nil"/>
              <w:right w:val="nil"/>
            </w:tcBorders>
            <w:vAlign w:val="bottom"/>
          </w:tcPr>
          <w:p w14:paraId="53F63466" w14:textId="352927E9"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(4 751)</w:t>
            </w:r>
          </w:p>
        </w:tc>
        <w:tc>
          <w:tcPr>
            <w:tcW w:w="1133" w:type="dxa"/>
            <w:tcBorders>
              <w:top w:val="nil"/>
              <w:left w:val="nil"/>
              <w:bottom w:val="nil"/>
              <w:right w:val="nil"/>
            </w:tcBorders>
            <w:shd w:val="clear" w:color="auto" w:fill="auto"/>
            <w:noWrap/>
            <w:vAlign w:val="bottom"/>
          </w:tcPr>
          <w:p w14:paraId="271DD173" w14:textId="3C64848B" w:rsidR="00A770A4" w:rsidRPr="005269E6" w:rsidRDefault="00F572CC" w:rsidP="00696AA6">
            <w:pPr>
              <w:tabs>
                <w:tab w:val="clear" w:pos="794"/>
              </w:tabs>
              <w:spacing w:before="40" w:after="40" w:line="240" w:lineRule="exact"/>
              <w:jc w:val="left"/>
              <w:rPr>
                <w:rFonts w:eastAsia="Times New Roman"/>
                <w:color w:val="000000"/>
                <w:sz w:val="16"/>
                <w:szCs w:val="16"/>
                <w:lang w:val="en-GB" w:eastAsia="en-GB"/>
              </w:rPr>
            </w:pPr>
            <w:r w:rsidRPr="005269E6">
              <w:rPr>
                <w:rFonts w:eastAsia="Times New Roman"/>
                <w:color w:val="000000"/>
                <w:sz w:val="16"/>
                <w:szCs w:val="16"/>
                <w:lang w:val="en-GB" w:eastAsia="en-GB"/>
              </w:rPr>
              <w:t>(339 631)</w:t>
            </w:r>
          </w:p>
        </w:tc>
      </w:tr>
      <w:tr w:rsidR="00AC2AAE" w:rsidRPr="005269E6" w14:paraId="183182F6" w14:textId="77777777" w:rsidTr="00AC2AAE">
        <w:trPr>
          <w:trHeight w:val="255"/>
          <w:jc w:val="center"/>
        </w:trPr>
        <w:tc>
          <w:tcPr>
            <w:tcW w:w="1615" w:type="dxa"/>
            <w:tcBorders>
              <w:top w:val="nil"/>
              <w:left w:val="nil"/>
              <w:bottom w:val="nil"/>
              <w:right w:val="nil"/>
            </w:tcBorders>
            <w:shd w:val="clear" w:color="auto" w:fill="538DD5"/>
            <w:noWrap/>
            <w:vAlign w:val="bottom"/>
          </w:tcPr>
          <w:p w14:paraId="121A7947" w14:textId="6F7947F6" w:rsidR="00A770A4" w:rsidRPr="005269E6" w:rsidRDefault="00774823" w:rsidP="00A770A4">
            <w:pPr>
              <w:tabs>
                <w:tab w:val="clear" w:pos="794"/>
              </w:tabs>
              <w:spacing w:before="40" w:after="40" w:line="240" w:lineRule="exact"/>
              <w:jc w:val="left"/>
              <w:rPr>
                <w:rFonts w:eastAsia="Times New Roman"/>
                <w:b/>
                <w:bCs/>
                <w:color w:val="000000"/>
                <w:sz w:val="16"/>
                <w:szCs w:val="16"/>
                <w:rtl/>
                <w:lang w:val="en-GB" w:eastAsia="en-GB" w:bidi="ar-SY"/>
              </w:rPr>
            </w:pPr>
            <w:r w:rsidRPr="005269E6">
              <w:rPr>
                <w:rFonts w:eastAsia="Times New Roman"/>
                <w:b/>
                <w:bCs/>
                <w:color w:val="000000"/>
                <w:sz w:val="16"/>
                <w:szCs w:val="16"/>
                <w:rtl/>
                <w:lang w:val="en-GB" w:eastAsia="en-GB"/>
              </w:rPr>
              <w:t>الاحتياطيات وأرصدة الأموال</w:t>
            </w:r>
          </w:p>
        </w:tc>
        <w:tc>
          <w:tcPr>
            <w:tcW w:w="1316" w:type="dxa"/>
            <w:tcBorders>
              <w:top w:val="nil"/>
              <w:left w:val="nil"/>
              <w:bottom w:val="nil"/>
              <w:right w:val="nil"/>
            </w:tcBorders>
            <w:shd w:val="clear" w:color="auto" w:fill="538DD5"/>
            <w:noWrap/>
            <w:vAlign w:val="bottom"/>
          </w:tcPr>
          <w:p w14:paraId="1CAB4228" w14:textId="752B8C38" w:rsidR="00A770A4" w:rsidRPr="005269E6" w:rsidRDefault="00A770A4" w:rsidP="00796FC2">
            <w:pPr>
              <w:tabs>
                <w:tab w:val="clear" w:pos="794"/>
              </w:tabs>
              <w:spacing w:before="40" w:after="40" w:line="240" w:lineRule="exact"/>
              <w:jc w:val="center"/>
              <w:rPr>
                <w:rFonts w:eastAsia="Times New Roman"/>
                <w:b/>
                <w:bCs/>
                <w:color w:val="000000"/>
                <w:sz w:val="16"/>
                <w:szCs w:val="16"/>
                <w:rtl/>
                <w:lang w:val="en-GB" w:eastAsia="en-GB"/>
              </w:rPr>
            </w:pPr>
          </w:p>
        </w:tc>
        <w:tc>
          <w:tcPr>
            <w:tcW w:w="1349" w:type="dxa"/>
            <w:tcBorders>
              <w:top w:val="nil"/>
              <w:left w:val="nil"/>
              <w:bottom w:val="nil"/>
              <w:right w:val="nil"/>
            </w:tcBorders>
            <w:shd w:val="clear" w:color="auto" w:fill="538DD5"/>
            <w:vAlign w:val="bottom"/>
          </w:tcPr>
          <w:p w14:paraId="10AB2EE7" w14:textId="3D939F8B" w:rsidR="00A770A4" w:rsidRPr="005269E6" w:rsidRDefault="00796FC2"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(413 710)</w:t>
            </w:r>
          </w:p>
        </w:tc>
        <w:tc>
          <w:tcPr>
            <w:tcW w:w="1154" w:type="dxa"/>
            <w:tcBorders>
              <w:top w:val="nil"/>
              <w:left w:val="nil"/>
              <w:bottom w:val="nil"/>
              <w:right w:val="nil"/>
            </w:tcBorders>
            <w:shd w:val="clear" w:color="auto" w:fill="538DD5"/>
            <w:vAlign w:val="bottom"/>
          </w:tcPr>
          <w:p w14:paraId="6BBEE396" w14:textId="3F5658FA" w:rsidR="00A770A4" w:rsidRPr="005269E6" w:rsidRDefault="00F572CC"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2 924</w:t>
            </w:r>
          </w:p>
        </w:tc>
        <w:tc>
          <w:tcPr>
            <w:tcW w:w="938" w:type="dxa"/>
            <w:tcBorders>
              <w:top w:val="nil"/>
              <w:left w:val="nil"/>
              <w:bottom w:val="nil"/>
              <w:right w:val="nil"/>
            </w:tcBorders>
            <w:shd w:val="clear" w:color="auto" w:fill="538DD5"/>
            <w:vAlign w:val="bottom"/>
          </w:tcPr>
          <w:p w14:paraId="7115B632" w14:textId="04354497" w:rsidR="00A770A4" w:rsidRPr="005269E6" w:rsidRDefault="00F572CC" w:rsidP="00696AA6">
            <w:pPr>
              <w:tabs>
                <w:tab w:val="clear" w:pos="794"/>
              </w:tabs>
              <w:spacing w:before="40" w:after="40" w:line="240" w:lineRule="exact"/>
              <w:jc w:val="left"/>
              <w:rPr>
                <w:rFonts w:eastAsia="Times New Roman"/>
                <w:b/>
                <w:bCs/>
                <w:color w:val="000000"/>
                <w:sz w:val="16"/>
                <w:szCs w:val="16"/>
                <w:lang w:eastAsia="en-GB"/>
              </w:rPr>
            </w:pPr>
            <w:r w:rsidRPr="005269E6">
              <w:rPr>
                <w:rFonts w:eastAsia="Times New Roman"/>
                <w:b/>
                <w:bCs/>
                <w:color w:val="000000"/>
                <w:sz w:val="16"/>
                <w:szCs w:val="16"/>
                <w:lang w:eastAsia="en-GB"/>
              </w:rPr>
              <w:t>(</w:t>
            </w:r>
            <w:r w:rsidR="001E1979" w:rsidRPr="005269E6">
              <w:rPr>
                <w:rFonts w:eastAsia="Times New Roman"/>
                <w:b/>
                <w:bCs/>
                <w:color w:val="000000"/>
                <w:sz w:val="16"/>
                <w:szCs w:val="16"/>
                <w:lang w:eastAsia="en-GB"/>
              </w:rPr>
              <w:t>410 786</w:t>
            </w:r>
            <w:r w:rsidRPr="005269E6">
              <w:rPr>
                <w:rFonts w:eastAsia="Times New Roman"/>
                <w:b/>
                <w:bCs/>
                <w:color w:val="000000"/>
                <w:sz w:val="16"/>
                <w:szCs w:val="16"/>
                <w:lang w:eastAsia="en-GB"/>
              </w:rPr>
              <w:t>)</w:t>
            </w:r>
          </w:p>
        </w:tc>
        <w:tc>
          <w:tcPr>
            <w:tcW w:w="271" w:type="dxa"/>
            <w:tcBorders>
              <w:top w:val="nil"/>
              <w:left w:val="nil"/>
              <w:bottom w:val="nil"/>
              <w:right w:val="nil"/>
            </w:tcBorders>
            <w:shd w:val="clear" w:color="auto" w:fill="auto"/>
            <w:vAlign w:val="bottom"/>
          </w:tcPr>
          <w:p w14:paraId="0B95FAD3" w14:textId="77777777" w:rsidR="00A770A4" w:rsidRPr="005269E6" w:rsidRDefault="00A770A4" w:rsidP="00696AA6">
            <w:pPr>
              <w:tabs>
                <w:tab w:val="clear" w:pos="794"/>
              </w:tabs>
              <w:spacing w:before="40" w:after="40" w:line="240" w:lineRule="exact"/>
              <w:jc w:val="left"/>
              <w:rPr>
                <w:rFonts w:eastAsia="Times New Roman"/>
                <w:b/>
                <w:bCs/>
                <w:color w:val="000000"/>
                <w:sz w:val="16"/>
                <w:szCs w:val="16"/>
                <w:lang w:val="en-GB" w:eastAsia="en-GB"/>
              </w:rPr>
            </w:pPr>
          </w:p>
        </w:tc>
        <w:tc>
          <w:tcPr>
            <w:tcW w:w="1349" w:type="dxa"/>
            <w:tcBorders>
              <w:top w:val="nil"/>
              <w:left w:val="nil"/>
              <w:bottom w:val="nil"/>
              <w:right w:val="nil"/>
            </w:tcBorders>
            <w:shd w:val="clear" w:color="auto" w:fill="538DD5"/>
            <w:noWrap/>
            <w:vAlign w:val="bottom"/>
          </w:tcPr>
          <w:p w14:paraId="68FB88CF" w14:textId="1BD0E074" w:rsidR="00A770A4" w:rsidRPr="005269E6" w:rsidRDefault="001E1979"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(500 571)</w:t>
            </w:r>
          </w:p>
        </w:tc>
        <w:tc>
          <w:tcPr>
            <w:tcW w:w="1154" w:type="dxa"/>
            <w:tcBorders>
              <w:top w:val="nil"/>
              <w:left w:val="nil"/>
              <w:bottom w:val="nil"/>
              <w:right w:val="nil"/>
            </w:tcBorders>
            <w:shd w:val="clear" w:color="auto" w:fill="538DD5"/>
            <w:vAlign w:val="bottom"/>
          </w:tcPr>
          <w:p w14:paraId="2F46598A" w14:textId="62F63244" w:rsidR="00A770A4" w:rsidRPr="005269E6" w:rsidRDefault="001E1979"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497</w:t>
            </w:r>
          </w:p>
        </w:tc>
        <w:tc>
          <w:tcPr>
            <w:tcW w:w="1133" w:type="dxa"/>
            <w:tcBorders>
              <w:top w:val="nil"/>
              <w:left w:val="nil"/>
              <w:bottom w:val="nil"/>
              <w:right w:val="nil"/>
            </w:tcBorders>
            <w:shd w:val="clear" w:color="auto" w:fill="538DD5"/>
            <w:noWrap/>
            <w:vAlign w:val="bottom"/>
          </w:tcPr>
          <w:p w14:paraId="14BC55BA" w14:textId="3CDC4A75" w:rsidR="00A770A4" w:rsidRPr="005269E6" w:rsidRDefault="001E1979" w:rsidP="00696AA6">
            <w:pPr>
              <w:tabs>
                <w:tab w:val="clear" w:pos="794"/>
              </w:tabs>
              <w:spacing w:before="40" w:after="40" w:line="240" w:lineRule="exact"/>
              <w:jc w:val="left"/>
              <w:rPr>
                <w:rFonts w:eastAsia="Times New Roman"/>
                <w:b/>
                <w:bCs/>
                <w:color w:val="000000"/>
                <w:sz w:val="16"/>
                <w:szCs w:val="16"/>
                <w:lang w:val="en-GB" w:eastAsia="en-GB"/>
              </w:rPr>
            </w:pPr>
            <w:r w:rsidRPr="005269E6">
              <w:rPr>
                <w:rFonts w:eastAsia="Times New Roman"/>
                <w:b/>
                <w:bCs/>
                <w:color w:val="000000"/>
                <w:sz w:val="16"/>
                <w:szCs w:val="16"/>
                <w:lang w:val="en-GB" w:eastAsia="en-GB"/>
              </w:rPr>
              <w:t>(500 074)</w:t>
            </w:r>
          </w:p>
        </w:tc>
      </w:tr>
    </w:tbl>
    <w:p w14:paraId="2ADFBD98" w14:textId="61070D19" w:rsidR="00A25650" w:rsidRPr="005269E6" w:rsidRDefault="00881B12" w:rsidP="00696AA6">
      <w:pPr>
        <w:pStyle w:val="Heading5"/>
        <w:rPr>
          <w:lang w:bidi="ar-EG"/>
        </w:rPr>
      </w:pPr>
      <w:bookmarkStart w:id="717" w:name="_Toc162520650"/>
      <w:r w:rsidRPr="005269E6">
        <w:rPr>
          <w:rtl/>
          <w:lang w:bidi="ar-SY"/>
        </w:rPr>
        <w:t>بيان الأداء المالي</w:t>
      </w:r>
      <w:r w:rsidRPr="005269E6">
        <w:rPr>
          <w:lang w:bidi="ar-SY"/>
        </w:rPr>
        <w:t xml:space="preserve"> </w:t>
      </w:r>
      <w:r w:rsidRPr="005269E6">
        <w:rPr>
          <w:rtl/>
          <w:lang w:bidi="ar-SY"/>
        </w:rPr>
        <w:t>للسنة المنتهية في 31 ديسمبر</w:t>
      </w:r>
      <w:r w:rsidRPr="005269E6">
        <w:rPr>
          <w:rFonts w:hint="cs"/>
          <w:rtl/>
          <w:lang w:bidi="ar-SY"/>
        </w:rPr>
        <w:t xml:space="preserve"> </w:t>
      </w:r>
      <w:r w:rsidRPr="005269E6">
        <w:rPr>
          <w:lang w:bidi="ar-SY"/>
        </w:rPr>
        <w:t>2021</w:t>
      </w:r>
      <w:r w:rsidRPr="005269E6">
        <w:rPr>
          <w:rFonts w:hint="cs"/>
          <w:rtl/>
          <w:lang w:bidi="ar-EG"/>
        </w:rPr>
        <w:t>، (معاد بيانه)</w:t>
      </w:r>
      <w:bookmarkEnd w:id="717"/>
    </w:p>
    <w:tbl>
      <w:tblPr>
        <w:bidiVisual/>
        <w:tblW w:w="4853" w:type="pct"/>
        <w:jc w:val="center"/>
        <w:tblLook w:val="04A0" w:firstRow="1" w:lastRow="0" w:firstColumn="1" w:lastColumn="0" w:noHBand="0" w:noVBand="1"/>
      </w:tblPr>
      <w:tblGrid>
        <w:gridCol w:w="2622"/>
        <w:gridCol w:w="1992"/>
        <w:gridCol w:w="1491"/>
        <w:gridCol w:w="1563"/>
        <w:gridCol w:w="1688"/>
      </w:tblGrid>
      <w:tr w:rsidR="00E7058A" w:rsidRPr="005269E6" w14:paraId="6C0AE346" w14:textId="77777777" w:rsidTr="00FE51D3">
        <w:trPr>
          <w:trHeight w:val="540"/>
          <w:jc w:val="center"/>
        </w:trPr>
        <w:tc>
          <w:tcPr>
            <w:tcW w:w="2621" w:type="dxa"/>
            <w:tcBorders>
              <w:top w:val="nil"/>
              <w:left w:val="nil"/>
              <w:bottom w:val="nil"/>
              <w:right w:val="nil"/>
            </w:tcBorders>
            <w:shd w:val="clear" w:color="000000" w:fill="0070C0"/>
            <w:noWrap/>
            <w:vAlign w:val="center"/>
            <w:hideMark/>
          </w:tcPr>
          <w:p w14:paraId="03D70E00" w14:textId="7729710E" w:rsidR="00E7058A" w:rsidRPr="005269E6" w:rsidRDefault="00881B12" w:rsidP="00FE51D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وصف</w:t>
            </w:r>
          </w:p>
        </w:tc>
        <w:tc>
          <w:tcPr>
            <w:tcW w:w="1992" w:type="dxa"/>
            <w:tcBorders>
              <w:top w:val="nil"/>
              <w:left w:val="nil"/>
              <w:bottom w:val="nil"/>
              <w:right w:val="nil"/>
            </w:tcBorders>
            <w:shd w:val="clear" w:color="000000" w:fill="0070C0"/>
            <w:vAlign w:val="center"/>
            <w:hideMark/>
          </w:tcPr>
          <w:p w14:paraId="6C40D876" w14:textId="5ACF5935" w:rsidR="00E7058A" w:rsidRPr="005269E6" w:rsidRDefault="00CF0ABF" w:rsidP="00FE51D3">
            <w:pPr>
              <w:tabs>
                <w:tab w:val="clear" w:pos="794"/>
              </w:tabs>
              <w:spacing w:before="40" w:after="40" w:line="240" w:lineRule="exact"/>
              <w:jc w:val="center"/>
              <w:rPr>
                <w:rFonts w:eastAsia="Times New Roman"/>
                <w:b/>
                <w:bCs/>
                <w:color w:val="000000"/>
                <w:sz w:val="18"/>
                <w:szCs w:val="18"/>
                <w:rtl/>
                <w:lang w:val="en-GB" w:eastAsia="en-GB" w:bidi="ar-SY"/>
              </w:rPr>
            </w:pPr>
            <w:r w:rsidRPr="005269E6">
              <w:rPr>
                <w:rFonts w:eastAsia="Times New Roman"/>
                <w:b/>
                <w:bCs/>
                <w:color w:val="000000"/>
                <w:sz w:val="18"/>
                <w:szCs w:val="18"/>
                <w:rtl/>
                <w:lang w:val="en-GB" w:eastAsia="en-GB" w:bidi="ar-SY"/>
              </w:rPr>
              <w:t>ملاحظات</w:t>
            </w:r>
          </w:p>
        </w:tc>
        <w:tc>
          <w:tcPr>
            <w:tcW w:w="1491" w:type="dxa"/>
            <w:tcBorders>
              <w:top w:val="nil"/>
              <w:left w:val="nil"/>
              <w:bottom w:val="nil"/>
              <w:right w:val="nil"/>
            </w:tcBorders>
            <w:shd w:val="clear" w:color="000000" w:fill="0070C0"/>
            <w:vAlign w:val="center"/>
          </w:tcPr>
          <w:p w14:paraId="21BDADF9" w14:textId="1262A521" w:rsidR="00E7058A" w:rsidRPr="005269E6" w:rsidRDefault="00CF0ABF" w:rsidP="00FE51D3">
            <w:pPr>
              <w:tabs>
                <w:tab w:val="clear" w:pos="794"/>
              </w:tabs>
              <w:spacing w:before="40" w:after="40" w:line="240" w:lineRule="exact"/>
              <w:jc w:val="center"/>
              <w:rPr>
                <w:rFonts w:eastAsia="Times New Roman"/>
                <w:b/>
                <w:bCs/>
                <w:color w:val="000000"/>
                <w:sz w:val="18"/>
                <w:szCs w:val="18"/>
                <w:rtl/>
                <w:lang w:eastAsia="en-GB" w:bidi="ar-SY"/>
              </w:rPr>
            </w:pPr>
            <w:r w:rsidRPr="005269E6">
              <w:rPr>
                <w:rFonts w:eastAsia="Times New Roman"/>
                <w:b/>
                <w:bCs/>
                <w:color w:val="000000"/>
                <w:sz w:val="18"/>
                <w:szCs w:val="18"/>
                <w:lang w:eastAsia="en-GB"/>
              </w:rPr>
              <w:t>31</w:t>
            </w:r>
            <w:r w:rsidRPr="005269E6">
              <w:rPr>
                <w:rFonts w:eastAsia="Times New Roman"/>
                <w:b/>
                <w:bCs/>
                <w:color w:val="000000"/>
                <w:sz w:val="18"/>
                <w:szCs w:val="18"/>
                <w:rtl/>
                <w:lang w:eastAsia="en-GB" w:bidi="ar-SY"/>
              </w:rPr>
              <w:t xml:space="preserve"> ديسمبر </w:t>
            </w:r>
            <w:r w:rsidRPr="005269E6">
              <w:rPr>
                <w:rFonts w:eastAsia="Times New Roman"/>
                <w:b/>
                <w:bCs/>
                <w:color w:val="000000"/>
                <w:sz w:val="18"/>
                <w:szCs w:val="18"/>
                <w:lang w:eastAsia="en-GB" w:bidi="ar-SY"/>
              </w:rPr>
              <w:t>2021</w:t>
            </w:r>
          </w:p>
        </w:tc>
        <w:tc>
          <w:tcPr>
            <w:tcW w:w="1563" w:type="dxa"/>
            <w:tcBorders>
              <w:top w:val="nil"/>
              <w:left w:val="nil"/>
              <w:bottom w:val="nil"/>
              <w:right w:val="nil"/>
            </w:tcBorders>
            <w:shd w:val="clear" w:color="000000" w:fill="0070C0"/>
            <w:vAlign w:val="center"/>
            <w:hideMark/>
          </w:tcPr>
          <w:p w14:paraId="0EBD0521" w14:textId="35398C78" w:rsidR="00E7058A" w:rsidRPr="005269E6" w:rsidRDefault="00881B12" w:rsidP="00FE51D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بيانات مراجعة</w:t>
            </w:r>
          </w:p>
        </w:tc>
        <w:tc>
          <w:tcPr>
            <w:tcW w:w="1688" w:type="dxa"/>
            <w:tcBorders>
              <w:top w:val="nil"/>
              <w:left w:val="nil"/>
              <w:bottom w:val="nil"/>
              <w:right w:val="nil"/>
            </w:tcBorders>
            <w:shd w:val="clear" w:color="000000" w:fill="0070C0"/>
            <w:vAlign w:val="center"/>
            <w:hideMark/>
          </w:tcPr>
          <w:p w14:paraId="047A89F3" w14:textId="493047E7" w:rsidR="00E7058A" w:rsidRPr="005269E6" w:rsidRDefault="00CF0ABF" w:rsidP="00FE51D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eastAsia="en-GB"/>
              </w:rPr>
              <w:t>31</w:t>
            </w:r>
            <w:r w:rsidRPr="005269E6">
              <w:rPr>
                <w:rFonts w:eastAsia="Times New Roman"/>
                <w:b/>
                <w:bCs/>
                <w:color w:val="000000"/>
                <w:sz w:val="18"/>
                <w:szCs w:val="18"/>
                <w:rtl/>
                <w:lang w:eastAsia="en-GB" w:bidi="ar-SY"/>
              </w:rPr>
              <w:t xml:space="preserve"> ديسمبر </w:t>
            </w:r>
            <w:r w:rsidRPr="005269E6">
              <w:rPr>
                <w:rFonts w:eastAsia="Times New Roman"/>
                <w:b/>
                <w:bCs/>
                <w:color w:val="000000"/>
                <w:sz w:val="18"/>
                <w:szCs w:val="18"/>
                <w:lang w:eastAsia="en-GB" w:bidi="ar-SY"/>
              </w:rPr>
              <w:t>2021</w:t>
            </w:r>
            <w:r w:rsidRPr="005269E6">
              <w:rPr>
                <w:rFonts w:eastAsia="Times New Roman"/>
                <w:b/>
                <w:bCs/>
                <w:color w:val="000000"/>
                <w:sz w:val="18"/>
                <w:szCs w:val="18"/>
                <w:rtl/>
                <w:lang w:eastAsia="en-GB" w:bidi="ar-SY"/>
              </w:rPr>
              <w:t xml:space="preserve"> </w:t>
            </w:r>
            <w:r w:rsidR="00881B12" w:rsidRPr="005269E6">
              <w:rPr>
                <w:rFonts w:eastAsia="Times New Roman"/>
                <w:b/>
                <w:bCs/>
                <w:color w:val="000000"/>
                <w:sz w:val="18"/>
                <w:szCs w:val="18"/>
                <w:rtl/>
                <w:lang w:eastAsia="en-GB" w:bidi="ar-SY"/>
              </w:rPr>
              <w:t>(معاد بيانه)</w:t>
            </w:r>
          </w:p>
        </w:tc>
      </w:tr>
      <w:tr w:rsidR="00E7058A" w:rsidRPr="005269E6" w14:paraId="6E822C1E" w14:textId="77777777" w:rsidTr="00FE51D3">
        <w:trPr>
          <w:trHeight w:val="255"/>
          <w:jc w:val="center"/>
        </w:trPr>
        <w:tc>
          <w:tcPr>
            <w:tcW w:w="2621" w:type="dxa"/>
            <w:tcBorders>
              <w:top w:val="nil"/>
              <w:left w:val="nil"/>
              <w:bottom w:val="nil"/>
              <w:right w:val="nil"/>
            </w:tcBorders>
            <w:shd w:val="clear" w:color="auto" w:fill="auto"/>
            <w:noWrap/>
            <w:vAlign w:val="bottom"/>
            <w:hideMark/>
          </w:tcPr>
          <w:p w14:paraId="78BDF6E0" w14:textId="1CD7462F" w:rsidR="00E7058A" w:rsidRPr="005269E6" w:rsidRDefault="00881B12" w:rsidP="00666023">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الإيرادات</w:t>
            </w:r>
          </w:p>
        </w:tc>
        <w:tc>
          <w:tcPr>
            <w:tcW w:w="1992" w:type="dxa"/>
            <w:tcBorders>
              <w:top w:val="nil"/>
              <w:left w:val="nil"/>
              <w:bottom w:val="nil"/>
              <w:right w:val="nil"/>
            </w:tcBorders>
            <w:shd w:val="clear" w:color="auto" w:fill="auto"/>
            <w:noWrap/>
            <w:vAlign w:val="bottom"/>
          </w:tcPr>
          <w:p w14:paraId="2AB4F8B8" w14:textId="77777777" w:rsidR="00E7058A" w:rsidRPr="005269E6" w:rsidRDefault="00E7058A" w:rsidP="00666023">
            <w:pPr>
              <w:tabs>
                <w:tab w:val="clear" w:pos="794"/>
              </w:tabs>
              <w:spacing w:before="40" w:after="40" w:line="240" w:lineRule="exact"/>
              <w:jc w:val="center"/>
              <w:rPr>
                <w:rFonts w:eastAsia="Times New Roman"/>
                <w:color w:val="000000"/>
                <w:sz w:val="18"/>
                <w:szCs w:val="18"/>
                <w:lang w:val="en-GB" w:eastAsia="en-GB"/>
              </w:rPr>
            </w:pPr>
          </w:p>
        </w:tc>
        <w:tc>
          <w:tcPr>
            <w:tcW w:w="1491" w:type="dxa"/>
            <w:tcBorders>
              <w:top w:val="nil"/>
              <w:left w:val="nil"/>
              <w:bottom w:val="nil"/>
              <w:right w:val="nil"/>
            </w:tcBorders>
          </w:tcPr>
          <w:p w14:paraId="4FA3B280" w14:textId="77777777" w:rsidR="00E7058A" w:rsidRPr="005269E6" w:rsidRDefault="00E7058A" w:rsidP="00FE51D3">
            <w:pPr>
              <w:tabs>
                <w:tab w:val="clear" w:pos="794"/>
              </w:tabs>
              <w:spacing w:before="40" w:after="40" w:line="240" w:lineRule="exact"/>
              <w:jc w:val="right"/>
              <w:rPr>
                <w:rFonts w:eastAsia="Times New Roman"/>
                <w:color w:val="000000"/>
                <w:sz w:val="18"/>
                <w:szCs w:val="18"/>
                <w:lang w:val="en-GB" w:eastAsia="en-GB"/>
              </w:rPr>
            </w:pPr>
          </w:p>
        </w:tc>
        <w:tc>
          <w:tcPr>
            <w:tcW w:w="1563" w:type="dxa"/>
            <w:tcBorders>
              <w:top w:val="nil"/>
              <w:left w:val="nil"/>
              <w:bottom w:val="nil"/>
              <w:right w:val="nil"/>
            </w:tcBorders>
            <w:shd w:val="clear" w:color="auto" w:fill="auto"/>
            <w:noWrap/>
            <w:vAlign w:val="bottom"/>
            <w:hideMark/>
          </w:tcPr>
          <w:p w14:paraId="7BB682BB" w14:textId="2DF26B93" w:rsidR="00E7058A" w:rsidRPr="005269E6" w:rsidRDefault="00E7058A" w:rsidP="00FE51D3">
            <w:pPr>
              <w:tabs>
                <w:tab w:val="clear" w:pos="794"/>
              </w:tabs>
              <w:spacing w:before="40" w:after="40" w:line="240" w:lineRule="exact"/>
              <w:jc w:val="right"/>
              <w:rPr>
                <w:rFonts w:eastAsia="Times New Roman"/>
                <w:color w:val="000000"/>
                <w:sz w:val="18"/>
                <w:szCs w:val="18"/>
                <w:lang w:val="en-GB" w:eastAsia="en-GB"/>
              </w:rPr>
            </w:pPr>
          </w:p>
        </w:tc>
        <w:tc>
          <w:tcPr>
            <w:tcW w:w="1688" w:type="dxa"/>
            <w:tcBorders>
              <w:top w:val="nil"/>
              <w:left w:val="nil"/>
              <w:bottom w:val="nil"/>
              <w:right w:val="nil"/>
            </w:tcBorders>
            <w:shd w:val="clear" w:color="auto" w:fill="auto"/>
            <w:noWrap/>
            <w:vAlign w:val="bottom"/>
            <w:hideMark/>
          </w:tcPr>
          <w:p w14:paraId="23C2429C" w14:textId="4815B71A" w:rsidR="00E7058A" w:rsidRPr="005269E6" w:rsidRDefault="00E7058A" w:rsidP="00FE51D3">
            <w:pPr>
              <w:tabs>
                <w:tab w:val="clear" w:pos="794"/>
              </w:tabs>
              <w:spacing w:before="40" w:after="40" w:line="240" w:lineRule="exact"/>
              <w:jc w:val="right"/>
              <w:rPr>
                <w:rFonts w:eastAsia="Times New Roman"/>
                <w:color w:val="000000"/>
                <w:sz w:val="18"/>
                <w:szCs w:val="18"/>
                <w:lang w:val="en-GB" w:eastAsia="en-GB"/>
              </w:rPr>
            </w:pPr>
          </w:p>
        </w:tc>
      </w:tr>
      <w:tr w:rsidR="00881B12" w:rsidRPr="005269E6" w14:paraId="185C212B" w14:textId="77777777" w:rsidTr="00FE51D3">
        <w:trPr>
          <w:trHeight w:val="255"/>
          <w:jc w:val="center"/>
        </w:trPr>
        <w:tc>
          <w:tcPr>
            <w:tcW w:w="2621" w:type="dxa"/>
            <w:tcBorders>
              <w:top w:val="nil"/>
              <w:left w:val="nil"/>
              <w:bottom w:val="nil"/>
              <w:right w:val="nil"/>
            </w:tcBorders>
            <w:shd w:val="clear" w:color="auto" w:fill="auto"/>
            <w:noWrap/>
            <w:vAlign w:val="bottom"/>
            <w:hideMark/>
          </w:tcPr>
          <w:p w14:paraId="12E365C0" w14:textId="644A0AB7" w:rsidR="00881B12" w:rsidRPr="005269E6" w:rsidRDefault="00881B12" w:rsidP="00881B12">
            <w:pPr>
              <w:tabs>
                <w:tab w:val="clear" w:pos="794"/>
              </w:tabs>
              <w:spacing w:before="40" w:after="40" w:line="240" w:lineRule="exact"/>
              <w:jc w:val="left"/>
              <w:rPr>
                <w:rFonts w:eastAsia="Times New Roman"/>
                <w:color w:val="000000"/>
                <w:sz w:val="18"/>
                <w:szCs w:val="18"/>
                <w:lang w:val="en-GB" w:eastAsia="en-GB"/>
              </w:rPr>
            </w:pPr>
            <w:r w:rsidRPr="005269E6">
              <w:rPr>
                <w:sz w:val="18"/>
                <w:szCs w:val="18"/>
                <w:rtl/>
              </w:rPr>
              <w:t>المساهمات المقررة</w:t>
            </w:r>
          </w:p>
        </w:tc>
        <w:tc>
          <w:tcPr>
            <w:tcW w:w="1992" w:type="dxa"/>
            <w:tcBorders>
              <w:top w:val="nil"/>
              <w:left w:val="nil"/>
              <w:bottom w:val="nil"/>
              <w:right w:val="nil"/>
            </w:tcBorders>
            <w:shd w:val="clear" w:color="auto" w:fill="auto"/>
            <w:noWrap/>
            <w:vAlign w:val="bottom"/>
            <w:hideMark/>
          </w:tcPr>
          <w:p w14:paraId="38C32B20" w14:textId="77777777" w:rsidR="00881B12" w:rsidRPr="005269E6" w:rsidRDefault="00881B12" w:rsidP="00881B12">
            <w:pPr>
              <w:tabs>
                <w:tab w:val="clear" w:pos="794"/>
              </w:tabs>
              <w:spacing w:before="40" w:after="40" w:line="240" w:lineRule="exact"/>
              <w:jc w:val="left"/>
              <w:rPr>
                <w:rFonts w:eastAsia="Times New Roman"/>
                <w:i/>
                <w:iCs/>
                <w:sz w:val="18"/>
                <w:szCs w:val="18"/>
                <w:lang w:val="en-GB" w:eastAsia="en-GB"/>
              </w:rPr>
            </w:pPr>
          </w:p>
        </w:tc>
        <w:tc>
          <w:tcPr>
            <w:tcW w:w="1491" w:type="dxa"/>
            <w:tcBorders>
              <w:top w:val="nil"/>
              <w:left w:val="nil"/>
              <w:bottom w:val="nil"/>
              <w:right w:val="nil"/>
            </w:tcBorders>
          </w:tcPr>
          <w:p w14:paraId="03F9107C" w14:textId="0EBD821C" w:rsidR="00881B12" w:rsidRPr="005269E6" w:rsidRDefault="00881B12" w:rsidP="00696AA6">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125 611</w:t>
            </w:r>
          </w:p>
        </w:tc>
        <w:tc>
          <w:tcPr>
            <w:tcW w:w="1563" w:type="dxa"/>
            <w:tcBorders>
              <w:top w:val="nil"/>
              <w:left w:val="nil"/>
              <w:bottom w:val="nil"/>
              <w:right w:val="nil"/>
            </w:tcBorders>
            <w:shd w:val="clear" w:color="auto" w:fill="auto"/>
            <w:noWrap/>
            <w:vAlign w:val="bottom"/>
            <w:hideMark/>
          </w:tcPr>
          <w:p w14:paraId="325A4331" w14:textId="6AE1026D" w:rsidR="00881B12" w:rsidRPr="005269E6" w:rsidRDefault="00881B1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688" w:type="dxa"/>
            <w:tcBorders>
              <w:top w:val="nil"/>
              <w:left w:val="nil"/>
              <w:bottom w:val="nil"/>
              <w:right w:val="nil"/>
            </w:tcBorders>
            <w:shd w:val="clear" w:color="auto" w:fill="auto"/>
            <w:noWrap/>
            <w:vAlign w:val="bottom"/>
            <w:hideMark/>
          </w:tcPr>
          <w:p w14:paraId="4BD07D1A" w14:textId="06450772" w:rsidR="00881B12" w:rsidRPr="005269E6" w:rsidRDefault="00881B1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125 611</w:t>
            </w:r>
          </w:p>
        </w:tc>
      </w:tr>
      <w:tr w:rsidR="00881B12" w:rsidRPr="005269E6" w14:paraId="24EE087A" w14:textId="77777777" w:rsidTr="00FE51D3">
        <w:trPr>
          <w:trHeight w:val="255"/>
          <w:jc w:val="center"/>
        </w:trPr>
        <w:tc>
          <w:tcPr>
            <w:tcW w:w="2621" w:type="dxa"/>
            <w:tcBorders>
              <w:top w:val="nil"/>
              <w:left w:val="nil"/>
              <w:bottom w:val="nil"/>
              <w:right w:val="nil"/>
            </w:tcBorders>
            <w:shd w:val="clear" w:color="auto" w:fill="auto"/>
            <w:noWrap/>
            <w:vAlign w:val="bottom"/>
            <w:hideMark/>
          </w:tcPr>
          <w:p w14:paraId="2171367B" w14:textId="52AAAC0D" w:rsidR="00881B12" w:rsidRPr="005269E6" w:rsidRDefault="00881B12" w:rsidP="00881B12">
            <w:pPr>
              <w:tabs>
                <w:tab w:val="clear" w:pos="794"/>
              </w:tabs>
              <w:spacing w:before="40" w:after="40" w:line="240" w:lineRule="exact"/>
              <w:jc w:val="left"/>
              <w:rPr>
                <w:rFonts w:eastAsia="Times New Roman"/>
                <w:color w:val="000000"/>
                <w:sz w:val="18"/>
                <w:szCs w:val="18"/>
                <w:lang w:val="en-GB" w:eastAsia="en-GB"/>
              </w:rPr>
            </w:pPr>
            <w:r w:rsidRPr="005269E6">
              <w:rPr>
                <w:sz w:val="18"/>
                <w:szCs w:val="18"/>
                <w:rtl/>
              </w:rPr>
              <w:t>المساهمات الخارجة عن الميزانية</w:t>
            </w:r>
          </w:p>
        </w:tc>
        <w:tc>
          <w:tcPr>
            <w:tcW w:w="1992" w:type="dxa"/>
            <w:tcBorders>
              <w:top w:val="nil"/>
              <w:left w:val="nil"/>
              <w:bottom w:val="nil"/>
              <w:right w:val="nil"/>
            </w:tcBorders>
            <w:shd w:val="clear" w:color="auto" w:fill="auto"/>
            <w:noWrap/>
            <w:vAlign w:val="bottom"/>
            <w:hideMark/>
          </w:tcPr>
          <w:p w14:paraId="0F43C795" w14:textId="03816D6A" w:rsidR="00881B12" w:rsidRPr="005269E6" w:rsidRDefault="00881B12" w:rsidP="00881B12">
            <w:pPr>
              <w:tabs>
                <w:tab w:val="clear" w:pos="794"/>
              </w:tabs>
              <w:spacing w:before="40" w:after="40" w:line="240" w:lineRule="exact"/>
              <w:jc w:val="left"/>
              <w:rPr>
                <w:rFonts w:eastAsia="Times New Roman"/>
                <w:i/>
                <w:iCs/>
                <w:sz w:val="18"/>
                <w:szCs w:val="18"/>
                <w:rtl/>
                <w:lang w:eastAsia="en-GB" w:bidi="ar-SY"/>
              </w:rPr>
            </w:pPr>
            <w:r w:rsidRPr="005269E6">
              <w:rPr>
                <w:rFonts w:eastAsia="Times New Roman"/>
                <w:i/>
                <w:iCs/>
                <w:sz w:val="18"/>
                <w:szCs w:val="18"/>
                <w:rtl/>
                <w:lang w:val="en-GB" w:eastAsia="en-GB"/>
              </w:rPr>
              <w:t xml:space="preserve">الملاحظة </w:t>
            </w:r>
            <w:r w:rsidRPr="005269E6">
              <w:rPr>
                <w:rFonts w:eastAsia="Times New Roman"/>
                <w:i/>
                <w:iCs/>
                <w:sz w:val="18"/>
                <w:szCs w:val="18"/>
                <w:lang w:eastAsia="en-GB"/>
              </w:rPr>
              <w:t>12.30</w:t>
            </w:r>
            <w:r w:rsidRPr="005269E6">
              <w:rPr>
                <w:rFonts w:eastAsia="Times New Roman"/>
                <w:i/>
                <w:iCs/>
                <w:sz w:val="18"/>
                <w:szCs w:val="18"/>
                <w:rtl/>
                <w:lang w:eastAsia="en-GB" w:bidi="ar-SY"/>
              </w:rPr>
              <w:t xml:space="preserve"> و</w:t>
            </w:r>
            <w:r w:rsidRPr="005269E6">
              <w:rPr>
                <w:rFonts w:eastAsia="Times New Roman"/>
                <w:i/>
                <w:iCs/>
                <w:sz w:val="18"/>
                <w:szCs w:val="18"/>
                <w:lang w:eastAsia="en-GB" w:bidi="ar-SY"/>
              </w:rPr>
              <w:t>23.30</w:t>
            </w:r>
          </w:p>
        </w:tc>
        <w:tc>
          <w:tcPr>
            <w:tcW w:w="1491" w:type="dxa"/>
            <w:tcBorders>
              <w:top w:val="nil"/>
              <w:left w:val="nil"/>
              <w:bottom w:val="nil"/>
              <w:right w:val="nil"/>
            </w:tcBorders>
          </w:tcPr>
          <w:p w14:paraId="1577FB3C" w14:textId="0E7A1D4B" w:rsidR="00881B12" w:rsidRPr="005269E6" w:rsidRDefault="00881B12" w:rsidP="00696AA6">
            <w:pPr>
              <w:tabs>
                <w:tab w:val="clear" w:pos="794"/>
              </w:tabs>
              <w:spacing w:before="40" w:after="40" w:line="240" w:lineRule="exact"/>
              <w:jc w:val="left"/>
              <w:rPr>
                <w:rFonts w:eastAsia="Times New Roman"/>
                <w:sz w:val="18"/>
                <w:szCs w:val="18"/>
                <w:lang w:eastAsia="en-GB"/>
              </w:rPr>
            </w:pPr>
            <w:r w:rsidRPr="005269E6">
              <w:rPr>
                <w:rFonts w:eastAsia="Times New Roman"/>
                <w:sz w:val="18"/>
                <w:szCs w:val="18"/>
                <w:lang w:eastAsia="en-GB"/>
              </w:rPr>
              <w:t>13 581</w:t>
            </w:r>
          </w:p>
        </w:tc>
        <w:tc>
          <w:tcPr>
            <w:tcW w:w="1563" w:type="dxa"/>
            <w:tcBorders>
              <w:top w:val="nil"/>
              <w:left w:val="nil"/>
              <w:bottom w:val="nil"/>
              <w:right w:val="nil"/>
            </w:tcBorders>
            <w:shd w:val="clear" w:color="auto" w:fill="auto"/>
            <w:noWrap/>
            <w:vAlign w:val="bottom"/>
            <w:hideMark/>
          </w:tcPr>
          <w:p w14:paraId="364C49C4" w14:textId="3073A42D" w:rsidR="00881B12" w:rsidRPr="005269E6" w:rsidRDefault="00881B12" w:rsidP="00696AA6">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542</w:t>
            </w:r>
          </w:p>
        </w:tc>
        <w:tc>
          <w:tcPr>
            <w:tcW w:w="1688" w:type="dxa"/>
            <w:tcBorders>
              <w:top w:val="nil"/>
              <w:left w:val="nil"/>
              <w:bottom w:val="nil"/>
              <w:right w:val="nil"/>
            </w:tcBorders>
            <w:shd w:val="clear" w:color="auto" w:fill="auto"/>
            <w:noWrap/>
            <w:vAlign w:val="bottom"/>
            <w:hideMark/>
          </w:tcPr>
          <w:p w14:paraId="27B6A53E" w14:textId="5E18E3BE" w:rsidR="00881B12" w:rsidRPr="005269E6" w:rsidRDefault="00881B12" w:rsidP="00696AA6">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14 123</w:t>
            </w:r>
          </w:p>
        </w:tc>
      </w:tr>
      <w:tr w:rsidR="00881B12" w:rsidRPr="005269E6" w14:paraId="62F71431" w14:textId="77777777" w:rsidTr="00FE51D3">
        <w:trPr>
          <w:trHeight w:val="255"/>
          <w:jc w:val="center"/>
        </w:trPr>
        <w:tc>
          <w:tcPr>
            <w:tcW w:w="2621" w:type="dxa"/>
            <w:tcBorders>
              <w:top w:val="nil"/>
              <w:left w:val="nil"/>
              <w:bottom w:val="nil"/>
              <w:right w:val="nil"/>
            </w:tcBorders>
            <w:shd w:val="clear" w:color="auto" w:fill="auto"/>
            <w:noWrap/>
            <w:hideMark/>
          </w:tcPr>
          <w:p w14:paraId="5AC7F8B3" w14:textId="61E989E7" w:rsidR="00881B12" w:rsidRPr="005269E6" w:rsidRDefault="00881B12" w:rsidP="00881B12">
            <w:pPr>
              <w:tabs>
                <w:tab w:val="clear" w:pos="794"/>
              </w:tabs>
              <w:spacing w:before="40" w:after="40" w:line="240" w:lineRule="exact"/>
              <w:jc w:val="left"/>
              <w:rPr>
                <w:rFonts w:eastAsia="Times New Roman"/>
                <w:color w:val="000000"/>
                <w:sz w:val="18"/>
                <w:szCs w:val="18"/>
                <w:lang w:val="en-GB" w:eastAsia="en-GB"/>
              </w:rPr>
            </w:pPr>
            <w:r w:rsidRPr="005269E6">
              <w:rPr>
                <w:sz w:val="18"/>
                <w:szCs w:val="18"/>
                <w:rtl/>
                <w:lang w:val="en-GB" w:eastAsia="en-GB" w:bidi="ar-SY"/>
              </w:rPr>
              <w:t>إيرادات التشغيل الأخرى</w:t>
            </w:r>
          </w:p>
        </w:tc>
        <w:tc>
          <w:tcPr>
            <w:tcW w:w="1992" w:type="dxa"/>
            <w:tcBorders>
              <w:top w:val="nil"/>
              <w:left w:val="nil"/>
              <w:bottom w:val="nil"/>
              <w:right w:val="nil"/>
            </w:tcBorders>
            <w:shd w:val="clear" w:color="auto" w:fill="auto"/>
            <w:noWrap/>
            <w:vAlign w:val="bottom"/>
            <w:hideMark/>
          </w:tcPr>
          <w:p w14:paraId="449CD6B3" w14:textId="614F0415" w:rsidR="00881B12" w:rsidRPr="005269E6" w:rsidRDefault="00881B12" w:rsidP="00881B12">
            <w:pPr>
              <w:tabs>
                <w:tab w:val="clear" w:pos="794"/>
              </w:tabs>
              <w:spacing w:before="40" w:after="40" w:line="240" w:lineRule="exact"/>
              <w:jc w:val="center"/>
              <w:rPr>
                <w:rFonts w:eastAsia="Times New Roman"/>
                <w:i/>
                <w:iCs/>
                <w:color w:val="000000"/>
                <w:sz w:val="18"/>
                <w:szCs w:val="18"/>
                <w:rtl/>
                <w:lang w:eastAsia="en-GB" w:bidi="ar-SY"/>
              </w:rPr>
            </w:pPr>
            <w:r w:rsidRPr="005269E6">
              <w:rPr>
                <w:rFonts w:eastAsia="Times New Roman"/>
                <w:i/>
                <w:iCs/>
                <w:color w:val="000000"/>
                <w:sz w:val="18"/>
                <w:szCs w:val="18"/>
                <w:rtl/>
                <w:lang w:val="en-GB" w:eastAsia="en-GB"/>
              </w:rPr>
              <w:t xml:space="preserve">الملاحظة </w:t>
            </w:r>
            <w:r w:rsidRPr="005269E6">
              <w:rPr>
                <w:rFonts w:eastAsia="Times New Roman"/>
                <w:i/>
                <w:iCs/>
                <w:color w:val="000000"/>
                <w:sz w:val="18"/>
                <w:szCs w:val="18"/>
                <w:lang w:eastAsia="en-GB"/>
              </w:rPr>
              <w:t>2.30</w:t>
            </w:r>
            <w:r w:rsidRPr="005269E6">
              <w:rPr>
                <w:rFonts w:eastAsia="Times New Roman"/>
                <w:i/>
                <w:iCs/>
                <w:color w:val="000000"/>
                <w:sz w:val="18"/>
                <w:szCs w:val="18"/>
                <w:rtl/>
                <w:lang w:eastAsia="en-GB" w:bidi="ar-SY"/>
              </w:rPr>
              <w:t xml:space="preserve"> و</w:t>
            </w:r>
            <w:r w:rsidRPr="005269E6">
              <w:rPr>
                <w:rFonts w:eastAsia="Times New Roman"/>
                <w:i/>
                <w:iCs/>
                <w:color w:val="000000"/>
                <w:sz w:val="18"/>
                <w:szCs w:val="18"/>
                <w:lang w:eastAsia="en-GB" w:bidi="ar-SY"/>
              </w:rPr>
              <w:t>14.30</w:t>
            </w:r>
            <w:r w:rsidRPr="005269E6">
              <w:rPr>
                <w:rFonts w:eastAsia="Times New Roman"/>
                <w:i/>
                <w:iCs/>
                <w:color w:val="000000"/>
                <w:sz w:val="18"/>
                <w:szCs w:val="18"/>
                <w:rtl/>
                <w:lang w:eastAsia="en-GB" w:bidi="ar-SY"/>
              </w:rPr>
              <w:t xml:space="preserve"> و</w:t>
            </w:r>
            <w:r w:rsidRPr="005269E6">
              <w:rPr>
                <w:rFonts w:eastAsia="Times New Roman"/>
                <w:i/>
                <w:iCs/>
                <w:color w:val="000000"/>
                <w:sz w:val="18"/>
                <w:szCs w:val="18"/>
                <w:lang w:eastAsia="en-GB" w:bidi="ar-SY"/>
              </w:rPr>
              <w:t>15.30</w:t>
            </w:r>
          </w:p>
        </w:tc>
        <w:tc>
          <w:tcPr>
            <w:tcW w:w="1491" w:type="dxa"/>
            <w:tcBorders>
              <w:top w:val="nil"/>
              <w:left w:val="nil"/>
              <w:bottom w:val="nil"/>
              <w:right w:val="nil"/>
            </w:tcBorders>
          </w:tcPr>
          <w:p w14:paraId="000A56B4" w14:textId="387FDCFC" w:rsidR="00881B12" w:rsidRPr="005269E6" w:rsidRDefault="00881B12" w:rsidP="00696AA6">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32 774</w:t>
            </w:r>
          </w:p>
        </w:tc>
        <w:tc>
          <w:tcPr>
            <w:tcW w:w="1563" w:type="dxa"/>
            <w:tcBorders>
              <w:top w:val="nil"/>
              <w:left w:val="nil"/>
              <w:bottom w:val="nil"/>
              <w:right w:val="nil"/>
            </w:tcBorders>
            <w:shd w:val="clear" w:color="auto" w:fill="auto"/>
            <w:noWrap/>
            <w:vAlign w:val="bottom"/>
            <w:hideMark/>
          </w:tcPr>
          <w:p w14:paraId="4FE56B8A" w14:textId="0CB7082A" w:rsidR="00881B12" w:rsidRPr="005269E6" w:rsidRDefault="00881B1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4 581</w:t>
            </w:r>
          </w:p>
        </w:tc>
        <w:tc>
          <w:tcPr>
            <w:tcW w:w="1688" w:type="dxa"/>
            <w:tcBorders>
              <w:top w:val="nil"/>
              <w:left w:val="nil"/>
              <w:bottom w:val="nil"/>
              <w:right w:val="nil"/>
            </w:tcBorders>
            <w:shd w:val="clear" w:color="auto" w:fill="auto"/>
            <w:noWrap/>
            <w:vAlign w:val="bottom"/>
            <w:hideMark/>
          </w:tcPr>
          <w:p w14:paraId="2F5B7728" w14:textId="3C824E22" w:rsidR="00881B12" w:rsidRPr="005269E6" w:rsidRDefault="00881B1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37 355</w:t>
            </w:r>
          </w:p>
        </w:tc>
      </w:tr>
      <w:tr w:rsidR="00B1513C" w:rsidRPr="005269E6" w14:paraId="785151AF" w14:textId="77777777" w:rsidTr="00FE51D3">
        <w:trPr>
          <w:trHeight w:val="255"/>
          <w:jc w:val="center"/>
        </w:trPr>
        <w:tc>
          <w:tcPr>
            <w:tcW w:w="2621" w:type="dxa"/>
            <w:tcBorders>
              <w:top w:val="nil"/>
              <w:left w:val="nil"/>
              <w:bottom w:val="nil"/>
              <w:right w:val="nil"/>
            </w:tcBorders>
            <w:shd w:val="clear" w:color="auto" w:fill="auto"/>
            <w:noWrap/>
            <w:vAlign w:val="bottom"/>
          </w:tcPr>
          <w:p w14:paraId="2C80477D" w14:textId="2F1C84B8" w:rsidR="00B1513C" w:rsidRPr="005269E6" w:rsidRDefault="00881B12" w:rsidP="00666023">
            <w:pPr>
              <w:tabs>
                <w:tab w:val="clear" w:pos="794"/>
              </w:tabs>
              <w:spacing w:before="40" w:after="40" w:line="240" w:lineRule="exact"/>
              <w:jc w:val="left"/>
              <w:rPr>
                <w:rFonts w:eastAsia="Times New Roman"/>
                <w:color w:val="000000"/>
                <w:sz w:val="18"/>
                <w:szCs w:val="18"/>
                <w:rtl/>
                <w:lang w:val="en-GB" w:eastAsia="en-GB" w:bidi="ar-SY"/>
              </w:rPr>
            </w:pPr>
            <w:r w:rsidRPr="005269E6">
              <w:rPr>
                <w:rFonts w:eastAsia="Times New Roman"/>
                <w:color w:val="000000"/>
                <w:sz w:val="18"/>
                <w:szCs w:val="18"/>
                <w:rtl/>
                <w:lang w:val="en-GB" w:eastAsia="en-GB"/>
              </w:rPr>
              <w:t>إيرادات المساهمات العينية</w:t>
            </w:r>
          </w:p>
        </w:tc>
        <w:tc>
          <w:tcPr>
            <w:tcW w:w="1992" w:type="dxa"/>
            <w:tcBorders>
              <w:top w:val="nil"/>
              <w:left w:val="nil"/>
              <w:bottom w:val="nil"/>
              <w:right w:val="nil"/>
            </w:tcBorders>
            <w:shd w:val="clear" w:color="auto" w:fill="auto"/>
            <w:noWrap/>
            <w:vAlign w:val="bottom"/>
          </w:tcPr>
          <w:p w14:paraId="50436066" w14:textId="50B4D54B" w:rsidR="00B1513C" w:rsidRPr="005269E6" w:rsidRDefault="00B1513C" w:rsidP="00666023">
            <w:pPr>
              <w:tabs>
                <w:tab w:val="clear" w:pos="794"/>
              </w:tabs>
              <w:spacing w:before="40" w:after="40" w:line="240" w:lineRule="exact"/>
              <w:jc w:val="center"/>
              <w:rPr>
                <w:rFonts w:eastAsia="Times New Roman"/>
                <w:i/>
                <w:iCs/>
                <w:color w:val="000000"/>
                <w:sz w:val="18"/>
                <w:szCs w:val="18"/>
                <w:rtl/>
                <w:lang w:eastAsia="en-GB" w:bidi="ar-SY"/>
              </w:rPr>
            </w:pPr>
            <w:r w:rsidRPr="005269E6">
              <w:rPr>
                <w:rFonts w:eastAsia="Times New Roman"/>
                <w:i/>
                <w:iCs/>
                <w:color w:val="000000"/>
                <w:sz w:val="18"/>
                <w:szCs w:val="18"/>
                <w:rtl/>
                <w:lang w:val="en-GB" w:eastAsia="en-GB"/>
              </w:rPr>
              <w:t xml:space="preserve">الملاحظة </w:t>
            </w:r>
            <w:r w:rsidRPr="005269E6">
              <w:rPr>
                <w:rFonts w:eastAsia="Times New Roman"/>
                <w:i/>
                <w:iCs/>
                <w:color w:val="000000"/>
                <w:sz w:val="18"/>
                <w:szCs w:val="18"/>
                <w:lang w:eastAsia="en-GB"/>
              </w:rPr>
              <w:t>1.30</w:t>
            </w:r>
          </w:p>
        </w:tc>
        <w:tc>
          <w:tcPr>
            <w:tcW w:w="1491" w:type="dxa"/>
            <w:tcBorders>
              <w:top w:val="nil"/>
              <w:left w:val="nil"/>
              <w:bottom w:val="nil"/>
              <w:right w:val="nil"/>
            </w:tcBorders>
          </w:tcPr>
          <w:p w14:paraId="43D608AA" w14:textId="554075D7" w:rsidR="00B1513C" w:rsidRPr="005269E6" w:rsidRDefault="00B1513C" w:rsidP="00696AA6">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798</w:t>
            </w:r>
          </w:p>
        </w:tc>
        <w:tc>
          <w:tcPr>
            <w:tcW w:w="1563" w:type="dxa"/>
            <w:tcBorders>
              <w:top w:val="nil"/>
              <w:left w:val="nil"/>
              <w:bottom w:val="nil"/>
              <w:right w:val="nil"/>
            </w:tcBorders>
            <w:shd w:val="clear" w:color="auto" w:fill="auto"/>
            <w:noWrap/>
            <w:vAlign w:val="bottom"/>
          </w:tcPr>
          <w:p w14:paraId="051732E9" w14:textId="45F9AB2E" w:rsidR="00B1513C" w:rsidRPr="005269E6" w:rsidRDefault="00B1513C"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(798)</w:t>
            </w:r>
          </w:p>
        </w:tc>
        <w:tc>
          <w:tcPr>
            <w:tcW w:w="1688" w:type="dxa"/>
            <w:tcBorders>
              <w:top w:val="nil"/>
              <w:left w:val="nil"/>
              <w:bottom w:val="nil"/>
              <w:right w:val="nil"/>
            </w:tcBorders>
            <w:shd w:val="clear" w:color="auto" w:fill="auto"/>
            <w:noWrap/>
            <w:vAlign w:val="bottom"/>
          </w:tcPr>
          <w:p w14:paraId="6608BD41" w14:textId="1628D982" w:rsidR="00B1513C" w:rsidRPr="005269E6" w:rsidRDefault="00B1513C"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B1513C" w:rsidRPr="005269E6" w14:paraId="42AE24AB" w14:textId="77777777" w:rsidTr="00FE51D3">
        <w:trPr>
          <w:trHeight w:val="255"/>
          <w:jc w:val="center"/>
        </w:trPr>
        <w:tc>
          <w:tcPr>
            <w:tcW w:w="2621" w:type="dxa"/>
            <w:tcBorders>
              <w:top w:val="nil"/>
              <w:left w:val="nil"/>
              <w:bottom w:val="nil"/>
              <w:right w:val="nil"/>
            </w:tcBorders>
            <w:shd w:val="clear" w:color="auto" w:fill="auto"/>
            <w:noWrap/>
            <w:vAlign w:val="bottom"/>
          </w:tcPr>
          <w:p w14:paraId="09B3B2AE" w14:textId="257A336C" w:rsidR="00B1513C" w:rsidRPr="005269E6" w:rsidRDefault="00881B12" w:rsidP="00666023">
            <w:pPr>
              <w:tabs>
                <w:tab w:val="clear" w:pos="794"/>
              </w:tabs>
              <w:spacing w:before="40" w:after="40" w:line="240" w:lineRule="exact"/>
              <w:jc w:val="left"/>
              <w:rPr>
                <w:rFonts w:eastAsia="Times New Roman"/>
                <w:b/>
                <w:bCs/>
                <w:color w:val="000000"/>
                <w:sz w:val="18"/>
                <w:szCs w:val="18"/>
                <w:rtl/>
                <w:lang w:val="en-GB" w:eastAsia="en-GB" w:bidi="ar-SY"/>
              </w:rPr>
            </w:pPr>
            <w:r w:rsidRPr="005269E6">
              <w:rPr>
                <w:rFonts w:eastAsia="Times New Roman"/>
                <w:b/>
                <w:bCs/>
                <w:color w:val="000000"/>
                <w:sz w:val="18"/>
                <w:szCs w:val="18"/>
                <w:rtl/>
                <w:lang w:val="en-GB" w:eastAsia="en-GB" w:bidi="ar-SY"/>
              </w:rPr>
              <w:t>إجمالي الإيرادات</w:t>
            </w:r>
          </w:p>
        </w:tc>
        <w:tc>
          <w:tcPr>
            <w:tcW w:w="1992" w:type="dxa"/>
            <w:tcBorders>
              <w:top w:val="nil"/>
              <w:left w:val="nil"/>
              <w:bottom w:val="nil"/>
              <w:right w:val="nil"/>
            </w:tcBorders>
            <w:shd w:val="clear" w:color="auto" w:fill="auto"/>
            <w:noWrap/>
            <w:vAlign w:val="bottom"/>
          </w:tcPr>
          <w:p w14:paraId="4DDA6320" w14:textId="77777777" w:rsidR="00B1513C" w:rsidRPr="005269E6" w:rsidRDefault="00B1513C" w:rsidP="00666023">
            <w:pPr>
              <w:tabs>
                <w:tab w:val="clear" w:pos="794"/>
              </w:tabs>
              <w:spacing w:before="40" w:after="40" w:line="240" w:lineRule="exact"/>
              <w:jc w:val="center"/>
              <w:rPr>
                <w:rFonts w:eastAsia="Times New Roman"/>
                <w:b/>
                <w:bCs/>
                <w:i/>
                <w:iCs/>
                <w:color w:val="000000"/>
                <w:sz w:val="18"/>
                <w:szCs w:val="18"/>
                <w:rtl/>
                <w:lang w:val="en-GB" w:eastAsia="en-GB"/>
              </w:rPr>
            </w:pPr>
          </w:p>
        </w:tc>
        <w:tc>
          <w:tcPr>
            <w:tcW w:w="1491" w:type="dxa"/>
            <w:tcBorders>
              <w:top w:val="nil"/>
              <w:left w:val="nil"/>
              <w:bottom w:val="nil"/>
              <w:right w:val="nil"/>
            </w:tcBorders>
          </w:tcPr>
          <w:p w14:paraId="4E19A485" w14:textId="7B7AEF27" w:rsidR="00B1513C" w:rsidRPr="005269E6" w:rsidRDefault="00B1513C" w:rsidP="00696AA6">
            <w:pPr>
              <w:tabs>
                <w:tab w:val="clear" w:pos="794"/>
              </w:tabs>
              <w:spacing w:before="40" w:after="40" w:line="240" w:lineRule="exact"/>
              <w:jc w:val="left"/>
              <w:rPr>
                <w:rFonts w:eastAsia="Times New Roman"/>
                <w:b/>
                <w:bCs/>
                <w:color w:val="000000"/>
                <w:sz w:val="18"/>
                <w:szCs w:val="18"/>
                <w:lang w:eastAsia="en-GB"/>
              </w:rPr>
            </w:pPr>
            <w:r w:rsidRPr="005269E6">
              <w:rPr>
                <w:rFonts w:eastAsia="Times New Roman"/>
                <w:b/>
                <w:bCs/>
                <w:color w:val="000000"/>
                <w:sz w:val="18"/>
                <w:szCs w:val="18"/>
                <w:lang w:eastAsia="en-GB"/>
              </w:rPr>
              <w:t>172 764</w:t>
            </w:r>
          </w:p>
        </w:tc>
        <w:tc>
          <w:tcPr>
            <w:tcW w:w="1563" w:type="dxa"/>
            <w:tcBorders>
              <w:top w:val="nil"/>
              <w:left w:val="nil"/>
              <w:bottom w:val="nil"/>
              <w:right w:val="nil"/>
            </w:tcBorders>
            <w:shd w:val="clear" w:color="auto" w:fill="auto"/>
            <w:noWrap/>
            <w:vAlign w:val="bottom"/>
          </w:tcPr>
          <w:p w14:paraId="48C95509" w14:textId="04E4C871" w:rsidR="00B1513C" w:rsidRPr="005269E6" w:rsidRDefault="00B1513C" w:rsidP="00696AA6">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4 325</w:t>
            </w:r>
          </w:p>
        </w:tc>
        <w:tc>
          <w:tcPr>
            <w:tcW w:w="1688" w:type="dxa"/>
            <w:tcBorders>
              <w:top w:val="nil"/>
              <w:left w:val="nil"/>
              <w:bottom w:val="nil"/>
              <w:right w:val="nil"/>
            </w:tcBorders>
            <w:shd w:val="clear" w:color="auto" w:fill="auto"/>
            <w:noWrap/>
            <w:vAlign w:val="bottom"/>
          </w:tcPr>
          <w:p w14:paraId="6ED0287D" w14:textId="4CC5FC57" w:rsidR="00B1513C" w:rsidRPr="005269E6" w:rsidRDefault="00B1513C" w:rsidP="00696AA6">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177 089</w:t>
            </w:r>
          </w:p>
        </w:tc>
      </w:tr>
      <w:tr w:rsidR="00B1513C" w:rsidRPr="005269E6" w14:paraId="66BF3B2D" w14:textId="77777777" w:rsidTr="00FE51D3">
        <w:trPr>
          <w:trHeight w:val="255"/>
          <w:jc w:val="center"/>
        </w:trPr>
        <w:tc>
          <w:tcPr>
            <w:tcW w:w="2621" w:type="dxa"/>
            <w:tcBorders>
              <w:top w:val="nil"/>
              <w:left w:val="nil"/>
              <w:bottom w:val="nil"/>
              <w:right w:val="nil"/>
            </w:tcBorders>
            <w:shd w:val="clear" w:color="auto" w:fill="auto"/>
            <w:noWrap/>
            <w:vAlign w:val="bottom"/>
          </w:tcPr>
          <w:p w14:paraId="39505695" w14:textId="77777777" w:rsidR="00B1513C" w:rsidRPr="005269E6" w:rsidRDefault="00B1513C" w:rsidP="00666023">
            <w:pPr>
              <w:tabs>
                <w:tab w:val="clear" w:pos="794"/>
              </w:tabs>
              <w:spacing w:before="40" w:after="40" w:line="240" w:lineRule="exact"/>
              <w:jc w:val="left"/>
              <w:rPr>
                <w:rFonts w:eastAsia="Times New Roman"/>
                <w:color w:val="000000"/>
                <w:sz w:val="18"/>
                <w:szCs w:val="18"/>
                <w:rtl/>
                <w:lang w:val="en-GB" w:eastAsia="en-GB" w:bidi="ar-SY"/>
              </w:rPr>
            </w:pPr>
          </w:p>
        </w:tc>
        <w:tc>
          <w:tcPr>
            <w:tcW w:w="1992" w:type="dxa"/>
            <w:tcBorders>
              <w:top w:val="nil"/>
              <w:left w:val="nil"/>
              <w:bottom w:val="nil"/>
              <w:right w:val="nil"/>
            </w:tcBorders>
            <w:shd w:val="clear" w:color="auto" w:fill="auto"/>
            <w:noWrap/>
            <w:vAlign w:val="bottom"/>
          </w:tcPr>
          <w:p w14:paraId="5A165916" w14:textId="77777777" w:rsidR="00B1513C" w:rsidRPr="005269E6" w:rsidRDefault="00B1513C" w:rsidP="00666023">
            <w:pPr>
              <w:tabs>
                <w:tab w:val="clear" w:pos="794"/>
              </w:tabs>
              <w:spacing w:before="40" w:after="40" w:line="240" w:lineRule="exact"/>
              <w:jc w:val="center"/>
              <w:rPr>
                <w:rFonts w:eastAsia="Times New Roman"/>
                <w:i/>
                <w:iCs/>
                <w:color w:val="000000"/>
                <w:sz w:val="18"/>
                <w:szCs w:val="18"/>
                <w:rtl/>
                <w:lang w:val="en-GB" w:eastAsia="en-GB"/>
              </w:rPr>
            </w:pPr>
          </w:p>
        </w:tc>
        <w:tc>
          <w:tcPr>
            <w:tcW w:w="1491" w:type="dxa"/>
            <w:tcBorders>
              <w:top w:val="nil"/>
              <w:left w:val="nil"/>
              <w:bottom w:val="nil"/>
              <w:right w:val="nil"/>
            </w:tcBorders>
          </w:tcPr>
          <w:p w14:paraId="26647B5C" w14:textId="77777777" w:rsidR="00B1513C" w:rsidRPr="005269E6" w:rsidRDefault="00B1513C" w:rsidP="00696AA6">
            <w:pPr>
              <w:tabs>
                <w:tab w:val="clear" w:pos="794"/>
              </w:tabs>
              <w:spacing w:before="40" w:after="40" w:line="240" w:lineRule="exact"/>
              <w:jc w:val="left"/>
              <w:rPr>
                <w:rFonts w:eastAsia="Times New Roman"/>
                <w:color w:val="000000"/>
                <w:sz w:val="18"/>
                <w:szCs w:val="18"/>
                <w:lang w:eastAsia="en-GB"/>
              </w:rPr>
            </w:pPr>
          </w:p>
        </w:tc>
        <w:tc>
          <w:tcPr>
            <w:tcW w:w="1563" w:type="dxa"/>
            <w:tcBorders>
              <w:top w:val="nil"/>
              <w:left w:val="nil"/>
              <w:bottom w:val="nil"/>
              <w:right w:val="nil"/>
            </w:tcBorders>
            <w:shd w:val="clear" w:color="auto" w:fill="auto"/>
            <w:noWrap/>
            <w:vAlign w:val="bottom"/>
          </w:tcPr>
          <w:p w14:paraId="77DD2E24" w14:textId="77777777" w:rsidR="00B1513C" w:rsidRPr="005269E6" w:rsidRDefault="00B1513C" w:rsidP="00696AA6">
            <w:pPr>
              <w:tabs>
                <w:tab w:val="clear" w:pos="794"/>
              </w:tabs>
              <w:spacing w:before="40" w:after="40" w:line="240" w:lineRule="exact"/>
              <w:jc w:val="left"/>
              <w:rPr>
                <w:rFonts w:eastAsia="Times New Roman"/>
                <w:color w:val="000000"/>
                <w:sz w:val="18"/>
                <w:szCs w:val="18"/>
                <w:lang w:val="en-GB" w:eastAsia="en-GB"/>
              </w:rPr>
            </w:pPr>
          </w:p>
        </w:tc>
        <w:tc>
          <w:tcPr>
            <w:tcW w:w="1688" w:type="dxa"/>
            <w:tcBorders>
              <w:top w:val="nil"/>
              <w:left w:val="nil"/>
              <w:bottom w:val="nil"/>
              <w:right w:val="nil"/>
            </w:tcBorders>
            <w:shd w:val="clear" w:color="auto" w:fill="auto"/>
            <w:noWrap/>
            <w:vAlign w:val="bottom"/>
          </w:tcPr>
          <w:p w14:paraId="7B402458" w14:textId="77777777" w:rsidR="00B1513C" w:rsidRPr="005269E6" w:rsidRDefault="00B1513C" w:rsidP="00696AA6">
            <w:pPr>
              <w:tabs>
                <w:tab w:val="clear" w:pos="794"/>
              </w:tabs>
              <w:spacing w:before="40" w:after="40" w:line="240" w:lineRule="exact"/>
              <w:jc w:val="left"/>
              <w:rPr>
                <w:rFonts w:eastAsia="Times New Roman"/>
                <w:color w:val="000000"/>
                <w:sz w:val="18"/>
                <w:szCs w:val="18"/>
                <w:lang w:val="en-GB" w:eastAsia="en-GB"/>
              </w:rPr>
            </w:pPr>
          </w:p>
        </w:tc>
      </w:tr>
      <w:tr w:rsidR="00B1513C" w:rsidRPr="005269E6" w14:paraId="24DB6CA5" w14:textId="77777777" w:rsidTr="00FE51D3">
        <w:trPr>
          <w:trHeight w:val="255"/>
          <w:jc w:val="center"/>
        </w:trPr>
        <w:tc>
          <w:tcPr>
            <w:tcW w:w="2621" w:type="dxa"/>
            <w:tcBorders>
              <w:top w:val="nil"/>
              <w:left w:val="nil"/>
              <w:bottom w:val="nil"/>
              <w:right w:val="nil"/>
            </w:tcBorders>
            <w:shd w:val="clear" w:color="auto" w:fill="auto"/>
            <w:noWrap/>
            <w:vAlign w:val="bottom"/>
          </w:tcPr>
          <w:p w14:paraId="2D6CA0EA" w14:textId="083803C3" w:rsidR="00B1513C" w:rsidRPr="005269E6" w:rsidRDefault="00881B12" w:rsidP="00666023">
            <w:pPr>
              <w:tabs>
                <w:tab w:val="clear" w:pos="794"/>
              </w:tabs>
              <w:spacing w:before="40" w:after="40" w:line="240" w:lineRule="exact"/>
              <w:jc w:val="left"/>
              <w:rPr>
                <w:rFonts w:eastAsia="Times New Roman"/>
                <w:b/>
                <w:bCs/>
                <w:color w:val="000000"/>
                <w:sz w:val="18"/>
                <w:szCs w:val="18"/>
                <w:rtl/>
                <w:lang w:val="en-GB" w:eastAsia="en-GB" w:bidi="ar-SY"/>
              </w:rPr>
            </w:pPr>
            <w:r w:rsidRPr="005269E6">
              <w:rPr>
                <w:rFonts w:eastAsia="Times New Roman"/>
                <w:b/>
                <w:bCs/>
                <w:color w:val="000000"/>
                <w:sz w:val="18"/>
                <w:szCs w:val="18"/>
                <w:rtl/>
                <w:lang w:val="en-GB" w:eastAsia="en-GB" w:bidi="ar-SY"/>
              </w:rPr>
              <w:t>النفقات</w:t>
            </w:r>
          </w:p>
        </w:tc>
        <w:tc>
          <w:tcPr>
            <w:tcW w:w="1992" w:type="dxa"/>
            <w:tcBorders>
              <w:top w:val="nil"/>
              <w:left w:val="nil"/>
              <w:bottom w:val="nil"/>
              <w:right w:val="nil"/>
            </w:tcBorders>
            <w:shd w:val="clear" w:color="auto" w:fill="auto"/>
            <w:noWrap/>
            <w:vAlign w:val="bottom"/>
          </w:tcPr>
          <w:p w14:paraId="3B660A66" w14:textId="77777777" w:rsidR="00B1513C" w:rsidRPr="005269E6" w:rsidRDefault="00B1513C" w:rsidP="00666023">
            <w:pPr>
              <w:tabs>
                <w:tab w:val="clear" w:pos="794"/>
              </w:tabs>
              <w:spacing w:before="40" w:after="40" w:line="240" w:lineRule="exact"/>
              <w:jc w:val="center"/>
              <w:rPr>
                <w:rFonts w:eastAsia="Times New Roman"/>
                <w:i/>
                <w:iCs/>
                <w:color w:val="000000"/>
                <w:sz w:val="18"/>
                <w:szCs w:val="18"/>
                <w:rtl/>
                <w:lang w:val="en-GB" w:eastAsia="en-GB"/>
              </w:rPr>
            </w:pPr>
          </w:p>
        </w:tc>
        <w:tc>
          <w:tcPr>
            <w:tcW w:w="1491" w:type="dxa"/>
            <w:tcBorders>
              <w:top w:val="nil"/>
              <w:left w:val="nil"/>
              <w:bottom w:val="nil"/>
              <w:right w:val="nil"/>
            </w:tcBorders>
          </w:tcPr>
          <w:p w14:paraId="54A9B947" w14:textId="77777777" w:rsidR="00B1513C" w:rsidRPr="005269E6" w:rsidRDefault="00B1513C" w:rsidP="00696AA6">
            <w:pPr>
              <w:tabs>
                <w:tab w:val="clear" w:pos="794"/>
              </w:tabs>
              <w:spacing w:before="40" w:after="40" w:line="240" w:lineRule="exact"/>
              <w:jc w:val="left"/>
              <w:rPr>
                <w:rFonts w:eastAsia="Times New Roman"/>
                <w:color w:val="000000"/>
                <w:sz w:val="18"/>
                <w:szCs w:val="18"/>
                <w:lang w:eastAsia="en-GB"/>
              </w:rPr>
            </w:pPr>
          </w:p>
        </w:tc>
        <w:tc>
          <w:tcPr>
            <w:tcW w:w="1563" w:type="dxa"/>
            <w:tcBorders>
              <w:top w:val="nil"/>
              <w:left w:val="nil"/>
              <w:bottom w:val="nil"/>
              <w:right w:val="nil"/>
            </w:tcBorders>
            <w:shd w:val="clear" w:color="auto" w:fill="auto"/>
            <w:noWrap/>
            <w:vAlign w:val="bottom"/>
          </w:tcPr>
          <w:p w14:paraId="0E35CAEA" w14:textId="77777777" w:rsidR="00B1513C" w:rsidRPr="005269E6" w:rsidRDefault="00B1513C" w:rsidP="00696AA6">
            <w:pPr>
              <w:tabs>
                <w:tab w:val="clear" w:pos="794"/>
              </w:tabs>
              <w:spacing w:before="40" w:after="40" w:line="240" w:lineRule="exact"/>
              <w:jc w:val="left"/>
              <w:rPr>
                <w:rFonts w:eastAsia="Times New Roman"/>
                <w:color w:val="000000"/>
                <w:sz w:val="18"/>
                <w:szCs w:val="18"/>
                <w:lang w:val="en-GB" w:eastAsia="en-GB"/>
              </w:rPr>
            </w:pPr>
          </w:p>
        </w:tc>
        <w:tc>
          <w:tcPr>
            <w:tcW w:w="1688" w:type="dxa"/>
            <w:tcBorders>
              <w:top w:val="nil"/>
              <w:left w:val="nil"/>
              <w:bottom w:val="nil"/>
              <w:right w:val="nil"/>
            </w:tcBorders>
            <w:shd w:val="clear" w:color="auto" w:fill="auto"/>
            <w:noWrap/>
            <w:vAlign w:val="bottom"/>
          </w:tcPr>
          <w:p w14:paraId="40B6189F" w14:textId="77777777" w:rsidR="00B1513C" w:rsidRPr="005269E6" w:rsidRDefault="00B1513C" w:rsidP="00696AA6">
            <w:pPr>
              <w:tabs>
                <w:tab w:val="clear" w:pos="794"/>
              </w:tabs>
              <w:spacing w:before="40" w:after="40" w:line="240" w:lineRule="exact"/>
              <w:jc w:val="left"/>
              <w:rPr>
                <w:rFonts w:eastAsia="Times New Roman"/>
                <w:color w:val="000000"/>
                <w:sz w:val="18"/>
                <w:szCs w:val="18"/>
                <w:lang w:val="en-GB" w:eastAsia="en-GB"/>
              </w:rPr>
            </w:pPr>
          </w:p>
        </w:tc>
      </w:tr>
      <w:tr w:rsidR="00127342" w:rsidRPr="005269E6" w14:paraId="4DA28E87" w14:textId="77777777" w:rsidTr="00FE51D3">
        <w:trPr>
          <w:trHeight w:val="255"/>
          <w:jc w:val="center"/>
        </w:trPr>
        <w:tc>
          <w:tcPr>
            <w:tcW w:w="2621" w:type="dxa"/>
            <w:tcBorders>
              <w:top w:val="nil"/>
              <w:left w:val="nil"/>
              <w:bottom w:val="nil"/>
              <w:right w:val="nil"/>
            </w:tcBorders>
            <w:shd w:val="clear" w:color="auto" w:fill="auto"/>
            <w:noWrap/>
          </w:tcPr>
          <w:p w14:paraId="6C03980E" w14:textId="2838D34F" w:rsidR="00127342" w:rsidRPr="005269E6" w:rsidRDefault="00127342" w:rsidP="00127342">
            <w:pPr>
              <w:tabs>
                <w:tab w:val="clear" w:pos="794"/>
              </w:tabs>
              <w:spacing w:before="40" w:after="40" w:line="240" w:lineRule="exact"/>
              <w:jc w:val="left"/>
              <w:rPr>
                <w:rFonts w:eastAsia="Times New Roman"/>
                <w:b/>
                <w:bCs/>
                <w:color w:val="000000"/>
                <w:sz w:val="18"/>
                <w:szCs w:val="18"/>
                <w:rtl/>
                <w:lang w:val="en-GB" w:eastAsia="en-GB" w:bidi="ar-SY"/>
              </w:rPr>
            </w:pPr>
            <w:r w:rsidRPr="005269E6">
              <w:rPr>
                <w:sz w:val="18"/>
                <w:szCs w:val="18"/>
                <w:rtl/>
              </w:rPr>
              <w:t>نفقات الموظفين</w:t>
            </w:r>
          </w:p>
        </w:tc>
        <w:tc>
          <w:tcPr>
            <w:tcW w:w="1992" w:type="dxa"/>
            <w:tcBorders>
              <w:top w:val="nil"/>
              <w:left w:val="nil"/>
              <w:bottom w:val="nil"/>
              <w:right w:val="nil"/>
            </w:tcBorders>
            <w:shd w:val="clear" w:color="auto" w:fill="auto"/>
            <w:noWrap/>
            <w:vAlign w:val="bottom"/>
          </w:tcPr>
          <w:p w14:paraId="60ED50C3" w14:textId="113FBAEF" w:rsidR="00127342" w:rsidRPr="005269E6" w:rsidRDefault="00127342" w:rsidP="00127342">
            <w:pPr>
              <w:tabs>
                <w:tab w:val="clear" w:pos="794"/>
              </w:tabs>
              <w:spacing w:before="40" w:after="40" w:line="240" w:lineRule="exact"/>
              <w:jc w:val="center"/>
              <w:rPr>
                <w:rFonts w:eastAsia="Times New Roman"/>
                <w:i/>
                <w:iCs/>
                <w:color w:val="000000"/>
                <w:sz w:val="18"/>
                <w:szCs w:val="18"/>
                <w:rtl/>
                <w:lang w:eastAsia="en-GB" w:bidi="ar-SY"/>
              </w:rPr>
            </w:pPr>
            <w:r w:rsidRPr="005269E6">
              <w:rPr>
                <w:rFonts w:eastAsia="Times New Roman"/>
                <w:i/>
                <w:iCs/>
                <w:color w:val="000000"/>
                <w:sz w:val="18"/>
                <w:szCs w:val="18"/>
                <w:rtl/>
                <w:lang w:eastAsia="en-GB" w:bidi="ar-SY"/>
              </w:rPr>
              <w:t xml:space="preserve">الملاحظة </w:t>
            </w:r>
            <w:r w:rsidRPr="005269E6">
              <w:rPr>
                <w:rFonts w:eastAsia="Times New Roman"/>
                <w:i/>
                <w:iCs/>
                <w:color w:val="000000"/>
                <w:sz w:val="18"/>
                <w:szCs w:val="18"/>
                <w:lang w:eastAsia="en-GB" w:bidi="ar-SY"/>
              </w:rPr>
              <w:t>4.30</w:t>
            </w:r>
          </w:p>
        </w:tc>
        <w:tc>
          <w:tcPr>
            <w:tcW w:w="1491" w:type="dxa"/>
            <w:tcBorders>
              <w:top w:val="nil"/>
              <w:left w:val="nil"/>
              <w:bottom w:val="nil"/>
              <w:right w:val="nil"/>
            </w:tcBorders>
          </w:tcPr>
          <w:p w14:paraId="0B403677" w14:textId="11070368" w:rsidR="00127342" w:rsidRPr="005269E6" w:rsidRDefault="00127342" w:rsidP="00696AA6">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150 417</w:t>
            </w:r>
          </w:p>
        </w:tc>
        <w:tc>
          <w:tcPr>
            <w:tcW w:w="1563" w:type="dxa"/>
            <w:tcBorders>
              <w:top w:val="nil"/>
              <w:left w:val="nil"/>
              <w:bottom w:val="nil"/>
              <w:right w:val="nil"/>
            </w:tcBorders>
            <w:shd w:val="clear" w:color="auto" w:fill="auto"/>
            <w:noWrap/>
            <w:vAlign w:val="bottom"/>
          </w:tcPr>
          <w:p w14:paraId="39761CBE" w14:textId="2F7C2657"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1 482</w:t>
            </w:r>
          </w:p>
        </w:tc>
        <w:tc>
          <w:tcPr>
            <w:tcW w:w="1688" w:type="dxa"/>
            <w:tcBorders>
              <w:top w:val="nil"/>
              <w:left w:val="nil"/>
              <w:bottom w:val="nil"/>
              <w:right w:val="nil"/>
            </w:tcBorders>
            <w:shd w:val="clear" w:color="auto" w:fill="auto"/>
            <w:noWrap/>
            <w:vAlign w:val="bottom"/>
          </w:tcPr>
          <w:p w14:paraId="033970A1" w14:textId="1147311D"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151 899</w:t>
            </w:r>
          </w:p>
        </w:tc>
      </w:tr>
      <w:tr w:rsidR="00127342" w:rsidRPr="005269E6" w14:paraId="2A6A8C86" w14:textId="77777777" w:rsidTr="00FE51D3">
        <w:trPr>
          <w:trHeight w:val="255"/>
          <w:jc w:val="center"/>
        </w:trPr>
        <w:tc>
          <w:tcPr>
            <w:tcW w:w="2621" w:type="dxa"/>
            <w:tcBorders>
              <w:top w:val="nil"/>
              <w:left w:val="nil"/>
              <w:bottom w:val="nil"/>
              <w:right w:val="nil"/>
            </w:tcBorders>
            <w:shd w:val="clear" w:color="auto" w:fill="auto"/>
            <w:noWrap/>
          </w:tcPr>
          <w:p w14:paraId="6C97CEB2" w14:textId="126A5D23" w:rsidR="00127342" w:rsidRPr="005269E6" w:rsidRDefault="00127342" w:rsidP="00127342">
            <w:pPr>
              <w:tabs>
                <w:tab w:val="clear" w:pos="794"/>
              </w:tabs>
              <w:spacing w:before="40" w:after="40" w:line="240" w:lineRule="exact"/>
              <w:jc w:val="left"/>
              <w:rPr>
                <w:rFonts w:eastAsia="Times New Roman"/>
                <w:b/>
                <w:bCs/>
                <w:color w:val="000000"/>
                <w:sz w:val="18"/>
                <w:szCs w:val="18"/>
                <w:rtl/>
                <w:lang w:val="en-GB" w:eastAsia="en-GB" w:bidi="ar-SY"/>
              </w:rPr>
            </w:pPr>
            <w:r w:rsidRPr="005269E6">
              <w:rPr>
                <w:sz w:val="18"/>
                <w:szCs w:val="18"/>
                <w:rtl/>
              </w:rPr>
              <w:t>نفقات البعثات</w:t>
            </w:r>
          </w:p>
        </w:tc>
        <w:tc>
          <w:tcPr>
            <w:tcW w:w="1992" w:type="dxa"/>
            <w:tcBorders>
              <w:top w:val="nil"/>
              <w:left w:val="nil"/>
              <w:bottom w:val="nil"/>
              <w:right w:val="nil"/>
            </w:tcBorders>
            <w:shd w:val="clear" w:color="auto" w:fill="auto"/>
            <w:noWrap/>
            <w:vAlign w:val="bottom"/>
          </w:tcPr>
          <w:p w14:paraId="16E16306" w14:textId="77777777" w:rsidR="00127342" w:rsidRPr="005269E6" w:rsidRDefault="00127342" w:rsidP="00127342">
            <w:pPr>
              <w:tabs>
                <w:tab w:val="clear" w:pos="794"/>
              </w:tabs>
              <w:spacing w:before="40" w:after="40" w:line="240" w:lineRule="exact"/>
              <w:jc w:val="center"/>
              <w:rPr>
                <w:rFonts w:eastAsia="Times New Roman"/>
                <w:i/>
                <w:iCs/>
                <w:color w:val="000000"/>
                <w:sz w:val="18"/>
                <w:szCs w:val="18"/>
                <w:rtl/>
                <w:lang w:val="en-GB" w:eastAsia="en-GB"/>
              </w:rPr>
            </w:pPr>
          </w:p>
        </w:tc>
        <w:tc>
          <w:tcPr>
            <w:tcW w:w="1491" w:type="dxa"/>
            <w:tcBorders>
              <w:top w:val="nil"/>
              <w:left w:val="nil"/>
              <w:bottom w:val="nil"/>
              <w:right w:val="nil"/>
            </w:tcBorders>
          </w:tcPr>
          <w:p w14:paraId="5FA0A76F" w14:textId="5B5F21AD" w:rsidR="00127342" w:rsidRPr="005269E6" w:rsidRDefault="00127342" w:rsidP="00696AA6">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443</w:t>
            </w:r>
          </w:p>
        </w:tc>
        <w:tc>
          <w:tcPr>
            <w:tcW w:w="1563" w:type="dxa"/>
            <w:tcBorders>
              <w:top w:val="nil"/>
              <w:left w:val="nil"/>
              <w:bottom w:val="nil"/>
              <w:right w:val="nil"/>
            </w:tcBorders>
            <w:shd w:val="clear" w:color="auto" w:fill="auto"/>
            <w:noWrap/>
            <w:vAlign w:val="bottom"/>
          </w:tcPr>
          <w:p w14:paraId="31442764" w14:textId="48D7AF7F"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688" w:type="dxa"/>
            <w:tcBorders>
              <w:top w:val="nil"/>
              <w:left w:val="nil"/>
              <w:bottom w:val="nil"/>
              <w:right w:val="nil"/>
            </w:tcBorders>
            <w:shd w:val="clear" w:color="auto" w:fill="auto"/>
            <w:noWrap/>
            <w:vAlign w:val="bottom"/>
          </w:tcPr>
          <w:p w14:paraId="1EA7E78B" w14:textId="28463414"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443</w:t>
            </w:r>
          </w:p>
        </w:tc>
      </w:tr>
      <w:tr w:rsidR="00127342" w:rsidRPr="005269E6" w14:paraId="3A7DCD79" w14:textId="77777777" w:rsidTr="00FE51D3">
        <w:trPr>
          <w:trHeight w:val="255"/>
          <w:jc w:val="center"/>
        </w:trPr>
        <w:tc>
          <w:tcPr>
            <w:tcW w:w="2621" w:type="dxa"/>
            <w:tcBorders>
              <w:top w:val="nil"/>
              <w:left w:val="nil"/>
              <w:bottom w:val="nil"/>
              <w:right w:val="nil"/>
            </w:tcBorders>
            <w:shd w:val="clear" w:color="auto" w:fill="auto"/>
            <w:noWrap/>
          </w:tcPr>
          <w:p w14:paraId="67A3873B" w14:textId="793E1DA4" w:rsidR="00127342" w:rsidRPr="005269E6" w:rsidRDefault="00127342" w:rsidP="00127342">
            <w:pPr>
              <w:tabs>
                <w:tab w:val="clear" w:pos="794"/>
              </w:tabs>
              <w:spacing w:before="40" w:after="40" w:line="240" w:lineRule="exact"/>
              <w:jc w:val="left"/>
              <w:rPr>
                <w:rFonts w:eastAsia="Times New Roman"/>
                <w:b/>
                <w:bCs/>
                <w:color w:val="000000"/>
                <w:sz w:val="18"/>
                <w:szCs w:val="18"/>
                <w:rtl/>
                <w:lang w:val="en-GB" w:eastAsia="en-GB" w:bidi="ar-SY"/>
              </w:rPr>
            </w:pPr>
            <w:r w:rsidRPr="005269E6">
              <w:rPr>
                <w:sz w:val="18"/>
                <w:szCs w:val="18"/>
                <w:rtl/>
              </w:rPr>
              <w:t>الخدمات التعاقدية</w:t>
            </w:r>
          </w:p>
        </w:tc>
        <w:tc>
          <w:tcPr>
            <w:tcW w:w="1992" w:type="dxa"/>
            <w:tcBorders>
              <w:top w:val="nil"/>
              <w:left w:val="nil"/>
              <w:bottom w:val="nil"/>
              <w:right w:val="nil"/>
            </w:tcBorders>
            <w:shd w:val="clear" w:color="auto" w:fill="auto"/>
            <w:noWrap/>
            <w:vAlign w:val="bottom"/>
          </w:tcPr>
          <w:p w14:paraId="0787C99D" w14:textId="3A231145" w:rsidR="00127342" w:rsidRPr="005269E6" w:rsidRDefault="00127342" w:rsidP="00127342">
            <w:pPr>
              <w:tabs>
                <w:tab w:val="clear" w:pos="794"/>
              </w:tabs>
              <w:spacing w:before="40" w:after="40" w:line="240" w:lineRule="exact"/>
              <w:jc w:val="center"/>
              <w:rPr>
                <w:rFonts w:eastAsia="Times New Roman"/>
                <w:i/>
                <w:iCs/>
                <w:color w:val="000000"/>
                <w:sz w:val="18"/>
                <w:szCs w:val="18"/>
                <w:rtl/>
                <w:lang w:eastAsia="en-GB" w:bidi="ar-SY"/>
              </w:rPr>
            </w:pPr>
            <w:r w:rsidRPr="005269E6">
              <w:rPr>
                <w:rFonts w:eastAsia="Times New Roman"/>
                <w:i/>
                <w:iCs/>
                <w:color w:val="000000"/>
                <w:sz w:val="18"/>
                <w:szCs w:val="18"/>
                <w:rtl/>
                <w:lang w:val="en-GB" w:eastAsia="en-GB"/>
              </w:rPr>
              <w:t xml:space="preserve">الملاحظة </w:t>
            </w:r>
            <w:r w:rsidRPr="005269E6">
              <w:rPr>
                <w:rFonts w:eastAsia="Times New Roman"/>
                <w:i/>
                <w:iCs/>
                <w:color w:val="000000"/>
                <w:sz w:val="18"/>
                <w:szCs w:val="18"/>
                <w:lang w:eastAsia="en-GB"/>
              </w:rPr>
              <w:t>14.30</w:t>
            </w:r>
          </w:p>
        </w:tc>
        <w:tc>
          <w:tcPr>
            <w:tcW w:w="1491" w:type="dxa"/>
            <w:tcBorders>
              <w:top w:val="nil"/>
              <w:left w:val="nil"/>
              <w:bottom w:val="nil"/>
              <w:right w:val="nil"/>
            </w:tcBorders>
          </w:tcPr>
          <w:p w14:paraId="7F4E4414" w14:textId="551F8A28" w:rsidR="00127342" w:rsidRPr="005269E6" w:rsidRDefault="00127342" w:rsidP="00696AA6">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21 038</w:t>
            </w:r>
          </w:p>
        </w:tc>
        <w:tc>
          <w:tcPr>
            <w:tcW w:w="1563" w:type="dxa"/>
            <w:tcBorders>
              <w:top w:val="nil"/>
              <w:left w:val="nil"/>
              <w:bottom w:val="nil"/>
              <w:right w:val="nil"/>
            </w:tcBorders>
            <w:shd w:val="clear" w:color="auto" w:fill="auto"/>
            <w:noWrap/>
            <w:vAlign w:val="bottom"/>
          </w:tcPr>
          <w:p w14:paraId="7896AE5F" w14:textId="083A9D8F"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224</w:t>
            </w:r>
          </w:p>
        </w:tc>
        <w:tc>
          <w:tcPr>
            <w:tcW w:w="1688" w:type="dxa"/>
            <w:tcBorders>
              <w:top w:val="nil"/>
              <w:left w:val="nil"/>
              <w:bottom w:val="nil"/>
              <w:right w:val="nil"/>
            </w:tcBorders>
            <w:shd w:val="clear" w:color="auto" w:fill="auto"/>
            <w:noWrap/>
            <w:vAlign w:val="bottom"/>
          </w:tcPr>
          <w:p w14:paraId="47AC5D22" w14:textId="6EC92500"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21 262</w:t>
            </w:r>
          </w:p>
        </w:tc>
      </w:tr>
      <w:tr w:rsidR="00127342" w:rsidRPr="005269E6" w14:paraId="192DB627" w14:textId="77777777" w:rsidTr="00FE51D3">
        <w:trPr>
          <w:trHeight w:val="255"/>
          <w:jc w:val="center"/>
        </w:trPr>
        <w:tc>
          <w:tcPr>
            <w:tcW w:w="2621" w:type="dxa"/>
            <w:tcBorders>
              <w:top w:val="nil"/>
              <w:left w:val="nil"/>
              <w:bottom w:val="nil"/>
              <w:right w:val="nil"/>
            </w:tcBorders>
            <w:shd w:val="clear" w:color="auto" w:fill="auto"/>
            <w:noWrap/>
          </w:tcPr>
          <w:p w14:paraId="26712597" w14:textId="3D74A386" w:rsidR="00127342" w:rsidRPr="005269E6" w:rsidRDefault="00127342" w:rsidP="00127342">
            <w:pPr>
              <w:tabs>
                <w:tab w:val="clear" w:pos="794"/>
              </w:tabs>
              <w:spacing w:before="40" w:after="40" w:line="240" w:lineRule="exact"/>
              <w:jc w:val="left"/>
              <w:rPr>
                <w:rFonts w:eastAsia="Times New Roman"/>
                <w:b/>
                <w:bCs/>
                <w:color w:val="000000"/>
                <w:sz w:val="18"/>
                <w:szCs w:val="18"/>
                <w:rtl/>
                <w:lang w:val="en-GB" w:eastAsia="en-GB" w:bidi="ar-SY"/>
              </w:rPr>
            </w:pPr>
            <w:r w:rsidRPr="005269E6">
              <w:rPr>
                <w:sz w:val="18"/>
                <w:szCs w:val="18"/>
                <w:rtl/>
              </w:rPr>
              <w:t>استئجار وصيانة المباني والمعدات</w:t>
            </w:r>
          </w:p>
        </w:tc>
        <w:tc>
          <w:tcPr>
            <w:tcW w:w="1992" w:type="dxa"/>
            <w:tcBorders>
              <w:top w:val="nil"/>
              <w:left w:val="nil"/>
              <w:bottom w:val="nil"/>
              <w:right w:val="nil"/>
            </w:tcBorders>
            <w:shd w:val="clear" w:color="auto" w:fill="auto"/>
            <w:noWrap/>
            <w:vAlign w:val="bottom"/>
          </w:tcPr>
          <w:p w14:paraId="5DBBE28D" w14:textId="77777777" w:rsidR="00127342" w:rsidRPr="005269E6" w:rsidRDefault="00127342" w:rsidP="00127342">
            <w:pPr>
              <w:tabs>
                <w:tab w:val="clear" w:pos="794"/>
              </w:tabs>
              <w:spacing w:before="40" w:after="40" w:line="240" w:lineRule="exact"/>
              <w:jc w:val="center"/>
              <w:rPr>
                <w:rFonts w:eastAsia="Times New Roman"/>
                <w:i/>
                <w:iCs/>
                <w:color w:val="000000"/>
                <w:sz w:val="18"/>
                <w:szCs w:val="18"/>
                <w:rtl/>
                <w:lang w:val="en-GB" w:eastAsia="en-GB"/>
              </w:rPr>
            </w:pPr>
          </w:p>
        </w:tc>
        <w:tc>
          <w:tcPr>
            <w:tcW w:w="1491" w:type="dxa"/>
            <w:tcBorders>
              <w:top w:val="nil"/>
              <w:left w:val="nil"/>
              <w:bottom w:val="nil"/>
              <w:right w:val="nil"/>
            </w:tcBorders>
          </w:tcPr>
          <w:p w14:paraId="0BEF2D1E" w14:textId="5214E389" w:rsidR="00127342" w:rsidRPr="005269E6" w:rsidRDefault="00127342" w:rsidP="00696AA6">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1 847</w:t>
            </w:r>
          </w:p>
        </w:tc>
        <w:tc>
          <w:tcPr>
            <w:tcW w:w="1563" w:type="dxa"/>
            <w:tcBorders>
              <w:top w:val="nil"/>
              <w:left w:val="nil"/>
              <w:bottom w:val="nil"/>
              <w:right w:val="nil"/>
            </w:tcBorders>
            <w:shd w:val="clear" w:color="auto" w:fill="auto"/>
            <w:noWrap/>
            <w:vAlign w:val="bottom"/>
          </w:tcPr>
          <w:p w14:paraId="71A28EF8" w14:textId="4BBB2B2D"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688" w:type="dxa"/>
            <w:tcBorders>
              <w:top w:val="nil"/>
              <w:left w:val="nil"/>
              <w:bottom w:val="nil"/>
              <w:right w:val="nil"/>
            </w:tcBorders>
            <w:shd w:val="clear" w:color="auto" w:fill="auto"/>
            <w:noWrap/>
            <w:vAlign w:val="bottom"/>
          </w:tcPr>
          <w:p w14:paraId="0453AD58" w14:textId="32E2485B"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1 847</w:t>
            </w:r>
          </w:p>
        </w:tc>
      </w:tr>
      <w:tr w:rsidR="00127342" w:rsidRPr="005269E6" w14:paraId="40BF2698" w14:textId="77777777" w:rsidTr="00FE51D3">
        <w:trPr>
          <w:trHeight w:val="255"/>
          <w:jc w:val="center"/>
        </w:trPr>
        <w:tc>
          <w:tcPr>
            <w:tcW w:w="2621" w:type="dxa"/>
            <w:tcBorders>
              <w:top w:val="nil"/>
              <w:left w:val="nil"/>
              <w:bottom w:val="nil"/>
              <w:right w:val="nil"/>
            </w:tcBorders>
            <w:shd w:val="clear" w:color="auto" w:fill="auto"/>
            <w:noWrap/>
          </w:tcPr>
          <w:p w14:paraId="2A447AB4" w14:textId="50623300" w:rsidR="00127342" w:rsidRPr="005269E6" w:rsidRDefault="00127342" w:rsidP="00127342">
            <w:pPr>
              <w:tabs>
                <w:tab w:val="clear" w:pos="794"/>
              </w:tabs>
              <w:spacing w:before="40" w:after="40" w:line="240" w:lineRule="exact"/>
              <w:jc w:val="left"/>
              <w:rPr>
                <w:rFonts w:eastAsia="Times New Roman"/>
                <w:b/>
                <w:bCs/>
                <w:color w:val="000000"/>
                <w:sz w:val="18"/>
                <w:szCs w:val="18"/>
                <w:rtl/>
                <w:lang w:val="en-GB" w:eastAsia="en-GB" w:bidi="ar-SY"/>
              </w:rPr>
            </w:pPr>
            <w:r w:rsidRPr="005269E6">
              <w:rPr>
                <w:sz w:val="18"/>
                <w:szCs w:val="18"/>
                <w:rtl/>
              </w:rPr>
              <w:t>المعدات واللوازم</w:t>
            </w:r>
          </w:p>
        </w:tc>
        <w:tc>
          <w:tcPr>
            <w:tcW w:w="1992" w:type="dxa"/>
            <w:tcBorders>
              <w:top w:val="nil"/>
              <w:left w:val="nil"/>
              <w:bottom w:val="nil"/>
              <w:right w:val="nil"/>
            </w:tcBorders>
            <w:shd w:val="clear" w:color="auto" w:fill="auto"/>
            <w:noWrap/>
            <w:vAlign w:val="bottom"/>
          </w:tcPr>
          <w:p w14:paraId="20240FA7" w14:textId="77777777" w:rsidR="00127342" w:rsidRPr="005269E6" w:rsidRDefault="00127342" w:rsidP="00127342">
            <w:pPr>
              <w:tabs>
                <w:tab w:val="clear" w:pos="794"/>
              </w:tabs>
              <w:spacing w:before="40" w:after="40" w:line="240" w:lineRule="exact"/>
              <w:jc w:val="center"/>
              <w:rPr>
                <w:rFonts w:eastAsia="Times New Roman"/>
                <w:i/>
                <w:iCs/>
                <w:color w:val="000000"/>
                <w:sz w:val="18"/>
                <w:szCs w:val="18"/>
                <w:rtl/>
                <w:lang w:val="en-GB" w:eastAsia="en-GB"/>
              </w:rPr>
            </w:pPr>
          </w:p>
        </w:tc>
        <w:tc>
          <w:tcPr>
            <w:tcW w:w="1491" w:type="dxa"/>
            <w:tcBorders>
              <w:top w:val="nil"/>
              <w:left w:val="nil"/>
              <w:bottom w:val="nil"/>
              <w:right w:val="nil"/>
            </w:tcBorders>
          </w:tcPr>
          <w:p w14:paraId="22793F5A" w14:textId="539E52B4" w:rsidR="00127342" w:rsidRPr="005269E6" w:rsidRDefault="00127342" w:rsidP="00696AA6">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2 297</w:t>
            </w:r>
          </w:p>
        </w:tc>
        <w:tc>
          <w:tcPr>
            <w:tcW w:w="1563" w:type="dxa"/>
            <w:tcBorders>
              <w:top w:val="nil"/>
              <w:left w:val="nil"/>
              <w:bottom w:val="nil"/>
              <w:right w:val="nil"/>
            </w:tcBorders>
            <w:shd w:val="clear" w:color="auto" w:fill="auto"/>
            <w:noWrap/>
            <w:vAlign w:val="bottom"/>
          </w:tcPr>
          <w:p w14:paraId="208036B0" w14:textId="667427F9"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688" w:type="dxa"/>
            <w:tcBorders>
              <w:top w:val="nil"/>
              <w:left w:val="nil"/>
              <w:bottom w:val="nil"/>
              <w:right w:val="nil"/>
            </w:tcBorders>
            <w:shd w:val="clear" w:color="auto" w:fill="auto"/>
            <w:noWrap/>
            <w:vAlign w:val="bottom"/>
          </w:tcPr>
          <w:p w14:paraId="71BED35A" w14:textId="67544A65"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2 297</w:t>
            </w:r>
          </w:p>
        </w:tc>
      </w:tr>
      <w:tr w:rsidR="00127342" w:rsidRPr="005269E6" w14:paraId="4ED7DDF4" w14:textId="77777777" w:rsidTr="00FE51D3">
        <w:trPr>
          <w:trHeight w:val="255"/>
          <w:jc w:val="center"/>
        </w:trPr>
        <w:tc>
          <w:tcPr>
            <w:tcW w:w="2621" w:type="dxa"/>
            <w:tcBorders>
              <w:top w:val="nil"/>
              <w:left w:val="nil"/>
              <w:bottom w:val="nil"/>
              <w:right w:val="nil"/>
            </w:tcBorders>
            <w:shd w:val="clear" w:color="auto" w:fill="auto"/>
            <w:noWrap/>
          </w:tcPr>
          <w:p w14:paraId="6AB63AAC" w14:textId="023079E0" w:rsidR="00127342" w:rsidRPr="005269E6" w:rsidRDefault="00127342" w:rsidP="00127342">
            <w:pPr>
              <w:tabs>
                <w:tab w:val="clear" w:pos="794"/>
              </w:tabs>
              <w:spacing w:before="40" w:after="40" w:line="240" w:lineRule="exact"/>
              <w:jc w:val="left"/>
              <w:rPr>
                <w:rFonts w:eastAsia="Times New Roman"/>
                <w:b/>
                <w:bCs/>
                <w:color w:val="000000"/>
                <w:sz w:val="18"/>
                <w:szCs w:val="18"/>
                <w:rtl/>
                <w:lang w:val="en-GB" w:eastAsia="en-GB" w:bidi="ar-SY"/>
              </w:rPr>
            </w:pPr>
            <w:r w:rsidRPr="005269E6">
              <w:rPr>
                <w:sz w:val="18"/>
                <w:szCs w:val="18"/>
                <w:rtl/>
              </w:rPr>
              <w:t>الإهلاك وخسائر انخفاض القيمة</w:t>
            </w:r>
          </w:p>
        </w:tc>
        <w:tc>
          <w:tcPr>
            <w:tcW w:w="1992" w:type="dxa"/>
            <w:tcBorders>
              <w:top w:val="nil"/>
              <w:left w:val="nil"/>
              <w:bottom w:val="nil"/>
              <w:right w:val="nil"/>
            </w:tcBorders>
            <w:shd w:val="clear" w:color="auto" w:fill="auto"/>
            <w:noWrap/>
            <w:vAlign w:val="bottom"/>
          </w:tcPr>
          <w:p w14:paraId="6BF5D803" w14:textId="77777777" w:rsidR="00127342" w:rsidRPr="005269E6" w:rsidRDefault="00127342" w:rsidP="00127342">
            <w:pPr>
              <w:tabs>
                <w:tab w:val="clear" w:pos="794"/>
              </w:tabs>
              <w:spacing w:before="40" w:after="40" w:line="240" w:lineRule="exact"/>
              <w:jc w:val="center"/>
              <w:rPr>
                <w:rFonts w:eastAsia="Times New Roman"/>
                <w:i/>
                <w:iCs/>
                <w:color w:val="000000"/>
                <w:sz w:val="18"/>
                <w:szCs w:val="18"/>
                <w:rtl/>
                <w:lang w:val="en-GB" w:eastAsia="en-GB"/>
              </w:rPr>
            </w:pPr>
          </w:p>
        </w:tc>
        <w:tc>
          <w:tcPr>
            <w:tcW w:w="1491" w:type="dxa"/>
            <w:tcBorders>
              <w:top w:val="nil"/>
              <w:left w:val="nil"/>
              <w:bottom w:val="nil"/>
              <w:right w:val="nil"/>
            </w:tcBorders>
          </w:tcPr>
          <w:p w14:paraId="516CCAC6" w14:textId="7BD792BD" w:rsidR="00127342" w:rsidRPr="005269E6" w:rsidRDefault="00127342" w:rsidP="00696AA6">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9 693</w:t>
            </w:r>
          </w:p>
        </w:tc>
        <w:tc>
          <w:tcPr>
            <w:tcW w:w="1563" w:type="dxa"/>
            <w:tcBorders>
              <w:top w:val="nil"/>
              <w:left w:val="nil"/>
              <w:bottom w:val="nil"/>
              <w:right w:val="nil"/>
            </w:tcBorders>
            <w:shd w:val="clear" w:color="auto" w:fill="auto"/>
            <w:noWrap/>
            <w:vAlign w:val="bottom"/>
          </w:tcPr>
          <w:p w14:paraId="55ABE61F" w14:textId="112E785E"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688" w:type="dxa"/>
            <w:tcBorders>
              <w:top w:val="nil"/>
              <w:left w:val="nil"/>
              <w:bottom w:val="nil"/>
              <w:right w:val="nil"/>
            </w:tcBorders>
            <w:shd w:val="clear" w:color="auto" w:fill="auto"/>
            <w:noWrap/>
            <w:vAlign w:val="bottom"/>
          </w:tcPr>
          <w:p w14:paraId="3EA80515" w14:textId="3AA03450"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9 693</w:t>
            </w:r>
          </w:p>
        </w:tc>
      </w:tr>
      <w:tr w:rsidR="00127342" w:rsidRPr="005269E6" w14:paraId="7B5789CD" w14:textId="77777777" w:rsidTr="00FE51D3">
        <w:trPr>
          <w:trHeight w:val="255"/>
          <w:jc w:val="center"/>
        </w:trPr>
        <w:tc>
          <w:tcPr>
            <w:tcW w:w="2621" w:type="dxa"/>
            <w:tcBorders>
              <w:top w:val="nil"/>
              <w:left w:val="nil"/>
              <w:bottom w:val="nil"/>
              <w:right w:val="nil"/>
            </w:tcBorders>
            <w:shd w:val="clear" w:color="auto" w:fill="auto"/>
            <w:noWrap/>
          </w:tcPr>
          <w:p w14:paraId="3136FFC5" w14:textId="202DA0BF" w:rsidR="00127342" w:rsidRPr="005269E6" w:rsidRDefault="00127342" w:rsidP="00127342">
            <w:pPr>
              <w:tabs>
                <w:tab w:val="clear" w:pos="794"/>
              </w:tabs>
              <w:spacing w:before="40" w:after="40" w:line="240" w:lineRule="exact"/>
              <w:jc w:val="left"/>
              <w:rPr>
                <w:rFonts w:eastAsia="Times New Roman"/>
                <w:b/>
                <w:bCs/>
                <w:color w:val="000000"/>
                <w:sz w:val="18"/>
                <w:szCs w:val="18"/>
                <w:rtl/>
                <w:lang w:val="en-GB" w:eastAsia="en-GB" w:bidi="ar-SY"/>
              </w:rPr>
            </w:pPr>
            <w:r w:rsidRPr="005269E6">
              <w:rPr>
                <w:sz w:val="18"/>
                <w:szCs w:val="18"/>
                <w:rtl/>
              </w:rPr>
              <w:t>نفقات الشحن والاتصالات والخدمات</w:t>
            </w:r>
          </w:p>
        </w:tc>
        <w:tc>
          <w:tcPr>
            <w:tcW w:w="1992" w:type="dxa"/>
            <w:tcBorders>
              <w:top w:val="nil"/>
              <w:left w:val="nil"/>
              <w:bottom w:val="nil"/>
              <w:right w:val="nil"/>
            </w:tcBorders>
            <w:shd w:val="clear" w:color="auto" w:fill="auto"/>
            <w:noWrap/>
            <w:vAlign w:val="bottom"/>
          </w:tcPr>
          <w:p w14:paraId="25FEE569" w14:textId="77777777" w:rsidR="00127342" w:rsidRPr="005269E6" w:rsidRDefault="00127342" w:rsidP="00127342">
            <w:pPr>
              <w:tabs>
                <w:tab w:val="clear" w:pos="794"/>
              </w:tabs>
              <w:spacing w:before="40" w:after="40" w:line="240" w:lineRule="exact"/>
              <w:jc w:val="center"/>
              <w:rPr>
                <w:rFonts w:eastAsia="Times New Roman"/>
                <w:i/>
                <w:iCs/>
                <w:color w:val="000000"/>
                <w:sz w:val="18"/>
                <w:szCs w:val="18"/>
                <w:rtl/>
                <w:lang w:val="en-GB" w:eastAsia="en-GB"/>
              </w:rPr>
            </w:pPr>
          </w:p>
        </w:tc>
        <w:tc>
          <w:tcPr>
            <w:tcW w:w="1491" w:type="dxa"/>
            <w:tcBorders>
              <w:top w:val="nil"/>
              <w:left w:val="nil"/>
              <w:bottom w:val="nil"/>
              <w:right w:val="nil"/>
            </w:tcBorders>
          </w:tcPr>
          <w:p w14:paraId="3EB3B381" w14:textId="18254437" w:rsidR="00127342" w:rsidRPr="005269E6" w:rsidRDefault="00127342" w:rsidP="00696AA6">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1 505</w:t>
            </w:r>
          </w:p>
        </w:tc>
        <w:tc>
          <w:tcPr>
            <w:tcW w:w="1563" w:type="dxa"/>
            <w:tcBorders>
              <w:top w:val="nil"/>
              <w:left w:val="nil"/>
              <w:bottom w:val="nil"/>
              <w:right w:val="nil"/>
            </w:tcBorders>
            <w:shd w:val="clear" w:color="auto" w:fill="auto"/>
            <w:noWrap/>
            <w:vAlign w:val="bottom"/>
          </w:tcPr>
          <w:p w14:paraId="0EFA24D9" w14:textId="3ECC59C2"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688" w:type="dxa"/>
            <w:tcBorders>
              <w:top w:val="nil"/>
              <w:left w:val="nil"/>
              <w:bottom w:val="nil"/>
              <w:right w:val="nil"/>
            </w:tcBorders>
            <w:shd w:val="clear" w:color="auto" w:fill="auto"/>
            <w:noWrap/>
            <w:vAlign w:val="bottom"/>
          </w:tcPr>
          <w:p w14:paraId="2D64492A" w14:textId="1867CEA2"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1 505</w:t>
            </w:r>
          </w:p>
        </w:tc>
      </w:tr>
      <w:tr w:rsidR="00127342" w:rsidRPr="005269E6" w14:paraId="4EA14296" w14:textId="77777777" w:rsidTr="00FE51D3">
        <w:trPr>
          <w:trHeight w:val="255"/>
          <w:jc w:val="center"/>
        </w:trPr>
        <w:tc>
          <w:tcPr>
            <w:tcW w:w="2621" w:type="dxa"/>
            <w:tcBorders>
              <w:top w:val="nil"/>
              <w:left w:val="nil"/>
              <w:bottom w:val="nil"/>
              <w:right w:val="nil"/>
            </w:tcBorders>
            <w:shd w:val="clear" w:color="auto" w:fill="auto"/>
            <w:noWrap/>
          </w:tcPr>
          <w:p w14:paraId="0B45497D" w14:textId="6DF91DD6" w:rsidR="00127342" w:rsidRPr="005269E6" w:rsidRDefault="00127342" w:rsidP="00127342">
            <w:pPr>
              <w:tabs>
                <w:tab w:val="clear" w:pos="794"/>
              </w:tabs>
              <w:spacing w:before="40" w:after="40" w:line="240" w:lineRule="exact"/>
              <w:jc w:val="left"/>
              <w:rPr>
                <w:rFonts w:eastAsia="Times New Roman"/>
                <w:b/>
                <w:bCs/>
                <w:color w:val="000000"/>
                <w:sz w:val="18"/>
                <w:szCs w:val="18"/>
                <w:rtl/>
                <w:lang w:val="en-GB" w:eastAsia="en-GB" w:bidi="ar-SY"/>
              </w:rPr>
            </w:pPr>
            <w:r w:rsidRPr="005269E6">
              <w:rPr>
                <w:sz w:val="18"/>
                <w:szCs w:val="18"/>
                <w:rtl/>
              </w:rPr>
              <w:t>نفقات أخرى</w:t>
            </w:r>
          </w:p>
        </w:tc>
        <w:tc>
          <w:tcPr>
            <w:tcW w:w="1992" w:type="dxa"/>
            <w:tcBorders>
              <w:top w:val="nil"/>
              <w:left w:val="nil"/>
              <w:bottom w:val="nil"/>
              <w:right w:val="nil"/>
            </w:tcBorders>
            <w:shd w:val="clear" w:color="auto" w:fill="auto"/>
            <w:noWrap/>
            <w:vAlign w:val="bottom"/>
          </w:tcPr>
          <w:p w14:paraId="7C20F981" w14:textId="6524AAA9" w:rsidR="00127342" w:rsidRPr="005269E6" w:rsidRDefault="00127342" w:rsidP="00127342">
            <w:pPr>
              <w:tabs>
                <w:tab w:val="clear" w:pos="794"/>
              </w:tabs>
              <w:spacing w:before="40" w:after="40" w:line="240" w:lineRule="exact"/>
              <w:jc w:val="center"/>
              <w:rPr>
                <w:rFonts w:eastAsia="Times New Roman"/>
                <w:i/>
                <w:iCs/>
                <w:color w:val="000000"/>
                <w:sz w:val="18"/>
                <w:szCs w:val="18"/>
                <w:rtl/>
                <w:lang w:eastAsia="en-GB" w:bidi="ar-SY"/>
              </w:rPr>
            </w:pPr>
            <w:r w:rsidRPr="005269E6">
              <w:rPr>
                <w:rFonts w:eastAsia="Times New Roman"/>
                <w:i/>
                <w:iCs/>
                <w:color w:val="000000"/>
                <w:sz w:val="18"/>
                <w:szCs w:val="18"/>
                <w:rtl/>
                <w:lang w:val="en-GB" w:eastAsia="en-GB" w:bidi="ar-SY"/>
              </w:rPr>
              <w:t xml:space="preserve">الملاحظة </w:t>
            </w:r>
            <w:r w:rsidRPr="005269E6">
              <w:rPr>
                <w:rFonts w:eastAsia="Times New Roman"/>
                <w:i/>
                <w:iCs/>
                <w:color w:val="000000"/>
                <w:sz w:val="18"/>
                <w:szCs w:val="18"/>
                <w:lang w:eastAsia="en-GB" w:bidi="ar-SY"/>
              </w:rPr>
              <w:t>4.30</w:t>
            </w:r>
            <w:r w:rsidRPr="005269E6">
              <w:rPr>
                <w:rFonts w:eastAsia="Times New Roman"/>
                <w:i/>
                <w:iCs/>
                <w:color w:val="000000"/>
                <w:sz w:val="18"/>
                <w:szCs w:val="18"/>
                <w:rtl/>
                <w:lang w:eastAsia="en-GB" w:bidi="ar-SY"/>
              </w:rPr>
              <w:t xml:space="preserve"> و</w:t>
            </w:r>
            <w:r w:rsidRPr="005269E6">
              <w:rPr>
                <w:rFonts w:eastAsia="Times New Roman"/>
                <w:i/>
                <w:iCs/>
                <w:color w:val="000000"/>
                <w:sz w:val="18"/>
                <w:szCs w:val="18"/>
                <w:lang w:eastAsia="en-GB" w:bidi="ar-SY"/>
              </w:rPr>
              <w:t>9.30</w:t>
            </w:r>
            <w:r w:rsidRPr="005269E6">
              <w:rPr>
                <w:rFonts w:eastAsia="Times New Roman"/>
                <w:i/>
                <w:iCs/>
                <w:color w:val="000000"/>
                <w:sz w:val="18"/>
                <w:szCs w:val="18"/>
                <w:rtl/>
                <w:lang w:eastAsia="en-GB" w:bidi="ar-SY"/>
              </w:rPr>
              <w:t xml:space="preserve"> و</w:t>
            </w:r>
            <w:r w:rsidRPr="005269E6">
              <w:rPr>
                <w:rFonts w:eastAsia="Times New Roman"/>
                <w:i/>
                <w:iCs/>
                <w:color w:val="000000"/>
                <w:sz w:val="18"/>
                <w:szCs w:val="18"/>
                <w:lang w:eastAsia="en-GB" w:bidi="ar-SY"/>
              </w:rPr>
              <w:t>10.30</w:t>
            </w:r>
            <w:r w:rsidRPr="005269E6">
              <w:rPr>
                <w:rFonts w:eastAsia="Times New Roman"/>
                <w:i/>
                <w:iCs/>
                <w:color w:val="000000"/>
                <w:sz w:val="18"/>
                <w:szCs w:val="18"/>
                <w:rtl/>
                <w:lang w:eastAsia="en-GB" w:bidi="ar-SY"/>
              </w:rPr>
              <w:t xml:space="preserve"> و</w:t>
            </w:r>
            <w:r w:rsidRPr="005269E6">
              <w:rPr>
                <w:rFonts w:eastAsia="Times New Roman"/>
                <w:i/>
                <w:iCs/>
                <w:color w:val="000000"/>
                <w:sz w:val="18"/>
                <w:szCs w:val="18"/>
                <w:lang w:eastAsia="en-GB" w:bidi="ar-SY"/>
              </w:rPr>
              <w:t>12.30</w:t>
            </w:r>
            <w:r w:rsidRPr="005269E6">
              <w:rPr>
                <w:rFonts w:eastAsia="Times New Roman"/>
                <w:i/>
                <w:iCs/>
                <w:color w:val="000000"/>
                <w:sz w:val="18"/>
                <w:szCs w:val="18"/>
                <w:rtl/>
                <w:lang w:eastAsia="en-GB" w:bidi="ar-SY"/>
              </w:rPr>
              <w:t xml:space="preserve"> و</w:t>
            </w:r>
            <w:r w:rsidRPr="005269E6">
              <w:rPr>
                <w:rFonts w:eastAsia="Times New Roman"/>
                <w:i/>
                <w:iCs/>
                <w:color w:val="000000"/>
                <w:sz w:val="18"/>
                <w:szCs w:val="18"/>
                <w:lang w:eastAsia="en-GB" w:bidi="ar-SY"/>
              </w:rPr>
              <w:t>14.30</w:t>
            </w:r>
          </w:p>
        </w:tc>
        <w:tc>
          <w:tcPr>
            <w:tcW w:w="1491" w:type="dxa"/>
            <w:tcBorders>
              <w:top w:val="nil"/>
              <w:left w:val="nil"/>
              <w:bottom w:val="nil"/>
              <w:right w:val="nil"/>
            </w:tcBorders>
          </w:tcPr>
          <w:p w14:paraId="1810B371" w14:textId="68B6A6A7" w:rsidR="00127342" w:rsidRPr="005269E6" w:rsidRDefault="00127342" w:rsidP="00696AA6">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2 937</w:t>
            </w:r>
          </w:p>
        </w:tc>
        <w:tc>
          <w:tcPr>
            <w:tcW w:w="1563" w:type="dxa"/>
            <w:tcBorders>
              <w:top w:val="nil"/>
              <w:left w:val="nil"/>
              <w:bottom w:val="nil"/>
              <w:right w:val="nil"/>
            </w:tcBorders>
            <w:shd w:val="clear" w:color="auto" w:fill="auto"/>
            <w:noWrap/>
            <w:vAlign w:val="bottom"/>
          </w:tcPr>
          <w:p w14:paraId="53C0A6FA" w14:textId="3969827A"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(1 001)</w:t>
            </w:r>
          </w:p>
        </w:tc>
        <w:tc>
          <w:tcPr>
            <w:tcW w:w="1688" w:type="dxa"/>
            <w:tcBorders>
              <w:top w:val="nil"/>
              <w:left w:val="nil"/>
              <w:bottom w:val="nil"/>
              <w:right w:val="nil"/>
            </w:tcBorders>
            <w:shd w:val="clear" w:color="auto" w:fill="auto"/>
            <w:noWrap/>
            <w:vAlign w:val="bottom"/>
          </w:tcPr>
          <w:p w14:paraId="20D2B61D" w14:textId="6C3A6E35" w:rsidR="00127342" w:rsidRPr="005269E6" w:rsidRDefault="00127342"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1 936</w:t>
            </w:r>
          </w:p>
        </w:tc>
      </w:tr>
      <w:tr w:rsidR="00A84C27" w:rsidRPr="005269E6" w14:paraId="243C1EDA" w14:textId="77777777" w:rsidTr="00FE51D3">
        <w:trPr>
          <w:trHeight w:val="255"/>
          <w:jc w:val="center"/>
        </w:trPr>
        <w:tc>
          <w:tcPr>
            <w:tcW w:w="2621" w:type="dxa"/>
            <w:tcBorders>
              <w:top w:val="nil"/>
              <w:left w:val="nil"/>
              <w:bottom w:val="nil"/>
              <w:right w:val="nil"/>
            </w:tcBorders>
            <w:shd w:val="clear" w:color="auto" w:fill="auto"/>
            <w:noWrap/>
          </w:tcPr>
          <w:p w14:paraId="35D7C534" w14:textId="3C6B6CDA" w:rsidR="00A84C27" w:rsidRPr="005269E6" w:rsidRDefault="009915D8" w:rsidP="009915D8">
            <w:pPr>
              <w:tabs>
                <w:tab w:val="clear" w:pos="794"/>
              </w:tabs>
              <w:spacing w:before="40" w:after="40" w:line="240" w:lineRule="exact"/>
              <w:jc w:val="left"/>
              <w:rPr>
                <w:rFonts w:eastAsia="Times New Roman"/>
                <w:b/>
                <w:bCs/>
                <w:color w:val="000000"/>
                <w:sz w:val="18"/>
                <w:szCs w:val="18"/>
                <w:rtl/>
                <w:lang w:val="en-GB" w:eastAsia="en-GB" w:bidi="ar-SY"/>
              </w:rPr>
            </w:pPr>
            <w:r w:rsidRPr="005269E6">
              <w:rPr>
                <w:rFonts w:eastAsia="Times New Roman"/>
                <w:color w:val="000000"/>
                <w:sz w:val="18"/>
                <w:szCs w:val="18"/>
                <w:rtl/>
                <w:lang w:val="en-GB" w:eastAsia="en-GB"/>
              </w:rPr>
              <w:t>نفقات</w:t>
            </w:r>
            <w:r w:rsidRPr="005269E6">
              <w:rPr>
                <w:sz w:val="18"/>
                <w:szCs w:val="18"/>
                <w:rtl/>
              </w:rPr>
              <w:t xml:space="preserve"> </w:t>
            </w:r>
            <w:r w:rsidRPr="005269E6">
              <w:rPr>
                <w:rFonts w:eastAsia="Times New Roman"/>
                <w:color w:val="000000"/>
                <w:sz w:val="18"/>
                <w:szCs w:val="18"/>
                <w:rtl/>
                <w:lang w:val="en-GB" w:eastAsia="en-GB"/>
              </w:rPr>
              <w:t>المساهمات العينية</w:t>
            </w:r>
          </w:p>
        </w:tc>
        <w:tc>
          <w:tcPr>
            <w:tcW w:w="1992" w:type="dxa"/>
            <w:tcBorders>
              <w:top w:val="nil"/>
              <w:left w:val="nil"/>
              <w:bottom w:val="nil"/>
              <w:right w:val="nil"/>
            </w:tcBorders>
            <w:shd w:val="clear" w:color="auto" w:fill="auto"/>
            <w:noWrap/>
            <w:vAlign w:val="bottom"/>
          </w:tcPr>
          <w:p w14:paraId="31B51B6E" w14:textId="08433A6F" w:rsidR="00A84C27" w:rsidRPr="005269E6" w:rsidRDefault="009040A4" w:rsidP="00A84C27">
            <w:pPr>
              <w:tabs>
                <w:tab w:val="clear" w:pos="794"/>
              </w:tabs>
              <w:spacing w:before="40" w:after="40" w:line="240" w:lineRule="exact"/>
              <w:jc w:val="center"/>
              <w:rPr>
                <w:rFonts w:eastAsia="Times New Roman"/>
                <w:i/>
                <w:iCs/>
                <w:color w:val="000000"/>
                <w:sz w:val="18"/>
                <w:szCs w:val="18"/>
                <w:rtl/>
                <w:lang w:eastAsia="en-GB" w:bidi="ar-SY"/>
              </w:rPr>
            </w:pPr>
            <w:r w:rsidRPr="005269E6">
              <w:rPr>
                <w:rFonts w:eastAsia="Times New Roman"/>
                <w:i/>
                <w:iCs/>
                <w:color w:val="000000"/>
                <w:sz w:val="18"/>
                <w:szCs w:val="18"/>
                <w:rtl/>
                <w:lang w:val="en-GB" w:eastAsia="en-GB"/>
              </w:rPr>
              <w:t xml:space="preserve">الملاحظة </w:t>
            </w:r>
            <w:r w:rsidRPr="005269E6">
              <w:rPr>
                <w:rFonts w:eastAsia="Times New Roman"/>
                <w:i/>
                <w:iCs/>
                <w:color w:val="000000"/>
                <w:sz w:val="18"/>
                <w:szCs w:val="18"/>
                <w:lang w:eastAsia="en-GB"/>
              </w:rPr>
              <w:t>1.30</w:t>
            </w:r>
          </w:p>
        </w:tc>
        <w:tc>
          <w:tcPr>
            <w:tcW w:w="1491" w:type="dxa"/>
            <w:tcBorders>
              <w:top w:val="nil"/>
              <w:left w:val="nil"/>
              <w:bottom w:val="nil"/>
              <w:right w:val="nil"/>
            </w:tcBorders>
          </w:tcPr>
          <w:p w14:paraId="0BEA2601" w14:textId="4224491B" w:rsidR="00A84C27" w:rsidRPr="005269E6" w:rsidRDefault="00A84C27" w:rsidP="00696AA6">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798</w:t>
            </w:r>
          </w:p>
        </w:tc>
        <w:tc>
          <w:tcPr>
            <w:tcW w:w="1563" w:type="dxa"/>
            <w:tcBorders>
              <w:top w:val="nil"/>
              <w:left w:val="nil"/>
              <w:bottom w:val="nil"/>
              <w:right w:val="nil"/>
            </w:tcBorders>
            <w:shd w:val="clear" w:color="auto" w:fill="auto"/>
            <w:noWrap/>
            <w:vAlign w:val="bottom"/>
          </w:tcPr>
          <w:p w14:paraId="30C09C14" w14:textId="5FDE16E4" w:rsidR="00A84C27" w:rsidRPr="005269E6" w:rsidRDefault="00A84C27"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(798)</w:t>
            </w:r>
          </w:p>
        </w:tc>
        <w:tc>
          <w:tcPr>
            <w:tcW w:w="1688" w:type="dxa"/>
            <w:tcBorders>
              <w:top w:val="nil"/>
              <w:left w:val="nil"/>
              <w:bottom w:val="nil"/>
              <w:right w:val="nil"/>
            </w:tcBorders>
            <w:shd w:val="clear" w:color="auto" w:fill="auto"/>
            <w:noWrap/>
            <w:vAlign w:val="bottom"/>
          </w:tcPr>
          <w:p w14:paraId="68306914" w14:textId="18A2CA03" w:rsidR="00A84C27" w:rsidRPr="005269E6" w:rsidRDefault="009040A4" w:rsidP="00696AA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A84C27" w:rsidRPr="005269E6" w14:paraId="2511E11B" w14:textId="77777777" w:rsidTr="00FE51D3">
        <w:trPr>
          <w:trHeight w:val="255"/>
          <w:jc w:val="center"/>
        </w:trPr>
        <w:tc>
          <w:tcPr>
            <w:tcW w:w="2621" w:type="dxa"/>
            <w:tcBorders>
              <w:top w:val="nil"/>
              <w:left w:val="nil"/>
              <w:bottom w:val="nil"/>
              <w:right w:val="nil"/>
            </w:tcBorders>
            <w:shd w:val="clear" w:color="auto" w:fill="auto"/>
            <w:noWrap/>
          </w:tcPr>
          <w:p w14:paraId="04DE3647" w14:textId="401087E7" w:rsidR="00A84C27" w:rsidRPr="005269E6" w:rsidRDefault="009915D8" w:rsidP="00A84C27">
            <w:pPr>
              <w:tabs>
                <w:tab w:val="clear" w:pos="794"/>
              </w:tabs>
              <w:spacing w:before="40" w:after="40" w:line="240" w:lineRule="exact"/>
              <w:jc w:val="left"/>
              <w:rPr>
                <w:rFonts w:eastAsia="Times New Roman"/>
                <w:b/>
                <w:bCs/>
                <w:color w:val="000000"/>
                <w:sz w:val="18"/>
                <w:szCs w:val="18"/>
                <w:rtl/>
                <w:lang w:val="en-GB" w:eastAsia="en-GB" w:bidi="ar-SY"/>
              </w:rPr>
            </w:pPr>
            <w:r w:rsidRPr="005269E6">
              <w:rPr>
                <w:rFonts w:eastAsia="Times New Roman"/>
                <w:b/>
                <w:bCs/>
                <w:color w:val="000000"/>
                <w:sz w:val="18"/>
                <w:szCs w:val="18"/>
                <w:rtl/>
                <w:lang w:val="en-GB" w:eastAsia="en-GB"/>
              </w:rPr>
              <w:t>مجموع النفقات</w:t>
            </w:r>
          </w:p>
        </w:tc>
        <w:tc>
          <w:tcPr>
            <w:tcW w:w="1992" w:type="dxa"/>
            <w:tcBorders>
              <w:top w:val="nil"/>
              <w:left w:val="nil"/>
              <w:bottom w:val="nil"/>
              <w:right w:val="nil"/>
            </w:tcBorders>
            <w:shd w:val="clear" w:color="auto" w:fill="auto"/>
            <w:noWrap/>
            <w:vAlign w:val="bottom"/>
          </w:tcPr>
          <w:p w14:paraId="5BD4F139" w14:textId="77777777" w:rsidR="00A84C27" w:rsidRPr="005269E6" w:rsidRDefault="00A84C27" w:rsidP="00A84C27">
            <w:pPr>
              <w:tabs>
                <w:tab w:val="clear" w:pos="794"/>
              </w:tabs>
              <w:spacing w:before="40" w:after="40" w:line="240" w:lineRule="exact"/>
              <w:jc w:val="center"/>
              <w:rPr>
                <w:rFonts w:eastAsia="Times New Roman"/>
                <w:b/>
                <w:bCs/>
                <w:i/>
                <w:iCs/>
                <w:color w:val="000000"/>
                <w:sz w:val="18"/>
                <w:szCs w:val="18"/>
                <w:rtl/>
                <w:lang w:val="en-GB" w:eastAsia="en-GB"/>
              </w:rPr>
            </w:pPr>
          </w:p>
        </w:tc>
        <w:tc>
          <w:tcPr>
            <w:tcW w:w="1491" w:type="dxa"/>
            <w:tcBorders>
              <w:top w:val="nil"/>
              <w:left w:val="nil"/>
              <w:bottom w:val="nil"/>
              <w:right w:val="nil"/>
            </w:tcBorders>
          </w:tcPr>
          <w:p w14:paraId="1336F0BA" w14:textId="051574FE" w:rsidR="00A84C27" w:rsidRPr="005269E6" w:rsidRDefault="00A84C27" w:rsidP="00696AA6">
            <w:pPr>
              <w:tabs>
                <w:tab w:val="clear" w:pos="794"/>
              </w:tabs>
              <w:spacing w:before="40" w:after="40" w:line="240" w:lineRule="exact"/>
              <w:jc w:val="left"/>
              <w:rPr>
                <w:rFonts w:eastAsia="Times New Roman"/>
                <w:b/>
                <w:bCs/>
                <w:color w:val="000000"/>
                <w:sz w:val="18"/>
                <w:szCs w:val="18"/>
                <w:lang w:eastAsia="en-GB"/>
              </w:rPr>
            </w:pPr>
            <w:r w:rsidRPr="005269E6">
              <w:rPr>
                <w:rFonts w:eastAsia="Times New Roman"/>
                <w:b/>
                <w:bCs/>
                <w:color w:val="000000"/>
                <w:sz w:val="18"/>
                <w:szCs w:val="18"/>
                <w:lang w:eastAsia="en-GB"/>
              </w:rPr>
              <w:t>190 975</w:t>
            </w:r>
          </w:p>
        </w:tc>
        <w:tc>
          <w:tcPr>
            <w:tcW w:w="1563" w:type="dxa"/>
            <w:tcBorders>
              <w:top w:val="nil"/>
              <w:left w:val="nil"/>
              <w:bottom w:val="nil"/>
              <w:right w:val="nil"/>
            </w:tcBorders>
            <w:shd w:val="clear" w:color="auto" w:fill="auto"/>
            <w:noWrap/>
            <w:vAlign w:val="bottom"/>
          </w:tcPr>
          <w:p w14:paraId="3DBDBAF4" w14:textId="70DB9A78" w:rsidR="00A84C27" w:rsidRPr="005269E6" w:rsidRDefault="00A84C27" w:rsidP="00696AA6">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(93)</w:t>
            </w:r>
          </w:p>
        </w:tc>
        <w:tc>
          <w:tcPr>
            <w:tcW w:w="1688" w:type="dxa"/>
            <w:tcBorders>
              <w:top w:val="nil"/>
              <w:left w:val="nil"/>
              <w:bottom w:val="nil"/>
              <w:right w:val="nil"/>
            </w:tcBorders>
            <w:shd w:val="clear" w:color="auto" w:fill="auto"/>
            <w:noWrap/>
            <w:vAlign w:val="bottom"/>
          </w:tcPr>
          <w:p w14:paraId="32BA0300" w14:textId="57534E88" w:rsidR="00A84C27" w:rsidRPr="005269E6" w:rsidRDefault="009040A4" w:rsidP="00696AA6">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190 882</w:t>
            </w:r>
          </w:p>
        </w:tc>
      </w:tr>
      <w:tr w:rsidR="00A84C27" w:rsidRPr="005269E6" w14:paraId="7DB6B2F3" w14:textId="77777777" w:rsidTr="00131977">
        <w:trPr>
          <w:trHeight w:val="255"/>
          <w:jc w:val="center"/>
        </w:trPr>
        <w:tc>
          <w:tcPr>
            <w:tcW w:w="2621" w:type="dxa"/>
            <w:tcBorders>
              <w:top w:val="nil"/>
              <w:left w:val="nil"/>
              <w:bottom w:val="nil"/>
              <w:right w:val="nil"/>
            </w:tcBorders>
            <w:shd w:val="clear" w:color="auto" w:fill="auto"/>
            <w:noWrap/>
          </w:tcPr>
          <w:p w14:paraId="5AF27CAD" w14:textId="4A453F43" w:rsidR="00A84C27" w:rsidRPr="005269E6" w:rsidRDefault="009915D8" w:rsidP="00A84C27">
            <w:pPr>
              <w:tabs>
                <w:tab w:val="clear" w:pos="794"/>
              </w:tabs>
              <w:spacing w:before="40" w:after="40" w:line="240" w:lineRule="exact"/>
              <w:jc w:val="left"/>
              <w:rPr>
                <w:rFonts w:eastAsia="Times New Roman"/>
                <w:b/>
                <w:bCs/>
                <w:color w:val="000000"/>
                <w:sz w:val="18"/>
                <w:szCs w:val="18"/>
                <w:rtl/>
                <w:lang w:val="en-GB" w:eastAsia="en-GB" w:bidi="ar-SY"/>
              </w:rPr>
            </w:pPr>
            <w:r w:rsidRPr="005269E6">
              <w:rPr>
                <w:rFonts w:eastAsia="Times New Roman"/>
                <w:color w:val="000000"/>
                <w:sz w:val="18"/>
                <w:szCs w:val="18"/>
                <w:rtl/>
                <w:lang w:val="en-GB" w:eastAsia="en-GB"/>
              </w:rPr>
              <w:t>إيرادات/ (تكلفة) التمويل</w:t>
            </w:r>
          </w:p>
        </w:tc>
        <w:tc>
          <w:tcPr>
            <w:tcW w:w="1992" w:type="dxa"/>
            <w:tcBorders>
              <w:top w:val="nil"/>
              <w:left w:val="nil"/>
              <w:bottom w:val="nil"/>
              <w:right w:val="nil"/>
            </w:tcBorders>
            <w:shd w:val="clear" w:color="auto" w:fill="auto"/>
            <w:noWrap/>
            <w:vAlign w:val="bottom"/>
          </w:tcPr>
          <w:p w14:paraId="23A5D815" w14:textId="7B6B8AEF" w:rsidR="00A84C27" w:rsidRPr="005269E6" w:rsidRDefault="009040A4" w:rsidP="00A84C27">
            <w:pPr>
              <w:tabs>
                <w:tab w:val="clear" w:pos="794"/>
              </w:tabs>
              <w:spacing w:before="40" w:after="40" w:line="240" w:lineRule="exact"/>
              <w:jc w:val="center"/>
              <w:rPr>
                <w:rFonts w:eastAsia="Times New Roman"/>
                <w:i/>
                <w:iCs/>
                <w:color w:val="000000"/>
                <w:sz w:val="18"/>
                <w:szCs w:val="18"/>
                <w:rtl/>
                <w:lang w:eastAsia="en-GB" w:bidi="ar-SY"/>
              </w:rPr>
            </w:pPr>
            <w:r w:rsidRPr="005269E6">
              <w:rPr>
                <w:rFonts w:eastAsia="Times New Roman"/>
                <w:i/>
                <w:iCs/>
                <w:color w:val="000000"/>
                <w:sz w:val="18"/>
                <w:szCs w:val="18"/>
                <w:rtl/>
                <w:lang w:val="en-GB" w:eastAsia="en-GB"/>
              </w:rPr>
              <w:t xml:space="preserve">الملاحظة </w:t>
            </w:r>
            <w:r w:rsidRPr="005269E6">
              <w:rPr>
                <w:rFonts w:eastAsia="Times New Roman"/>
                <w:i/>
                <w:iCs/>
                <w:color w:val="000000"/>
                <w:sz w:val="18"/>
                <w:szCs w:val="18"/>
                <w:lang w:eastAsia="en-GB"/>
              </w:rPr>
              <w:t>5.30</w:t>
            </w:r>
            <w:r w:rsidRPr="005269E6">
              <w:rPr>
                <w:rFonts w:eastAsia="Times New Roman"/>
                <w:i/>
                <w:iCs/>
                <w:color w:val="000000"/>
                <w:sz w:val="18"/>
                <w:szCs w:val="18"/>
                <w:rtl/>
                <w:lang w:eastAsia="en-GB" w:bidi="ar-SY"/>
              </w:rPr>
              <w:t xml:space="preserve"> و</w:t>
            </w:r>
            <w:r w:rsidRPr="005269E6">
              <w:rPr>
                <w:rFonts w:eastAsia="Times New Roman"/>
                <w:i/>
                <w:iCs/>
                <w:color w:val="000000"/>
                <w:sz w:val="18"/>
                <w:szCs w:val="18"/>
                <w:lang w:eastAsia="en-GB" w:bidi="ar-SY"/>
              </w:rPr>
              <w:t>21.30</w:t>
            </w:r>
            <w:r w:rsidRPr="005269E6">
              <w:rPr>
                <w:rFonts w:eastAsia="Times New Roman"/>
                <w:i/>
                <w:iCs/>
                <w:color w:val="000000"/>
                <w:sz w:val="18"/>
                <w:szCs w:val="18"/>
                <w:rtl/>
                <w:lang w:eastAsia="en-GB" w:bidi="ar-SY"/>
              </w:rPr>
              <w:t xml:space="preserve"> و</w:t>
            </w:r>
            <w:r w:rsidRPr="005269E6">
              <w:rPr>
                <w:rFonts w:eastAsia="Times New Roman"/>
                <w:i/>
                <w:iCs/>
                <w:color w:val="000000"/>
                <w:sz w:val="18"/>
                <w:szCs w:val="18"/>
                <w:lang w:eastAsia="en-GB" w:bidi="ar-SY"/>
              </w:rPr>
              <w:t>26.30</w:t>
            </w:r>
          </w:p>
        </w:tc>
        <w:tc>
          <w:tcPr>
            <w:tcW w:w="1491" w:type="dxa"/>
            <w:tcBorders>
              <w:top w:val="nil"/>
              <w:left w:val="nil"/>
              <w:bottom w:val="nil"/>
              <w:right w:val="nil"/>
            </w:tcBorders>
            <w:vAlign w:val="bottom"/>
          </w:tcPr>
          <w:p w14:paraId="2C5F724D" w14:textId="2335E222" w:rsidR="00A84C27" w:rsidRPr="005269E6" w:rsidRDefault="00A84C27" w:rsidP="00131977">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3 353</w:t>
            </w:r>
          </w:p>
        </w:tc>
        <w:tc>
          <w:tcPr>
            <w:tcW w:w="1563" w:type="dxa"/>
            <w:tcBorders>
              <w:top w:val="nil"/>
              <w:left w:val="nil"/>
              <w:bottom w:val="nil"/>
              <w:right w:val="nil"/>
            </w:tcBorders>
            <w:shd w:val="clear" w:color="auto" w:fill="auto"/>
            <w:noWrap/>
            <w:vAlign w:val="bottom"/>
          </w:tcPr>
          <w:p w14:paraId="64B0B130" w14:textId="5E260E52" w:rsidR="00A84C27" w:rsidRPr="005269E6" w:rsidRDefault="00A84C27" w:rsidP="00131977">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(2 856)</w:t>
            </w:r>
          </w:p>
        </w:tc>
        <w:tc>
          <w:tcPr>
            <w:tcW w:w="1688" w:type="dxa"/>
            <w:tcBorders>
              <w:top w:val="nil"/>
              <w:left w:val="nil"/>
              <w:bottom w:val="nil"/>
              <w:right w:val="nil"/>
            </w:tcBorders>
            <w:shd w:val="clear" w:color="auto" w:fill="auto"/>
            <w:noWrap/>
            <w:vAlign w:val="bottom"/>
          </w:tcPr>
          <w:p w14:paraId="698A67A2" w14:textId="43843E5D" w:rsidR="00A84C27" w:rsidRPr="005269E6" w:rsidRDefault="009040A4" w:rsidP="00131977">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497</w:t>
            </w:r>
          </w:p>
        </w:tc>
      </w:tr>
      <w:tr w:rsidR="00B412F5" w:rsidRPr="005269E6" w14:paraId="52CF2222" w14:textId="77777777" w:rsidTr="00FE51D3">
        <w:trPr>
          <w:trHeight w:val="255"/>
          <w:jc w:val="center"/>
        </w:trPr>
        <w:tc>
          <w:tcPr>
            <w:tcW w:w="2621" w:type="dxa"/>
            <w:tcBorders>
              <w:top w:val="nil"/>
              <w:left w:val="nil"/>
              <w:bottom w:val="nil"/>
              <w:right w:val="nil"/>
            </w:tcBorders>
            <w:shd w:val="clear" w:color="auto" w:fill="538DD5"/>
            <w:noWrap/>
            <w:vAlign w:val="bottom"/>
          </w:tcPr>
          <w:p w14:paraId="5ED67C34" w14:textId="2D065122" w:rsidR="00B412F5" w:rsidRPr="005269E6" w:rsidRDefault="009915D8" w:rsidP="00666023">
            <w:pPr>
              <w:tabs>
                <w:tab w:val="clear" w:pos="794"/>
              </w:tabs>
              <w:spacing w:before="40" w:after="40" w:line="240" w:lineRule="exact"/>
              <w:jc w:val="left"/>
              <w:rPr>
                <w:rFonts w:eastAsia="Times New Roman"/>
                <w:b/>
                <w:bCs/>
                <w:color w:val="000000"/>
                <w:sz w:val="18"/>
                <w:szCs w:val="18"/>
                <w:rtl/>
                <w:lang w:val="en-GB" w:eastAsia="en-GB" w:bidi="ar-SY"/>
              </w:rPr>
            </w:pPr>
            <w:r w:rsidRPr="005269E6">
              <w:rPr>
                <w:rFonts w:eastAsia="Times New Roman"/>
                <w:b/>
                <w:bCs/>
                <w:color w:val="000000"/>
                <w:sz w:val="18"/>
                <w:szCs w:val="18"/>
                <w:rtl/>
                <w:lang w:val="en-GB" w:eastAsia="en-GB"/>
              </w:rPr>
              <w:t>الفائض/(العجز) للفترة</w:t>
            </w:r>
          </w:p>
        </w:tc>
        <w:tc>
          <w:tcPr>
            <w:tcW w:w="1992" w:type="dxa"/>
            <w:tcBorders>
              <w:top w:val="nil"/>
              <w:left w:val="nil"/>
              <w:bottom w:val="nil"/>
              <w:right w:val="nil"/>
            </w:tcBorders>
            <w:shd w:val="clear" w:color="auto" w:fill="538DD5"/>
            <w:noWrap/>
            <w:vAlign w:val="bottom"/>
          </w:tcPr>
          <w:p w14:paraId="6567BB71" w14:textId="77777777" w:rsidR="00B412F5" w:rsidRPr="005269E6" w:rsidRDefault="00B412F5" w:rsidP="00666023">
            <w:pPr>
              <w:tabs>
                <w:tab w:val="clear" w:pos="794"/>
              </w:tabs>
              <w:spacing w:before="40" w:after="40" w:line="240" w:lineRule="exact"/>
              <w:jc w:val="center"/>
              <w:rPr>
                <w:rFonts w:eastAsia="Times New Roman"/>
                <w:b/>
                <w:bCs/>
                <w:color w:val="000000"/>
                <w:sz w:val="18"/>
                <w:szCs w:val="18"/>
                <w:rtl/>
                <w:lang w:val="en-GB" w:eastAsia="en-GB"/>
              </w:rPr>
            </w:pPr>
          </w:p>
        </w:tc>
        <w:tc>
          <w:tcPr>
            <w:tcW w:w="1491" w:type="dxa"/>
            <w:tcBorders>
              <w:top w:val="nil"/>
              <w:left w:val="nil"/>
              <w:bottom w:val="nil"/>
              <w:right w:val="nil"/>
            </w:tcBorders>
            <w:shd w:val="clear" w:color="auto" w:fill="538DD5"/>
          </w:tcPr>
          <w:p w14:paraId="578ED51C" w14:textId="36E64585" w:rsidR="00B412F5" w:rsidRPr="005269E6" w:rsidRDefault="00A84C27" w:rsidP="00696AA6">
            <w:pPr>
              <w:tabs>
                <w:tab w:val="clear" w:pos="794"/>
              </w:tabs>
              <w:spacing w:before="40" w:after="40" w:line="240" w:lineRule="exact"/>
              <w:jc w:val="left"/>
              <w:rPr>
                <w:rFonts w:eastAsia="Times New Roman"/>
                <w:b/>
                <w:bCs/>
                <w:color w:val="000000"/>
                <w:sz w:val="18"/>
                <w:szCs w:val="18"/>
                <w:lang w:eastAsia="en-GB"/>
              </w:rPr>
            </w:pPr>
            <w:r w:rsidRPr="005269E6">
              <w:rPr>
                <w:rFonts w:eastAsia="Times New Roman"/>
                <w:b/>
                <w:bCs/>
                <w:color w:val="000000"/>
                <w:sz w:val="18"/>
                <w:szCs w:val="18"/>
                <w:lang w:eastAsia="en-GB"/>
              </w:rPr>
              <w:t>(14 858)</w:t>
            </w:r>
          </w:p>
        </w:tc>
        <w:tc>
          <w:tcPr>
            <w:tcW w:w="1563" w:type="dxa"/>
            <w:tcBorders>
              <w:top w:val="nil"/>
              <w:left w:val="nil"/>
              <w:bottom w:val="nil"/>
              <w:right w:val="nil"/>
            </w:tcBorders>
            <w:shd w:val="clear" w:color="auto" w:fill="538DD5"/>
            <w:noWrap/>
            <w:vAlign w:val="bottom"/>
          </w:tcPr>
          <w:p w14:paraId="1D928511" w14:textId="4A256495" w:rsidR="00B412F5" w:rsidRPr="005269E6" w:rsidRDefault="00A84C27" w:rsidP="00696AA6">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1 562</w:t>
            </w:r>
          </w:p>
        </w:tc>
        <w:tc>
          <w:tcPr>
            <w:tcW w:w="1688" w:type="dxa"/>
            <w:tcBorders>
              <w:top w:val="nil"/>
              <w:left w:val="nil"/>
              <w:bottom w:val="nil"/>
              <w:right w:val="nil"/>
            </w:tcBorders>
            <w:shd w:val="clear" w:color="auto" w:fill="538DD5"/>
            <w:noWrap/>
            <w:vAlign w:val="bottom"/>
          </w:tcPr>
          <w:p w14:paraId="19079440" w14:textId="134401FE" w:rsidR="00B412F5" w:rsidRPr="005269E6" w:rsidRDefault="00A84C27" w:rsidP="00696AA6">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(13 296)</w:t>
            </w:r>
          </w:p>
        </w:tc>
      </w:tr>
    </w:tbl>
    <w:p w14:paraId="21E5FC5D" w14:textId="37136007" w:rsidR="00ED73E1" w:rsidRPr="005269E6" w:rsidRDefault="00504D23" w:rsidP="00696AA6">
      <w:pPr>
        <w:pStyle w:val="Heading5"/>
        <w:rPr>
          <w:rtl/>
        </w:rPr>
      </w:pPr>
      <w:bookmarkStart w:id="718" w:name="_Toc162520651"/>
      <w:r w:rsidRPr="005269E6">
        <w:rPr>
          <w:rtl/>
        </w:rPr>
        <w:lastRenderedPageBreak/>
        <w:t>تغيير في سياسات المحاسبة</w:t>
      </w:r>
      <w:bookmarkEnd w:id="718"/>
    </w:p>
    <w:p w14:paraId="4C38DD81" w14:textId="7BA7CE98" w:rsidR="00A04406" w:rsidRPr="005269E6" w:rsidRDefault="00447FDA" w:rsidP="009C7E20">
      <w:pPr>
        <w:pStyle w:val="Headingb"/>
        <w:rPr>
          <w:rtl/>
        </w:rPr>
      </w:pPr>
      <w:r w:rsidRPr="005269E6">
        <w:t>1</w:t>
      </w:r>
      <w:r w:rsidRPr="005269E6">
        <w:rPr>
          <w:rtl/>
        </w:rPr>
        <w:tab/>
      </w:r>
      <w:r w:rsidR="00504D23" w:rsidRPr="005269E6">
        <w:rPr>
          <w:rtl/>
        </w:rPr>
        <w:t>قرض مؤسسة مباني المنظمات الدولية</w:t>
      </w:r>
    </w:p>
    <w:p w14:paraId="7B10823D" w14:textId="06C9B013" w:rsidR="00504D23" w:rsidRPr="005269E6" w:rsidRDefault="00504D23" w:rsidP="00447FDA">
      <w:pPr>
        <w:spacing w:after="120"/>
        <w:rPr>
          <w:rtl/>
          <w:lang w:bidi="ar-EG"/>
        </w:rPr>
      </w:pPr>
      <w:r w:rsidRPr="005269E6">
        <w:rPr>
          <w:rtl/>
        </w:rPr>
        <w:t xml:space="preserve">منذ عام 2010، </w:t>
      </w:r>
      <w:r w:rsidRPr="005269E6">
        <w:rPr>
          <w:rFonts w:hint="cs"/>
          <w:rtl/>
        </w:rPr>
        <w:t>ثُب</w:t>
      </w:r>
      <w:r w:rsidR="00BF02C8" w:rsidRPr="005269E6">
        <w:rPr>
          <w:rFonts w:hint="cs"/>
          <w:rtl/>
        </w:rPr>
        <w:t>ِّ</w:t>
      </w:r>
      <w:r w:rsidRPr="005269E6">
        <w:rPr>
          <w:rFonts w:hint="cs"/>
          <w:rtl/>
        </w:rPr>
        <w:t>ت</w:t>
      </w:r>
      <w:r w:rsidRPr="005269E6">
        <w:rPr>
          <w:rtl/>
        </w:rPr>
        <w:t xml:space="preserve"> قرض مؤسسة مباني المنظمات الدولية في الوضع المالي بقيمته الاسمية المقابلة للمبلغ الملتز</w:t>
      </w:r>
      <w:r w:rsidR="00B96ED2" w:rsidRPr="005269E6">
        <w:rPr>
          <w:rFonts w:hint="cs"/>
          <w:rtl/>
        </w:rPr>
        <w:t>َ</w:t>
      </w:r>
      <w:r w:rsidRPr="005269E6">
        <w:rPr>
          <w:rtl/>
        </w:rPr>
        <w:t xml:space="preserve">م </w:t>
      </w:r>
      <w:r w:rsidR="00B96ED2" w:rsidRPr="005269E6">
        <w:rPr>
          <w:rFonts w:hint="cs"/>
          <w:rtl/>
        </w:rPr>
        <w:t>ب</w:t>
      </w:r>
      <w:r w:rsidRPr="005269E6">
        <w:rPr>
          <w:rtl/>
        </w:rPr>
        <w:t xml:space="preserve">تسديده إلى مؤسسة مباني المنظمات الدولية على مدى المدة. وفي عام 2022، قرر الاتحاد مراجعة سياسة المحاسبة وعرض القرض بقيمته الفعلية </w:t>
      </w:r>
      <w:r w:rsidR="00B96ED2" w:rsidRPr="005269E6">
        <w:rPr>
          <w:rFonts w:hint="cs"/>
          <w:rtl/>
        </w:rPr>
        <w:t>لتقديم</w:t>
      </w:r>
      <w:r w:rsidRPr="005269E6">
        <w:rPr>
          <w:rtl/>
        </w:rPr>
        <w:t xml:space="preserve"> معلومات أكثر قيمة لقارئ البيانات المالية. ونتيجة لذلك، يلخص الجدول أدناه التسوية اللازمة لتسجيل مبلغ القرض بقيمته </w:t>
      </w:r>
      <w:r w:rsidR="00B96ED2" w:rsidRPr="005269E6">
        <w:rPr>
          <w:rFonts w:hint="cs"/>
          <w:rtl/>
        </w:rPr>
        <w:t>العادلة</w:t>
      </w:r>
      <w:r w:rsidRPr="005269E6">
        <w:rPr>
          <w:rtl/>
        </w:rPr>
        <w:t xml:space="preserve"> في نهاية السنة.</w:t>
      </w:r>
    </w:p>
    <w:tbl>
      <w:tblPr>
        <w:bidiVisual/>
        <w:tblW w:w="3895" w:type="pct"/>
        <w:jc w:val="center"/>
        <w:tblLook w:val="04A0" w:firstRow="1" w:lastRow="0" w:firstColumn="1" w:lastColumn="0" w:noHBand="0" w:noVBand="1"/>
      </w:tblPr>
      <w:tblGrid>
        <w:gridCol w:w="2491"/>
        <w:gridCol w:w="1853"/>
        <w:gridCol w:w="1607"/>
        <w:gridCol w:w="1558"/>
      </w:tblGrid>
      <w:tr w:rsidR="003F6260" w:rsidRPr="005269E6" w14:paraId="21FAFD92" w14:textId="77777777" w:rsidTr="00A46EFD">
        <w:trPr>
          <w:trHeight w:val="300"/>
          <w:jc w:val="center"/>
        </w:trPr>
        <w:tc>
          <w:tcPr>
            <w:tcW w:w="2491" w:type="dxa"/>
            <w:tcBorders>
              <w:top w:val="nil"/>
              <w:left w:val="nil"/>
              <w:bottom w:val="nil"/>
              <w:right w:val="nil"/>
            </w:tcBorders>
            <w:shd w:val="clear" w:color="000000" w:fill="0070C0"/>
            <w:noWrap/>
            <w:vAlign w:val="bottom"/>
            <w:hideMark/>
          </w:tcPr>
          <w:p w14:paraId="5443AE1D" w14:textId="77777777" w:rsidR="003F6260" w:rsidRPr="005269E6" w:rsidRDefault="003F6260" w:rsidP="00A46EFD">
            <w:pPr>
              <w:keepNext/>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5018" w:type="dxa"/>
            <w:gridSpan w:val="3"/>
            <w:tcBorders>
              <w:top w:val="nil"/>
              <w:left w:val="nil"/>
              <w:bottom w:val="nil"/>
              <w:right w:val="nil"/>
            </w:tcBorders>
            <w:shd w:val="clear" w:color="000000" w:fill="0070C0"/>
            <w:noWrap/>
            <w:vAlign w:val="bottom"/>
            <w:hideMark/>
          </w:tcPr>
          <w:p w14:paraId="0997DCB7" w14:textId="77777777" w:rsidR="003F6260" w:rsidRPr="005269E6" w:rsidRDefault="003F6260" w:rsidP="00A46EFD">
            <w:pPr>
              <w:keepNext/>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3F6260" w:rsidRPr="005269E6" w14:paraId="7EDB1F64" w14:textId="77777777" w:rsidTr="00A46EFD">
        <w:trPr>
          <w:trHeight w:val="559"/>
          <w:jc w:val="center"/>
        </w:trPr>
        <w:tc>
          <w:tcPr>
            <w:tcW w:w="2491" w:type="dxa"/>
            <w:tcBorders>
              <w:top w:val="nil"/>
              <w:left w:val="nil"/>
              <w:bottom w:val="nil"/>
              <w:right w:val="nil"/>
            </w:tcBorders>
            <w:shd w:val="clear" w:color="000000" w:fill="0070C0"/>
            <w:noWrap/>
            <w:vAlign w:val="bottom"/>
            <w:hideMark/>
          </w:tcPr>
          <w:p w14:paraId="34DEA082" w14:textId="77777777" w:rsidR="003F6260" w:rsidRPr="005269E6" w:rsidRDefault="003F6260" w:rsidP="003F626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1853" w:type="dxa"/>
            <w:tcBorders>
              <w:top w:val="nil"/>
              <w:left w:val="nil"/>
              <w:bottom w:val="nil"/>
              <w:right w:val="nil"/>
            </w:tcBorders>
            <w:shd w:val="clear" w:color="000000" w:fill="0070C0"/>
            <w:vAlign w:val="bottom"/>
            <w:hideMark/>
          </w:tcPr>
          <w:p w14:paraId="19CA0564" w14:textId="44B1E339" w:rsidR="003F6260" w:rsidRPr="005269E6" w:rsidRDefault="00B96ED2" w:rsidP="003F6260">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 xml:space="preserve">الرصيد في </w:t>
            </w:r>
            <w:r w:rsidR="001A2740" w:rsidRPr="005269E6">
              <w:rPr>
                <w:rFonts w:eastAsia="Times New Roman"/>
                <w:b/>
                <w:bCs/>
                <w:color w:val="000000"/>
                <w:sz w:val="18"/>
                <w:szCs w:val="18"/>
                <w:lang w:val="en-GB" w:eastAsia="en-GB"/>
              </w:rPr>
              <w:t>2021.12.31</w:t>
            </w:r>
          </w:p>
        </w:tc>
        <w:tc>
          <w:tcPr>
            <w:tcW w:w="1607" w:type="dxa"/>
            <w:tcBorders>
              <w:top w:val="nil"/>
              <w:left w:val="nil"/>
              <w:bottom w:val="nil"/>
              <w:right w:val="nil"/>
            </w:tcBorders>
            <w:shd w:val="clear" w:color="000000" w:fill="0070C0"/>
            <w:vAlign w:val="bottom"/>
            <w:hideMark/>
          </w:tcPr>
          <w:p w14:paraId="763D7C28" w14:textId="4D0A4044" w:rsidR="003F6260" w:rsidRPr="005269E6" w:rsidRDefault="00B96ED2" w:rsidP="003F6260">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زيادة/نقصان</w:t>
            </w:r>
          </w:p>
        </w:tc>
        <w:tc>
          <w:tcPr>
            <w:tcW w:w="1558" w:type="dxa"/>
            <w:tcBorders>
              <w:top w:val="nil"/>
              <w:left w:val="nil"/>
              <w:bottom w:val="nil"/>
              <w:right w:val="nil"/>
            </w:tcBorders>
            <w:shd w:val="clear" w:color="000000" w:fill="0070C0"/>
            <w:vAlign w:val="bottom"/>
            <w:hideMark/>
          </w:tcPr>
          <w:p w14:paraId="2FD0F887" w14:textId="1FCE8418" w:rsidR="003F6260" w:rsidRPr="005269E6" w:rsidRDefault="003F6260" w:rsidP="003F6260">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00B96ED2" w:rsidRPr="005269E6">
              <w:rPr>
                <w:rFonts w:eastAsia="Times New Roman" w:hint="cs"/>
                <w:b/>
                <w:bCs/>
                <w:color w:val="000000"/>
                <w:sz w:val="18"/>
                <w:szCs w:val="18"/>
                <w:rtl/>
                <w:lang w:val="en-GB" w:eastAsia="en-GB"/>
              </w:rPr>
              <w:t xml:space="preserve"> </w:t>
            </w:r>
            <w:r w:rsidR="00B96ED2" w:rsidRPr="005269E6">
              <w:rPr>
                <w:rFonts w:eastAsia="Times New Roman"/>
                <w:b/>
                <w:bCs/>
                <w:color w:val="000000"/>
                <w:sz w:val="18"/>
                <w:szCs w:val="18"/>
                <w:rtl/>
                <w:lang w:val="en-GB" w:eastAsia="en-GB"/>
              </w:rPr>
              <w:t>معاد بيانه</w:t>
            </w:r>
          </w:p>
        </w:tc>
      </w:tr>
      <w:tr w:rsidR="003F6260" w:rsidRPr="005269E6" w14:paraId="0A93034E" w14:textId="77777777" w:rsidTr="00A46EFD">
        <w:trPr>
          <w:trHeight w:val="255"/>
          <w:jc w:val="center"/>
        </w:trPr>
        <w:tc>
          <w:tcPr>
            <w:tcW w:w="2491" w:type="dxa"/>
            <w:tcBorders>
              <w:top w:val="nil"/>
              <w:left w:val="nil"/>
              <w:bottom w:val="nil"/>
              <w:right w:val="nil"/>
            </w:tcBorders>
            <w:shd w:val="clear" w:color="auto" w:fill="auto"/>
            <w:noWrap/>
            <w:vAlign w:val="bottom"/>
            <w:hideMark/>
          </w:tcPr>
          <w:p w14:paraId="3750430E" w14:textId="0B486AEB" w:rsidR="003F6260" w:rsidRPr="005269E6" w:rsidRDefault="00BF02C8" w:rsidP="00BF02C8">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الفوائض المتراكمة</w:t>
            </w:r>
          </w:p>
        </w:tc>
        <w:tc>
          <w:tcPr>
            <w:tcW w:w="1853" w:type="dxa"/>
            <w:tcBorders>
              <w:top w:val="nil"/>
              <w:left w:val="nil"/>
              <w:bottom w:val="nil"/>
              <w:right w:val="nil"/>
            </w:tcBorders>
            <w:shd w:val="clear" w:color="auto" w:fill="auto"/>
            <w:noWrap/>
            <w:vAlign w:val="bottom"/>
            <w:hideMark/>
          </w:tcPr>
          <w:p w14:paraId="0FC69D41" w14:textId="7CA5C797" w:rsidR="003F6260" w:rsidRPr="005269E6" w:rsidRDefault="003F6260" w:rsidP="001A2740">
            <w:pPr>
              <w:tabs>
                <w:tab w:val="clear" w:pos="794"/>
              </w:tabs>
              <w:spacing w:before="40" w:after="40" w:line="240" w:lineRule="exact"/>
              <w:jc w:val="left"/>
              <w:rPr>
                <w:rFonts w:eastAsia="Times New Roman"/>
                <w:color w:val="000000"/>
                <w:sz w:val="18"/>
                <w:szCs w:val="18"/>
                <w:rtl/>
                <w:lang w:val="en-GB" w:eastAsia="en-GB" w:bidi="ar-EG"/>
              </w:rPr>
            </w:pPr>
            <w:r w:rsidRPr="005269E6">
              <w:rPr>
                <w:rFonts w:eastAsia="Times New Roman"/>
                <w:color w:val="000000"/>
                <w:sz w:val="18"/>
                <w:szCs w:val="18"/>
                <w:lang w:val="en-GB" w:eastAsia="en-GB"/>
              </w:rPr>
              <w:t>46</w:t>
            </w:r>
          </w:p>
        </w:tc>
        <w:tc>
          <w:tcPr>
            <w:tcW w:w="1607" w:type="dxa"/>
            <w:tcBorders>
              <w:top w:val="nil"/>
              <w:left w:val="nil"/>
              <w:bottom w:val="nil"/>
              <w:right w:val="nil"/>
            </w:tcBorders>
            <w:shd w:val="clear" w:color="auto" w:fill="auto"/>
            <w:noWrap/>
            <w:vAlign w:val="bottom"/>
            <w:hideMark/>
          </w:tcPr>
          <w:p w14:paraId="518B8999" w14:textId="34D47459" w:rsidR="003F6260" w:rsidRPr="005269E6" w:rsidRDefault="003F6260" w:rsidP="001A274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(46)</w:t>
            </w:r>
          </w:p>
        </w:tc>
        <w:tc>
          <w:tcPr>
            <w:tcW w:w="1558" w:type="dxa"/>
            <w:tcBorders>
              <w:top w:val="nil"/>
              <w:left w:val="nil"/>
              <w:bottom w:val="nil"/>
              <w:right w:val="nil"/>
            </w:tcBorders>
            <w:shd w:val="clear" w:color="auto" w:fill="auto"/>
            <w:noWrap/>
            <w:vAlign w:val="bottom"/>
            <w:hideMark/>
          </w:tcPr>
          <w:p w14:paraId="712A9B41" w14:textId="55804D47" w:rsidR="003F6260" w:rsidRPr="005269E6" w:rsidRDefault="003F6260" w:rsidP="001A274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0 </w:t>
            </w:r>
          </w:p>
        </w:tc>
      </w:tr>
      <w:tr w:rsidR="003F6260" w:rsidRPr="005269E6" w14:paraId="292296F6" w14:textId="77777777" w:rsidTr="00A46EFD">
        <w:trPr>
          <w:trHeight w:val="255"/>
          <w:jc w:val="center"/>
        </w:trPr>
        <w:tc>
          <w:tcPr>
            <w:tcW w:w="2491" w:type="dxa"/>
            <w:tcBorders>
              <w:top w:val="nil"/>
              <w:left w:val="nil"/>
              <w:bottom w:val="nil"/>
              <w:right w:val="nil"/>
            </w:tcBorders>
            <w:shd w:val="clear" w:color="auto" w:fill="auto"/>
            <w:noWrap/>
            <w:vAlign w:val="bottom"/>
            <w:hideMark/>
          </w:tcPr>
          <w:p w14:paraId="40D2110D" w14:textId="7F342A7C" w:rsidR="003F6260" w:rsidRPr="005269E6" w:rsidRDefault="00BF02C8" w:rsidP="00BF02C8">
            <w:pPr>
              <w:jc w:val="left"/>
              <w:rPr>
                <w:rFonts w:eastAsia="Times New Roman"/>
                <w:color w:val="000000"/>
                <w:sz w:val="18"/>
                <w:szCs w:val="18"/>
                <w:lang w:val="en-GB" w:eastAsia="en-GB"/>
              </w:rPr>
            </w:pPr>
            <w:r w:rsidRPr="005269E6">
              <w:rPr>
                <w:rFonts w:eastAsia="Times New Roman"/>
                <w:color w:val="000000"/>
                <w:sz w:val="18"/>
                <w:szCs w:val="18"/>
                <w:rtl/>
                <w:lang w:val="en-GB" w:eastAsia="en-GB"/>
              </w:rPr>
              <w:t>الديون قصيرة الأجل</w:t>
            </w:r>
          </w:p>
        </w:tc>
        <w:tc>
          <w:tcPr>
            <w:tcW w:w="1853" w:type="dxa"/>
            <w:tcBorders>
              <w:top w:val="nil"/>
              <w:left w:val="nil"/>
              <w:bottom w:val="nil"/>
              <w:right w:val="nil"/>
            </w:tcBorders>
            <w:shd w:val="clear" w:color="auto" w:fill="auto"/>
            <w:noWrap/>
            <w:vAlign w:val="bottom"/>
            <w:hideMark/>
          </w:tcPr>
          <w:p w14:paraId="69FEAFFD" w14:textId="0DB857AA" w:rsidR="003F6260" w:rsidRPr="005269E6" w:rsidRDefault="003F6260" w:rsidP="001A274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(46)</w:t>
            </w:r>
          </w:p>
        </w:tc>
        <w:tc>
          <w:tcPr>
            <w:tcW w:w="1607" w:type="dxa"/>
            <w:tcBorders>
              <w:top w:val="nil"/>
              <w:left w:val="nil"/>
              <w:bottom w:val="nil"/>
              <w:right w:val="nil"/>
            </w:tcBorders>
            <w:shd w:val="clear" w:color="auto" w:fill="auto"/>
            <w:noWrap/>
            <w:vAlign w:val="bottom"/>
            <w:hideMark/>
          </w:tcPr>
          <w:p w14:paraId="6AB264E9" w14:textId="3621798E" w:rsidR="003F6260" w:rsidRPr="005269E6" w:rsidRDefault="003F6260" w:rsidP="001A274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46 </w:t>
            </w:r>
          </w:p>
        </w:tc>
        <w:tc>
          <w:tcPr>
            <w:tcW w:w="1558" w:type="dxa"/>
            <w:tcBorders>
              <w:top w:val="nil"/>
              <w:left w:val="nil"/>
              <w:bottom w:val="nil"/>
              <w:right w:val="nil"/>
            </w:tcBorders>
            <w:shd w:val="clear" w:color="auto" w:fill="auto"/>
            <w:noWrap/>
            <w:vAlign w:val="bottom"/>
            <w:hideMark/>
          </w:tcPr>
          <w:p w14:paraId="58D61CFA" w14:textId="3D41117B" w:rsidR="003F6260" w:rsidRPr="005269E6" w:rsidRDefault="003F6260" w:rsidP="001A274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(0)</w:t>
            </w:r>
          </w:p>
        </w:tc>
      </w:tr>
      <w:tr w:rsidR="003F6260" w:rsidRPr="005269E6" w14:paraId="15D1CF62" w14:textId="77777777" w:rsidTr="00A46EFD">
        <w:trPr>
          <w:trHeight w:val="255"/>
          <w:jc w:val="center"/>
        </w:trPr>
        <w:tc>
          <w:tcPr>
            <w:tcW w:w="2491" w:type="dxa"/>
            <w:tcBorders>
              <w:top w:val="nil"/>
              <w:left w:val="nil"/>
              <w:bottom w:val="nil"/>
              <w:right w:val="nil"/>
            </w:tcBorders>
            <w:shd w:val="clear" w:color="auto" w:fill="auto"/>
            <w:noWrap/>
            <w:vAlign w:val="bottom"/>
            <w:hideMark/>
          </w:tcPr>
          <w:p w14:paraId="1F3EB909" w14:textId="77777777" w:rsidR="003F6260" w:rsidRPr="005269E6" w:rsidRDefault="003F6260" w:rsidP="003F6260">
            <w:pPr>
              <w:tabs>
                <w:tab w:val="clear" w:pos="794"/>
              </w:tabs>
              <w:spacing w:before="0" w:line="200" w:lineRule="exact"/>
              <w:jc w:val="left"/>
              <w:rPr>
                <w:rFonts w:eastAsia="Times New Roman"/>
                <w:sz w:val="18"/>
                <w:szCs w:val="18"/>
                <w:lang w:val="en-GB" w:eastAsia="en-GB"/>
              </w:rPr>
            </w:pPr>
          </w:p>
        </w:tc>
        <w:tc>
          <w:tcPr>
            <w:tcW w:w="1853" w:type="dxa"/>
            <w:tcBorders>
              <w:top w:val="nil"/>
              <w:left w:val="nil"/>
              <w:bottom w:val="nil"/>
              <w:right w:val="nil"/>
            </w:tcBorders>
            <w:shd w:val="clear" w:color="auto" w:fill="auto"/>
            <w:noWrap/>
            <w:vAlign w:val="bottom"/>
            <w:hideMark/>
          </w:tcPr>
          <w:p w14:paraId="5DB77727" w14:textId="77777777" w:rsidR="003F6260" w:rsidRPr="005269E6" w:rsidRDefault="003F6260" w:rsidP="001A2740">
            <w:pPr>
              <w:tabs>
                <w:tab w:val="clear" w:pos="794"/>
              </w:tabs>
              <w:spacing w:before="0" w:line="200" w:lineRule="exact"/>
              <w:jc w:val="left"/>
              <w:rPr>
                <w:rFonts w:eastAsia="Times New Roman"/>
                <w:sz w:val="18"/>
                <w:szCs w:val="18"/>
                <w:lang w:val="en-GB" w:eastAsia="en-GB"/>
              </w:rPr>
            </w:pPr>
          </w:p>
        </w:tc>
        <w:tc>
          <w:tcPr>
            <w:tcW w:w="1607" w:type="dxa"/>
            <w:tcBorders>
              <w:top w:val="nil"/>
              <w:left w:val="nil"/>
              <w:bottom w:val="nil"/>
              <w:right w:val="nil"/>
            </w:tcBorders>
            <w:shd w:val="clear" w:color="auto" w:fill="auto"/>
            <w:noWrap/>
            <w:vAlign w:val="bottom"/>
            <w:hideMark/>
          </w:tcPr>
          <w:p w14:paraId="62630B34" w14:textId="77777777" w:rsidR="003F6260" w:rsidRPr="005269E6" w:rsidRDefault="003F6260" w:rsidP="001A2740">
            <w:pPr>
              <w:tabs>
                <w:tab w:val="clear" w:pos="794"/>
              </w:tabs>
              <w:spacing w:before="0" w:line="200" w:lineRule="exact"/>
              <w:jc w:val="left"/>
              <w:rPr>
                <w:rFonts w:eastAsia="Times New Roman"/>
                <w:sz w:val="18"/>
                <w:szCs w:val="18"/>
                <w:lang w:val="en-GB" w:eastAsia="en-GB"/>
              </w:rPr>
            </w:pPr>
          </w:p>
        </w:tc>
        <w:tc>
          <w:tcPr>
            <w:tcW w:w="1558" w:type="dxa"/>
            <w:tcBorders>
              <w:top w:val="nil"/>
              <w:left w:val="nil"/>
              <w:bottom w:val="nil"/>
              <w:right w:val="nil"/>
            </w:tcBorders>
            <w:shd w:val="clear" w:color="auto" w:fill="auto"/>
            <w:noWrap/>
            <w:vAlign w:val="bottom"/>
            <w:hideMark/>
          </w:tcPr>
          <w:p w14:paraId="0CB1A349" w14:textId="77777777" w:rsidR="003F6260" w:rsidRPr="005269E6" w:rsidRDefault="003F6260" w:rsidP="001A2740">
            <w:pPr>
              <w:tabs>
                <w:tab w:val="clear" w:pos="794"/>
              </w:tabs>
              <w:spacing w:before="0" w:line="200" w:lineRule="exact"/>
              <w:jc w:val="left"/>
              <w:rPr>
                <w:rFonts w:eastAsia="Times New Roman"/>
                <w:sz w:val="18"/>
                <w:szCs w:val="18"/>
                <w:lang w:val="en-GB" w:eastAsia="en-GB"/>
              </w:rPr>
            </w:pPr>
          </w:p>
        </w:tc>
      </w:tr>
      <w:tr w:rsidR="003F6260" w:rsidRPr="005269E6" w14:paraId="59523595" w14:textId="77777777" w:rsidTr="00A46EFD">
        <w:trPr>
          <w:trHeight w:val="255"/>
          <w:jc w:val="center"/>
        </w:trPr>
        <w:tc>
          <w:tcPr>
            <w:tcW w:w="2491" w:type="dxa"/>
            <w:tcBorders>
              <w:top w:val="nil"/>
              <w:left w:val="nil"/>
              <w:bottom w:val="nil"/>
              <w:right w:val="nil"/>
            </w:tcBorders>
            <w:shd w:val="clear" w:color="auto" w:fill="auto"/>
            <w:noWrap/>
            <w:vAlign w:val="bottom"/>
            <w:hideMark/>
          </w:tcPr>
          <w:p w14:paraId="2D0DAE5B" w14:textId="49423F4F" w:rsidR="003F6260" w:rsidRPr="005269E6" w:rsidRDefault="00BF02C8" w:rsidP="003F626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المساهمات العينية</w:t>
            </w:r>
          </w:p>
        </w:tc>
        <w:tc>
          <w:tcPr>
            <w:tcW w:w="1853" w:type="dxa"/>
            <w:tcBorders>
              <w:top w:val="nil"/>
              <w:left w:val="nil"/>
              <w:bottom w:val="nil"/>
              <w:right w:val="nil"/>
            </w:tcBorders>
            <w:shd w:val="clear" w:color="auto" w:fill="auto"/>
            <w:noWrap/>
            <w:vAlign w:val="bottom"/>
            <w:hideMark/>
          </w:tcPr>
          <w:p w14:paraId="45E47F5B" w14:textId="43162DCC" w:rsidR="003F6260" w:rsidRPr="005269E6" w:rsidRDefault="003F6260" w:rsidP="001A274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(798)</w:t>
            </w:r>
          </w:p>
        </w:tc>
        <w:tc>
          <w:tcPr>
            <w:tcW w:w="1607" w:type="dxa"/>
            <w:tcBorders>
              <w:top w:val="nil"/>
              <w:left w:val="nil"/>
              <w:bottom w:val="nil"/>
              <w:right w:val="nil"/>
            </w:tcBorders>
            <w:shd w:val="clear" w:color="auto" w:fill="auto"/>
            <w:noWrap/>
            <w:vAlign w:val="bottom"/>
            <w:hideMark/>
          </w:tcPr>
          <w:p w14:paraId="69F6A07F" w14:textId="04486DCF" w:rsidR="003F6260" w:rsidRPr="005269E6" w:rsidRDefault="003F6260" w:rsidP="001A274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798 </w:t>
            </w:r>
          </w:p>
        </w:tc>
        <w:tc>
          <w:tcPr>
            <w:tcW w:w="1558" w:type="dxa"/>
            <w:tcBorders>
              <w:top w:val="nil"/>
              <w:left w:val="nil"/>
              <w:bottom w:val="nil"/>
              <w:right w:val="nil"/>
            </w:tcBorders>
            <w:shd w:val="clear" w:color="auto" w:fill="auto"/>
            <w:noWrap/>
            <w:vAlign w:val="bottom"/>
            <w:hideMark/>
          </w:tcPr>
          <w:p w14:paraId="35780B31" w14:textId="60A7FD94" w:rsidR="003F6260" w:rsidRPr="005269E6" w:rsidRDefault="003F6260" w:rsidP="001A274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r>
      <w:tr w:rsidR="003F6260" w:rsidRPr="005269E6" w14:paraId="7379037F" w14:textId="77777777" w:rsidTr="00A46EFD">
        <w:trPr>
          <w:trHeight w:val="255"/>
          <w:jc w:val="center"/>
        </w:trPr>
        <w:tc>
          <w:tcPr>
            <w:tcW w:w="2491" w:type="dxa"/>
            <w:tcBorders>
              <w:top w:val="nil"/>
              <w:left w:val="nil"/>
              <w:bottom w:val="nil"/>
              <w:right w:val="nil"/>
            </w:tcBorders>
            <w:shd w:val="clear" w:color="auto" w:fill="auto"/>
            <w:noWrap/>
            <w:vAlign w:val="bottom"/>
            <w:hideMark/>
          </w:tcPr>
          <w:p w14:paraId="41DE8CB7" w14:textId="633AD5C8" w:rsidR="003F6260" w:rsidRPr="005269E6" w:rsidRDefault="00BF02C8" w:rsidP="00A46EFD">
            <w:pPr>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النفقات</w:t>
            </w:r>
            <w:r w:rsidRPr="005269E6">
              <w:rPr>
                <w:rFonts w:eastAsia="Times New Roman"/>
                <w:color w:val="000000"/>
                <w:sz w:val="18"/>
                <w:szCs w:val="18"/>
                <w:rtl/>
                <w:lang w:val="en-GB" w:eastAsia="en-GB"/>
              </w:rPr>
              <w:t xml:space="preserve"> العينية</w:t>
            </w:r>
          </w:p>
        </w:tc>
        <w:tc>
          <w:tcPr>
            <w:tcW w:w="1853" w:type="dxa"/>
            <w:tcBorders>
              <w:top w:val="nil"/>
              <w:left w:val="nil"/>
              <w:bottom w:val="nil"/>
              <w:right w:val="nil"/>
            </w:tcBorders>
            <w:shd w:val="clear" w:color="auto" w:fill="auto"/>
            <w:noWrap/>
            <w:vAlign w:val="bottom"/>
            <w:hideMark/>
          </w:tcPr>
          <w:p w14:paraId="5CEF7253" w14:textId="29B3677B" w:rsidR="003F6260" w:rsidRPr="005269E6" w:rsidRDefault="003F6260" w:rsidP="001A274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798</w:t>
            </w:r>
          </w:p>
        </w:tc>
        <w:tc>
          <w:tcPr>
            <w:tcW w:w="1607" w:type="dxa"/>
            <w:tcBorders>
              <w:top w:val="nil"/>
              <w:left w:val="nil"/>
              <w:bottom w:val="nil"/>
              <w:right w:val="nil"/>
            </w:tcBorders>
            <w:shd w:val="clear" w:color="auto" w:fill="auto"/>
            <w:noWrap/>
            <w:vAlign w:val="bottom"/>
            <w:hideMark/>
          </w:tcPr>
          <w:p w14:paraId="6901C5AC" w14:textId="20222659" w:rsidR="003F6260" w:rsidRPr="005269E6" w:rsidRDefault="003F6260" w:rsidP="001A274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(798)</w:t>
            </w:r>
          </w:p>
        </w:tc>
        <w:tc>
          <w:tcPr>
            <w:tcW w:w="1558" w:type="dxa"/>
            <w:tcBorders>
              <w:top w:val="nil"/>
              <w:left w:val="nil"/>
              <w:bottom w:val="nil"/>
              <w:right w:val="nil"/>
            </w:tcBorders>
            <w:shd w:val="clear" w:color="auto" w:fill="auto"/>
            <w:noWrap/>
            <w:vAlign w:val="bottom"/>
            <w:hideMark/>
          </w:tcPr>
          <w:p w14:paraId="04094A6E" w14:textId="27B80968" w:rsidR="003F6260" w:rsidRPr="005269E6" w:rsidRDefault="003F6260" w:rsidP="001A274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r>
    </w:tbl>
    <w:p w14:paraId="31199752" w14:textId="74F88D8A" w:rsidR="00EA1B65" w:rsidRPr="005269E6" w:rsidRDefault="00EA1B65" w:rsidP="00A46EFD">
      <w:pPr>
        <w:pStyle w:val="Headingb"/>
        <w:rPr>
          <w:b w:val="0"/>
          <w:bCs w:val="0"/>
          <w:rtl/>
        </w:rPr>
      </w:pPr>
      <w:r w:rsidRPr="005269E6">
        <w:t>2</w:t>
      </w:r>
      <w:r w:rsidRPr="005269E6">
        <w:rPr>
          <w:rtl/>
        </w:rPr>
        <w:tab/>
      </w:r>
      <w:r w:rsidR="00BF02C8" w:rsidRPr="005269E6">
        <w:rPr>
          <w:rtl/>
        </w:rPr>
        <w:t>اتفاق الرعاية</w:t>
      </w:r>
    </w:p>
    <w:p w14:paraId="024474F9" w14:textId="60506009" w:rsidR="00363B6B" w:rsidRPr="005269E6" w:rsidRDefault="002F52CF" w:rsidP="00A46EFD">
      <w:pPr>
        <w:spacing w:after="120"/>
      </w:pPr>
      <w:r w:rsidRPr="005269E6">
        <w:rPr>
          <w:rtl/>
        </w:rPr>
        <w:t xml:space="preserve">كانت المساهمات الواردة لاتفاقات الرعاية </w:t>
      </w:r>
      <w:r w:rsidRPr="005269E6">
        <w:rPr>
          <w:rFonts w:hint="cs"/>
          <w:rtl/>
        </w:rPr>
        <w:t>مثبَّتة</w:t>
      </w:r>
      <w:r w:rsidRPr="005269E6">
        <w:rPr>
          <w:rtl/>
        </w:rPr>
        <w:t xml:space="preserve"> سابقا</w:t>
      </w:r>
      <w:r w:rsidR="009811A7" w:rsidRPr="005269E6">
        <w:rPr>
          <w:rFonts w:hint="cs"/>
          <w:rtl/>
        </w:rPr>
        <w:t>ً</w:t>
      </w:r>
      <w:r w:rsidRPr="005269E6">
        <w:rPr>
          <w:rtl/>
        </w:rPr>
        <w:t xml:space="preserve"> كإيرادات عند استلام الأموال من الجهة الراعية.</w:t>
      </w:r>
      <w:r w:rsidRPr="005269E6">
        <w:rPr>
          <w:rFonts w:hint="cs"/>
          <w:rtl/>
        </w:rPr>
        <w:t xml:space="preserve"> و</w:t>
      </w:r>
      <w:r w:rsidRPr="005269E6">
        <w:rPr>
          <w:rtl/>
        </w:rPr>
        <w:t xml:space="preserve">قرر الاتحاد تغيير سياسة المحاسبة </w:t>
      </w:r>
      <w:r w:rsidRPr="005269E6">
        <w:rPr>
          <w:rFonts w:hint="cs"/>
          <w:rtl/>
        </w:rPr>
        <w:t>وتثبيت</w:t>
      </w:r>
      <w:r w:rsidRPr="005269E6">
        <w:rPr>
          <w:rtl/>
        </w:rPr>
        <w:t xml:space="preserve"> الإيرادات من اتفاقات الرعاية وقت توقيع اتفاق ملزم من الجهة الراعية مما يسمح بتمثيل مالي أفضل للاتفاقات الجارية والمشاريع الأساسية ذات الصلة.</w:t>
      </w:r>
      <w:r w:rsidRPr="005269E6">
        <w:rPr>
          <w:rFonts w:hint="cs"/>
          <w:rtl/>
        </w:rPr>
        <w:t xml:space="preserve"> </w:t>
      </w:r>
      <w:r w:rsidR="00363B6B" w:rsidRPr="005269E6">
        <w:rPr>
          <w:rtl/>
        </w:rPr>
        <w:t xml:space="preserve">وبسبب التغيير في سياسة المحاسبة </w:t>
      </w:r>
      <w:r w:rsidRPr="005269E6">
        <w:rPr>
          <w:rFonts w:hint="cs"/>
          <w:rtl/>
        </w:rPr>
        <w:t>ثبَّت</w:t>
      </w:r>
      <w:r w:rsidR="00363B6B" w:rsidRPr="005269E6">
        <w:rPr>
          <w:rtl/>
        </w:rPr>
        <w:t xml:space="preserve"> الاتحاد زيادة في إيرادات التشغيل بمبلغ 5,310 ملايين فرنك سويسري، وزيادة في الحسابات المدينة بمبلغ 3,790 مليون فرنك سويسري وزيادة في الإيرادات المؤجلة بمبلغ 3,790 مليون فرنك سويسري في 2021.</w:t>
      </w:r>
    </w:p>
    <w:tbl>
      <w:tblPr>
        <w:bidiVisual/>
        <w:tblW w:w="3796" w:type="pct"/>
        <w:jc w:val="center"/>
        <w:tblLook w:val="04A0" w:firstRow="1" w:lastRow="0" w:firstColumn="1" w:lastColumn="0" w:noHBand="0" w:noVBand="1"/>
      </w:tblPr>
      <w:tblGrid>
        <w:gridCol w:w="2102"/>
        <w:gridCol w:w="1853"/>
        <w:gridCol w:w="1661"/>
        <w:gridCol w:w="1702"/>
      </w:tblGrid>
      <w:tr w:rsidR="0007093E" w:rsidRPr="005269E6" w14:paraId="6E796F9E" w14:textId="77777777" w:rsidTr="009811A7">
        <w:trPr>
          <w:trHeight w:val="300"/>
          <w:jc w:val="center"/>
        </w:trPr>
        <w:tc>
          <w:tcPr>
            <w:tcW w:w="2102" w:type="dxa"/>
            <w:tcBorders>
              <w:top w:val="nil"/>
              <w:left w:val="nil"/>
              <w:bottom w:val="nil"/>
              <w:right w:val="nil"/>
            </w:tcBorders>
            <w:shd w:val="clear" w:color="000000" w:fill="0070C0"/>
            <w:noWrap/>
            <w:vAlign w:val="bottom"/>
            <w:hideMark/>
          </w:tcPr>
          <w:p w14:paraId="38B0DF85" w14:textId="77777777" w:rsidR="0007093E" w:rsidRPr="005269E6" w:rsidRDefault="0007093E" w:rsidP="0007093E">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w:t>
            </w:r>
          </w:p>
        </w:tc>
        <w:tc>
          <w:tcPr>
            <w:tcW w:w="5216" w:type="dxa"/>
            <w:gridSpan w:val="3"/>
            <w:tcBorders>
              <w:top w:val="nil"/>
              <w:left w:val="nil"/>
              <w:bottom w:val="nil"/>
              <w:right w:val="nil"/>
            </w:tcBorders>
            <w:shd w:val="clear" w:color="000000" w:fill="0070C0"/>
            <w:noWrap/>
            <w:vAlign w:val="bottom"/>
            <w:hideMark/>
          </w:tcPr>
          <w:p w14:paraId="51A2D2AF" w14:textId="77777777" w:rsidR="0007093E" w:rsidRPr="005269E6" w:rsidRDefault="0007093E" w:rsidP="0007093E">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5C56F4" w:rsidRPr="005269E6" w14:paraId="3098A5E2" w14:textId="77777777" w:rsidTr="009811A7">
        <w:trPr>
          <w:trHeight w:val="540"/>
          <w:jc w:val="center"/>
        </w:trPr>
        <w:tc>
          <w:tcPr>
            <w:tcW w:w="2102" w:type="dxa"/>
            <w:tcBorders>
              <w:top w:val="nil"/>
              <w:left w:val="nil"/>
              <w:bottom w:val="nil"/>
              <w:right w:val="nil"/>
            </w:tcBorders>
            <w:shd w:val="clear" w:color="000000" w:fill="0070C0"/>
            <w:noWrap/>
            <w:vAlign w:val="bottom"/>
            <w:hideMark/>
          </w:tcPr>
          <w:p w14:paraId="43BBFDC1" w14:textId="01AFD00C" w:rsidR="005C56F4" w:rsidRPr="005269E6" w:rsidRDefault="005C56F4" w:rsidP="005C56F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ال</w:t>
            </w:r>
            <w:r w:rsidRPr="005269E6">
              <w:rPr>
                <w:rFonts w:eastAsia="Times New Roman"/>
                <w:b/>
                <w:bCs/>
                <w:color w:val="000000"/>
                <w:sz w:val="18"/>
                <w:szCs w:val="18"/>
                <w:rtl/>
                <w:lang w:val="en-GB" w:eastAsia="en-GB"/>
              </w:rPr>
              <w:t>حسابات</w:t>
            </w:r>
          </w:p>
        </w:tc>
        <w:tc>
          <w:tcPr>
            <w:tcW w:w="1853" w:type="dxa"/>
            <w:tcBorders>
              <w:top w:val="nil"/>
              <w:left w:val="nil"/>
              <w:bottom w:val="nil"/>
              <w:right w:val="nil"/>
            </w:tcBorders>
            <w:shd w:val="clear" w:color="000000" w:fill="0070C0"/>
            <w:vAlign w:val="bottom"/>
            <w:hideMark/>
          </w:tcPr>
          <w:p w14:paraId="6CF8847F" w14:textId="2868EFB5" w:rsidR="005C56F4" w:rsidRPr="005269E6" w:rsidRDefault="005C56F4" w:rsidP="005C56F4">
            <w:pPr>
              <w:tabs>
                <w:tab w:val="clear" w:pos="794"/>
              </w:tabs>
              <w:spacing w:before="40" w:after="40" w:line="240" w:lineRule="exact"/>
              <w:jc w:val="center"/>
              <w:rPr>
                <w:rFonts w:eastAsia="Times New Roman"/>
                <w:b/>
                <w:bCs/>
                <w:color w:val="000000"/>
                <w:sz w:val="18"/>
                <w:szCs w:val="18"/>
                <w:rtl/>
                <w:lang w:val="en-GB" w:eastAsia="en-GB" w:bidi="ar-SY"/>
              </w:rPr>
            </w:pPr>
            <w:r w:rsidRPr="005269E6">
              <w:rPr>
                <w:rFonts w:eastAsia="Times New Roman" w:hint="cs"/>
                <w:b/>
                <w:bCs/>
                <w:color w:val="000000"/>
                <w:sz w:val="18"/>
                <w:szCs w:val="18"/>
                <w:rtl/>
                <w:lang w:val="en-GB" w:eastAsia="en-GB"/>
              </w:rPr>
              <w:t xml:space="preserve">الرصيد في </w:t>
            </w:r>
            <w:r w:rsidR="00C1447F" w:rsidRPr="005269E6">
              <w:rPr>
                <w:rFonts w:eastAsia="Times New Roman"/>
                <w:b/>
                <w:bCs/>
                <w:color w:val="000000"/>
                <w:sz w:val="18"/>
                <w:szCs w:val="18"/>
                <w:lang w:val="en-GB" w:eastAsia="en-GB"/>
              </w:rPr>
              <w:t>2021.12.31</w:t>
            </w:r>
          </w:p>
        </w:tc>
        <w:tc>
          <w:tcPr>
            <w:tcW w:w="1661" w:type="dxa"/>
            <w:tcBorders>
              <w:top w:val="nil"/>
              <w:left w:val="nil"/>
              <w:bottom w:val="nil"/>
              <w:right w:val="nil"/>
            </w:tcBorders>
            <w:shd w:val="clear" w:color="000000" w:fill="0070C0"/>
            <w:vAlign w:val="bottom"/>
            <w:hideMark/>
          </w:tcPr>
          <w:p w14:paraId="14FFF453" w14:textId="0BACCD12" w:rsidR="005C56F4" w:rsidRPr="005269E6" w:rsidRDefault="005C56F4" w:rsidP="005C56F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زيادة/نقصان</w:t>
            </w:r>
          </w:p>
        </w:tc>
        <w:tc>
          <w:tcPr>
            <w:tcW w:w="1702" w:type="dxa"/>
            <w:tcBorders>
              <w:top w:val="nil"/>
              <w:left w:val="nil"/>
              <w:bottom w:val="nil"/>
              <w:right w:val="nil"/>
            </w:tcBorders>
            <w:shd w:val="clear" w:color="000000" w:fill="0070C0"/>
            <w:vAlign w:val="bottom"/>
            <w:hideMark/>
          </w:tcPr>
          <w:p w14:paraId="3A4CD51E" w14:textId="5A4DB12C" w:rsidR="005C56F4" w:rsidRPr="005269E6" w:rsidRDefault="005C56F4" w:rsidP="005C56F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w:t>
            </w:r>
            <w:r w:rsidR="009A0995" w:rsidRPr="005269E6">
              <w:rPr>
                <w:rFonts w:eastAsia="Times New Roman" w:hint="cs"/>
                <w:b/>
                <w:bCs/>
                <w:color w:val="000000"/>
                <w:sz w:val="18"/>
                <w:szCs w:val="18"/>
                <w:rtl/>
                <w:lang w:val="en-GB" w:eastAsia="en-GB"/>
              </w:rPr>
              <w:t>ا</w:t>
            </w:r>
          </w:p>
        </w:tc>
      </w:tr>
      <w:tr w:rsidR="0007093E" w:rsidRPr="005269E6" w14:paraId="565193FA" w14:textId="77777777" w:rsidTr="009811A7">
        <w:trPr>
          <w:trHeight w:val="255"/>
          <w:jc w:val="center"/>
        </w:trPr>
        <w:tc>
          <w:tcPr>
            <w:tcW w:w="2102" w:type="dxa"/>
            <w:tcBorders>
              <w:top w:val="nil"/>
              <w:left w:val="nil"/>
              <w:bottom w:val="nil"/>
              <w:right w:val="nil"/>
            </w:tcBorders>
            <w:shd w:val="clear" w:color="auto" w:fill="auto"/>
            <w:noWrap/>
            <w:vAlign w:val="bottom"/>
            <w:hideMark/>
          </w:tcPr>
          <w:p w14:paraId="6B209B9A" w14:textId="18FDFDEC" w:rsidR="0007093E" w:rsidRPr="005269E6" w:rsidRDefault="005C56F4" w:rsidP="0007093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 xml:space="preserve">إيرادات </w:t>
            </w:r>
            <w:r w:rsidR="00010362" w:rsidRPr="005269E6">
              <w:rPr>
                <w:rFonts w:eastAsia="Times New Roman"/>
                <w:color w:val="000000"/>
                <w:sz w:val="18"/>
                <w:szCs w:val="18"/>
                <w:rtl/>
                <w:lang w:val="en-GB" w:eastAsia="en-GB"/>
              </w:rPr>
              <w:t xml:space="preserve">التشغيل </w:t>
            </w:r>
            <w:r w:rsidR="00010362" w:rsidRPr="005269E6">
              <w:rPr>
                <w:rFonts w:eastAsia="Times New Roman" w:hint="cs"/>
                <w:color w:val="000000"/>
                <w:sz w:val="18"/>
                <w:szCs w:val="18"/>
                <w:rtl/>
                <w:lang w:val="en-GB" w:eastAsia="en-GB"/>
              </w:rPr>
              <w:t>ال</w:t>
            </w:r>
            <w:r w:rsidRPr="005269E6">
              <w:rPr>
                <w:rFonts w:eastAsia="Times New Roman"/>
                <w:color w:val="000000"/>
                <w:sz w:val="18"/>
                <w:szCs w:val="18"/>
                <w:rtl/>
                <w:lang w:val="en-GB" w:eastAsia="en-GB"/>
              </w:rPr>
              <w:t xml:space="preserve">أخرى - </w:t>
            </w:r>
          </w:p>
        </w:tc>
        <w:tc>
          <w:tcPr>
            <w:tcW w:w="1853" w:type="dxa"/>
            <w:tcBorders>
              <w:top w:val="nil"/>
              <w:left w:val="nil"/>
              <w:bottom w:val="nil"/>
              <w:right w:val="nil"/>
            </w:tcBorders>
            <w:shd w:val="clear" w:color="auto" w:fill="auto"/>
            <w:noWrap/>
            <w:vAlign w:val="bottom"/>
          </w:tcPr>
          <w:p w14:paraId="345CD2C6" w14:textId="4E23B793" w:rsidR="0007093E" w:rsidRPr="005269E6" w:rsidRDefault="0007093E" w:rsidP="009811A7">
            <w:pPr>
              <w:tabs>
                <w:tab w:val="clear" w:pos="794"/>
              </w:tabs>
              <w:spacing w:before="40" w:after="40" w:line="240" w:lineRule="exact"/>
              <w:jc w:val="right"/>
              <w:rPr>
                <w:rFonts w:eastAsia="Times New Roman"/>
                <w:color w:val="000000"/>
                <w:sz w:val="18"/>
                <w:szCs w:val="18"/>
                <w:lang w:val="en-GB" w:eastAsia="en-GB" w:bidi="ar-EG"/>
              </w:rPr>
            </w:pPr>
          </w:p>
        </w:tc>
        <w:tc>
          <w:tcPr>
            <w:tcW w:w="1661" w:type="dxa"/>
            <w:tcBorders>
              <w:top w:val="nil"/>
              <w:left w:val="nil"/>
              <w:bottom w:val="nil"/>
              <w:right w:val="nil"/>
            </w:tcBorders>
            <w:shd w:val="clear" w:color="auto" w:fill="auto"/>
            <w:noWrap/>
            <w:vAlign w:val="bottom"/>
            <w:hideMark/>
          </w:tcPr>
          <w:p w14:paraId="680EBC49" w14:textId="3D1AD301" w:rsidR="0007093E" w:rsidRPr="005269E6" w:rsidRDefault="0007093E"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(5 310)</w:t>
            </w:r>
          </w:p>
        </w:tc>
        <w:tc>
          <w:tcPr>
            <w:tcW w:w="1702" w:type="dxa"/>
            <w:tcBorders>
              <w:top w:val="nil"/>
              <w:left w:val="nil"/>
              <w:bottom w:val="nil"/>
              <w:right w:val="nil"/>
            </w:tcBorders>
            <w:shd w:val="clear" w:color="auto" w:fill="auto"/>
            <w:noWrap/>
            <w:vAlign w:val="bottom"/>
            <w:hideMark/>
          </w:tcPr>
          <w:p w14:paraId="185A2BDE" w14:textId="0A2ABC3F" w:rsidR="0007093E" w:rsidRPr="005269E6" w:rsidRDefault="0007093E"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(5 310)</w:t>
            </w:r>
          </w:p>
        </w:tc>
      </w:tr>
      <w:tr w:rsidR="0007093E" w:rsidRPr="005269E6" w14:paraId="5A009368" w14:textId="77777777" w:rsidTr="009811A7">
        <w:trPr>
          <w:trHeight w:val="255"/>
          <w:jc w:val="center"/>
        </w:trPr>
        <w:tc>
          <w:tcPr>
            <w:tcW w:w="2102" w:type="dxa"/>
            <w:tcBorders>
              <w:top w:val="nil"/>
              <w:left w:val="nil"/>
              <w:bottom w:val="nil"/>
              <w:right w:val="nil"/>
            </w:tcBorders>
            <w:shd w:val="clear" w:color="auto" w:fill="auto"/>
            <w:noWrap/>
            <w:vAlign w:val="bottom"/>
            <w:hideMark/>
          </w:tcPr>
          <w:p w14:paraId="12A6BDBB" w14:textId="09D302D1" w:rsidR="0007093E" w:rsidRPr="005269E6" w:rsidRDefault="005C56F4" w:rsidP="0007093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w:t>
            </w:r>
            <w:r w:rsidRPr="005269E6">
              <w:rPr>
                <w:rFonts w:eastAsia="Times New Roman" w:hint="cs"/>
                <w:color w:val="000000"/>
                <w:sz w:val="18"/>
                <w:szCs w:val="18"/>
                <w:rtl/>
                <w:lang w:val="en-GB" w:eastAsia="en-GB"/>
              </w:rPr>
              <w:t xml:space="preserve"> </w:t>
            </w:r>
            <w:r w:rsidRPr="005269E6">
              <w:rPr>
                <w:rFonts w:eastAsia="Times New Roman"/>
                <w:color w:val="000000"/>
                <w:sz w:val="18"/>
                <w:szCs w:val="18"/>
                <w:rtl/>
                <w:lang w:val="en-GB" w:eastAsia="en-GB"/>
              </w:rPr>
              <w:t>- غير التبادلية</w:t>
            </w:r>
          </w:p>
        </w:tc>
        <w:tc>
          <w:tcPr>
            <w:tcW w:w="1853" w:type="dxa"/>
            <w:tcBorders>
              <w:top w:val="nil"/>
              <w:left w:val="nil"/>
              <w:bottom w:val="nil"/>
              <w:right w:val="nil"/>
            </w:tcBorders>
            <w:shd w:val="clear" w:color="auto" w:fill="auto"/>
            <w:noWrap/>
            <w:vAlign w:val="bottom"/>
            <w:hideMark/>
          </w:tcPr>
          <w:p w14:paraId="36CD43E2" w14:textId="77777777" w:rsidR="0007093E" w:rsidRPr="005269E6" w:rsidRDefault="0007093E" w:rsidP="009811A7">
            <w:pPr>
              <w:tabs>
                <w:tab w:val="clear" w:pos="794"/>
              </w:tabs>
              <w:spacing w:before="40" w:after="40" w:line="240" w:lineRule="exact"/>
              <w:jc w:val="right"/>
              <w:rPr>
                <w:rFonts w:eastAsia="Times New Roman"/>
                <w:sz w:val="18"/>
                <w:szCs w:val="18"/>
                <w:lang w:val="en-GB" w:eastAsia="en-GB"/>
              </w:rPr>
            </w:pPr>
          </w:p>
        </w:tc>
        <w:tc>
          <w:tcPr>
            <w:tcW w:w="1661" w:type="dxa"/>
            <w:tcBorders>
              <w:top w:val="nil"/>
              <w:left w:val="nil"/>
              <w:bottom w:val="nil"/>
              <w:right w:val="nil"/>
            </w:tcBorders>
            <w:shd w:val="clear" w:color="auto" w:fill="auto"/>
            <w:noWrap/>
            <w:vAlign w:val="bottom"/>
            <w:hideMark/>
          </w:tcPr>
          <w:p w14:paraId="7BB21442" w14:textId="2FC3C107" w:rsidR="0007093E" w:rsidRPr="005269E6" w:rsidRDefault="00037EE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3 790</w:t>
            </w:r>
          </w:p>
        </w:tc>
        <w:tc>
          <w:tcPr>
            <w:tcW w:w="1702" w:type="dxa"/>
            <w:tcBorders>
              <w:top w:val="nil"/>
              <w:left w:val="nil"/>
              <w:bottom w:val="nil"/>
              <w:right w:val="nil"/>
            </w:tcBorders>
            <w:shd w:val="clear" w:color="auto" w:fill="auto"/>
            <w:noWrap/>
            <w:vAlign w:val="bottom"/>
            <w:hideMark/>
          </w:tcPr>
          <w:p w14:paraId="79C01C0A" w14:textId="69C6D1C1" w:rsidR="0007093E" w:rsidRPr="005269E6" w:rsidRDefault="00037EE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3 790</w:t>
            </w:r>
          </w:p>
        </w:tc>
      </w:tr>
      <w:tr w:rsidR="0007093E" w:rsidRPr="005269E6" w14:paraId="1A8C4024" w14:textId="77777777" w:rsidTr="009811A7">
        <w:trPr>
          <w:trHeight w:val="255"/>
          <w:jc w:val="center"/>
        </w:trPr>
        <w:tc>
          <w:tcPr>
            <w:tcW w:w="2102" w:type="dxa"/>
            <w:tcBorders>
              <w:top w:val="nil"/>
              <w:left w:val="nil"/>
              <w:bottom w:val="nil"/>
              <w:right w:val="nil"/>
            </w:tcBorders>
            <w:shd w:val="clear" w:color="auto" w:fill="auto"/>
            <w:noWrap/>
            <w:vAlign w:val="bottom"/>
            <w:hideMark/>
          </w:tcPr>
          <w:p w14:paraId="6323ECA6" w14:textId="6B14C9D4" w:rsidR="0007093E" w:rsidRPr="005269E6" w:rsidRDefault="005C56F4" w:rsidP="0007093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الإيرادات المؤجلة</w:t>
            </w:r>
          </w:p>
        </w:tc>
        <w:tc>
          <w:tcPr>
            <w:tcW w:w="1853" w:type="dxa"/>
            <w:tcBorders>
              <w:top w:val="nil"/>
              <w:left w:val="nil"/>
              <w:bottom w:val="nil"/>
              <w:right w:val="nil"/>
            </w:tcBorders>
            <w:shd w:val="clear" w:color="auto" w:fill="auto"/>
            <w:noWrap/>
            <w:vAlign w:val="bottom"/>
            <w:hideMark/>
          </w:tcPr>
          <w:p w14:paraId="49EFC197" w14:textId="77777777" w:rsidR="0007093E" w:rsidRPr="005269E6" w:rsidRDefault="0007093E" w:rsidP="009811A7">
            <w:pPr>
              <w:tabs>
                <w:tab w:val="clear" w:pos="794"/>
              </w:tabs>
              <w:spacing w:before="40" w:after="40" w:line="240" w:lineRule="exact"/>
              <w:jc w:val="right"/>
              <w:rPr>
                <w:rFonts w:eastAsia="Times New Roman"/>
                <w:sz w:val="18"/>
                <w:szCs w:val="18"/>
                <w:lang w:val="en-GB" w:eastAsia="en-GB"/>
              </w:rPr>
            </w:pPr>
          </w:p>
        </w:tc>
        <w:tc>
          <w:tcPr>
            <w:tcW w:w="1661" w:type="dxa"/>
            <w:tcBorders>
              <w:top w:val="nil"/>
              <w:left w:val="nil"/>
              <w:bottom w:val="nil"/>
              <w:right w:val="nil"/>
            </w:tcBorders>
            <w:shd w:val="clear" w:color="auto" w:fill="auto"/>
            <w:noWrap/>
            <w:vAlign w:val="bottom"/>
            <w:hideMark/>
          </w:tcPr>
          <w:p w14:paraId="0DE2A3B0" w14:textId="70800CB9" w:rsidR="0007093E" w:rsidRPr="005269E6" w:rsidRDefault="00037EE5" w:rsidP="00C1447F">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(790)</w:t>
            </w:r>
          </w:p>
        </w:tc>
        <w:tc>
          <w:tcPr>
            <w:tcW w:w="1702" w:type="dxa"/>
            <w:tcBorders>
              <w:top w:val="nil"/>
              <w:left w:val="nil"/>
              <w:bottom w:val="nil"/>
              <w:right w:val="nil"/>
            </w:tcBorders>
            <w:shd w:val="clear" w:color="auto" w:fill="auto"/>
            <w:noWrap/>
            <w:vAlign w:val="bottom"/>
            <w:hideMark/>
          </w:tcPr>
          <w:p w14:paraId="4AAE44A5" w14:textId="262808AF" w:rsidR="0007093E" w:rsidRPr="005269E6" w:rsidRDefault="00037EE5" w:rsidP="00C1447F">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(790)</w:t>
            </w:r>
          </w:p>
        </w:tc>
      </w:tr>
      <w:tr w:rsidR="0007093E" w:rsidRPr="005269E6" w14:paraId="1940A8D8" w14:textId="77777777" w:rsidTr="009811A7">
        <w:trPr>
          <w:trHeight w:val="255"/>
          <w:jc w:val="center"/>
        </w:trPr>
        <w:tc>
          <w:tcPr>
            <w:tcW w:w="2102" w:type="dxa"/>
            <w:tcBorders>
              <w:top w:val="nil"/>
              <w:left w:val="nil"/>
              <w:bottom w:val="nil"/>
              <w:right w:val="nil"/>
            </w:tcBorders>
            <w:shd w:val="clear" w:color="auto" w:fill="auto"/>
            <w:noWrap/>
            <w:vAlign w:val="bottom"/>
            <w:hideMark/>
          </w:tcPr>
          <w:p w14:paraId="11856286" w14:textId="26833F38" w:rsidR="0007093E" w:rsidRPr="005269E6" w:rsidRDefault="005C56F4" w:rsidP="0007093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الفوائض المتراكمة</w:t>
            </w:r>
          </w:p>
        </w:tc>
        <w:tc>
          <w:tcPr>
            <w:tcW w:w="1853" w:type="dxa"/>
            <w:tcBorders>
              <w:top w:val="nil"/>
              <w:left w:val="nil"/>
              <w:bottom w:val="nil"/>
              <w:right w:val="nil"/>
            </w:tcBorders>
            <w:shd w:val="clear" w:color="auto" w:fill="auto"/>
            <w:noWrap/>
            <w:vAlign w:val="bottom"/>
            <w:hideMark/>
          </w:tcPr>
          <w:p w14:paraId="5E7BFB05" w14:textId="4F23034F" w:rsidR="0007093E" w:rsidRPr="005269E6" w:rsidRDefault="0007093E" w:rsidP="009811A7">
            <w:pPr>
              <w:tabs>
                <w:tab w:val="clear" w:pos="794"/>
              </w:tabs>
              <w:spacing w:before="40" w:after="40" w:line="240" w:lineRule="exact"/>
              <w:jc w:val="right"/>
              <w:rPr>
                <w:rFonts w:eastAsia="Times New Roman"/>
                <w:color w:val="000000"/>
                <w:sz w:val="18"/>
                <w:szCs w:val="18"/>
                <w:lang w:val="en-GB" w:eastAsia="en-GB"/>
              </w:rPr>
            </w:pPr>
          </w:p>
        </w:tc>
        <w:tc>
          <w:tcPr>
            <w:tcW w:w="1661" w:type="dxa"/>
            <w:tcBorders>
              <w:top w:val="nil"/>
              <w:left w:val="nil"/>
              <w:bottom w:val="nil"/>
              <w:right w:val="nil"/>
            </w:tcBorders>
            <w:shd w:val="clear" w:color="auto" w:fill="auto"/>
            <w:noWrap/>
            <w:vAlign w:val="bottom"/>
            <w:hideMark/>
          </w:tcPr>
          <w:p w14:paraId="5559E2A8" w14:textId="6D285884" w:rsidR="0007093E" w:rsidRPr="005269E6" w:rsidRDefault="001C69B0"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2 310</w:t>
            </w:r>
          </w:p>
        </w:tc>
        <w:tc>
          <w:tcPr>
            <w:tcW w:w="1702" w:type="dxa"/>
            <w:tcBorders>
              <w:top w:val="nil"/>
              <w:left w:val="nil"/>
              <w:bottom w:val="nil"/>
              <w:right w:val="nil"/>
            </w:tcBorders>
            <w:shd w:val="clear" w:color="auto" w:fill="auto"/>
            <w:noWrap/>
            <w:vAlign w:val="bottom"/>
            <w:hideMark/>
          </w:tcPr>
          <w:p w14:paraId="745919D3" w14:textId="3E0C2B7C" w:rsidR="0007093E" w:rsidRPr="005269E6" w:rsidRDefault="001C69B0"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2 310</w:t>
            </w:r>
          </w:p>
        </w:tc>
      </w:tr>
    </w:tbl>
    <w:p w14:paraId="1AE34895" w14:textId="4F9673D6" w:rsidR="00B96255" w:rsidRPr="005269E6" w:rsidRDefault="000A7345" w:rsidP="00696AA6">
      <w:pPr>
        <w:pStyle w:val="Heading5"/>
        <w:rPr>
          <w:rtl/>
          <w:lang w:bidi="ar-SY"/>
        </w:rPr>
      </w:pPr>
      <w:bookmarkStart w:id="719" w:name="_Toc162520652"/>
      <w:r w:rsidRPr="005269E6">
        <w:rPr>
          <w:rtl/>
        </w:rPr>
        <w:t>تصحيح أخطاء الفترة السابقة</w:t>
      </w:r>
      <w:bookmarkEnd w:id="719"/>
    </w:p>
    <w:p w14:paraId="1C6432E7" w14:textId="37691264" w:rsidR="00B96255" w:rsidRPr="005269E6" w:rsidRDefault="00B96255" w:rsidP="009811A7">
      <w:pPr>
        <w:pStyle w:val="Headingb"/>
        <w:rPr>
          <w:b w:val="0"/>
          <w:bCs w:val="0"/>
          <w:rtl/>
        </w:rPr>
      </w:pPr>
      <w:r w:rsidRPr="005269E6">
        <w:t>3</w:t>
      </w:r>
      <w:r w:rsidRPr="005269E6">
        <w:rPr>
          <w:rtl/>
        </w:rPr>
        <w:tab/>
      </w:r>
      <w:r w:rsidR="000A7345" w:rsidRPr="005269E6">
        <w:rPr>
          <w:rtl/>
        </w:rPr>
        <w:t>المساهمات المقر</w:t>
      </w:r>
      <w:r w:rsidR="000A7345" w:rsidRPr="005269E6">
        <w:rPr>
          <w:rFonts w:hint="cs"/>
          <w:rtl/>
        </w:rPr>
        <w:t>َ</w:t>
      </w:r>
      <w:r w:rsidR="000A7345" w:rsidRPr="005269E6">
        <w:rPr>
          <w:rtl/>
        </w:rPr>
        <w:t>رة</w:t>
      </w:r>
    </w:p>
    <w:p w14:paraId="512038BB" w14:textId="5CC0C510" w:rsidR="000A7345" w:rsidRPr="005269E6" w:rsidRDefault="00A337CF" w:rsidP="009811A7">
      <w:pPr>
        <w:spacing w:after="120"/>
        <w:rPr>
          <w:rtl/>
        </w:rPr>
      </w:pPr>
      <w:r w:rsidRPr="005269E6">
        <w:rPr>
          <w:rtl/>
        </w:rPr>
        <w:t xml:space="preserve">تبين أن الاتحاد </w:t>
      </w:r>
      <w:r w:rsidRPr="005269E6">
        <w:rPr>
          <w:rFonts w:hint="cs"/>
          <w:rtl/>
        </w:rPr>
        <w:t>ثبَّت</w:t>
      </w:r>
      <w:r w:rsidRPr="005269E6">
        <w:rPr>
          <w:rtl/>
        </w:rPr>
        <w:t xml:space="preserve"> في عام</w:t>
      </w:r>
      <w:r w:rsidR="00C1447F" w:rsidRPr="005269E6">
        <w:rPr>
          <w:rFonts w:hint="cs"/>
          <w:rtl/>
        </w:rPr>
        <w:t>َ</w:t>
      </w:r>
      <w:r w:rsidRPr="005269E6">
        <w:rPr>
          <w:rtl/>
        </w:rPr>
        <w:t>ي 2020 و2021 بعض الذمم المدينة للمساهمات</w:t>
      </w:r>
      <w:r w:rsidRPr="005269E6">
        <w:rPr>
          <w:rFonts w:hint="cs"/>
          <w:rtl/>
        </w:rPr>
        <w:t xml:space="preserve"> </w:t>
      </w:r>
      <w:r w:rsidRPr="005269E6">
        <w:rPr>
          <w:rtl/>
        </w:rPr>
        <w:t>المقررة وأج</w:t>
      </w:r>
      <w:r w:rsidRPr="005269E6">
        <w:rPr>
          <w:rFonts w:hint="cs"/>
          <w:rtl/>
        </w:rPr>
        <w:t>َّ</w:t>
      </w:r>
      <w:r w:rsidRPr="005269E6">
        <w:rPr>
          <w:rtl/>
        </w:rPr>
        <w:t>ل إيرادات قبل الوقت الذي كان ينبغي أن ت</w:t>
      </w:r>
      <w:r w:rsidRPr="005269E6">
        <w:rPr>
          <w:rFonts w:hint="cs"/>
          <w:rtl/>
        </w:rPr>
        <w:t>ُ</w:t>
      </w:r>
      <w:r w:rsidRPr="005269E6">
        <w:rPr>
          <w:rtl/>
        </w:rPr>
        <w:t xml:space="preserve">ستحق فيه. </w:t>
      </w:r>
      <w:r w:rsidR="000A7345" w:rsidRPr="005269E6">
        <w:rPr>
          <w:rtl/>
        </w:rPr>
        <w:t>وأجري تحليل مفصل ونتيجة لذلك أعيد</w:t>
      </w:r>
      <w:r w:rsidRPr="005269E6">
        <w:rPr>
          <w:rFonts w:hint="cs"/>
          <w:rtl/>
        </w:rPr>
        <w:t xml:space="preserve"> </w:t>
      </w:r>
      <w:r w:rsidRPr="005269E6">
        <w:rPr>
          <w:rtl/>
        </w:rPr>
        <w:t xml:space="preserve">بيان </w:t>
      </w:r>
      <w:r w:rsidR="000A7345" w:rsidRPr="005269E6">
        <w:rPr>
          <w:rtl/>
        </w:rPr>
        <w:t>الحسابات المدينة والإيرادات المؤجلة والمساهمات المتلقاة مسبقا</w:t>
      </w:r>
      <w:r w:rsidR="002642D3" w:rsidRPr="005269E6">
        <w:rPr>
          <w:rFonts w:hint="cs"/>
          <w:rtl/>
        </w:rPr>
        <w:t>ً</w:t>
      </w:r>
      <w:r w:rsidR="000A7345" w:rsidRPr="005269E6">
        <w:rPr>
          <w:rtl/>
        </w:rPr>
        <w:t xml:space="preserve"> </w:t>
      </w:r>
      <w:r w:rsidRPr="005269E6">
        <w:rPr>
          <w:rFonts w:hint="cs"/>
          <w:rtl/>
        </w:rPr>
        <w:t>لتبين</w:t>
      </w:r>
      <w:r w:rsidR="000A7345" w:rsidRPr="005269E6">
        <w:rPr>
          <w:rtl/>
        </w:rPr>
        <w:t xml:space="preserve"> </w:t>
      </w:r>
      <w:r w:rsidR="009A0995" w:rsidRPr="005269E6">
        <w:rPr>
          <w:rtl/>
        </w:rPr>
        <w:t xml:space="preserve">وضع </w:t>
      </w:r>
      <w:r w:rsidR="000A7345" w:rsidRPr="005269E6">
        <w:rPr>
          <w:rtl/>
        </w:rPr>
        <w:t>الاتحاد في نهاية كل فترة، وفقا</w:t>
      </w:r>
      <w:r w:rsidR="00E5487E" w:rsidRPr="005269E6">
        <w:rPr>
          <w:rFonts w:hint="cs"/>
          <w:rtl/>
        </w:rPr>
        <w:t>ً</w:t>
      </w:r>
      <w:r w:rsidR="000A7345" w:rsidRPr="005269E6">
        <w:rPr>
          <w:rtl/>
        </w:rPr>
        <w:t xml:space="preserve"> لمتطلبات المعايير </w:t>
      </w:r>
      <w:r w:rsidR="009A0995" w:rsidRPr="005269E6">
        <w:rPr>
          <w:rtl/>
        </w:rPr>
        <w:t xml:space="preserve">المحاسبية الدولية للقطاع العام </w:t>
      </w:r>
      <w:r w:rsidR="009A0995" w:rsidRPr="005269E6">
        <w:rPr>
          <w:rFonts w:hint="cs"/>
          <w:rtl/>
        </w:rPr>
        <w:t>(</w:t>
      </w:r>
      <w:r w:rsidR="000A7345" w:rsidRPr="005269E6">
        <w:t>IPSAS</w:t>
      </w:r>
      <w:r w:rsidR="009A0995" w:rsidRPr="005269E6">
        <w:rPr>
          <w:rFonts w:hint="cs"/>
          <w:rtl/>
        </w:rPr>
        <w:t>)</w:t>
      </w:r>
      <w:r w:rsidR="000A7345" w:rsidRPr="005269E6">
        <w:rPr>
          <w:rtl/>
        </w:rPr>
        <w:t>.</w:t>
      </w:r>
    </w:p>
    <w:tbl>
      <w:tblPr>
        <w:bidiVisual/>
        <w:tblW w:w="4941" w:type="pct"/>
        <w:jc w:val="center"/>
        <w:tblLook w:val="04A0" w:firstRow="1" w:lastRow="0" w:firstColumn="1" w:lastColumn="0" w:noHBand="0" w:noVBand="1"/>
      </w:tblPr>
      <w:tblGrid>
        <w:gridCol w:w="2138"/>
        <w:gridCol w:w="1273"/>
        <w:gridCol w:w="1192"/>
        <w:gridCol w:w="1133"/>
        <w:gridCol w:w="283"/>
        <w:gridCol w:w="1290"/>
        <w:gridCol w:w="1192"/>
        <w:gridCol w:w="1025"/>
      </w:tblGrid>
      <w:tr w:rsidR="00F75FE4" w:rsidRPr="005269E6" w14:paraId="028ABEA6" w14:textId="77777777" w:rsidTr="009811A7">
        <w:trPr>
          <w:trHeight w:val="552"/>
          <w:jc w:val="center"/>
        </w:trPr>
        <w:tc>
          <w:tcPr>
            <w:tcW w:w="2138" w:type="dxa"/>
            <w:tcBorders>
              <w:top w:val="nil"/>
              <w:left w:val="nil"/>
              <w:bottom w:val="nil"/>
              <w:right w:val="nil"/>
            </w:tcBorders>
            <w:shd w:val="clear" w:color="000000" w:fill="0070C0"/>
            <w:noWrap/>
            <w:vAlign w:val="bottom"/>
            <w:hideMark/>
          </w:tcPr>
          <w:p w14:paraId="5C635468" w14:textId="77777777" w:rsidR="00F75FE4" w:rsidRPr="005269E6" w:rsidRDefault="00F75FE4" w:rsidP="00F75FE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3598" w:type="dxa"/>
            <w:gridSpan w:val="3"/>
            <w:tcBorders>
              <w:top w:val="nil"/>
              <w:left w:val="nil"/>
              <w:bottom w:val="nil"/>
              <w:right w:val="nil"/>
            </w:tcBorders>
            <w:shd w:val="clear" w:color="000000" w:fill="0070C0"/>
            <w:noWrap/>
            <w:vAlign w:val="bottom"/>
            <w:hideMark/>
          </w:tcPr>
          <w:p w14:paraId="69A9FCD6" w14:textId="77777777" w:rsidR="00F75FE4" w:rsidRPr="005269E6" w:rsidRDefault="00F75FE4" w:rsidP="00F75FE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c>
          <w:tcPr>
            <w:tcW w:w="283" w:type="dxa"/>
            <w:tcBorders>
              <w:top w:val="nil"/>
              <w:left w:val="nil"/>
              <w:bottom w:val="nil"/>
              <w:right w:val="nil"/>
            </w:tcBorders>
            <w:shd w:val="clear" w:color="auto" w:fill="auto"/>
            <w:noWrap/>
            <w:vAlign w:val="bottom"/>
            <w:hideMark/>
          </w:tcPr>
          <w:p w14:paraId="39557C87" w14:textId="77777777" w:rsidR="00F75FE4" w:rsidRPr="005269E6" w:rsidRDefault="00F75FE4" w:rsidP="00F75FE4">
            <w:pPr>
              <w:tabs>
                <w:tab w:val="clear" w:pos="794"/>
              </w:tabs>
              <w:spacing w:before="40" w:after="40" w:line="240" w:lineRule="exact"/>
              <w:jc w:val="center"/>
              <w:rPr>
                <w:rFonts w:eastAsia="Times New Roman"/>
                <w:b/>
                <w:bCs/>
                <w:color w:val="000000"/>
                <w:sz w:val="18"/>
                <w:szCs w:val="18"/>
                <w:lang w:val="en-GB" w:eastAsia="en-GB"/>
              </w:rPr>
            </w:pPr>
          </w:p>
        </w:tc>
        <w:tc>
          <w:tcPr>
            <w:tcW w:w="3506" w:type="dxa"/>
            <w:gridSpan w:val="3"/>
            <w:tcBorders>
              <w:top w:val="nil"/>
              <w:left w:val="nil"/>
              <w:bottom w:val="nil"/>
              <w:right w:val="nil"/>
            </w:tcBorders>
            <w:shd w:val="clear" w:color="000000" w:fill="0070C0"/>
            <w:noWrap/>
            <w:vAlign w:val="bottom"/>
            <w:hideMark/>
          </w:tcPr>
          <w:p w14:paraId="1F971844" w14:textId="77777777" w:rsidR="00F75FE4" w:rsidRPr="005269E6" w:rsidRDefault="00F75FE4" w:rsidP="00F75FE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F75FE4" w:rsidRPr="005269E6" w14:paraId="651C4FED" w14:textId="77777777" w:rsidTr="009811A7">
        <w:trPr>
          <w:trHeight w:val="582"/>
          <w:jc w:val="center"/>
        </w:trPr>
        <w:tc>
          <w:tcPr>
            <w:tcW w:w="2138" w:type="dxa"/>
            <w:tcBorders>
              <w:top w:val="nil"/>
              <w:left w:val="nil"/>
              <w:bottom w:val="nil"/>
              <w:right w:val="nil"/>
            </w:tcBorders>
            <w:shd w:val="clear" w:color="auto" w:fill="auto"/>
            <w:noWrap/>
            <w:vAlign w:val="bottom"/>
            <w:hideMark/>
          </w:tcPr>
          <w:p w14:paraId="1FC0A6E5" w14:textId="1FF80B37" w:rsidR="00F75FE4" w:rsidRPr="005269E6" w:rsidRDefault="009A0995" w:rsidP="00F75FE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1273" w:type="dxa"/>
            <w:tcBorders>
              <w:top w:val="nil"/>
              <w:left w:val="nil"/>
              <w:bottom w:val="nil"/>
              <w:right w:val="nil"/>
            </w:tcBorders>
            <w:shd w:val="clear" w:color="auto" w:fill="auto"/>
            <w:vAlign w:val="bottom"/>
            <w:hideMark/>
          </w:tcPr>
          <w:p w14:paraId="3CCF68B3" w14:textId="0F147A19" w:rsidR="00F75FE4" w:rsidRPr="005269E6" w:rsidRDefault="009A0995" w:rsidP="00F75FE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1192" w:type="dxa"/>
            <w:tcBorders>
              <w:top w:val="nil"/>
              <w:left w:val="nil"/>
              <w:bottom w:val="nil"/>
              <w:right w:val="nil"/>
            </w:tcBorders>
            <w:shd w:val="clear" w:color="auto" w:fill="auto"/>
            <w:vAlign w:val="bottom"/>
            <w:hideMark/>
          </w:tcPr>
          <w:p w14:paraId="7BF06CC5" w14:textId="02525B7F" w:rsidR="00F75FE4" w:rsidRPr="005269E6" w:rsidRDefault="009A0995" w:rsidP="00F75FE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133" w:type="dxa"/>
            <w:tcBorders>
              <w:top w:val="nil"/>
              <w:left w:val="nil"/>
              <w:bottom w:val="nil"/>
              <w:right w:val="nil"/>
            </w:tcBorders>
            <w:shd w:val="clear" w:color="auto" w:fill="auto"/>
            <w:vAlign w:val="bottom"/>
            <w:hideMark/>
          </w:tcPr>
          <w:p w14:paraId="5189C849" w14:textId="7192CF61" w:rsidR="00F75FE4" w:rsidRPr="005269E6" w:rsidRDefault="00F75FE4" w:rsidP="00F75FE4">
            <w:pPr>
              <w:tabs>
                <w:tab w:val="clear" w:pos="794"/>
              </w:tabs>
              <w:spacing w:before="40" w:after="40" w:line="240" w:lineRule="exact"/>
              <w:jc w:val="center"/>
              <w:rPr>
                <w:rFonts w:eastAsia="Times New Roman"/>
                <w:b/>
                <w:bCs/>
                <w:color w:val="000000"/>
                <w:sz w:val="18"/>
                <w:szCs w:val="18"/>
                <w:lang w:val="en-GB" w:eastAsia="en-GB" w:bidi="ar-SY"/>
              </w:rPr>
            </w:pPr>
            <w:r w:rsidRPr="005269E6">
              <w:rPr>
                <w:rFonts w:eastAsia="Times New Roman"/>
                <w:b/>
                <w:bCs/>
                <w:color w:val="000000"/>
                <w:sz w:val="18"/>
                <w:szCs w:val="18"/>
                <w:lang w:val="en-GB" w:eastAsia="en-GB"/>
              </w:rPr>
              <w:t>2020</w:t>
            </w:r>
            <w:r w:rsidR="009A0995" w:rsidRPr="005269E6">
              <w:rPr>
                <w:rFonts w:eastAsia="Times New Roman" w:hint="cs"/>
                <w:b/>
                <w:bCs/>
                <w:color w:val="000000"/>
                <w:sz w:val="18"/>
                <w:szCs w:val="18"/>
                <w:rtl/>
                <w:lang w:val="en-GB" w:eastAsia="en-GB"/>
              </w:rPr>
              <w:t xml:space="preserve"> </w:t>
            </w:r>
            <w:r w:rsidR="009A0995" w:rsidRPr="005269E6">
              <w:rPr>
                <w:rFonts w:eastAsia="Times New Roman"/>
                <w:b/>
                <w:bCs/>
                <w:color w:val="000000"/>
                <w:sz w:val="18"/>
                <w:szCs w:val="18"/>
                <w:rtl/>
                <w:lang w:val="en-GB" w:eastAsia="en-GB"/>
              </w:rPr>
              <w:t>معاد بيانها</w:t>
            </w:r>
          </w:p>
        </w:tc>
        <w:tc>
          <w:tcPr>
            <w:tcW w:w="283" w:type="dxa"/>
            <w:tcBorders>
              <w:top w:val="nil"/>
              <w:left w:val="nil"/>
              <w:bottom w:val="nil"/>
              <w:right w:val="nil"/>
            </w:tcBorders>
            <w:shd w:val="clear" w:color="auto" w:fill="auto"/>
            <w:vAlign w:val="bottom"/>
            <w:hideMark/>
          </w:tcPr>
          <w:p w14:paraId="2DD58923" w14:textId="77777777" w:rsidR="00F75FE4" w:rsidRPr="005269E6" w:rsidRDefault="00F75FE4" w:rsidP="00F75FE4">
            <w:pPr>
              <w:tabs>
                <w:tab w:val="clear" w:pos="794"/>
              </w:tabs>
              <w:spacing w:before="40" w:after="40" w:line="240" w:lineRule="exact"/>
              <w:jc w:val="center"/>
              <w:rPr>
                <w:rFonts w:eastAsia="Times New Roman"/>
                <w:b/>
                <w:bCs/>
                <w:color w:val="000000"/>
                <w:sz w:val="18"/>
                <w:szCs w:val="18"/>
                <w:lang w:val="en-GB" w:eastAsia="en-GB"/>
              </w:rPr>
            </w:pPr>
          </w:p>
        </w:tc>
        <w:tc>
          <w:tcPr>
            <w:tcW w:w="1290" w:type="dxa"/>
            <w:tcBorders>
              <w:top w:val="nil"/>
              <w:left w:val="nil"/>
              <w:bottom w:val="nil"/>
              <w:right w:val="nil"/>
            </w:tcBorders>
            <w:shd w:val="clear" w:color="auto" w:fill="auto"/>
            <w:vAlign w:val="bottom"/>
            <w:hideMark/>
          </w:tcPr>
          <w:p w14:paraId="73FADDC7" w14:textId="42ADFA30" w:rsidR="00F75FE4" w:rsidRPr="005269E6" w:rsidRDefault="009A0995" w:rsidP="00F75FE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w:t>
            </w:r>
            <w:r w:rsidRPr="005269E6">
              <w:rPr>
                <w:rFonts w:eastAsia="Times New Roman" w:hint="cs"/>
                <w:b/>
                <w:bCs/>
                <w:color w:val="000000"/>
                <w:sz w:val="18"/>
                <w:szCs w:val="18"/>
                <w:rtl/>
                <w:lang w:val="en-GB" w:eastAsia="en-GB"/>
              </w:rPr>
              <w:t>1</w:t>
            </w:r>
          </w:p>
        </w:tc>
        <w:tc>
          <w:tcPr>
            <w:tcW w:w="1192" w:type="dxa"/>
            <w:tcBorders>
              <w:top w:val="nil"/>
              <w:left w:val="nil"/>
              <w:bottom w:val="nil"/>
              <w:right w:val="nil"/>
            </w:tcBorders>
            <w:shd w:val="clear" w:color="auto" w:fill="auto"/>
            <w:vAlign w:val="bottom"/>
            <w:hideMark/>
          </w:tcPr>
          <w:p w14:paraId="7A1B01DE" w14:textId="49DEA5D8" w:rsidR="00F75FE4" w:rsidRPr="005269E6" w:rsidRDefault="009A0995" w:rsidP="00F75FE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025" w:type="dxa"/>
            <w:tcBorders>
              <w:top w:val="nil"/>
              <w:left w:val="nil"/>
              <w:bottom w:val="nil"/>
              <w:right w:val="nil"/>
            </w:tcBorders>
            <w:shd w:val="clear" w:color="auto" w:fill="auto"/>
            <w:vAlign w:val="bottom"/>
            <w:hideMark/>
          </w:tcPr>
          <w:p w14:paraId="7923951C" w14:textId="282AB9BF" w:rsidR="00F75FE4" w:rsidRPr="005269E6" w:rsidRDefault="00F75FE4" w:rsidP="00F75FE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009A0995" w:rsidRPr="005269E6">
              <w:rPr>
                <w:rFonts w:eastAsia="Times New Roman" w:hint="cs"/>
                <w:b/>
                <w:bCs/>
                <w:color w:val="000000"/>
                <w:sz w:val="18"/>
                <w:szCs w:val="18"/>
                <w:rtl/>
                <w:lang w:val="en-GB" w:eastAsia="en-GB"/>
              </w:rPr>
              <w:t xml:space="preserve"> </w:t>
            </w:r>
            <w:r w:rsidR="009A0995" w:rsidRPr="005269E6">
              <w:rPr>
                <w:rFonts w:eastAsia="Times New Roman"/>
                <w:b/>
                <w:bCs/>
                <w:color w:val="000000"/>
                <w:sz w:val="18"/>
                <w:szCs w:val="18"/>
                <w:rtl/>
                <w:lang w:val="en-GB" w:eastAsia="en-GB"/>
              </w:rPr>
              <w:t>معاد بيانها</w:t>
            </w:r>
          </w:p>
        </w:tc>
      </w:tr>
      <w:tr w:rsidR="009A0995" w:rsidRPr="005269E6" w14:paraId="44834C3A" w14:textId="77777777" w:rsidTr="009811A7">
        <w:trPr>
          <w:trHeight w:val="255"/>
          <w:jc w:val="center"/>
        </w:trPr>
        <w:tc>
          <w:tcPr>
            <w:tcW w:w="2138" w:type="dxa"/>
            <w:tcBorders>
              <w:top w:val="nil"/>
              <w:left w:val="nil"/>
              <w:bottom w:val="nil"/>
              <w:right w:val="nil"/>
            </w:tcBorders>
            <w:shd w:val="clear" w:color="auto" w:fill="auto"/>
            <w:noWrap/>
            <w:vAlign w:val="bottom"/>
            <w:hideMark/>
          </w:tcPr>
          <w:p w14:paraId="0A332193" w14:textId="6F90A28A" w:rsidR="009A0995" w:rsidRPr="005269E6" w:rsidRDefault="009A0995" w:rsidP="009A099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w:t>
            </w:r>
            <w:r w:rsidRPr="005269E6">
              <w:rPr>
                <w:rFonts w:eastAsia="Times New Roman" w:hint="cs"/>
                <w:color w:val="000000"/>
                <w:sz w:val="18"/>
                <w:szCs w:val="18"/>
                <w:rtl/>
                <w:lang w:val="en-GB" w:eastAsia="en-GB"/>
              </w:rPr>
              <w:t xml:space="preserve"> </w:t>
            </w:r>
            <w:r w:rsidRPr="005269E6">
              <w:rPr>
                <w:rFonts w:eastAsia="Times New Roman"/>
                <w:color w:val="000000"/>
                <w:sz w:val="18"/>
                <w:szCs w:val="18"/>
                <w:rtl/>
                <w:lang w:val="en-GB" w:eastAsia="en-GB"/>
              </w:rPr>
              <w:t>- غير التبادلية</w:t>
            </w:r>
          </w:p>
        </w:tc>
        <w:tc>
          <w:tcPr>
            <w:tcW w:w="1273" w:type="dxa"/>
            <w:tcBorders>
              <w:top w:val="nil"/>
              <w:left w:val="nil"/>
              <w:bottom w:val="nil"/>
              <w:right w:val="nil"/>
            </w:tcBorders>
            <w:shd w:val="clear" w:color="auto" w:fill="auto"/>
            <w:noWrap/>
            <w:vAlign w:val="bottom"/>
            <w:hideMark/>
          </w:tcPr>
          <w:p w14:paraId="669BBC26" w14:textId="2F79802D"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89 306 </w:t>
            </w:r>
          </w:p>
        </w:tc>
        <w:tc>
          <w:tcPr>
            <w:tcW w:w="1192" w:type="dxa"/>
            <w:tcBorders>
              <w:top w:val="nil"/>
              <w:left w:val="nil"/>
              <w:bottom w:val="nil"/>
              <w:right w:val="nil"/>
            </w:tcBorders>
            <w:shd w:val="clear" w:color="auto" w:fill="auto"/>
            <w:noWrap/>
            <w:vAlign w:val="bottom"/>
            <w:hideMark/>
          </w:tcPr>
          <w:p w14:paraId="7F8DDD09" w14:textId="4FD38735"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(81 910)</w:t>
            </w:r>
          </w:p>
        </w:tc>
        <w:tc>
          <w:tcPr>
            <w:tcW w:w="1133" w:type="dxa"/>
            <w:tcBorders>
              <w:top w:val="nil"/>
              <w:left w:val="nil"/>
              <w:bottom w:val="nil"/>
              <w:right w:val="nil"/>
            </w:tcBorders>
            <w:shd w:val="clear" w:color="auto" w:fill="auto"/>
            <w:noWrap/>
            <w:vAlign w:val="bottom"/>
            <w:hideMark/>
          </w:tcPr>
          <w:p w14:paraId="00659D4E" w14:textId="1C0F5F66"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7 396 </w:t>
            </w:r>
          </w:p>
        </w:tc>
        <w:tc>
          <w:tcPr>
            <w:tcW w:w="283" w:type="dxa"/>
            <w:tcBorders>
              <w:top w:val="nil"/>
              <w:left w:val="nil"/>
              <w:bottom w:val="nil"/>
              <w:right w:val="nil"/>
            </w:tcBorders>
            <w:shd w:val="clear" w:color="auto" w:fill="auto"/>
            <w:noWrap/>
            <w:vAlign w:val="bottom"/>
            <w:hideMark/>
          </w:tcPr>
          <w:p w14:paraId="555076B4" w14:textId="77777777"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p>
        </w:tc>
        <w:tc>
          <w:tcPr>
            <w:tcW w:w="1290" w:type="dxa"/>
            <w:tcBorders>
              <w:top w:val="nil"/>
              <w:left w:val="nil"/>
              <w:bottom w:val="nil"/>
              <w:right w:val="nil"/>
            </w:tcBorders>
            <w:shd w:val="clear" w:color="auto" w:fill="auto"/>
            <w:noWrap/>
            <w:vAlign w:val="bottom"/>
            <w:hideMark/>
          </w:tcPr>
          <w:p w14:paraId="0AE6A82B" w14:textId="0FF36728"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76 931</w:t>
            </w:r>
          </w:p>
        </w:tc>
        <w:tc>
          <w:tcPr>
            <w:tcW w:w="1192" w:type="dxa"/>
            <w:tcBorders>
              <w:top w:val="nil"/>
              <w:left w:val="nil"/>
              <w:bottom w:val="nil"/>
              <w:right w:val="nil"/>
            </w:tcBorders>
            <w:shd w:val="clear" w:color="auto" w:fill="auto"/>
            <w:noWrap/>
            <w:vAlign w:val="bottom"/>
            <w:hideMark/>
          </w:tcPr>
          <w:p w14:paraId="4DCE3424" w14:textId="5D8985D9"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(72 219)</w:t>
            </w:r>
          </w:p>
        </w:tc>
        <w:tc>
          <w:tcPr>
            <w:tcW w:w="1025" w:type="dxa"/>
            <w:tcBorders>
              <w:top w:val="nil"/>
              <w:left w:val="nil"/>
              <w:bottom w:val="nil"/>
              <w:right w:val="nil"/>
            </w:tcBorders>
            <w:shd w:val="clear" w:color="auto" w:fill="auto"/>
            <w:noWrap/>
            <w:vAlign w:val="bottom"/>
            <w:hideMark/>
          </w:tcPr>
          <w:p w14:paraId="7AB31D98" w14:textId="694320BE"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4 712 </w:t>
            </w:r>
          </w:p>
        </w:tc>
      </w:tr>
      <w:tr w:rsidR="009A0995" w:rsidRPr="005269E6" w14:paraId="221264E5" w14:textId="77777777" w:rsidTr="009811A7">
        <w:trPr>
          <w:trHeight w:val="255"/>
          <w:jc w:val="center"/>
        </w:trPr>
        <w:tc>
          <w:tcPr>
            <w:tcW w:w="2138" w:type="dxa"/>
            <w:tcBorders>
              <w:top w:val="nil"/>
              <w:left w:val="nil"/>
              <w:bottom w:val="nil"/>
              <w:right w:val="nil"/>
            </w:tcBorders>
            <w:shd w:val="clear" w:color="auto" w:fill="auto"/>
            <w:noWrap/>
            <w:vAlign w:val="bottom"/>
            <w:hideMark/>
          </w:tcPr>
          <w:p w14:paraId="7C101838" w14:textId="352D9329" w:rsidR="009A0995" w:rsidRPr="005269E6" w:rsidRDefault="009A0995" w:rsidP="009A099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الإيرادات المؤجلة</w:t>
            </w:r>
          </w:p>
        </w:tc>
        <w:tc>
          <w:tcPr>
            <w:tcW w:w="1273" w:type="dxa"/>
            <w:tcBorders>
              <w:top w:val="nil"/>
              <w:left w:val="nil"/>
              <w:bottom w:val="nil"/>
              <w:right w:val="nil"/>
            </w:tcBorders>
            <w:shd w:val="clear" w:color="auto" w:fill="auto"/>
            <w:noWrap/>
            <w:vAlign w:val="bottom"/>
            <w:hideMark/>
          </w:tcPr>
          <w:p w14:paraId="107E23AB" w14:textId="32F83432"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(132 566)</w:t>
            </w:r>
          </w:p>
        </w:tc>
        <w:tc>
          <w:tcPr>
            <w:tcW w:w="1192" w:type="dxa"/>
            <w:tcBorders>
              <w:top w:val="nil"/>
              <w:left w:val="nil"/>
              <w:bottom w:val="nil"/>
              <w:right w:val="nil"/>
            </w:tcBorders>
            <w:shd w:val="clear" w:color="auto" w:fill="auto"/>
            <w:noWrap/>
            <w:vAlign w:val="bottom"/>
            <w:hideMark/>
          </w:tcPr>
          <w:p w14:paraId="522B0C65" w14:textId="03981D21"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125 705 </w:t>
            </w:r>
          </w:p>
        </w:tc>
        <w:tc>
          <w:tcPr>
            <w:tcW w:w="1133" w:type="dxa"/>
            <w:tcBorders>
              <w:top w:val="nil"/>
              <w:left w:val="nil"/>
              <w:bottom w:val="nil"/>
              <w:right w:val="nil"/>
            </w:tcBorders>
            <w:shd w:val="clear" w:color="auto" w:fill="auto"/>
            <w:noWrap/>
            <w:vAlign w:val="bottom"/>
            <w:hideMark/>
          </w:tcPr>
          <w:p w14:paraId="58875E26" w14:textId="50E06848"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(6 861)</w:t>
            </w:r>
          </w:p>
        </w:tc>
        <w:tc>
          <w:tcPr>
            <w:tcW w:w="283" w:type="dxa"/>
            <w:tcBorders>
              <w:top w:val="nil"/>
              <w:left w:val="nil"/>
              <w:bottom w:val="nil"/>
              <w:right w:val="nil"/>
            </w:tcBorders>
            <w:shd w:val="clear" w:color="auto" w:fill="auto"/>
            <w:noWrap/>
            <w:vAlign w:val="bottom"/>
            <w:hideMark/>
          </w:tcPr>
          <w:p w14:paraId="5C33C161" w14:textId="77777777"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p>
        </w:tc>
        <w:tc>
          <w:tcPr>
            <w:tcW w:w="1290" w:type="dxa"/>
            <w:tcBorders>
              <w:top w:val="nil"/>
              <w:left w:val="nil"/>
              <w:bottom w:val="nil"/>
              <w:right w:val="nil"/>
            </w:tcBorders>
            <w:shd w:val="clear" w:color="auto" w:fill="auto"/>
            <w:noWrap/>
            <w:vAlign w:val="bottom"/>
            <w:hideMark/>
          </w:tcPr>
          <w:p w14:paraId="488E7D74" w14:textId="2E7BA805"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(132 416)</w:t>
            </w:r>
          </w:p>
        </w:tc>
        <w:tc>
          <w:tcPr>
            <w:tcW w:w="1192" w:type="dxa"/>
            <w:tcBorders>
              <w:top w:val="nil"/>
              <w:left w:val="nil"/>
              <w:bottom w:val="nil"/>
              <w:right w:val="nil"/>
            </w:tcBorders>
            <w:shd w:val="clear" w:color="auto" w:fill="auto"/>
            <w:noWrap/>
            <w:vAlign w:val="bottom"/>
            <w:hideMark/>
          </w:tcPr>
          <w:p w14:paraId="1D6FB577" w14:textId="3C8449D3"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125 791 </w:t>
            </w:r>
          </w:p>
        </w:tc>
        <w:tc>
          <w:tcPr>
            <w:tcW w:w="1025" w:type="dxa"/>
            <w:tcBorders>
              <w:top w:val="nil"/>
              <w:left w:val="nil"/>
              <w:bottom w:val="nil"/>
              <w:right w:val="nil"/>
            </w:tcBorders>
            <w:shd w:val="clear" w:color="auto" w:fill="auto"/>
            <w:noWrap/>
            <w:vAlign w:val="bottom"/>
            <w:hideMark/>
          </w:tcPr>
          <w:p w14:paraId="61916667" w14:textId="35F3FDD0" w:rsidR="009A0995" w:rsidRPr="005269E6" w:rsidRDefault="009A0995"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(6 625)</w:t>
            </w:r>
          </w:p>
        </w:tc>
      </w:tr>
      <w:tr w:rsidR="00F75FE4" w:rsidRPr="005269E6" w14:paraId="2748043E" w14:textId="77777777" w:rsidTr="009811A7">
        <w:trPr>
          <w:trHeight w:val="255"/>
          <w:jc w:val="center"/>
        </w:trPr>
        <w:tc>
          <w:tcPr>
            <w:tcW w:w="2138" w:type="dxa"/>
            <w:tcBorders>
              <w:top w:val="nil"/>
              <w:left w:val="nil"/>
              <w:bottom w:val="nil"/>
              <w:right w:val="nil"/>
            </w:tcBorders>
            <w:shd w:val="clear" w:color="auto" w:fill="auto"/>
            <w:noWrap/>
            <w:vAlign w:val="bottom"/>
            <w:hideMark/>
          </w:tcPr>
          <w:p w14:paraId="36B5791D" w14:textId="37A8CE05" w:rsidR="00F75FE4" w:rsidRPr="005269E6" w:rsidRDefault="009A0995" w:rsidP="00F75FE4">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المساهمات</w:t>
            </w:r>
            <w:r w:rsidRPr="005269E6">
              <w:rPr>
                <w:rFonts w:eastAsia="Times New Roman" w:hint="cs"/>
                <w:color w:val="000000"/>
                <w:sz w:val="18"/>
                <w:szCs w:val="18"/>
                <w:rtl/>
                <w:lang w:val="en-GB" w:eastAsia="en-GB"/>
              </w:rPr>
              <w:t xml:space="preserve"> المدفوعة</w:t>
            </w:r>
            <w:r w:rsidRPr="005269E6">
              <w:rPr>
                <w:rFonts w:eastAsia="Times New Roman"/>
                <w:color w:val="000000"/>
                <w:sz w:val="18"/>
                <w:szCs w:val="18"/>
                <w:rtl/>
                <w:lang w:val="en-GB" w:eastAsia="en-GB"/>
              </w:rPr>
              <w:t xml:space="preserve"> مقدما</w:t>
            </w:r>
          </w:p>
        </w:tc>
        <w:tc>
          <w:tcPr>
            <w:tcW w:w="1273" w:type="dxa"/>
            <w:tcBorders>
              <w:top w:val="nil"/>
              <w:left w:val="nil"/>
              <w:bottom w:val="nil"/>
              <w:right w:val="nil"/>
            </w:tcBorders>
            <w:shd w:val="clear" w:color="auto" w:fill="auto"/>
            <w:noWrap/>
            <w:vAlign w:val="bottom"/>
            <w:hideMark/>
          </w:tcPr>
          <w:p w14:paraId="6AF411CB" w14:textId="62B02FE6" w:rsidR="00F75FE4" w:rsidRPr="005269E6" w:rsidRDefault="00F75FE4"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192" w:type="dxa"/>
            <w:tcBorders>
              <w:top w:val="nil"/>
              <w:left w:val="nil"/>
              <w:bottom w:val="nil"/>
              <w:right w:val="nil"/>
            </w:tcBorders>
            <w:shd w:val="clear" w:color="auto" w:fill="auto"/>
            <w:noWrap/>
            <w:vAlign w:val="bottom"/>
            <w:hideMark/>
          </w:tcPr>
          <w:p w14:paraId="305B84CB" w14:textId="427DCABF" w:rsidR="00F75FE4" w:rsidRPr="005269E6" w:rsidRDefault="00F75FE4"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(43</w:t>
            </w:r>
            <w:r w:rsidR="009532DC"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795)</w:t>
            </w:r>
          </w:p>
        </w:tc>
        <w:tc>
          <w:tcPr>
            <w:tcW w:w="1133" w:type="dxa"/>
            <w:tcBorders>
              <w:top w:val="nil"/>
              <w:left w:val="nil"/>
              <w:bottom w:val="nil"/>
              <w:right w:val="nil"/>
            </w:tcBorders>
            <w:shd w:val="clear" w:color="auto" w:fill="auto"/>
            <w:noWrap/>
            <w:vAlign w:val="bottom"/>
            <w:hideMark/>
          </w:tcPr>
          <w:p w14:paraId="420236E3" w14:textId="6BD97C88" w:rsidR="00F75FE4" w:rsidRPr="005269E6" w:rsidRDefault="00F75FE4"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(43</w:t>
            </w:r>
            <w:r w:rsidR="009532DC"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795)</w:t>
            </w:r>
          </w:p>
        </w:tc>
        <w:tc>
          <w:tcPr>
            <w:tcW w:w="283" w:type="dxa"/>
            <w:tcBorders>
              <w:top w:val="nil"/>
              <w:left w:val="nil"/>
              <w:bottom w:val="nil"/>
              <w:right w:val="nil"/>
            </w:tcBorders>
            <w:shd w:val="clear" w:color="auto" w:fill="auto"/>
            <w:noWrap/>
            <w:vAlign w:val="bottom"/>
            <w:hideMark/>
          </w:tcPr>
          <w:p w14:paraId="6A0085D1" w14:textId="77777777" w:rsidR="00F75FE4" w:rsidRPr="005269E6" w:rsidRDefault="00F75FE4" w:rsidP="00C1447F">
            <w:pPr>
              <w:tabs>
                <w:tab w:val="clear" w:pos="794"/>
              </w:tabs>
              <w:spacing w:before="40" w:after="40" w:line="240" w:lineRule="exact"/>
              <w:jc w:val="left"/>
              <w:rPr>
                <w:rFonts w:eastAsia="Times New Roman"/>
                <w:color w:val="000000"/>
                <w:sz w:val="18"/>
                <w:szCs w:val="18"/>
                <w:lang w:val="en-GB" w:eastAsia="en-GB"/>
              </w:rPr>
            </w:pPr>
          </w:p>
        </w:tc>
        <w:tc>
          <w:tcPr>
            <w:tcW w:w="1290" w:type="dxa"/>
            <w:tcBorders>
              <w:top w:val="nil"/>
              <w:left w:val="nil"/>
              <w:bottom w:val="nil"/>
              <w:right w:val="nil"/>
            </w:tcBorders>
            <w:shd w:val="clear" w:color="auto" w:fill="auto"/>
            <w:noWrap/>
            <w:vAlign w:val="bottom"/>
            <w:hideMark/>
          </w:tcPr>
          <w:p w14:paraId="311A9D96" w14:textId="1402DD31" w:rsidR="00F75FE4" w:rsidRPr="005269E6" w:rsidRDefault="009532DC"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92" w:type="dxa"/>
            <w:tcBorders>
              <w:top w:val="nil"/>
              <w:left w:val="nil"/>
              <w:bottom w:val="nil"/>
              <w:right w:val="nil"/>
            </w:tcBorders>
            <w:shd w:val="clear" w:color="auto" w:fill="auto"/>
            <w:noWrap/>
            <w:vAlign w:val="bottom"/>
            <w:hideMark/>
          </w:tcPr>
          <w:p w14:paraId="651C443A" w14:textId="2960F4CE" w:rsidR="00F75FE4" w:rsidRPr="005269E6" w:rsidRDefault="00F75FE4"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(53</w:t>
            </w:r>
            <w:r w:rsidR="009532DC"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572)</w:t>
            </w:r>
          </w:p>
        </w:tc>
        <w:tc>
          <w:tcPr>
            <w:tcW w:w="1025" w:type="dxa"/>
            <w:tcBorders>
              <w:top w:val="nil"/>
              <w:left w:val="nil"/>
              <w:bottom w:val="nil"/>
              <w:right w:val="nil"/>
            </w:tcBorders>
            <w:shd w:val="clear" w:color="auto" w:fill="auto"/>
            <w:noWrap/>
            <w:vAlign w:val="bottom"/>
            <w:hideMark/>
          </w:tcPr>
          <w:p w14:paraId="087262E1" w14:textId="11FE68A8" w:rsidR="00F75FE4" w:rsidRPr="005269E6" w:rsidRDefault="00F75FE4" w:rsidP="00C144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(53</w:t>
            </w:r>
            <w:r w:rsidR="009532DC"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572)</w:t>
            </w:r>
          </w:p>
        </w:tc>
      </w:tr>
    </w:tbl>
    <w:p w14:paraId="639EB406" w14:textId="4491DC35" w:rsidR="00915167" w:rsidRPr="005269E6" w:rsidRDefault="00366CA7" w:rsidP="00E5487E">
      <w:pPr>
        <w:pStyle w:val="Headingb"/>
        <w:rPr>
          <w:b w:val="0"/>
          <w:bCs w:val="0"/>
          <w:rtl/>
        </w:rPr>
      </w:pPr>
      <w:r w:rsidRPr="005269E6">
        <w:lastRenderedPageBreak/>
        <w:t>4</w:t>
      </w:r>
      <w:r w:rsidR="00915167" w:rsidRPr="005269E6">
        <w:rPr>
          <w:rtl/>
        </w:rPr>
        <w:tab/>
      </w:r>
      <w:r w:rsidR="00AA3D07" w:rsidRPr="005269E6">
        <w:rPr>
          <w:rtl/>
        </w:rPr>
        <w:t>رسم الدخول إلى</w:t>
      </w:r>
      <w:r w:rsidR="00AA3D07" w:rsidRPr="005269E6">
        <w:rPr>
          <w:rFonts w:hint="cs"/>
          <w:rtl/>
        </w:rPr>
        <w:t xml:space="preserve"> </w:t>
      </w:r>
      <w:r w:rsidR="00AA3D07" w:rsidRPr="005269E6">
        <w:rPr>
          <w:rtl/>
        </w:rPr>
        <w:t>جمعية التأمين التعاوني لموظفي الأمم المتحدة (</w:t>
      </w:r>
      <w:r w:rsidR="00AA3D07" w:rsidRPr="005269E6">
        <w:t>UNSMIS</w:t>
      </w:r>
      <w:r w:rsidR="00AA3D07" w:rsidRPr="005269E6">
        <w:rPr>
          <w:rtl/>
        </w:rPr>
        <w:t>)</w:t>
      </w:r>
    </w:p>
    <w:p w14:paraId="300590D8" w14:textId="1DB0EC52" w:rsidR="00915167" w:rsidRPr="005269E6" w:rsidRDefault="00F426EA" w:rsidP="0052117E">
      <w:pPr>
        <w:rPr>
          <w:rtl/>
        </w:rPr>
      </w:pPr>
      <w:r w:rsidRPr="005269E6">
        <w:rPr>
          <w:rtl/>
        </w:rPr>
        <w:t>اعتبارا</w:t>
      </w:r>
      <w:r w:rsidR="00E5487E" w:rsidRPr="005269E6">
        <w:rPr>
          <w:rFonts w:hint="cs"/>
          <w:rtl/>
        </w:rPr>
        <w:t>ً</w:t>
      </w:r>
      <w:r w:rsidRPr="005269E6">
        <w:rPr>
          <w:rtl/>
        </w:rPr>
        <w:t xml:space="preserve"> من 1 يناير 2020، وقع الاتحاد اتفاقية مع مكتب الأمم المتحدة في جنيف </w:t>
      </w:r>
      <w:r w:rsidRPr="005269E6">
        <w:rPr>
          <w:rFonts w:hint="cs"/>
          <w:rtl/>
        </w:rPr>
        <w:t>(</w:t>
      </w:r>
      <w:r w:rsidRPr="005269E6">
        <w:t>ONUG</w:t>
      </w:r>
      <w:r w:rsidRPr="005269E6">
        <w:rPr>
          <w:rFonts w:hint="cs"/>
          <w:rtl/>
        </w:rPr>
        <w:t>)</w:t>
      </w:r>
      <w:r w:rsidRPr="005269E6">
        <w:rPr>
          <w:rtl/>
        </w:rPr>
        <w:t xml:space="preserve"> تتعلق بخطة الضمان الجماعي لأمراض الموظفين وحوادثهم. وكجزء من الاتفاق،</w:t>
      </w:r>
      <w:r w:rsidR="0052117E" w:rsidRPr="005269E6">
        <w:rPr>
          <w:rtl/>
        </w:rPr>
        <w:t xml:space="preserve"> حدد الاتحاد مو</w:t>
      </w:r>
      <w:r w:rsidR="0052117E" w:rsidRPr="005269E6">
        <w:rPr>
          <w:rFonts w:hint="cs"/>
          <w:rtl/>
        </w:rPr>
        <w:t>ا</w:t>
      </w:r>
      <w:r w:rsidR="0052117E" w:rsidRPr="005269E6">
        <w:rPr>
          <w:rtl/>
        </w:rPr>
        <w:t>ع</w:t>
      </w:r>
      <w:r w:rsidR="0052117E" w:rsidRPr="005269E6">
        <w:rPr>
          <w:rFonts w:hint="cs"/>
          <w:rtl/>
        </w:rPr>
        <w:t>ي</w:t>
      </w:r>
      <w:r w:rsidR="0052117E" w:rsidRPr="005269E6">
        <w:rPr>
          <w:rtl/>
        </w:rPr>
        <w:t>د للدفع اعتبارا</w:t>
      </w:r>
      <w:r w:rsidR="00E5487E" w:rsidRPr="005269E6">
        <w:rPr>
          <w:rFonts w:hint="cs"/>
          <w:rtl/>
        </w:rPr>
        <w:t>ً</w:t>
      </w:r>
      <w:r w:rsidR="0052117E" w:rsidRPr="005269E6">
        <w:rPr>
          <w:rtl/>
        </w:rPr>
        <w:t xml:space="preserve"> من عام 2020 حتى نهاية الاتفاقية في عام 2032. ويُشار إلى "اتفاقية الاتحاد مع مكتب الأمم المتحدة في جنيف </w:t>
      </w:r>
      <w:r w:rsidR="0052117E" w:rsidRPr="005269E6">
        <w:rPr>
          <w:rFonts w:hint="cs"/>
          <w:rtl/>
        </w:rPr>
        <w:t>(</w:t>
      </w:r>
      <w:r w:rsidR="0052117E" w:rsidRPr="005269E6">
        <w:t>UIT-ONUG</w:t>
      </w:r>
      <w:r w:rsidR="0052117E" w:rsidRPr="005269E6">
        <w:rPr>
          <w:rFonts w:hint="cs"/>
          <w:rtl/>
        </w:rPr>
        <w:t>)</w:t>
      </w:r>
      <w:r w:rsidR="0052117E" w:rsidRPr="005269E6">
        <w:rPr>
          <w:rtl/>
        </w:rPr>
        <w:t xml:space="preserve"> بشأن جمعية التأمين التعاوني لموظفي الأمم المتحدة (</w:t>
      </w:r>
      <w:r w:rsidR="0052117E" w:rsidRPr="005269E6">
        <w:t>UNSMIS</w:t>
      </w:r>
      <w:r w:rsidR="0052117E" w:rsidRPr="005269E6">
        <w:rPr>
          <w:rtl/>
        </w:rPr>
        <w:t>)</w:t>
      </w:r>
      <w:r w:rsidR="0052117E" w:rsidRPr="005269E6">
        <w:rPr>
          <w:rFonts w:hint="cs"/>
          <w:rtl/>
        </w:rPr>
        <w:t>".</w:t>
      </w:r>
    </w:p>
    <w:p w14:paraId="1A87617E" w14:textId="6DFA8B35" w:rsidR="00915167" w:rsidRPr="005269E6" w:rsidRDefault="009E4187" w:rsidP="00E5487E">
      <w:r w:rsidRPr="005269E6">
        <w:rPr>
          <w:rtl/>
        </w:rPr>
        <w:t>وفي بداية العقد، دفع الاتحاد مبلغا</w:t>
      </w:r>
      <w:r w:rsidR="002647FB" w:rsidRPr="005269E6">
        <w:rPr>
          <w:rFonts w:hint="cs"/>
          <w:rtl/>
        </w:rPr>
        <w:t>ً</w:t>
      </w:r>
      <w:r w:rsidRPr="005269E6">
        <w:rPr>
          <w:rtl/>
        </w:rPr>
        <w:t xml:space="preserve"> قدره 20 مليون فرنك سويسري كان </w:t>
      </w:r>
      <w:r w:rsidRPr="005269E6">
        <w:rPr>
          <w:rFonts w:hint="cs"/>
          <w:rtl/>
        </w:rPr>
        <w:t>مثبتاً</w:t>
      </w:r>
      <w:r w:rsidRPr="005269E6">
        <w:rPr>
          <w:rtl/>
        </w:rPr>
        <w:t xml:space="preserve"> كأصل وخصم على السواء. وبالإضافة إلى ذلك، </w:t>
      </w:r>
      <w:r w:rsidRPr="005269E6">
        <w:rPr>
          <w:rFonts w:hint="cs"/>
          <w:rtl/>
        </w:rPr>
        <w:t>ثبَّت</w:t>
      </w:r>
      <w:r w:rsidRPr="005269E6">
        <w:rPr>
          <w:rtl/>
        </w:rPr>
        <w:t xml:space="preserve"> الاتحاد </w:t>
      </w:r>
      <w:r w:rsidRPr="005269E6">
        <w:rPr>
          <w:rFonts w:hint="cs"/>
          <w:rtl/>
        </w:rPr>
        <w:t>بصورة خاطئة</w:t>
      </w:r>
      <w:r w:rsidRPr="005269E6">
        <w:rPr>
          <w:rtl/>
        </w:rPr>
        <w:t xml:space="preserve"> خلال عام</w:t>
      </w:r>
      <w:r w:rsidR="00595A36" w:rsidRPr="005269E6">
        <w:rPr>
          <w:rFonts w:hint="cs"/>
          <w:rtl/>
        </w:rPr>
        <w:t>َ</w:t>
      </w:r>
      <w:r w:rsidRPr="005269E6">
        <w:rPr>
          <w:rtl/>
        </w:rPr>
        <w:t xml:space="preserve">ي 2020 و2021 </w:t>
      </w:r>
      <w:r w:rsidRPr="005269E6">
        <w:rPr>
          <w:rFonts w:hint="cs"/>
          <w:rtl/>
        </w:rPr>
        <w:t>القسطين</w:t>
      </w:r>
      <w:r w:rsidRPr="005269E6">
        <w:rPr>
          <w:rtl/>
        </w:rPr>
        <w:t xml:space="preserve"> المستحق</w:t>
      </w:r>
      <w:r w:rsidRPr="005269E6">
        <w:rPr>
          <w:rFonts w:hint="cs"/>
          <w:rtl/>
        </w:rPr>
        <w:t>ين</w:t>
      </w:r>
      <w:r w:rsidRPr="005269E6">
        <w:rPr>
          <w:rtl/>
        </w:rPr>
        <w:t xml:space="preserve"> لعام</w:t>
      </w:r>
      <w:r w:rsidR="00595A36" w:rsidRPr="005269E6">
        <w:rPr>
          <w:rFonts w:hint="cs"/>
          <w:rtl/>
        </w:rPr>
        <w:t>َ</w:t>
      </w:r>
      <w:r w:rsidRPr="005269E6">
        <w:rPr>
          <w:rtl/>
        </w:rPr>
        <w:t>ي 2021 و2022 بمبلغ 1,493 مليون فرنك سويسري و1,539 مليون فرنك سويسري على التوالي.</w:t>
      </w:r>
    </w:p>
    <w:p w14:paraId="03F325AF" w14:textId="027B6E74" w:rsidR="00AA3D07" w:rsidRPr="005269E6" w:rsidRDefault="009E4187" w:rsidP="00AA3D07">
      <w:pPr>
        <w:spacing w:after="120"/>
        <w:rPr>
          <w:rtl/>
        </w:rPr>
      </w:pPr>
      <w:r w:rsidRPr="005269E6">
        <w:rPr>
          <w:rFonts w:hint="cs"/>
          <w:rtl/>
        </w:rPr>
        <w:t>و</w:t>
      </w:r>
      <w:r w:rsidR="00AA3D07" w:rsidRPr="005269E6">
        <w:rPr>
          <w:rtl/>
        </w:rPr>
        <w:t xml:space="preserve">تتعلق المدخلات الواردة أدناه </w:t>
      </w:r>
      <w:r w:rsidR="00703AD5" w:rsidRPr="005269E6">
        <w:rPr>
          <w:rFonts w:hint="cs"/>
          <w:rtl/>
        </w:rPr>
        <w:t>بإلغاء</w:t>
      </w:r>
      <w:r w:rsidR="00AA3D07" w:rsidRPr="005269E6">
        <w:rPr>
          <w:rtl/>
        </w:rPr>
        <w:t xml:space="preserve"> الرصيد غير المسدد للأصول والخصوم </w:t>
      </w:r>
      <w:r w:rsidRPr="005269E6">
        <w:rPr>
          <w:rFonts w:hint="cs"/>
          <w:rtl/>
        </w:rPr>
        <w:t>المثبَّتة</w:t>
      </w:r>
      <w:r w:rsidR="00AA3D07" w:rsidRPr="005269E6">
        <w:rPr>
          <w:rtl/>
        </w:rPr>
        <w:t xml:space="preserve"> عند البدء </w:t>
      </w:r>
      <w:r w:rsidRPr="005269E6">
        <w:rPr>
          <w:rFonts w:hint="cs"/>
          <w:rtl/>
        </w:rPr>
        <w:t>وتثبيت</w:t>
      </w:r>
      <w:r w:rsidR="00AA3D07" w:rsidRPr="005269E6">
        <w:rPr>
          <w:rtl/>
        </w:rPr>
        <w:t xml:space="preserve"> قسط</w:t>
      </w:r>
      <w:r w:rsidRPr="005269E6">
        <w:rPr>
          <w:rFonts w:hint="cs"/>
          <w:rtl/>
        </w:rPr>
        <w:t>ي</w:t>
      </w:r>
      <w:r w:rsidR="00AA3D07" w:rsidRPr="005269E6">
        <w:rPr>
          <w:rtl/>
        </w:rPr>
        <w:t xml:space="preserve"> عامي 2020 و2021 في الفترة المناسبة.</w:t>
      </w:r>
    </w:p>
    <w:tbl>
      <w:tblPr>
        <w:bidiVisual/>
        <w:tblW w:w="5000" w:type="pct"/>
        <w:tblLook w:val="04A0" w:firstRow="1" w:lastRow="0" w:firstColumn="1" w:lastColumn="0" w:noHBand="0" w:noVBand="1"/>
      </w:tblPr>
      <w:tblGrid>
        <w:gridCol w:w="2269"/>
        <w:gridCol w:w="1215"/>
        <w:gridCol w:w="1188"/>
        <w:gridCol w:w="1243"/>
        <w:gridCol w:w="260"/>
        <w:gridCol w:w="1272"/>
        <w:gridCol w:w="1173"/>
        <w:gridCol w:w="1019"/>
      </w:tblGrid>
      <w:tr w:rsidR="00366CA7" w:rsidRPr="005269E6" w14:paraId="6F70FE7A" w14:textId="77777777" w:rsidTr="002647FB">
        <w:trPr>
          <w:trHeight w:val="300"/>
        </w:trPr>
        <w:tc>
          <w:tcPr>
            <w:tcW w:w="2269" w:type="dxa"/>
            <w:tcBorders>
              <w:top w:val="nil"/>
              <w:left w:val="nil"/>
              <w:bottom w:val="nil"/>
              <w:right w:val="nil"/>
            </w:tcBorders>
            <w:shd w:val="clear" w:color="000000" w:fill="0070C0"/>
            <w:noWrap/>
            <w:vAlign w:val="bottom"/>
            <w:hideMark/>
          </w:tcPr>
          <w:p w14:paraId="42E782E8" w14:textId="77777777" w:rsidR="00857349" w:rsidRPr="005269E6" w:rsidRDefault="00857349" w:rsidP="0085734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3906" w:type="dxa"/>
            <w:gridSpan w:val="4"/>
            <w:tcBorders>
              <w:top w:val="nil"/>
              <w:left w:val="nil"/>
              <w:bottom w:val="nil"/>
              <w:right w:val="nil"/>
            </w:tcBorders>
            <w:shd w:val="clear" w:color="000000" w:fill="0070C0"/>
            <w:noWrap/>
            <w:vAlign w:val="bottom"/>
            <w:hideMark/>
          </w:tcPr>
          <w:p w14:paraId="4695D533" w14:textId="77777777" w:rsidR="00857349" w:rsidRPr="005269E6" w:rsidRDefault="00857349" w:rsidP="008573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c>
          <w:tcPr>
            <w:tcW w:w="3464" w:type="dxa"/>
            <w:gridSpan w:val="3"/>
            <w:tcBorders>
              <w:top w:val="nil"/>
              <w:left w:val="nil"/>
              <w:bottom w:val="nil"/>
              <w:right w:val="nil"/>
            </w:tcBorders>
            <w:shd w:val="clear" w:color="000000" w:fill="0070C0"/>
            <w:noWrap/>
            <w:vAlign w:val="bottom"/>
            <w:hideMark/>
          </w:tcPr>
          <w:p w14:paraId="7D20D3F9" w14:textId="77777777" w:rsidR="00857349" w:rsidRPr="005269E6" w:rsidRDefault="00857349" w:rsidP="0085734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9E4187" w:rsidRPr="005269E6" w14:paraId="097A4032" w14:textId="77777777" w:rsidTr="002647FB">
        <w:trPr>
          <w:trHeight w:val="522"/>
        </w:trPr>
        <w:tc>
          <w:tcPr>
            <w:tcW w:w="2269" w:type="dxa"/>
            <w:tcBorders>
              <w:top w:val="nil"/>
              <w:left w:val="nil"/>
              <w:bottom w:val="nil"/>
              <w:right w:val="nil"/>
            </w:tcBorders>
            <w:shd w:val="clear" w:color="000000" w:fill="0070C0"/>
            <w:noWrap/>
            <w:vAlign w:val="bottom"/>
            <w:hideMark/>
          </w:tcPr>
          <w:p w14:paraId="5CDF7472" w14:textId="3E5F585B" w:rsidR="009E4187" w:rsidRPr="005269E6" w:rsidRDefault="009E4187" w:rsidP="009E4187">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1215" w:type="dxa"/>
            <w:tcBorders>
              <w:top w:val="nil"/>
              <w:left w:val="nil"/>
              <w:bottom w:val="nil"/>
              <w:right w:val="nil"/>
            </w:tcBorders>
            <w:shd w:val="clear" w:color="000000" w:fill="0070C0"/>
            <w:vAlign w:val="bottom"/>
            <w:hideMark/>
          </w:tcPr>
          <w:p w14:paraId="03832970" w14:textId="136F3F72" w:rsidR="009E4187" w:rsidRPr="005269E6" w:rsidRDefault="009E4187" w:rsidP="009E418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1188" w:type="dxa"/>
            <w:tcBorders>
              <w:top w:val="nil"/>
              <w:left w:val="nil"/>
              <w:bottom w:val="nil"/>
              <w:right w:val="nil"/>
            </w:tcBorders>
            <w:shd w:val="clear" w:color="000000" w:fill="0070C0"/>
            <w:vAlign w:val="bottom"/>
            <w:hideMark/>
          </w:tcPr>
          <w:p w14:paraId="59D95001" w14:textId="4577FC68" w:rsidR="009E4187" w:rsidRPr="005269E6" w:rsidRDefault="009E4187" w:rsidP="009E418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243" w:type="dxa"/>
            <w:tcBorders>
              <w:top w:val="nil"/>
              <w:left w:val="nil"/>
              <w:bottom w:val="nil"/>
              <w:right w:val="nil"/>
            </w:tcBorders>
            <w:shd w:val="clear" w:color="000000" w:fill="0070C0"/>
            <w:vAlign w:val="bottom"/>
            <w:hideMark/>
          </w:tcPr>
          <w:p w14:paraId="00DF178D" w14:textId="0A249175" w:rsidR="009E4187" w:rsidRPr="005269E6" w:rsidRDefault="009E4187" w:rsidP="009E418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r w:rsidRPr="005269E6">
              <w:rPr>
                <w:rFonts w:eastAsia="Times New Roman"/>
                <w:b/>
                <w:bCs/>
                <w:color w:val="000000"/>
                <w:sz w:val="18"/>
                <w:szCs w:val="18"/>
                <w:rtl/>
                <w:lang w:val="en-GB" w:eastAsia="en-GB"/>
              </w:rPr>
              <w:t xml:space="preserve"> معاد بيانها</w:t>
            </w:r>
          </w:p>
        </w:tc>
        <w:tc>
          <w:tcPr>
            <w:tcW w:w="260" w:type="dxa"/>
            <w:tcBorders>
              <w:top w:val="nil"/>
              <w:left w:val="nil"/>
              <w:bottom w:val="nil"/>
              <w:right w:val="nil"/>
            </w:tcBorders>
            <w:shd w:val="clear" w:color="000000" w:fill="0070C0"/>
            <w:noWrap/>
            <w:vAlign w:val="bottom"/>
            <w:hideMark/>
          </w:tcPr>
          <w:p w14:paraId="09971FE4" w14:textId="01D47C42" w:rsidR="009E4187" w:rsidRPr="005269E6" w:rsidRDefault="009E4187" w:rsidP="009E4187">
            <w:pPr>
              <w:tabs>
                <w:tab w:val="clear" w:pos="794"/>
              </w:tabs>
              <w:spacing w:before="40" w:after="40" w:line="240" w:lineRule="exact"/>
              <w:jc w:val="center"/>
              <w:rPr>
                <w:rFonts w:eastAsia="Times New Roman"/>
                <w:color w:val="000000"/>
                <w:sz w:val="18"/>
                <w:szCs w:val="18"/>
                <w:lang w:val="en-GB" w:eastAsia="en-GB"/>
              </w:rPr>
            </w:pPr>
          </w:p>
        </w:tc>
        <w:tc>
          <w:tcPr>
            <w:tcW w:w="1272" w:type="dxa"/>
            <w:tcBorders>
              <w:top w:val="nil"/>
              <w:left w:val="nil"/>
              <w:bottom w:val="nil"/>
              <w:right w:val="nil"/>
            </w:tcBorders>
            <w:shd w:val="clear" w:color="000000" w:fill="0070C0"/>
            <w:vAlign w:val="bottom"/>
            <w:hideMark/>
          </w:tcPr>
          <w:p w14:paraId="05AF32FE" w14:textId="2268D06F" w:rsidR="009E4187" w:rsidRPr="005269E6" w:rsidRDefault="009E4187" w:rsidP="009E418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2021</w:t>
            </w:r>
          </w:p>
        </w:tc>
        <w:tc>
          <w:tcPr>
            <w:tcW w:w="1173" w:type="dxa"/>
            <w:tcBorders>
              <w:top w:val="nil"/>
              <w:left w:val="nil"/>
              <w:bottom w:val="nil"/>
              <w:right w:val="nil"/>
            </w:tcBorders>
            <w:shd w:val="clear" w:color="000000" w:fill="0070C0"/>
            <w:vAlign w:val="bottom"/>
            <w:hideMark/>
          </w:tcPr>
          <w:p w14:paraId="2D43EBFD" w14:textId="692C6E86" w:rsidR="009E4187" w:rsidRPr="005269E6" w:rsidRDefault="009E4187" w:rsidP="009E418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019" w:type="dxa"/>
            <w:tcBorders>
              <w:top w:val="nil"/>
              <w:left w:val="nil"/>
              <w:bottom w:val="nil"/>
              <w:right w:val="nil"/>
            </w:tcBorders>
            <w:shd w:val="clear" w:color="000000" w:fill="0070C0"/>
            <w:vAlign w:val="bottom"/>
            <w:hideMark/>
          </w:tcPr>
          <w:p w14:paraId="21C12377" w14:textId="37ECEA67" w:rsidR="009E4187" w:rsidRPr="005269E6" w:rsidRDefault="009E4187" w:rsidP="009E418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b/>
                <w:bCs/>
                <w:color w:val="000000"/>
                <w:sz w:val="18"/>
                <w:szCs w:val="18"/>
                <w:rtl/>
                <w:lang w:val="en-GB" w:eastAsia="en-GB"/>
              </w:rPr>
              <w:t xml:space="preserve"> معاد بيانها</w:t>
            </w:r>
          </w:p>
        </w:tc>
      </w:tr>
      <w:tr w:rsidR="00857349" w:rsidRPr="005269E6" w14:paraId="1F37C085" w14:textId="77777777" w:rsidTr="002647FB">
        <w:trPr>
          <w:trHeight w:val="255"/>
        </w:trPr>
        <w:tc>
          <w:tcPr>
            <w:tcW w:w="2269" w:type="dxa"/>
            <w:tcBorders>
              <w:top w:val="nil"/>
              <w:left w:val="nil"/>
              <w:bottom w:val="nil"/>
              <w:right w:val="nil"/>
            </w:tcBorders>
            <w:shd w:val="clear" w:color="auto" w:fill="auto"/>
            <w:noWrap/>
            <w:vAlign w:val="bottom"/>
            <w:hideMark/>
          </w:tcPr>
          <w:p w14:paraId="31FD8396" w14:textId="159644FD" w:rsidR="00857349" w:rsidRPr="005269E6" w:rsidRDefault="00B0585D" w:rsidP="0085734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الأصول الأخرى</w:t>
            </w:r>
          </w:p>
        </w:tc>
        <w:tc>
          <w:tcPr>
            <w:tcW w:w="1215" w:type="dxa"/>
            <w:tcBorders>
              <w:top w:val="nil"/>
              <w:left w:val="nil"/>
              <w:bottom w:val="nil"/>
              <w:right w:val="nil"/>
            </w:tcBorders>
            <w:shd w:val="clear" w:color="auto" w:fill="auto"/>
            <w:noWrap/>
            <w:vAlign w:val="bottom"/>
            <w:hideMark/>
          </w:tcPr>
          <w:p w14:paraId="65ADE346" w14:textId="2C20C58B"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17</w:t>
            </w:r>
            <w:r w:rsidR="000C434E"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44</w:t>
            </w:r>
            <w:r w:rsidR="000C434E" w:rsidRPr="005269E6">
              <w:rPr>
                <w:rFonts w:eastAsia="Times New Roman"/>
                <w:color w:val="000000"/>
                <w:sz w:val="18"/>
                <w:szCs w:val="18"/>
                <w:lang w:val="en-GB" w:eastAsia="en-GB"/>
              </w:rPr>
              <w:t>1</w:t>
            </w:r>
          </w:p>
        </w:tc>
        <w:tc>
          <w:tcPr>
            <w:tcW w:w="1188" w:type="dxa"/>
            <w:tcBorders>
              <w:top w:val="nil"/>
              <w:left w:val="nil"/>
              <w:bottom w:val="nil"/>
              <w:right w:val="nil"/>
            </w:tcBorders>
            <w:shd w:val="clear" w:color="auto" w:fill="auto"/>
            <w:noWrap/>
            <w:vAlign w:val="bottom"/>
            <w:hideMark/>
          </w:tcPr>
          <w:p w14:paraId="5AF4EB74" w14:textId="261D88E1"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(17</w:t>
            </w:r>
            <w:r w:rsidR="000C434E"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44</w:t>
            </w:r>
            <w:r w:rsidR="000C434E" w:rsidRPr="005269E6">
              <w:rPr>
                <w:rFonts w:eastAsia="Times New Roman"/>
                <w:color w:val="000000"/>
                <w:sz w:val="18"/>
                <w:szCs w:val="18"/>
                <w:lang w:val="en-GB" w:eastAsia="en-GB"/>
              </w:rPr>
              <w:t>1</w:t>
            </w:r>
            <w:r w:rsidRPr="005269E6">
              <w:rPr>
                <w:rFonts w:eastAsia="Times New Roman"/>
                <w:color w:val="000000"/>
                <w:sz w:val="18"/>
                <w:szCs w:val="18"/>
                <w:lang w:val="en-GB" w:eastAsia="en-GB"/>
              </w:rPr>
              <w:t>)</w:t>
            </w:r>
          </w:p>
        </w:tc>
        <w:tc>
          <w:tcPr>
            <w:tcW w:w="1243" w:type="dxa"/>
            <w:tcBorders>
              <w:top w:val="nil"/>
              <w:left w:val="nil"/>
              <w:bottom w:val="nil"/>
              <w:right w:val="nil"/>
            </w:tcBorders>
            <w:shd w:val="clear" w:color="auto" w:fill="auto"/>
            <w:noWrap/>
            <w:vAlign w:val="bottom"/>
            <w:hideMark/>
          </w:tcPr>
          <w:p w14:paraId="00F99C68" w14:textId="293BD9CD"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260" w:type="dxa"/>
            <w:tcBorders>
              <w:top w:val="nil"/>
              <w:left w:val="nil"/>
              <w:bottom w:val="nil"/>
              <w:right w:val="nil"/>
            </w:tcBorders>
            <w:shd w:val="clear" w:color="auto" w:fill="auto"/>
            <w:noWrap/>
            <w:vAlign w:val="bottom"/>
            <w:hideMark/>
          </w:tcPr>
          <w:p w14:paraId="02F1FE67" w14:textId="77777777"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p>
        </w:tc>
        <w:tc>
          <w:tcPr>
            <w:tcW w:w="1272" w:type="dxa"/>
            <w:tcBorders>
              <w:top w:val="nil"/>
              <w:left w:val="nil"/>
              <w:bottom w:val="nil"/>
              <w:right w:val="nil"/>
            </w:tcBorders>
            <w:shd w:val="clear" w:color="auto" w:fill="auto"/>
            <w:noWrap/>
            <w:vAlign w:val="bottom"/>
            <w:hideMark/>
          </w:tcPr>
          <w:p w14:paraId="18B966E0" w14:textId="124D3F7D"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16 267</w:t>
            </w:r>
          </w:p>
        </w:tc>
        <w:tc>
          <w:tcPr>
            <w:tcW w:w="1173" w:type="dxa"/>
            <w:tcBorders>
              <w:top w:val="nil"/>
              <w:left w:val="nil"/>
              <w:bottom w:val="nil"/>
              <w:right w:val="nil"/>
            </w:tcBorders>
            <w:shd w:val="clear" w:color="auto" w:fill="auto"/>
            <w:noWrap/>
            <w:vAlign w:val="bottom"/>
            <w:hideMark/>
          </w:tcPr>
          <w:p w14:paraId="1BAC59DB" w14:textId="10BDD900"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(16</w:t>
            </w:r>
            <w:r w:rsidR="000C434E"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267)</w:t>
            </w:r>
          </w:p>
        </w:tc>
        <w:tc>
          <w:tcPr>
            <w:tcW w:w="1019" w:type="dxa"/>
            <w:tcBorders>
              <w:top w:val="nil"/>
              <w:left w:val="nil"/>
              <w:bottom w:val="nil"/>
              <w:right w:val="nil"/>
            </w:tcBorders>
            <w:shd w:val="clear" w:color="auto" w:fill="auto"/>
            <w:noWrap/>
            <w:vAlign w:val="bottom"/>
            <w:hideMark/>
          </w:tcPr>
          <w:p w14:paraId="3DFFF3C6" w14:textId="5CDDEBA6"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p>
        </w:tc>
      </w:tr>
      <w:tr w:rsidR="00857349" w:rsidRPr="005269E6" w14:paraId="1EBA959C" w14:textId="77777777" w:rsidTr="002647FB">
        <w:trPr>
          <w:trHeight w:val="255"/>
        </w:trPr>
        <w:tc>
          <w:tcPr>
            <w:tcW w:w="2269" w:type="dxa"/>
            <w:tcBorders>
              <w:top w:val="nil"/>
              <w:left w:val="nil"/>
              <w:bottom w:val="nil"/>
              <w:right w:val="nil"/>
            </w:tcBorders>
            <w:shd w:val="clear" w:color="auto" w:fill="auto"/>
            <w:noWrap/>
            <w:vAlign w:val="bottom"/>
            <w:hideMark/>
          </w:tcPr>
          <w:p w14:paraId="38E17859" w14:textId="0DF58FED" w:rsidR="00857349" w:rsidRPr="005269E6" w:rsidRDefault="00B0585D" w:rsidP="0085734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الديون طويلة الأجل الأخرى</w:t>
            </w:r>
          </w:p>
        </w:tc>
        <w:tc>
          <w:tcPr>
            <w:tcW w:w="1215" w:type="dxa"/>
            <w:tcBorders>
              <w:top w:val="nil"/>
              <w:left w:val="nil"/>
              <w:bottom w:val="nil"/>
              <w:right w:val="nil"/>
            </w:tcBorders>
            <w:shd w:val="clear" w:color="auto" w:fill="auto"/>
            <w:noWrap/>
            <w:vAlign w:val="bottom"/>
            <w:hideMark/>
          </w:tcPr>
          <w:p w14:paraId="3CD2B37E" w14:textId="43C0CCAE"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(17</w:t>
            </w:r>
            <w:r w:rsidR="000C434E"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44</w:t>
            </w:r>
            <w:r w:rsidR="000C434E" w:rsidRPr="005269E6">
              <w:rPr>
                <w:rFonts w:eastAsia="Times New Roman"/>
                <w:color w:val="000000"/>
                <w:sz w:val="18"/>
                <w:szCs w:val="18"/>
                <w:lang w:val="en-GB" w:eastAsia="en-GB"/>
              </w:rPr>
              <w:t>1</w:t>
            </w:r>
            <w:r w:rsidRPr="005269E6">
              <w:rPr>
                <w:rFonts w:eastAsia="Times New Roman"/>
                <w:color w:val="000000"/>
                <w:sz w:val="18"/>
                <w:szCs w:val="18"/>
                <w:lang w:val="en-GB" w:eastAsia="en-GB"/>
              </w:rPr>
              <w:t>)</w:t>
            </w:r>
          </w:p>
        </w:tc>
        <w:tc>
          <w:tcPr>
            <w:tcW w:w="1188" w:type="dxa"/>
            <w:tcBorders>
              <w:top w:val="nil"/>
              <w:left w:val="nil"/>
              <w:bottom w:val="nil"/>
              <w:right w:val="nil"/>
            </w:tcBorders>
            <w:shd w:val="clear" w:color="auto" w:fill="auto"/>
            <w:noWrap/>
            <w:vAlign w:val="bottom"/>
            <w:hideMark/>
          </w:tcPr>
          <w:p w14:paraId="7A3CB559" w14:textId="6FA6E4FD"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17 441</w:t>
            </w:r>
          </w:p>
        </w:tc>
        <w:tc>
          <w:tcPr>
            <w:tcW w:w="1243" w:type="dxa"/>
            <w:tcBorders>
              <w:top w:val="nil"/>
              <w:left w:val="nil"/>
              <w:bottom w:val="nil"/>
              <w:right w:val="nil"/>
            </w:tcBorders>
            <w:shd w:val="clear" w:color="auto" w:fill="auto"/>
            <w:noWrap/>
            <w:vAlign w:val="bottom"/>
            <w:hideMark/>
          </w:tcPr>
          <w:p w14:paraId="0606099A" w14:textId="7D4F172A"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260" w:type="dxa"/>
            <w:tcBorders>
              <w:top w:val="nil"/>
              <w:left w:val="nil"/>
              <w:bottom w:val="nil"/>
              <w:right w:val="nil"/>
            </w:tcBorders>
            <w:shd w:val="clear" w:color="auto" w:fill="auto"/>
            <w:noWrap/>
            <w:vAlign w:val="bottom"/>
            <w:hideMark/>
          </w:tcPr>
          <w:p w14:paraId="30AB0C92" w14:textId="77777777"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p>
        </w:tc>
        <w:tc>
          <w:tcPr>
            <w:tcW w:w="1272" w:type="dxa"/>
            <w:tcBorders>
              <w:top w:val="nil"/>
              <w:left w:val="nil"/>
              <w:bottom w:val="nil"/>
              <w:right w:val="nil"/>
            </w:tcBorders>
            <w:shd w:val="clear" w:color="auto" w:fill="auto"/>
            <w:noWrap/>
            <w:vAlign w:val="bottom"/>
            <w:hideMark/>
          </w:tcPr>
          <w:p w14:paraId="2D0E1CA6" w14:textId="248A4CE1"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(16 267)</w:t>
            </w:r>
          </w:p>
        </w:tc>
        <w:tc>
          <w:tcPr>
            <w:tcW w:w="1173" w:type="dxa"/>
            <w:tcBorders>
              <w:top w:val="nil"/>
              <w:left w:val="nil"/>
              <w:bottom w:val="nil"/>
              <w:right w:val="nil"/>
            </w:tcBorders>
            <w:shd w:val="clear" w:color="auto" w:fill="auto"/>
            <w:noWrap/>
            <w:vAlign w:val="bottom"/>
            <w:hideMark/>
          </w:tcPr>
          <w:p w14:paraId="116DDD75" w14:textId="7883506D"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16 267</w:t>
            </w:r>
          </w:p>
        </w:tc>
        <w:tc>
          <w:tcPr>
            <w:tcW w:w="1019" w:type="dxa"/>
            <w:tcBorders>
              <w:top w:val="nil"/>
              <w:left w:val="nil"/>
              <w:bottom w:val="nil"/>
              <w:right w:val="nil"/>
            </w:tcBorders>
            <w:shd w:val="clear" w:color="auto" w:fill="auto"/>
            <w:noWrap/>
            <w:vAlign w:val="bottom"/>
            <w:hideMark/>
          </w:tcPr>
          <w:p w14:paraId="3ED57A1E" w14:textId="420507F6"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857349" w:rsidRPr="005269E6" w14:paraId="7BC4BD53" w14:textId="77777777" w:rsidTr="002647FB">
        <w:trPr>
          <w:trHeight w:val="255"/>
        </w:trPr>
        <w:tc>
          <w:tcPr>
            <w:tcW w:w="2269" w:type="dxa"/>
            <w:tcBorders>
              <w:top w:val="nil"/>
              <w:left w:val="nil"/>
              <w:bottom w:val="nil"/>
              <w:right w:val="nil"/>
            </w:tcBorders>
            <w:shd w:val="clear" w:color="auto" w:fill="auto"/>
            <w:noWrap/>
            <w:vAlign w:val="bottom"/>
            <w:hideMark/>
          </w:tcPr>
          <w:p w14:paraId="770A4ACD" w14:textId="4B144F37" w:rsidR="00857349" w:rsidRPr="005269E6" w:rsidRDefault="00B0585D" w:rsidP="0085734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الديون قصيرة الأجل الأخرى</w:t>
            </w:r>
          </w:p>
        </w:tc>
        <w:tc>
          <w:tcPr>
            <w:tcW w:w="1215" w:type="dxa"/>
            <w:tcBorders>
              <w:top w:val="nil"/>
              <w:left w:val="nil"/>
              <w:bottom w:val="nil"/>
              <w:right w:val="nil"/>
            </w:tcBorders>
            <w:shd w:val="clear" w:color="auto" w:fill="auto"/>
            <w:noWrap/>
            <w:vAlign w:val="bottom"/>
            <w:hideMark/>
          </w:tcPr>
          <w:p w14:paraId="60E47F1A" w14:textId="7B4EE3EF"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(1</w:t>
            </w:r>
            <w:r w:rsidR="000C434E" w:rsidRPr="005269E6">
              <w:rPr>
                <w:rFonts w:eastAsia="Times New Roman"/>
                <w:color w:val="000000"/>
                <w:sz w:val="18"/>
                <w:szCs w:val="18"/>
                <w:lang w:val="en-GB" w:eastAsia="en-GB"/>
              </w:rPr>
              <w:t xml:space="preserve"> </w:t>
            </w:r>
            <w:r w:rsidRPr="005269E6">
              <w:rPr>
                <w:rFonts w:eastAsia="Times New Roman"/>
                <w:color w:val="000000"/>
                <w:sz w:val="18"/>
                <w:szCs w:val="18"/>
                <w:lang w:val="en-GB" w:eastAsia="en-GB"/>
              </w:rPr>
              <w:t>493)</w:t>
            </w:r>
          </w:p>
        </w:tc>
        <w:tc>
          <w:tcPr>
            <w:tcW w:w="1188" w:type="dxa"/>
            <w:tcBorders>
              <w:top w:val="nil"/>
              <w:left w:val="nil"/>
              <w:bottom w:val="nil"/>
              <w:right w:val="nil"/>
            </w:tcBorders>
            <w:shd w:val="clear" w:color="auto" w:fill="auto"/>
            <w:noWrap/>
            <w:vAlign w:val="bottom"/>
            <w:hideMark/>
          </w:tcPr>
          <w:p w14:paraId="38ECE030" w14:textId="4DB74FBC"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1 493</w:t>
            </w:r>
          </w:p>
        </w:tc>
        <w:tc>
          <w:tcPr>
            <w:tcW w:w="1243" w:type="dxa"/>
            <w:tcBorders>
              <w:top w:val="nil"/>
              <w:left w:val="nil"/>
              <w:bottom w:val="nil"/>
              <w:right w:val="nil"/>
            </w:tcBorders>
            <w:shd w:val="clear" w:color="auto" w:fill="auto"/>
            <w:noWrap/>
            <w:vAlign w:val="bottom"/>
            <w:hideMark/>
          </w:tcPr>
          <w:p w14:paraId="72615FCF" w14:textId="60CD8EAF"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260" w:type="dxa"/>
            <w:tcBorders>
              <w:top w:val="nil"/>
              <w:left w:val="nil"/>
              <w:bottom w:val="nil"/>
              <w:right w:val="nil"/>
            </w:tcBorders>
            <w:shd w:val="clear" w:color="auto" w:fill="auto"/>
            <w:noWrap/>
            <w:vAlign w:val="bottom"/>
            <w:hideMark/>
          </w:tcPr>
          <w:p w14:paraId="1CA58841" w14:textId="77777777"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p>
        </w:tc>
        <w:tc>
          <w:tcPr>
            <w:tcW w:w="1272" w:type="dxa"/>
            <w:tcBorders>
              <w:top w:val="nil"/>
              <w:left w:val="nil"/>
              <w:bottom w:val="nil"/>
              <w:right w:val="nil"/>
            </w:tcBorders>
            <w:shd w:val="clear" w:color="auto" w:fill="auto"/>
            <w:noWrap/>
            <w:vAlign w:val="bottom"/>
            <w:hideMark/>
          </w:tcPr>
          <w:p w14:paraId="1568E96D" w14:textId="019A4298"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73" w:type="dxa"/>
            <w:tcBorders>
              <w:top w:val="nil"/>
              <w:left w:val="nil"/>
              <w:bottom w:val="nil"/>
              <w:right w:val="nil"/>
            </w:tcBorders>
            <w:shd w:val="clear" w:color="auto" w:fill="auto"/>
            <w:noWrap/>
            <w:vAlign w:val="bottom"/>
            <w:hideMark/>
          </w:tcPr>
          <w:p w14:paraId="74CFBCD5" w14:textId="1F5D5290"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019" w:type="dxa"/>
            <w:tcBorders>
              <w:top w:val="nil"/>
              <w:left w:val="nil"/>
              <w:bottom w:val="nil"/>
              <w:right w:val="nil"/>
            </w:tcBorders>
            <w:shd w:val="clear" w:color="auto" w:fill="auto"/>
            <w:noWrap/>
            <w:vAlign w:val="bottom"/>
            <w:hideMark/>
          </w:tcPr>
          <w:p w14:paraId="608C2718" w14:textId="24F83F92"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857349" w:rsidRPr="005269E6" w14:paraId="1C3B2EEC" w14:textId="77777777" w:rsidTr="002647FB">
        <w:trPr>
          <w:trHeight w:val="255"/>
        </w:trPr>
        <w:tc>
          <w:tcPr>
            <w:tcW w:w="2269" w:type="dxa"/>
            <w:tcBorders>
              <w:top w:val="nil"/>
              <w:left w:val="nil"/>
              <w:right w:val="nil"/>
            </w:tcBorders>
            <w:shd w:val="clear" w:color="auto" w:fill="auto"/>
            <w:noWrap/>
            <w:vAlign w:val="bottom"/>
            <w:hideMark/>
          </w:tcPr>
          <w:p w14:paraId="45A011C9" w14:textId="0853F64E" w:rsidR="00857349" w:rsidRPr="005269E6" w:rsidRDefault="00B0585D" w:rsidP="0085734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الحسابات الاحتياطية</w:t>
            </w:r>
          </w:p>
        </w:tc>
        <w:tc>
          <w:tcPr>
            <w:tcW w:w="1215" w:type="dxa"/>
            <w:tcBorders>
              <w:top w:val="nil"/>
              <w:left w:val="nil"/>
              <w:right w:val="nil"/>
            </w:tcBorders>
            <w:shd w:val="clear" w:color="auto" w:fill="auto"/>
            <w:noWrap/>
            <w:vAlign w:val="bottom"/>
            <w:hideMark/>
          </w:tcPr>
          <w:p w14:paraId="28D736F2" w14:textId="3CD2C000"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88" w:type="dxa"/>
            <w:tcBorders>
              <w:top w:val="nil"/>
              <w:left w:val="nil"/>
              <w:bottom w:val="nil"/>
              <w:right w:val="nil"/>
            </w:tcBorders>
            <w:shd w:val="clear" w:color="auto" w:fill="auto"/>
            <w:noWrap/>
            <w:vAlign w:val="bottom"/>
            <w:hideMark/>
          </w:tcPr>
          <w:p w14:paraId="63639D1B" w14:textId="25D46A78"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(1 493)</w:t>
            </w:r>
          </w:p>
        </w:tc>
        <w:tc>
          <w:tcPr>
            <w:tcW w:w="1243" w:type="dxa"/>
            <w:tcBorders>
              <w:top w:val="nil"/>
              <w:left w:val="nil"/>
              <w:bottom w:val="nil"/>
              <w:right w:val="nil"/>
            </w:tcBorders>
            <w:shd w:val="clear" w:color="auto" w:fill="auto"/>
            <w:noWrap/>
            <w:vAlign w:val="bottom"/>
            <w:hideMark/>
          </w:tcPr>
          <w:p w14:paraId="7F8F01AD" w14:textId="0BA5278F"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(1 493)</w:t>
            </w:r>
          </w:p>
        </w:tc>
        <w:tc>
          <w:tcPr>
            <w:tcW w:w="260" w:type="dxa"/>
            <w:tcBorders>
              <w:top w:val="nil"/>
              <w:left w:val="nil"/>
              <w:bottom w:val="nil"/>
              <w:right w:val="nil"/>
            </w:tcBorders>
            <w:shd w:val="clear" w:color="auto" w:fill="auto"/>
            <w:noWrap/>
            <w:vAlign w:val="bottom"/>
            <w:hideMark/>
          </w:tcPr>
          <w:p w14:paraId="2C404721" w14:textId="77777777"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p>
        </w:tc>
        <w:tc>
          <w:tcPr>
            <w:tcW w:w="1272" w:type="dxa"/>
            <w:tcBorders>
              <w:top w:val="nil"/>
              <w:left w:val="nil"/>
              <w:bottom w:val="nil"/>
              <w:right w:val="nil"/>
            </w:tcBorders>
            <w:shd w:val="clear" w:color="auto" w:fill="auto"/>
            <w:noWrap/>
            <w:vAlign w:val="bottom"/>
            <w:hideMark/>
          </w:tcPr>
          <w:p w14:paraId="38F58B70" w14:textId="1E564FD3"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73" w:type="dxa"/>
            <w:tcBorders>
              <w:top w:val="nil"/>
              <w:left w:val="nil"/>
              <w:bottom w:val="nil"/>
              <w:right w:val="nil"/>
            </w:tcBorders>
            <w:shd w:val="clear" w:color="auto" w:fill="auto"/>
            <w:noWrap/>
            <w:vAlign w:val="bottom"/>
            <w:hideMark/>
          </w:tcPr>
          <w:p w14:paraId="3EF32858" w14:textId="096035C6"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(58)</w:t>
            </w:r>
          </w:p>
        </w:tc>
        <w:tc>
          <w:tcPr>
            <w:tcW w:w="1019" w:type="dxa"/>
            <w:tcBorders>
              <w:top w:val="nil"/>
              <w:left w:val="nil"/>
              <w:bottom w:val="nil"/>
              <w:right w:val="nil"/>
            </w:tcBorders>
            <w:shd w:val="clear" w:color="auto" w:fill="auto"/>
            <w:noWrap/>
            <w:vAlign w:val="bottom"/>
            <w:hideMark/>
          </w:tcPr>
          <w:p w14:paraId="115F9DF3" w14:textId="7602A3E1"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(58)</w:t>
            </w:r>
          </w:p>
        </w:tc>
      </w:tr>
      <w:tr w:rsidR="00857349" w:rsidRPr="005269E6" w14:paraId="0EA3E8BD" w14:textId="77777777" w:rsidTr="002647FB">
        <w:trPr>
          <w:trHeight w:val="255"/>
        </w:trPr>
        <w:tc>
          <w:tcPr>
            <w:tcW w:w="2269" w:type="dxa"/>
            <w:tcBorders>
              <w:top w:val="nil"/>
              <w:left w:val="nil"/>
              <w:bottom w:val="nil"/>
            </w:tcBorders>
            <w:shd w:val="clear" w:color="auto" w:fill="auto"/>
            <w:noWrap/>
            <w:vAlign w:val="bottom"/>
            <w:hideMark/>
          </w:tcPr>
          <w:p w14:paraId="2583DDB1" w14:textId="66EC0BA6" w:rsidR="00857349" w:rsidRPr="005269E6" w:rsidRDefault="00B0585D" w:rsidP="0085734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الفائض المتراكم</w:t>
            </w:r>
          </w:p>
        </w:tc>
        <w:tc>
          <w:tcPr>
            <w:tcW w:w="1215" w:type="dxa"/>
            <w:tcBorders>
              <w:top w:val="nil"/>
              <w:bottom w:val="nil"/>
              <w:right w:val="nil"/>
            </w:tcBorders>
            <w:shd w:val="clear" w:color="auto" w:fill="auto"/>
            <w:noWrap/>
            <w:vAlign w:val="bottom"/>
            <w:hideMark/>
          </w:tcPr>
          <w:p w14:paraId="4EDC8D7E" w14:textId="77777777"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p>
        </w:tc>
        <w:tc>
          <w:tcPr>
            <w:tcW w:w="1188" w:type="dxa"/>
            <w:tcBorders>
              <w:top w:val="nil"/>
              <w:left w:val="nil"/>
              <w:bottom w:val="nil"/>
              <w:right w:val="nil"/>
            </w:tcBorders>
            <w:shd w:val="clear" w:color="auto" w:fill="auto"/>
            <w:noWrap/>
            <w:vAlign w:val="bottom"/>
            <w:hideMark/>
          </w:tcPr>
          <w:p w14:paraId="7E2CEB78" w14:textId="77777777" w:rsidR="00857349" w:rsidRPr="005269E6" w:rsidRDefault="00857349" w:rsidP="00595A36">
            <w:pPr>
              <w:tabs>
                <w:tab w:val="clear" w:pos="794"/>
              </w:tabs>
              <w:spacing w:before="40" w:after="40" w:line="240" w:lineRule="exact"/>
              <w:jc w:val="left"/>
              <w:rPr>
                <w:rFonts w:eastAsia="Times New Roman"/>
                <w:sz w:val="18"/>
                <w:szCs w:val="18"/>
                <w:lang w:val="en-GB" w:eastAsia="en-GB"/>
              </w:rPr>
            </w:pPr>
          </w:p>
        </w:tc>
        <w:tc>
          <w:tcPr>
            <w:tcW w:w="1243" w:type="dxa"/>
            <w:tcBorders>
              <w:top w:val="nil"/>
              <w:left w:val="nil"/>
              <w:bottom w:val="nil"/>
              <w:right w:val="nil"/>
            </w:tcBorders>
            <w:shd w:val="clear" w:color="auto" w:fill="auto"/>
            <w:noWrap/>
            <w:vAlign w:val="bottom"/>
            <w:hideMark/>
          </w:tcPr>
          <w:p w14:paraId="1C524C7D" w14:textId="77777777" w:rsidR="00857349" w:rsidRPr="005269E6" w:rsidRDefault="00857349" w:rsidP="00595A36">
            <w:pPr>
              <w:tabs>
                <w:tab w:val="clear" w:pos="794"/>
              </w:tabs>
              <w:spacing w:before="40" w:after="40" w:line="240" w:lineRule="exact"/>
              <w:jc w:val="left"/>
              <w:rPr>
                <w:rFonts w:eastAsia="Times New Roman"/>
                <w:sz w:val="18"/>
                <w:szCs w:val="18"/>
                <w:lang w:val="en-GB" w:eastAsia="en-GB"/>
              </w:rPr>
            </w:pPr>
          </w:p>
        </w:tc>
        <w:tc>
          <w:tcPr>
            <w:tcW w:w="260" w:type="dxa"/>
            <w:tcBorders>
              <w:top w:val="nil"/>
              <w:left w:val="nil"/>
              <w:bottom w:val="nil"/>
              <w:right w:val="nil"/>
            </w:tcBorders>
            <w:shd w:val="clear" w:color="auto" w:fill="auto"/>
            <w:noWrap/>
            <w:vAlign w:val="bottom"/>
            <w:hideMark/>
          </w:tcPr>
          <w:p w14:paraId="1C4D0E7C" w14:textId="77777777" w:rsidR="00857349" w:rsidRPr="005269E6" w:rsidRDefault="00857349" w:rsidP="00595A36">
            <w:pPr>
              <w:tabs>
                <w:tab w:val="clear" w:pos="794"/>
              </w:tabs>
              <w:spacing w:before="40" w:after="40" w:line="240" w:lineRule="exact"/>
              <w:jc w:val="left"/>
              <w:rPr>
                <w:rFonts w:eastAsia="Times New Roman"/>
                <w:sz w:val="18"/>
                <w:szCs w:val="18"/>
                <w:lang w:val="en-GB" w:eastAsia="en-GB"/>
              </w:rPr>
            </w:pPr>
          </w:p>
        </w:tc>
        <w:tc>
          <w:tcPr>
            <w:tcW w:w="1272" w:type="dxa"/>
            <w:tcBorders>
              <w:top w:val="nil"/>
              <w:left w:val="nil"/>
              <w:bottom w:val="nil"/>
              <w:right w:val="nil"/>
            </w:tcBorders>
            <w:shd w:val="clear" w:color="auto" w:fill="auto"/>
            <w:noWrap/>
            <w:vAlign w:val="bottom"/>
            <w:hideMark/>
          </w:tcPr>
          <w:p w14:paraId="533171EE" w14:textId="0D45A86F"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73" w:type="dxa"/>
            <w:tcBorders>
              <w:top w:val="nil"/>
              <w:left w:val="nil"/>
              <w:bottom w:val="nil"/>
              <w:right w:val="nil"/>
            </w:tcBorders>
            <w:shd w:val="clear" w:color="auto" w:fill="auto"/>
            <w:noWrap/>
            <w:vAlign w:val="bottom"/>
            <w:hideMark/>
          </w:tcPr>
          <w:p w14:paraId="2AEC8ADC" w14:textId="0B362CE6"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58</w:t>
            </w:r>
          </w:p>
        </w:tc>
        <w:tc>
          <w:tcPr>
            <w:tcW w:w="1019" w:type="dxa"/>
            <w:tcBorders>
              <w:top w:val="nil"/>
              <w:left w:val="nil"/>
              <w:bottom w:val="nil"/>
              <w:right w:val="nil"/>
            </w:tcBorders>
            <w:shd w:val="clear" w:color="auto" w:fill="auto"/>
            <w:noWrap/>
            <w:vAlign w:val="bottom"/>
            <w:hideMark/>
          </w:tcPr>
          <w:p w14:paraId="4F97D3C4" w14:textId="592DACCE"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58</w:t>
            </w:r>
          </w:p>
        </w:tc>
      </w:tr>
      <w:tr w:rsidR="002647FB" w:rsidRPr="005269E6" w14:paraId="2B0F13E4" w14:textId="77777777" w:rsidTr="002647FB">
        <w:trPr>
          <w:trHeight w:val="255"/>
        </w:trPr>
        <w:tc>
          <w:tcPr>
            <w:tcW w:w="2269" w:type="dxa"/>
            <w:tcBorders>
              <w:top w:val="nil"/>
              <w:left w:val="nil"/>
              <w:bottom w:val="nil"/>
            </w:tcBorders>
            <w:shd w:val="clear" w:color="auto" w:fill="auto"/>
            <w:noWrap/>
            <w:vAlign w:val="bottom"/>
            <w:hideMark/>
          </w:tcPr>
          <w:p w14:paraId="412448AB" w14:textId="14159F76" w:rsidR="002647FB" w:rsidRPr="005269E6" w:rsidRDefault="002647FB" w:rsidP="0085734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التأمين الصحي والتأمين ضد الحوادث</w:t>
            </w:r>
          </w:p>
        </w:tc>
        <w:tc>
          <w:tcPr>
            <w:tcW w:w="1215" w:type="dxa"/>
            <w:tcBorders>
              <w:top w:val="nil"/>
              <w:bottom w:val="nil"/>
              <w:right w:val="nil"/>
            </w:tcBorders>
            <w:shd w:val="clear" w:color="auto" w:fill="auto"/>
            <w:vAlign w:val="bottom"/>
          </w:tcPr>
          <w:p w14:paraId="02AF73D1" w14:textId="77777777" w:rsidR="002647FB" w:rsidRPr="005269E6" w:rsidRDefault="002647FB" w:rsidP="00595A36">
            <w:pPr>
              <w:tabs>
                <w:tab w:val="clear" w:pos="794"/>
              </w:tabs>
              <w:spacing w:before="40" w:after="40" w:line="240" w:lineRule="exact"/>
              <w:jc w:val="left"/>
              <w:rPr>
                <w:rFonts w:eastAsia="Times New Roman"/>
                <w:color w:val="000000"/>
                <w:sz w:val="18"/>
                <w:szCs w:val="18"/>
                <w:lang w:val="en-GB" w:eastAsia="en-GB"/>
              </w:rPr>
            </w:pPr>
          </w:p>
        </w:tc>
        <w:tc>
          <w:tcPr>
            <w:tcW w:w="1188" w:type="dxa"/>
            <w:tcBorders>
              <w:top w:val="nil"/>
              <w:left w:val="nil"/>
              <w:bottom w:val="nil"/>
              <w:right w:val="nil"/>
            </w:tcBorders>
            <w:shd w:val="clear" w:color="auto" w:fill="auto"/>
            <w:noWrap/>
            <w:vAlign w:val="bottom"/>
            <w:hideMark/>
          </w:tcPr>
          <w:p w14:paraId="28048FD4" w14:textId="6143D782" w:rsidR="002647FB" w:rsidRPr="005269E6" w:rsidRDefault="002647FB" w:rsidP="00595A36">
            <w:pPr>
              <w:tabs>
                <w:tab w:val="clear" w:pos="794"/>
              </w:tabs>
              <w:spacing w:before="40" w:after="40" w:line="240" w:lineRule="exact"/>
              <w:jc w:val="left"/>
              <w:rPr>
                <w:rFonts w:eastAsia="Times New Roman"/>
                <w:color w:val="000000"/>
                <w:sz w:val="18"/>
                <w:szCs w:val="18"/>
                <w:lang w:val="en-GB" w:eastAsia="en-GB"/>
              </w:rPr>
            </w:pPr>
          </w:p>
        </w:tc>
        <w:tc>
          <w:tcPr>
            <w:tcW w:w="1243" w:type="dxa"/>
            <w:tcBorders>
              <w:top w:val="nil"/>
              <w:left w:val="nil"/>
              <w:bottom w:val="nil"/>
              <w:right w:val="nil"/>
            </w:tcBorders>
            <w:shd w:val="clear" w:color="auto" w:fill="auto"/>
            <w:noWrap/>
            <w:vAlign w:val="bottom"/>
            <w:hideMark/>
          </w:tcPr>
          <w:p w14:paraId="520E8B56" w14:textId="77777777" w:rsidR="002647FB" w:rsidRPr="005269E6" w:rsidRDefault="002647FB" w:rsidP="00595A36">
            <w:pPr>
              <w:tabs>
                <w:tab w:val="clear" w:pos="794"/>
              </w:tabs>
              <w:spacing w:before="40" w:after="40" w:line="240" w:lineRule="exact"/>
              <w:jc w:val="left"/>
              <w:rPr>
                <w:rFonts w:eastAsia="Times New Roman"/>
                <w:sz w:val="18"/>
                <w:szCs w:val="18"/>
                <w:lang w:val="en-GB" w:eastAsia="en-GB"/>
              </w:rPr>
            </w:pPr>
          </w:p>
        </w:tc>
        <w:tc>
          <w:tcPr>
            <w:tcW w:w="260" w:type="dxa"/>
            <w:tcBorders>
              <w:top w:val="nil"/>
              <w:left w:val="nil"/>
              <w:bottom w:val="nil"/>
              <w:right w:val="nil"/>
            </w:tcBorders>
            <w:shd w:val="clear" w:color="auto" w:fill="auto"/>
            <w:noWrap/>
            <w:vAlign w:val="bottom"/>
            <w:hideMark/>
          </w:tcPr>
          <w:p w14:paraId="13043B7C" w14:textId="77777777" w:rsidR="002647FB" w:rsidRPr="005269E6" w:rsidRDefault="002647FB" w:rsidP="00595A36">
            <w:pPr>
              <w:tabs>
                <w:tab w:val="clear" w:pos="794"/>
              </w:tabs>
              <w:spacing w:before="40" w:after="40" w:line="240" w:lineRule="exact"/>
              <w:jc w:val="left"/>
              <w:rPr>
                <w:rFonts w:eastAsia="Times New Roman"/>
                <w:sz w:val="18"/>
                <w:szCs w:val="18"/>
                <w:lang w:val="en-GB" w:eastAsia="en-GB"/>
              </w:rPr>
            </w:pPr>
          </w:p>
        </w:tc>
        <w:tc>
          <w:tcPr>
            <w:tcW w:w="1272" w:type="dxa"/>
            <w:tcBorders>
              <w:top w:val="nil"/>
              <w:left w:val="nil"/>
              <w:bottom w:val="nil"/>
              <w:right w:val="nil"/>
            </w:tcBorders>
            <w:shd w:val="clear" w:color="auto" w:fill="auto"/>
            <w:noWrap/>
            <w:vAlign w:val="bottom"/>
            <w:hideMark/>
          </w:tcPr>
          <w:p w14:paraId="246AC456" w14:textId="6D586087" w:rsidR="002647FB" w:rsidRPr="005269E6" w:rsidRDefault="002647FB"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73" w:type="dxa"/>
            <w:tcBorders>
              <w:top w:val="nil"/>
              <w:left w:val="nil"/>
              <w:bottom w:val="nil"/>
              <w:right w:val="nil"/>
            </w:tcBorders>
            <w:shd w:val="clear" w:color="auto" w:fill="auto"/>
            <w:noWrap/>
            <w:vAlign w:val="bottom"/>
            <w:hideMark/>
          </w:tcPr>
          <w:p w14:paraId="2EFAEB3D" w14:textId="07BEC78D" w:rsidR="002647FB" w:rsidRPr="005269E6" w:rsidRDefault="002647FB"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1 482</w:t>
            </w:r>
          </w:p>
        </w:tc>
        <w:tc>
          <w:tcPr>
            <w:tcW w:w="1019" w:type="dxa"/>
            <w:tcBorders>
              <w:top w:val="nil"/>
              <w:left w:val="nil"/>
              <w:bottom w:val="nil"/>
              <w:right w:val="nil"/>
            </w:tcBorders>
            <w:shd w:val="clear" w:color="auto" w:fill="auto"/>
            <w:noWrap/>
            <w:vAlign w:val="bottom"/>
            <w:hideMark/>
          </w:tcPr>
          <w:p w14:paraId="6B1F4E63" w14:textId="127D6D7E" w:rsidR="002647FB" w:rsidRPr="005269E6" w:rsidRDefault="002647FB"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1 482</w:t>
            </w:r>
          </w:p>
        </w:tc>
      </w:tr>
      <w:tr w:rsidR="00857349" w:rsidRPr="005269E6" w14:paraId="7C33E99D" w14:textId="77777777" w:rsidTr="002647FB">
        <w:trPr>
          <w:trHeight w:val="300"/>
        </w:trPr>
        <w:tc>
          <w:tcPr>
            <w:tcW w:w="2269" w:type="dxa"/>
            <w:tcBorders>
              <w:top w:val="nil"/>
              <w:left w:val="nil"/>
              <w:bottom w:val="nil"/>
            </w:tcBorders>
            <w:shd w:val="clear" w:color="auto" w:fill="auto"/>
            <w:noWrap/>
            <w:vAlign w:val="bottom"/>
            <w:hideMark/>
          </w:tcPr>
          <w:p w14:paraId="7C7AE944" w14:textId="0792F198" w:rsidR="00857349" w:rsidRPr="005269E6" w:rsidRDefault="00B0585D" w:rsidP="00B0585D">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النفقات الأخرى</w:t>
            </w:r>
          </w:p>
        </w:tc>
        <w:tc>
          <w:tcPr>
            <w:tcW w:w="1215" w:type="dxa"/>
            <w:tcBorders>
              <w:top w:val="nil"/>
              <w:bottom w:val="nil"/>
              <w:right w:val="nil"/>
            </w:tcBorders>
            <w:shd w:val="clear" w:color="auto" w:fill="auto"/>
            <w:noWrap/>
            <w:vAlign w:val="bottom"/>
            <w:hideMark/>
          </w:tcPr>
          <w:p w14:paraId="1253D4EF" w14:textId="77777777"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p>
        </w:tc>
        <w:tc>
          <w:tcPr>
            <w:tcW w:w="1188" w:type="dxa"/>
            <w:tcBorders>
              <w:top w:val="nil"/>
              <w:left w:val="nil"/>
              <w:bottom w:val="nil"/>
              <w:right w:val="nil"/>
            </w:tcBorders>
            <w:shd w:val="clear" w:color="auto" w:fill="auto"/>
            <w:noWrap/>
            <w:vAlign w:val="bottom"/>
            <w:hideMark/>
          </w:tcPr>
          <w:p w14:paraId="351C98C9" w14:textId="77777777" w:rsidR="00857349" w:rsidRPr="005269E6" w:rsidRDefault="00857349" w:rsidP="00595A36">
            <w:pPr>
              <w:tabs>
                <w:tab w:val="clear" w:pos="794"/>
              </w:tabs>
              <w:spacing w:before="40" w:after="40" w:line="240" w:lineRule="exact"/>
              <w:jc w:val="left"/>
              <w:rPr>
                <w:rFonts w:eastAsia="Times New Roman"/>
                <w:sz w:val="18"/>
                <w:szCs w:val="18"/>
                <w:lang w:val="en-GB" w:eastAsia="en-GB"/>
              </w:rPr>
            </w:pPr>
          </w:p>
        </w:tc>
        <w:tc>
          <w:tcPr>
            <w:tcW w:w="1243" w:type="dxa"/>
            <w:tcBorders>
              <w:top w:val="nil"/>
              <w:left w:val="nil"/>
              <w:bottom w:val="nil"/>
              <w:right w:val="nil"/>
            </w:tcBorders>
            <w:shd w:val="clear" w:color="auto" w:fill="auto"/>
            <w:noWrap/>
            <w:vAlign w:val="bottom"/>
            <w:hideMark/>
          </w:tcPr>
          <w:p w14:paraId="251E2732" w14:textId="77777777" w:rsidR="00857349" w:rsidRPr="005269E6" w:rsidRDefault="00857349" w:rsidP="00595A36">
            <w:pPr>
              <w:tabs>
                <w:tab w:val="clear" w:pos="794"/>
              </w:tabs>
              <w:spacing w:before="40" w:after="40" w:line="240" w:lineRule="exact"/>
              <w:jc w:val="left"/>
              <w:rPr>
                <w:rFonts w:eastAsia="Times New Roman"/>
                <w:sz w:val="18"/>
                <w:szCs w:val="18"/>
                <w:lang w:val="en-GB" w:eastAsia="en-GB"/>
              </w:rPr>
            </w:pPr>
          </w:p>
        </w:tc>
        <w:tc>
          <w:tcPr>
            <w:tcW w:w="260" w:type="dxa"/>
            <w:tcBorders>
              <w:top w:val="nil"/>
              <w:left w:val="nil"/>
              <w:bottom w:val="nil"/>
              <w:right w:val="nil"/>
            </w:tcBorders>
            <w:shd w:val="clear" w:color="auto" w:fill="auto"/>
            <w:noWrap/>
            <w:vAlign w:val="bottom"/>
            <w:hideMark/>
          </w:tcPr>
          <w:p w14:paraId="10D26A48" w14:textId="77777777" w:rsidR="00857349" w:rsidRPr="005269E6" w:rsidRDefault="00857349" w:rsidP="00595A36">
            <w:pPr>
              <w:tabs>
                <w:tab w:val="clear" w:pos="794"/>
              </w:tabs>
              <w:spacing w:before="40" w:after="40" w:line="240" w:lineRule="exact"/>
              <w:jc w:val="left"/>
              <w:rPr>
                <w:rFonts w:eastAsia="Times New Roman"/>
                <w:sz w:val="18"/>
                <w:szCs w:val="18"/>
                <w:lang w:val="en-GB" w:eastAsia="en-GB"/>
              </w:rPr>
            </w:pPr>
          </w:p>
        </w:tc>
        <w:tc>
          <w:tcPr>
            <w:tcW w:w="1272" w:type="dxa"/>
            <w:tcBorders>
              <w:top w:val="nil"/>
              <w:left w:val="nil"/>
              <w:bottom w:val="nil"/>
              <w:right w:val="nil"/>
            </w:tcBorders>
            <w:shd w:val="clear" w:color="auto" w:fill="auto"/>
            <w:noWrap/>
            <w:vAlign w:val="bottom"/>
            <w:hideMark/>
          </w:tcPr>
          <w:p w14:paraId="7343F9B6" w14:textId="1D9EDE3F"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1 539</w:t>
            </w:r>
          </w:p>
        </w:tc>
        <w:tc>
          <w:tcPr>
            <w:tcW w:w="1173" w:type="dxa"/>
            <w:tcBorders>
              <w:top w:val="nil"/>
              <w:left w:val="nil"/>
              <w:bottom w:val="nil"/>
              <w:right w:val="nil"/>
            </w:tcBorders>
            <w:shd w:val="clear" w:color="auto" w:fill="auto"/>
            <w:noWrap/>
            <w:vAlign w:val="bottom"/>
            <w:hideMark/>
          </w:tcPr>
          <w:p w14:paraId="11CFA5BE" w14:textId="223F9EFA" w:rsidR="00857349" w:rsidRPr="005269E6" w:rsidRDefault="000C434E"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(1 539)</w:t>
            </w:r>
          </w:p>
        </w:tc>
        <w:tc>
          <w:tcPr>
            <w:tcW w:w="1019" w:type="dxa"/>
            <w:tcBorders>
              <w:top w:val="nil"/>
              <w:left w:val="nil"/>
              <w:bottom w:val="nil"/>
              <w:right w:val="nil"/>
            </w:tcBorders>
            <w:shd w:val="clear" w:color="auto" w:fill="auto"/>
            <w:noWrap/>
            <w:vAlign w:val="bottom"/>
            <w:hideMark/>
          </w:tcPr>
          <w:p w14:paraId="66162FC8" w14:textId="4997905B" w:rsidR="00857349" w:rsidRPr="005269E6" w:rsidRDefault="00857349" w:rsidP="00595A3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bl>
    <w:p w14:paraId="72C3483A" w14:textId="645F5C6A" w:rsidR="00366CA7" w:rsidRPr="005269E6" w:rsidRDefault="00366CA7" w:rsidP="002647FB">
      <w:pPr>
        <w:pStyle w:val="Headingb"/>
        <w:rPr>
          <w:b w:val="0"/>
          <w:bCs w:val="0"/>
          <w:rtl/>
        </w:rPr>
      </w:pPr>
      <w:r w:rsidRPr="005269E6">
        <w:t>5</w:t>
      </w:r>
      <w:r w:rsidRPr="005269E6">
        <w:rPr>
          <w:rtl/>
        </w:rPr>
        <w:tab/>
      </w:r>
      <w:r w:rsidR="00785D49" w:rsidRPr="005269E6">
        <w:rPr>
          <w:rtl/>
        </w:rPr>
        <w:t>إعادة تقييم خطة التأمين الصحي الجماعي (</w:t>
      </w:r>
      <w:r w:rsidR="00785D49" w:rsidRPr="005269E6">
        <w:t>CMIP</w:t>
      </w:r>
      <w:r w:rsidR="00785D49" w:rsidRPr="005269E6">
        <w:rPr>
          <w:rtl/>
        </w:rPr>
        <w:t>)</w:t>
      </w:r>
    </w:p>
    <w:p w14:paraId="3B1EBA09" w14:textId="40FE2046" w:rsidR="00785D49" w:rsidRPr="005269E6" w:rsidRDefault="00785D49" w:rsidP="00785D49">
      <w:pPr>
        <w:spacing w:after="120"/>
        <w:rPr>
          <w:rtl/>
        </w:rPr>
      </w:pPr>
      <w:r w:rsidRPr="005269E6">
        <w:rPr>
          <w:rtl/>
        </w:rPr>
        <w:t xml:space="preserve">خلال عامي 2020 و2021، أعاد الاتحاد تقييم حساب الاحتياطي هذا على نحو غير صحيح </w:t>
      </w:r>
      <w:r w:rsidR="00F83871" w:rsidRPr="005269E6">
        <w:rPr>
          <w:rFonts w:hint="cs"/>
          <w:rtl/>
        </w:rPr>
        <w:t>إذ</w:t>
      </w:r>
      <w:r w:rsidRPr="005269E6">
        <w:rPr>
          <w:rtl/>
        </w:rPr>
        <w:t xml:space="preserve"> لم تكن هناك أصول أو معاملات أساسية مقابل هذا الحساب. ونتيجة لذلك، أعيد تقييم عامي 2020 و2021 والنفقات ذات الصلة.</w:t>
      </w:r>
    </w:p>
    <w:tbl>
      <w:tblPr>
        <w:bidiVisual/>
        <w:tblW w:w="4843" w:type="pct"/>
        <w:jc w:val="center"/>
        <w:tblLook w:val="04A0" w:firstRow="1" w:lastRow="0" w:firstColumn="1" w:lastColumn="0" w:noHBand="0" w:noVBand="1"/>
      </w:tblPr>
      <w:tblGrid>
        <w:gridCol w:w="1377"/>
        <w:gridCol w:w="1061"/>
        <w:gridCol w:w="1095"/>
        <w:gridCol w:w="1075"/>
        <w:gridCol w:w="260"/>
        <w:gridCol w:w="1377"/>
        <w:gridCol w:w="1048"/>
        <w:gridCol w:w="1095"/>
        <w:gridCol w:w="949"/>
      </w:tblGrid>
      <w:tr w:rsidR="00A94EE5" w:rsidRPr="005269E6" w14:paraId="536DA724" w14:textId="77777777" w:rsidTr="009635F3">
        <w:trPr>
          <w:trHeight w:val="255"/>
          <w:jc w:val="center"/>
        </w:trPr>
        <w:tc>
          <w:tcPr>
            <w:tcW w:w="1377" w:type="dxa"/>
            <w:tcBorders>
              <w:top w:val="nil"/>
              <w:left w:val="nil"/>
              <w:bottom w:val="nil"/>
              <w:right w:val="nil"/>
            </w:tcBorders>
            <w:shd w:val="clear" w:color="000000" w:fill="0070C0"/>
            <w:noWrap/>
            <w:vAlign w:val="bottom"/>
            <w:hideMark/>
          </w:tcPr>
          <w:p w14:paraId="7375C54B" w14:textId="77777777" w:rsidR="00A94EE5" w:rsidRPr="005269E6" w:rsidRDefault="00A94EE5" w:rsidP="002647F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3231" w:type="dxa"/>
            <w:gridSpan w:val="3"/>
            <w:tcBorders>
              <w:top w:val="nil"/>
              <w:left w:val="nil"/>
              <w:bottom w:val="nil"/>
              <w:right w:val="nil"/>
            </w:tcBorders>
            <w:shd w:val="clear" w:color="000000" w:fill="0070C0"/>
            <w:noWrap/>
            <w:vAlign w:val="bottom"/>
            <w:hideMark/>
          </w:tcPr>
          <w:p w14:paraId="081EB115" w14:textId="77777777" w:rsidR="00A94EE5" w:rsidRPr="005269E6" w:rsidRDefault="00A94EE5" w:rsidP="002647F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c>
          <w:tcPr>
            <w:tcW w:w="260" w:type="dxa"/>
            <w:tcBorders>
              <w:top w:val="nil"/>
              <w:left w:val="nil"/>
              <w:bottom w:val="nil"/>
              <w:right w:val="nil"/>
            </w:tcBorders>
            <w:shd w:val="clear" w:color="000000" w:fill="0070C0"/>
            <w:hideMark/>
          </w:tcPr>
          <w:p w14:paraId="1C7C1639" w14:textId="77777777" w:rsidR="00A94EE5" w:rsidRPr="005269E6" w:rsidRDefault="00A94EE5" w:rsidP="002647F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1377" w:type="dxa"/>
            <w:tcBorders>
              <w:top w:val="nil"/>
              <w:left w:val="nil"/>
              <w:bottom w:val="nil"/>
              <w:right w:val="nil"/>
            </w:tcBorders>
            <w:shd w:val="clear" w:color="000000" w:fill="0070C0"/>
            <w:noWrap/>
            <w:vAlign w:val="bottom"/>
            <w:hideMark/>
          </w:tcPr>
          <w:p w14:paraId="5F6D46E5" w14:textId="77777777" w:rsidR="00A94EE5" w:rsidRPr="005269E6" w:rsidRDefault="00A94EE5" w:rsidP="002647F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3092" w:type="dxa"/>
            <w:gridSpan w:val="3"/>
            <w:tcBorders>
              <w:top w:val="nil"/>
              <w:left w:val="nil"/>
              <w:bottom w:val="nil"/>
              <w:right w:val="nil"/>
            </w:tcBorders>
            <w:shd w:val="clear" w:color="000000" w:fill="0070C0"/>
            <w:noWrap/>
            <w:vAlign w:val="bottom"/>
            <w:hideMark/>
          </w:tcPr>
          <w:p w14:paraId="7E45B640" w14:textId="77777777" w:rsidR="00A94EE5" w:rsidRPr="005269E6" w:rsidRDefault="00A94EE5" w:rsidP="002647F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F83871" w:rsidRPr="005269E6" w14:paraId="28090BB9" w14:textId="77777777" w:rsidTr="009635F3">
        <w:trPr>
          <w:trHeight w:val="600"/>
          <w:jc w:val="center"/>
        </w:trPr>
        <w:tc>
          <w:tcPr>
            <w:tcW w:w="1377" w:type="dxa"/>
            <w:tcBorders>
              <w:top w:val="nil"/>
              <w:left w:val="nil"/>
              <w:bottom w:val="nil"/>
              <w:right w:val="nil"/>
            </w:tcBorders>
            <w:shd w:val="clear" w:color="000000" w:fill="0070C0"/>
            <w:noWrap/>
            <w:vAlign w:val="bottom"/>
            <w:hideMark/>
          </w:tcPr>
          <w:p w14:paraId="30B1ED84" w14:textId="535B4399" w:rsidR="00F83871" w:rsidRPr="005269E6" w:rsidRDefault="00F83871" w:rsidP="002647F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1061" w:type="dxa"/>
            <w:tcBorders>
              <w:top w:val="nil"/>
              <w:left w:val="nil"/>
              <w:bottom w:val="nil"/>
              <w:right w:val="nil"/>
            </w:tcBorders>
            <w:shd w:val="clear" w:color="000000" w:fill="0070C0"/>
            <w:vAlign w:val="bottom"/>
            <w:hideMark/>
          </w:tcPr>
          <w:p w14:paraId="34F1A7D6" w14:textId="15E1D120" w:rsidR="00F83871" w:rsidRPr="005269E6" w:rsidRDefault="00F83871" w:rsidP="002647F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1095" w:type="dxa"/>
            <w:tcBorders>
              <w:top w:val="nil"/>
              <w:left w:val="nil"/>
              <w:bottom w:val="nil"/>
              <w:right w:val="nil"/>
            </w:tcBorders>
            <w:shd w:val="clear" w:color="000000" w:fill="0070C0"/>
            <w:vAlign w:val="bottom"/>
            <w:hideMark/>
          </w:tcPr>
          <w:p w14:paraId="35C09023" w14:textId="609D538F" w:rsidR="00F83871" w:rsidRPr="005269E6" w:rsidRDefault="00F83871" w:rsidP="002647F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075" w:type="dxa"/>
            <w:tcBorders>
              <w:top w:val="nil"/>
              <w:left w:val="nil"/>
              <w:bottom w:val="nil"/>
              <w:right w:val="nil"/>
            </w:tcBorders>
            <w:shd w:val="clear" w:color="000000" w:fill="0070C0"/>
            <w:vAlign w:val="bottom"/>
            <w:hideMark/>
          </w:tcPr>
          <w:p w14:paraId="37666EEC" w14:textId="4EEE9489" w:rsidR="00F83871" w:rsidRPr="005269E6" w:rsidRDefault="00F83871" w:rsidP="002647F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2020 </w:t>
            </w:r>
            <w:r w:rsidRPr="005269E6">
              <w:rPr>
                <w:rFonts w:eastAsia="Times New Roman"/>
                <w:b/>
                <w:bCs/>
                <w:color w:val="000000"/>
                <w:sz w:val="18"/>
                <w:szCs w:val="18"/>
                <w:rtl/>
                <w:lang w:val="en-GB" w:eastAsia="en-GB"/>
              </w:rPr>
              <w:t>معاد بيانها</w:t>
            </w:r>
          </w:p>
        </w:tc>
        <w:tc>
          <w:tcPr>
            <w:tcW w:w="260" w:type="dxa"/>
            <w:tcBorders>
              <w:top w:val="nil"/>
              <w:left w:val="nil"/>
              <w:bottom w:val="nil"/>
              <w:right w:val="nil"/>
            </w:tcBorders>
            <w:shd w:val="clear" w:color="000000" w:fill="0070C0"/>
            <w:noWrap/>
            <w:vAlign w:val="bottom"/>
            <w:hideMark/>
          </w:tcPr>
          <w:p w14:paraId="6FBA3643" w14:textId="2BB331F2" w:rsidR="00F83871" w:rsidRPr="005269E6" w:rsidRDefault="00F83871" w:rsidP="002647FB">
            <w:pPr>
              <w:tabs>
                <w:tab w:val="clear" w:pos="794"/>
              </w:tabs>
              <w:spacing w:before="40" w:after="40" w:line="240" w:lineRule="exact"/>
              <w:jc w:val="center"/>
              <w:rPr>
                <w:rFonts w:eastAsia="Times New Roman"/>
                <w:color w:val="000000"/>
                <w:sz w:val="18"/>
                <w:szCs w:val="18"/>
                <w:lang w:val="en-GB" w:eastAsia="en-GB"/>
              </w:rPr>
            </w:pPr>
          </w:p>
        </w:tc>
        <w:tc>
          <w:tcPr>
            <w:tcW w:w="1377" w:type="dxa"/>
            <w:tcBorders>
              <w:top w:val="nil"/>
              <w:left w:val="nil"/>
              <w:bottom w:val="nil"/>
              <w:right w:val="nil"/>
            </w:tcBorders>
            <w:shd w:val="clear" w:color="000000" w:fill="0070C0"/>
            <w:noWrap/>
            <w:vAlign w:val="bottom"/>
            <w:hideMark/>
          </w:tcPr>
          <w:p w14:paraId="55C0A312" w14:textId="3DDC7634" w:rsidR="00F83871" w:rsidRPr="005269E6" w:rsidRDefault="00F83871" w:rsidP="002647F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1048" w:type="dxa"/>
            <w:tcBorders>
              <w:top w:val="nil"/>
              <w:left w:val="nil"/>
              <w:bottom w:val="nil"/>
              <w:right w:val="nil"/>
            </w:tcBorders>
            <w:shd w:val="clear" w:color="000000" w:fill="0070C0"/>
            <w:vAlign w:val="bottom"/>
            <w:hideMark/>
          </w:tcPr>
          <w:p w14:paraId="5A3CD7C2" w14:textId="5E9BF90F" w:rsidR="00F83871" w:rsidRPr="005269E6" w:rsidRDefault="00F83871" w:rsidP="002647F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2021</w:t>
            </w:r>
          </w:p>
        </w:tc>
        <w:tc>
          <w:tcPr>
            <w:tcW w:w="1095" w:type="dxa"/>
            <w:tcBorders>
              <w:top w:val="nil"/>
              <w:left w:val="nil"/>
              <w:bottom w:val="nil"/>
              <w:right w:val="nil"/>
            </w:tcBorders>
            <w:shd w:val="clear" w:color="000000" w:fill="0070C0"/>
            <w:vAlign w:val="bottom"/>
            <w:hideMark/>
          </w:tcPr>
          <w:p w14:paraId="6B2E0EBB" w14:textId="6838B49B" w:rsidR="00F83871" w:rsidRPr="005269E6" w:rsidRDefault="00F83871" w:rsidP="002647F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949" w:type="dxa"/>
            <w:tcBorders>
              <w:top w:val="nil"/>
              <w:left w:val="nil"/>
              <w:bottom w:val="nil"/>
              <w:right w:val="nil"/>
            </w:tcBorders>
            <w:shd w:val="clear" w:color="000000" w:fill="0070C0"/>
            <w:vAlign w:val="bottom"/>
            <w:hideMark/>
          </w:tcPr>
          <w:p w14:paraId="60F8134B" w14:textId="7B7728B0" w:rsidR="00F83871" w:rsidRPr="005269E6" w:rsidRDefault="00AE6518" w:rsidP="002647FB">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 xml:space="preserve">2020 </w:t>
            </w:r>
            <w:r w:rsidRPr="005269E6">
              <w:rPr>
                <w:rFonts w:eastAsia="Times New Roman"/>
                <w:b/>
                <w:bCs/>
                <w:color w:val="000000"/>
                <w:sz w:val="18"/>
                <w:szCs w:val="18"/>
                <w:rtl/>
                <w:lang w:val="en-GB" w:eastAsia="en-GB"/>
              </w:rPr>
              <w:t>معاد بيانها</w:t>
            </w:r>
          </w:p>
        </w:tc>
      </w:tr>
      <w:tr w:rsidR="00F83871" w:rsidRPr="005269E6" w14:paraId="17740BF7" w14:textId="77777777" w:rsidTr="009635F3">
        <w:trPr>
          <w:trHeight w:val="255"/>
          <w:jc w:val="center"/>
        </w:trPr>
        <w:tc>
          <w:tcPr>
            <w:tcW w:w="1377" w:type="dxa"/>
            <w:tcBorders>
              <w:top w:val="nil"/>
              <w:left w:val="nil"/>
              <w:bottom w:val="nil"/>
              <w:right w:val="nil"/>
            </w:tcBorders>
            <w:shd w:val="clear" w:color="auto" w:fill="auto"/>
            <w:noWrap/>
            <w:vAlign w:val="bottom"/>
            <w:hideMark/>
          </w:tcPr>
          <w:p w14:paraId="7E138C20" w14:textId="14C3E04D" w:rsidR="00F83871" w:rsidRPr="005269E6" w:rsidRDefault="00F83871" w:rsidP="002647F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نفقات التمويل</w:t>
            </w:r>
          </w:p>
        </w:tc>
        <w:tc>
          <w:tcPr>
            <w:tcW w:w="1061" w:type="dxa"/>
            <w:tcBorders>
              <w:top w:val="nil"/>
              <w:left w:val="nil"/>
              <w:bottom w:val="nil"/>
              <w:right w:val="nil"/>
            </w:tcBorders>
            <w:shd w:val="clear" w:color="auto" w:fill="auto"/>
            <w:noWrap/>
            <w:vAlign w:val="bottom"/>
            <w:hideMark/>
          </w:tcPr>
          <w:p w14:paraId="4EF3923F" w14:textId="17C89651" w:rsidR="00F83871" w:rsidRPr="005269E6" w:rsidRDefault="004C5743" w:rsidP="00353FAC">
            <w:pPr>
              <w:tabs>
                <w:tab w:val="clear" w:pos="794"/>
              </w:tabs>
              <w:spacing w:before="40" w:after="40" w:line="240" w:lineRule="exact"/>
              <w:rPr>
                <w:rFonts w:eastAsia="Times New Roman"/>
                <w:color w:val="000000"/>
                <w:sz w:val="18"/>
                <w:szCs w:val="18"/>
                <w:lang w:val="en-GB" w:eastAsia="en-GB"/>
              </w:rPr>
            </w:pPr>
            <w:r w:rsidRPr="005269E6">
              <w:rPr>
                <w:rFonts w:eastAsia="Times New Roman" w:hint="cs"/>
                <w:color w:val="000000"/>
                <w:sz w:val="18"/>
                <w:szCs w:val="18"/>
                <w:rtl/>
                <w:lang w:val="en-GB" w:eastAsia="en-GB"/>
              </w:rPr>
              <w:t>486</w:t>
            </w:r>
          </w:p>
        </w:tc>
        <w:tc>
          <w:tcPr>
            <w:tcW w:w="1095" w:type="dxa"/>
            <w:tcBorders>
              <w:top w:val="nil"/>
              <w:left w:val="nil"/>
              <w:bottom w:val="nil"/>
              <w:right w:val="nil"/>
            </w:tcBorders>
            <w:shd w:val="clear" w:color="auto" w:fill="auto"/>
            <w:noWrap/>
            <w:vAlign w:val="bottom"/>
            <w:hideMark/>
          </w:tcPr>
          <w:p w14:paraId="713E6701" w14:textId="594D355B" w:rsidR="00F83871" w:rsidRPr="005269E6" w:rsidRDefault="004C5743" w:rsidP="00353FAC">
            <w:pPr>
              <w:tabs>
                <w:tab w:val="clear" w:pos="794"/>
              </w:tabs>
              <w:spacing w:before="40" w:after="40" w:line="240" w:lineRule="exact"/>
              <w:rPr>
                <w:rFonts w:eastAsia="Times New Roman"/>
                <w:color w:val="000000"/>
                <w:sz w:val="18"/>
                <w:szCs w:val="18"/>
                <w:lang w:val="en-GB" w:eastAsia="en-GB"/>
              </w:rPr>
            </w:pPr>
            <w:r w:rsidRPr="005269E6">
              <w:rPr>
                <w:rFonts w:eastAsia="Times New Roman"/>
                <w:color w:val="000000"/>
                <w:sz w:val="18"/>
                <w:szCs w:val="18"/>
                <w:lang w:val="en-GB" w:eastAsia="en-GB"/>
              </w:rPr>
              <w:t>(486)</w:t>
            </w:r>
          </w:p>
        </w:tc>
        <w:tc>
          <w:tcPr>
            <w:tcW w:w="1075" w:type="dxa"/>
            <w:tcBorders>
              <w:top w:val="nil"/>
              <w:left w:val="nil"/>
              <w:bottom w:val="nil"/>
              <w:right w:val="nil"/>
            </w:tcBorders>
            <w:shd w:val="clear" w:color="auto" w:fill="auto"/>
            <w:noWrap/>
            <w:vAlign w:val="bottom"/>
            <w:hideMark/>
          </w:tcPr>
          <w:p w14:paraId="020295B1" w14:textId="43CD220B" w:rsidR="00F83871" w:rsidRPr="005269E6" w:rsidRDefault="00F83871" w:rsidP="00353FAC">
            <w:pPr>
              <w:tabs>
                <w:tab w:val="clear" w:pos="794"/>
              </w:tabs>
              <w:spacing w:before="40" w:after="40" w:line="240" w:lineRule="exac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260" w:type="dxa"/>
            <w:tcBorders>
              <w:top w:val="nil"/>
              <w:left w:val="nil"/>
              <w:bottom w:val="nil"/>
              <w:right w:val="nil"/>
            </w:tcBorders>
            <w:shd w:val="clear" w:color="auto" w:fill="auto"/>
            <w:noWrap/>
            <w:vAlign w:val="bottom"/>
            <w:hideMark/>
          </w:tcPr>
          <w:p w14:paraId="38355263" w14:textId="77777777" w:rsidR="00F83871" w:rsidRPr="005269E6" w:rsidRDefault="00F83871" w:rsidP="00353FAC">
            <w:pPr>
              <w:tabs>
                <w:tab w:val="clear" w:pos="794"/>
              </w:tabs>
              <w:spacing w:before="40" w:after="40" w:line="240" w:lineRule="exact"/>
              <w:rPr>
                <w:rFonts w:eastAsia="Times New Roman"/>
                <w:color w:val="000000"/>
                <w:sz w:val="18"/>
                <w:szCs w:val="18"/>
                <w:lang w:val="en-GB" w:eastAsia="en-GB"/>
              </w:rPr>
            </w:pPr>
          </w:p>
        </w:tc>
        <w:tc>
          <w:tcPr>
            <w:tcW w:w="1377" w:type="dxa"/>
            <w:tcBorders>
              <w:top w:val="nil"/>
              <w:left w:val="nil"/>
              <w:bottom w:val="nil"/>
              <w:right w:val="nil"/>
            </w:tcBorders>
            <w:shd w:val="clear" w:color="auto" w:fill="auto"/>
            <w:noWrap/>
            <w:vAlign w:val="bottom"/>
            <w:hideMark/>
          </w:tcPr>
          <w:p w14:paraId="70A66473" w14:textId="4A543287" w:rsidR="00F83871" w:rsidRPr="005269E6" w:rsidRDefault="00F83871" w:rsidP="00353FAC">
            <w:pPr>
              <w:tabs>
                <w:tab w:val="clear" w:pos="794"/>
              </w:tabs>
              <w:spacing w:before="40" w:after="40" w:line="240" w:lineRule="exact"/>
              <w:rPr>
                <w:rFonts w:eastAsia="Times New Roman"/>
                <w:color w:val="000000"/>
                <w:sz w:val="18"/>
                <w:szCs w:val="18"/>
                <w:lang w:val="en-GB" w:eastAsia="en-GB"/>
              </w:rPr>
            </w:pPr>
            <w:r w:rsidRPr="005269E6">
              <w:rPr>
                <w:rFonts w:eastAsia="Times New Roman"/>
                <w:color w:val="000000"/>
                <w:sz w:val="18"/>
                <w:szCs w:val="18"/>
                <w:rtl/>
                <w:lang w:val="en-GB" w:eastAsia="en-GB"/>
              </w:rPr>
              <w:t>نفقات التمويل</w:t>
            </w:r>
          </w:p>
        </w:tc>
        <w:tc>
          <w:tcPr>
            <w:tcW w:w="1048" w:type="dxa"/>
            <w:tcBorders>
              <w:top w:val="nil"/>
              <w:left w:val="nil"/>
              <w:bottom w:val="nil"/>
              <w:right w:val="nil"/>
            </w:tcBorders>
            <w:shd w:val="clear" w:color="auto" w:fill="auto"/>
            <w:noWrap/>
            <w:vAlign w:val="bottom"/>
            <w:hideMark/>
          </w:tcPr>
          <w:p w14:paraId="3A68815F" w14:textId="3CEB45DB" w:rsidR="00F83871" w:rsidRPr="005269E6" w:rsidRDefault="004C5743" w:rsidP="00353FAC">
            <w:pPr>
              <w:tabs>
                <w:tab w:val="clear" w:pos="794"/>
              </w:tabs>
              <w:spacing w:before="40" w:after="40" w:line="240" w:lineRule="exact"/>
              <w:rPr>
                <w:rFonts w:eastAsia="Times New Roman"/>
                <w:color w:val="000000"/>
                <w:sz w:val="18"/>
                <w:szCs w:val="18"/>
                <w:lang w:val="en-GB" w:eastAsia="en-GB"/>
              </w:rPr>
            </w:pPr>
            <w:r w:rsidRPr="005269E6">
              <w:rPr>
                <w:rFonts w:eastAsia="Times New Roman"/>
                <w:color w:val="000000"/>
                <w:sz w:val="18"/>
                <w:szCs w:val="18"/>
                <w:lang w:val="en-GB" w:eastAsia="en-GB"/>
              </w:rPr>
              <w:t>190</w:t>
            </w:r>
          </w:p>
        </w:tc>
        <w:tc>
          <w:tcPr>
            <w:tcW w:w="1095" w:type="dxa"/>
            <w:tcBorders>
              <w:top w:val="nil"/>
              <w:left w:val="nil"/>
              <w:bottom w:val="nil"/>
              <w:right w:val="nil"/>
            </w:tcBorders>
            <w:shd w:val="clear" w:color="auto" w:fill="auto"/>
            <w:noWrap/>
            <w:vAlign w:val="bottom"/>
            <w:hideMark/>
          </w:tcPr>
          <w:p w14:paraId="5637DB13" w14:textId="48744ED3" w:rsidR="00F83871" w:rsidRPr="005269E6" w:rsidRDefault="004C5743" w:rsidP="00353FAC">
            <w:pPr>
              <w:tabs>
                <w:tab w:val="clear" w:pos="794"/>
              </w:tabs>
              <w:spacing w:before="40" w:after="40" w:line="240" w:lineRule="exact"/>
              <w:rPr>
                <w:rFonts w:eastAsia="Times New Roman"/>
                <w:color w:val="000000"/>
                <w:sz w:val="18"/>
                <w:szCs w:val="18"/>
                <w:lang w:val="en-GB" w:eastAsia="en-GB"/>
              </w:rPr>
            </w:pPr>
            <w:r w:rsidRPr="005269E6">
              <w:rPr>
                <w:rFonts w:eastAsia="Times New Roman"/>
                <w:color w:val="000000"/>
                <w:sz w:val="18"/>
                <w:szCs w:val="18"/>
                <w:lang w:val="en-GB" w:eastAsia="en-GB"/>
              </w:rPr>
              <w:t>(190)</w:t>
            </w:r>
          </w:p>
        </w:tc>
        <w:tc>
          <w:tcPr>
            <w:tcW w:w="949" w:type="dxa"/>
            <w:tcBorders>
              <w:top w:val="nil"/>
              <w:left w:val="nil"/>
              <w:bottom w:val="nil"/>
              <w:right w:val="nil"/>
            </w:tcBorders>
            <w:shd w:val="clear" w:color="auto" w:fill="auto"/>
            <w:noWrap/>
            <w:vAlign w:val="bottom"/>
            <w:hideMark/>
          </w:tcPr>
          <w:p w14:paraId="37DC3F45" w14:textId="313DC6B3" w:rsidR="00F83871" w:rsidRPr="005269E6" w:rsidRDefault="004C5743" w:rsidP="00353FAC">
            <w:pPr>
              <w:tabs>
                <w:tab w:val="clear" w:pos="794"/>
              </w:tabs>
              <w:spacing w:before="40" w:after="40" w:line="240" w:lineRule="exac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F83871" w:rsidRPr="005269E6" w14:paraId="18A1D258" w14:textId="77777777" w:rsidTr="009635F3">
        <w:trPr>
          <w:trHeight w:val="255"/>
          <w:jc w:val="center"/>
        </w:trPr>
        <w:tc>
          <w:tcPr>
            <w:tcW w:w="1377" w:type="dxa"/>
            <w:tcBorders>
              <w:top w:val="nil"/>
              <w:left w:val="nil"/>
              <w:bottom w:val="nil"/>
              <w:right w:val="nil"/>
            </w:tcBorders>
            <w:shd w:val="clear" w:color="auto" w:fill="auto"/>
            <w:noWrap/>
            <w:vAlign w:val="bottom"/>
            <w:hideMark/>
          </w:tcPr>
          <w:p w14:paraId="59FBCAA9" w14:textId="2DEEC1AB" w:rsidR="00F83871" w:rsidRPr="005269E6" w:rsidRDefault="00F83871" w:rsidP="002647FB">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احتياطيات أخرى</w:t>
            </w:r>
          </w:p>
        </w:tc>
        <w:tc>
          <w:tcPr>
            <w:tcW w:w="1061" w:type="dxa"/>
            <w:tcBorders>
              <w:top w:val="nil"/>
              <w:left w:val="nil"/>
              <w:bottom w:val="nil"/>
              <w:right w:val="nil"/>
            </w:tcBorders>
            <w:shd w:val="clear" w:color="auto" w:fill="auto"/>
            <w:noWrap/>
            <w:vAlign w:val="bottom"/>
            <w:hideMark/>
          </w:tcPr>
          <w:p w14:paraId="2B9A9D9F" w14:textId="57950D70" w:rsidR="00F83871" w:rsidRPr="005269E6" w:rsidRDefault="00F83871" w:rsidP="00353FAC">
            <w:pPr>
              <w:tabs>
                <w:tab w:val="clear" w:pos="794"/>
              </w:tabs>
              <w:spacing w:before="40" w:after="40" w:line="240" w:lineRule="exact"/>
              <w:rPr>
                <w:rFonts w:eastAsia="Times New Roman"/>
                <w:color w:val="000000"/>
                <w:sz w:val="18"/>
                <w:szCs w:val="18"/>
                <w:lang w:val="en-GB" w:eastAsia="en-GB"/>
              </w:rPr>
            </w:pPr>
          </w:p>
        </w:tc>
        <w:tc>
          <w:tcPr>
            <w:tcW w:w="1095" w:type="dxa"/>
            <w:tcBorders>
              <w:top w:val="nil"/>
              <w:left w:val="nil"/>
              <w:bottom w:val="nil"/>
              <w:right w:val="nil"/>
            </w:tcBorders>
            <w:shd w:val="clear" w:color="auto" w:fill="auto"/>
            <w:noWrap/>
            <w:vAlign w:val="bottom"/>
            <w:hideMark/>
          </w:tcPr>
          <w:p w14:paraId="659DA9A3" w14:textId="206B8008" w:rsidR="00F83871" w:rsidRPr="005269E6" w:rsidRDefault="00F83871" w:rsidP="00353FAC">
            <w:pPr>
              <w:tabs>
                <w:tab w:val="clear" w:pos="794"/>
              </w:tabs>
              <w:spacing w:before="40" w:after="40" w:line="240" w:lineRule="exact"/>
              <w:rPr>
                <w:rFonts w:eastAsia="Times New Roman"/>
                <w:color w:val="000000"/>
                <w:sz w:val="18"/>
                <w:szCs w:val="18"/>
                <w:lang w:val="en-GB" w:eastAsia="en-GB"/>
              </w:rPr>
            </w:pPr>
            <w:r w:rsidRPr="005269E6">
              <w:rPr>
                <w:rFonts w:eastAsia="Times New Roman"/>
                <w:color w:val="000000"/>
                <w:sz w:val="18"/>
                <w:szCs w:val="18"/>
                <w:lang w:val="en-GB" w:eastAsia="en-GB"/>
              </w:rPr>
              <w:t xml:space="preserve">486 </w:t>
            </w:r>
          </w:p>
        </w:tc>
        <w:tc>
          <w:tcPr>
            <w:tcW w:w="1075" w:type="dxa"/>
            <w:tcBorders>
              <w:top w:val="nil"/>
              <w:left w:val="nil"/>
              <w:bottom w:val="nil"/>
              <w:right w:val="nil"/>
            </w:tcBorders>
            <w:shd w:val="clear" w:color="auto" w:fill="auto"/>
            <w:noWrap/>
            <w:vAlign w:val="bottom"/>
            <w:hideMark/>
          </w:tcPr>
          <w:p w14:paraId="6C81B9FD" w14:textId="571B7418" w:rsidR="00F83871" w:rsidRPr="005269E6" w:rsidRDefault="00F83871" w:rsidP="00353FAC">
            <w:pPr>
              <w:tabs>
                <w:tab w:val="clear" w:pos="794"/>
              </w:tabs>
              <w:spacing w:before="40" w:after="40" w:line="240" w:lineRule="exact"/>
              <w:rPr>
                <w:rFonts w:eastAsia="Times New Roman"/>
                <w:color w:val="000000"/>
                <w:sz w:val="18"/>
                <w:szCs w:val="18"/>
                <w:lang w:val="en-GB" w:eastAsia="en-GB"/>
              </w:rPr>
            </w:pPr>
            <w:r w:rsidRPr="005269E6">
              <w:rPr>
                <w:rFonts w:eastAsia="Times New Roman"/>
                <w:color w:val="000000"/>
                <w:sz w:val="18"/>
                <w:szCs w:val="18"/>
                <w:lang w:val="en-GB" w:eastAsia="en-GB"/>
              </w:rPr>
              <w:t xml:space="preserve">486 </w:t>
            </w:r>
          </w:p>
        </w:tc>
        <w:tc>
          <w:tcPr>
            <w:tcW w:w="260" w:type="dxa"/>
            <w:tcBorders>
              <w:top w:val="nil"/>
              <w:left w:val="nil"/>
              <w:bottom w:val="nil"/>
              <w:right w:val="nil"/>
            </w:tcBorders>
            <w:shd w:val="clear" w:color="auto" w:fill="auto"/>
            <w:noWrap/>
            <w:vAlign w:val="bottom"/>
            <w:hideMark/>
          </w:tcPr>
          <w:p w14:paraId="47C90EB4" w14:textId="77777777" w:rsidR="00F83871" w:rsidRPr="005269E6" w:rsidRDefault="00F83871" w:rsidP="00353FAC">
            <w:pPr>
              <w:tabs>
                <w:tab w:val="clear" w:pos="794"/>
              </w:tabs>
              <w:spacing w:before="40" w:after="40" w:line="240" w:lineRule="exact"/>
              <w:rPr>
                <w:rFonts w:eastAsia="Times New Roman"/>
                <w:color w:val="000000"/>
                <w:sz w:val="18"/>
                <w:szCs w:val="18"/>
                <w:lang w:val="en-GB" w:eastAsia="en-GB"/>
              </w:rPr>
            </w:pPr>
          </w:p>
        </w:tc>
        <w:tc>
          <w:tcPr>
            <w:tcW w:w="1377" w:type="dxa"/>
            <w:tcBorders>
              <w:top w:val="nil"/>
              <w:left w:val="nil"/>
              <w:bottom w:val="nil"/>
              <w:right w:val="nil"/>
            </w:tcBorders>
            <w:shd w:val="clear" w:color="auto" w:fill="auto"/>
            <w:noWrap/>
            <w:vAlign w:val="bottom"/>
            <w:hideMark/>
          </w:tcPr>
          <w:p w14:paraId="0745E988" w14:textId="79C99101" w:rsidR="00F83871" w:rsidRPr="005269E6" w:rsidRDefault="00F83871" w:rsidP="00353FAC">
            <w:pPr>
              <w:tabs>
                <w:tab w:val="clear" w:pos="794"/>
              </w:tabs>
              <w:spacing w:before="40" w:after="40" w:line="240" w:lineRule="exact"/>
              <w:rPr>
                <w:rFonts w:eastAsia="Times New Roman"/>
                <w:color w:val="000000"/>
                <w:sz w:val="18"/>
                <w:szCs w:val="18"/>
                <w:lang w:val="en-GB" w:eastAsia="en-GB"/>
              </w:rPr>
            </w:pPr>
            <w:r w:rsidRPr="005269E6">
              <w:rPr>
                <w:rFonts w:eastAsia="Times New Roman"/>
                <w:color w:val="000000"/>
                <w:sz w:val="18"/>
                <w:szCs w:val="18"/>
                <w:rtl/>
                <w:lang w:val="en-GB" w:eastAsia="en-GB"/>
              </w:rPr>
              <w:t>احتياطيات أخرى</w:t>
            </w:r>
          </w:p>
        </w:tc>
        <w:tc>
          <w:tcPr>
            <w:tcW w:w="1048" w:type="dxa"/>
            <w:tcBorders>
              <w:top w:val="nil"/>
              <w:left w:val="nil"/>
              <w:bottom w:val="nil"/>
              <w:right w:val="nil"/>
            </w:tcBorders>
            <w:shd w:val="clear" w:color="auto" w:fill="auto"/>
            <w:noWrap/>
            <w:vAlign w:val="bottom"/>
            <w:hideMark/>
          </w:tcPr>
          <w:p w14:paraId="201CCD97" w14:textId="0C315490" w:rsidR="00F83871" w:rsidRPr="005269E6" w:rsidRDefault="00F83871" w:rsidP="00353FAC">
            <w:pPr>
              <w:tabs>
                <w:tab w:val="clear" w:pos="794"/>
              </w:tabs>
              <w:spacing w:before="40" w:after="40" w:line="240" w:lineRule="exact"/>
              <w:rPr>
                <w:rFonts w:eastAsia="Times New Roman"/>
                <w:color w:val="000000"/>
                <w:sz w:val="18"/>
                <w:szCs w:val="18"/>
                <w:lang w:val="en-GB" w:eastAsia="en-GB"/>
              </w:rPr>
            </w:pPr>
          </w:p>
        </w:tc>
        <w:tc>
          <w:tcPr>
            <w:tcW w:w="1095" w:type="dxa"/>
            <w:tcBorders>
              <w:top w:val="nil"/>
              <w:left w:val="nil"/>
              <w:bottom w:val="nil"/>
              <w:right w:val="nil"/>
            </w:tcBorders>
            <w:shd w:val="clear" w:color="auto" w:fill="auto"/>
            <w:noWrap/>
            <w:vAlign w:val="bottom"/>
            <w:hideMark/>
          </w:tcPr>
          <w:p w14:paraId="0C07E2C4" w14:textId="59EE6E85" w:rsidR="00F83871" w:rsidRPr="005269E6" w:rsidRDefault="00F83871" w:rsidP="00353FAC">
            <w:pPr>
              <w:tabs>
                <w:tab w:val="clear" w:pos="794"/>
              </w:tabs>
              <w:spacing w:before="40" w:after="40" w:line="240" w:lineRule="exact"/>
              <w:rPr>
                <w:rFonts w:eastAsia="Times New Roman"/>
                <w:color w:val="000000"/>
                <w:sz w:val="18"/>
                <w:szCs w:val="18"/>
                <w:lang w:val="en-GB" w:eastAsia="en-GB"/>
              </w:rPr>
            </w:pPr>
            <w:r w:rsidRPr="005269E6">
              <w:rPr>
                <w:rFonts w:eastAsia="Times New Roman"/>
                <w:color w:val="000000"/>
                <w:sz w:val="18"/>
                <w:szCs w:val="18"/>
                <w:lang w:val="en-GB" w:eastAsia="en-GB"/>
              </w:rPr>
              <w:t>190</w:t>
            </w:r>
          </w:p>
        </w:tc>
        <w:tc>
          <w:tcPr>
            <w:tcW w:w="949" w:type="dxa"/>
            <w:tcBorders>
              <w:top w:val="nil"/>
              <w:left w:val="nil"/>
              <w:bottom w:val="nil"/>
              <w:right w:val="nil"/>
            </w:tcBorders>
            <w:shd w:val="clear" w:color="auto" w:fill="auto"/>
            <w:noWrap/>
            <w:vAlign w:val="bottom"/>
            <w:hideMark/>
          </w:tcPr>
          <w:p w14:paraId="25932291" w14:textId="29FC855D" w:rsidR="00F83871" w:rsidRPr="005269E6" w:rsidRDefault="004C5743" w:rsidP="00353FAC">
            <w:pPr>
              <w:tabs>
                <w:tab w:val="clear" w:pos="794"/>
              </w:tabs>
              <w:spacing w:before="40" w:after="40" w:line="240" w:lineRule="exact"/>
              <w:rPr>
                <w:rFonts w:eastAsia="Times New Roman"/>
                <w:color w:val="000000"/>
                <w:sz w:val="18"/>
                <w:szCs w:val="18"/>
                <w:lang w:val="en-GB" w:eastAsia="en-GB"/>
              </w:rPr>
            </w:pPr>
            <w:r w:rsidRPr="005269E6">
              <w:rPr>
                <w:rFonts w:eastAsia="Times New Roman"/>
                <w:color w:val="000000"/>
                <w:sz w:val="18"/>
                <w:szCs w:val="18"/>
                <w:lang w:val="en-GB" w:eastAsia="en-GB"/>
              </w:rPr>
              <w:t>190</w:t>
            </w:r>
          </w:p>
        </w:tc>
      </w:tr>
    </w:tbl>
    <w:p w14:paraId="1F2B2C52" w14:textId="05764B02" w:rsidR="0027752E" w:rsidRPr="005269E6" w:rsidRDefault="0027752E" w:rsidP="002647FB">
      <w:pPr>
        <w:pStyle w:val="Headingb"/>
        <w:rPr>
          <w:b w:val="0"/>
          <w:bCs w:val="0"/>
          <w:rtl/>
        </w:rPr>
      </w:pPr>
      <w:r w:rsidRPr="005269E6">
        <w:t>6</w:t>
      </w:r>
      <w:r w:rsidRPr="005269E6">
        <w:rPr>
          <w:rtl/>
        </w:rPr>
        <w:tab/>
      </w:r>
      <w:r w:rsidR="00F83871" w:rsidRPr="005269E6">
        <w:rPr>
          <w:rtl/>
        </w:rPr>
        <w:t>برنامج الأمم المتحدة الإنمائي - إعادة تقييم</w:t>
      </w:r>
    </w:p>
    <w:p w14:paraId="4B947681" w14:textId="5FD50C0D" w:rsidR="00F83871" w:rsidRPr="005269E6" w:rsidRDefault="00F83871" w:rsidP="002647FB">
      <w:pPr>
        <w:spacing w:after="120"/>
        <w:rPr>
          <w:rtl/>
        </w:rPr>
      </w:pPr>
      <w:bookmarkStart w:id="720" w:name="lt_pId1295"/>
      <w:bookmarkStart w:id="721" w:name="lt_pId1296"/>
      <w:bookmarkEnd w:id="720"/>
      <w:bookmarkEnd w:id="721"/>
      <w:r w:rsidRPr="005269E6">
        <w:rPr>
          <w:rtl/>
        </w:rPr>
        <w:t xml:space="preserve">في عامي 2020 و2021، أعيد تقييم جميع بنود العملات الأجنبية في حساب التسوية بين برنامج الأمم المتحدة الإنمائي والاتحاد. </w:t>
      </w:r>
      <w:r w:rsidRPr="005269E6">
        <w:rPr>
          <w:rFonts w:hint="cs"/>
          <w:rtl/>
        </w:rPr>
        <w:t>ولكن</w:t>
      </w:r>
      <w:r w:rsidRPr="005269E6">
        <w:rPr>
          <w:rtl/>
        </w:rPr>
        <w:t xml:space="preserve"> هذه البنود</w:t>
      </w:r>
      <w:r w:rsidRPr="005269E6">
        <w:rPr>
          <w:rFonts w:hint="cs"/>
          <w:rtl/>
        </w:rPr>
        <w:t xml:space="preserve"> قد سويت</w:t>
      </w:r>
      <w:r w:rsidRPr="005269E6">
        <w:rPr>
          <w:rtl/>
        </w:rPr>
        <w:t xml:space="preserve"> وبالتالي</w:t>
      </w:r>
      <w:r w:rsidRPr="005269E6">
        <w:rPr>
          <w:rFonts w:hint="cs"/>
          <w:rtl/>
        </w:rPr>
        <w:t xml:space="preserve"> فهي</w:t>
      </w:r>
      <w:r w:rsidRPr="005269E6">
        <w:rPr>
          <w:rtl/>
        </w:rPr>
        <w:t xml:space="preserve"> لا تخضع لإعادة التقييم.</w:t>
      </w:r>
    </w:p>
    <w:tbl>
      <w:tblPr>
        <w:bidiVisual/>
        <w:tblW w:w="5000" w:type="pct"/>
        <w:tblLook w:val="04A0" w:firstRow="1" w:lastRow="0" w:firstColumn="1" w:lastColumn="0" w:noHBand="0" w:noVBand="1"/>
      </w:tblPr>
      <w:tblGrid>
        <w:gridCol w:w="2198"/>
        <w:gridCol w:w="1272"/>
        <w:gridCol w:w="1161"/>
        <w:gridCol w:w="1217"/>
        <w:gridCol w:w="308"/>
        <w:gridCol w:w="1286"/>
        <w:gridCol w:w="1146"/>
        <w:gridCol w:w="1051"/>
      </w:tblGrid>
      <w:tr w:rsidR="00E10422" w:rsidRPr="005269E6" w14:paraId="21DC6FDB" w14:textId="77777777" w:rsidTr="00C61248">
        <w:trPr>
          <w:trHeight w:val="300"/>
        </w:trPr>
        <w:tc>
          <w:tcPr>
            <w:tcW w:w="2198" w:type="dxa"/>
            <w:tcBorders>
              <w:top w:val="nil"/>
              <w:left w:val="nil"/>
              <w:bottom w:val="nil"/>
              <w:right w:val="nil"/>
            </w:tcBorders>
            <w:shd w:val="clear" w:color="000000" w:fill="0070C0"/>
            <w:noWrap/>
            <w:vAlign w:val="bottom"/>
            <w:hideMark/>
          </w:tcPr>
          <w:p w14:paraId="2A93DA95" w14:textId="77777777" w:rsidR="00E10422" w:rsidRPr="005269E6" w:rsidRDefault="00E10422" w:rsidP="00E10422">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w:t>
            </w:r>
          </w:p>
        </w:tc>
        <w:tc>
          <w:tcPr>
            <w:tcW w:w="3650" w:type="dxa"/>
            <w:gridSpan w:val="3"/>
            <w:tcBorders>
              <w:top w:val="nil"/>
              <w:left w:val="nil"/>
              <w:bottom w:val="nil"/>
              <w:right w:val="nil"/>
            </w:tcBorders>
            <w:shd w:val="clear" w:color="000000" w:fill="0070C0"/>
            <w:noWrap/>
            <w:vAlign w:val="bottom"/>
            <w:hideMark/>
          </w:tcPr>
          <w:p w14:paraId="0535618C" w14:textId="77777777" w:rsidR="00E10422" w:rsidRPr="005269E6" w:rsidRDefault="00E10422" w:rsidP="00E10422">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c>
          <w:tcPr>
            <w:tcW w:w="308" w:type="dxa"/>
            <w:tcBorders>
              <w:top w:val="nil"/>
              <w:left w:val="nil"/>
              <w:bottom w:val="nil"/>
              <w:right w:val="nil"/>
            </w:tcBorders>
            <w:shd w:val="clear" w:color="000000" w:fill="0070C0"/>
            <w:noWrap/>
            <w:vAlign w:val="bottom"/>
            <w:hideMark/>
          </w:tcPr>
          <w:p w14:paraId="6BEBDC0C" w14:textId="77777777" w:rsidR="00E10422" w:rsidRPr="005269E6" w:rsidRDefault="00E10422" w:rsidP="00E104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3483" w:type="dxa"/>
            <w:gridSpan w:val="3"/>
            <w:tcBorders>
              <w:top w:val="nil"/>
              <w:left w:val="nil"/>
              <w:bottom w:val="nil"/>
              <w:right w:val="nil"/>
            </w:tcBorders>
            <w:shd w:val="clear" w:color="000000" w:fill="0070C0"/>
            <w:noWrap/>
            <w:vAlign w:val="bottom"/>
            <w:hideMark/>
          </w:tcPr>
          <w:p w14:paraId="5265AE4C" w14:textId="77777777" w:rsidR="00E10422" w:rsidRPr="005269E6" w:rsidRDefault="00E10422" w:rsidP="00E10422">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9B20BA" w:rsidRPr="005269E6" w14:paraId="0949A503" w14:textId="77777777" w:rsidTr="00C43463">
        <w:trPr>
          <w:trHeight w:val="540"/>
        </w:trPr>
        <w:tc>
          <w:tcPr>
            <w:tcW w:w="2198" w:type="dxa"/>
            <w:tcBorders>
              <w:top w:val="nil"/>
              <w:left w:val="nil"/>
              <w:bottom w:val="nil"/>
              <w:right w:val="nil"/>
            </w:tcBorders>
            <w:shd w:val="clear" w:color="000000" w:fill="0070C0"/>
            <w:noWrap/>
            <w:vAlign w:val="bottom"/>
            <w:hideMark/>
          </w:tcPr>
          <w:p w14:paraId="20BBDAA9" w14:textId="50E99148" w:rsidR="009B20BA" w:rsidRPr="005269E6" w:rsidRDefault="009B20BA" w:rsidP="009B20BA">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1272" w:type="dxa"/>
            <w:tcBorders>
              <w:top w:val="nil"/>
              <w:left w:val="nil"/>
              <w:bottom w:val="nil"/>
              <w:right w:val="nil"/>
            </w:tcBorders>
            <w:shd w:val="clear" w:color="000000" w:fill="0070C0"/>
            <w:vAlign w:val="bottom"/>
            <w:hideMark/>
          </w:tcPr>
          <w:p w14:paraId="61C03E6A" w14:textId="1BB01535" w:rsidR="009B20BA" w:rsidRPr="005269E6" w:rsidRDefault="009B20BA" w:rsidP="009B20B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1161" w:type="dxa"/>
            <w:tcBorders>
              <w:top w:val="nil"/>
              <w:left w:val="nil"/>
              <w:bottom w:val="nil"/>
              <w:right w:val="nil"/>
            </w:tcBorders>
            <w:shd w:val="clear" w:color="000000" w:fill="0070C0"/>
            <w:vAlign w:val="bottom"/>
            <w:hideMark/>
          </w:tcPr>
          <w:p w14:paraId="27274B1E" w14:textId="6C1D8D72" w:rsidR="009B20BA" w:rsidRPr="005269E6" w:rsidRDefault="009B20BA" w:rsidP="009B20B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217" w:type="dxa"/>
            <w:tcBorders>
              <w:top w:val="nil"/>
              <w:left w:val="nil"/>
              <w:bottom w:val="nil"/>
              <w:right w:val="nil"/>
            </w:tcBorders>
            <w:shd w:val="clear" w:color="000000" w:fill="0070C0"/>
            <w:vAlign w:val="bottom"/>
            <w:hideMark/>
          </w:tcPr>
          <w:p w14:paraId="297972E0" w14:textId="5A9F899C" w:rsidR="009B20BA" w:rsidRPr="005269E6" w:rsidRDefault="009B20BA" w:rsidP="009B20B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r w:rsidRPr="005269E6">
              <w:rPr>
                <w:rFonts w:eastAsia="Times New Roman"/>
                <w:b/>
                <w:bCs/>
                <w:color w:val="000000"/>
                <w:sz w:val="18"/>
                <w:szCs w:val="18"/>
                <w:rtl/>
                <w:lang w:val="en-GB" w:eastAsia="en-GB"/>
              </w:rPr>
              <w:t xml:space="preserve"> معاد بيانها</w:t>
            </w:r>
          </w:p>
        </w:tc>
        <w:tc>
          <w:tcPr>
            <w:tcW w:w="308" w:type="dxa"/>
            <w:tcBorders>
              <w:top w:val="nil"/>
              <w:left w:val="nil"/>
              <w:bottom w:val="nil"/>
              <w:right w:val="nil"/>
            </w:tcBorders>
            <w:shd w:val="clear" w:color="000000" w:fill="0070C0"/>
            <w:noWrap/>
            <w:vAlign w:val="bottom"/>
            <w:hideMark/>
          </w:tcPr>
          <w:p w14:paraId="3338BEF6" w14:textId="2EB904BA" w:rsidR="009B20BA" w:rsidRPr="005269E6" w:rsidRDefault="009B20BA" w:rsidP="009B20BA">
            <w:pPr>
              <w:tabs>
                <w:tab w:val="clear" w:pos="794"/>
              </w:tabs>
              <w:spacing w:before="40" w:after="4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000000" w:fill="0070C0"/>
            <w:vAlign w:val="bottom"/>
            <w:hideMark/>
          </w:tcPr>
          <w:p w14:paraId="2302B710" w14:textId="4614B825" w:rsidR="009B20BA" w:rsidRPr="005269E6" w:rsidRDefault="009B20BA" w:rsidP="009B20B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2021</w:t>
            </w:r>
          </w:p>
        </w:tc>
        <w:tc>
          <w:tcPr>
            <w:tcW w:w="1146" w:type="dxa"/>
            <w:tcBorders>
              <w:top w:val="nil"/>
              <w:left w:val="nil"/>
              <w:bottom w:val="nil"/>
              <w:right w:val="nil"/>
            </w:tcBorders>
            <w:shd w:val="clear" w:color="000000" w:fill="0070C0"/>
            <w:vAlign w:val="bottom"/>
            <w:hideMark/>
          </w:tcPr>
          <w:p w14:paraId="3A35B688" w14:textId="48142B7B" w:rsidR="009B20BA" w:rsidRPr="005269E6" w:rsidRDefault="009B20BA" w:rsidP="009B20B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051" w:type="dxa"/>
            <w:tcBorders>
              <w:top w:val="nil"/>
              <w:left w:val="nil"/>
              <w:bottom w:val="nil"/>
              <w:right w:val="nil"/>
            </w:tcBorders>
            <w:shd w:val="clear" w:color="000000" w:fill="0070C0"/>
            <w:vAlign w:val="bottom"/>
            <w:hideMark/>
          </w:tcPr>
          <w:p w14:paraId="39A85174" w14:textId="356F0415" w:rsidR="009B20BA" w:rsidRPr="005269E6" w:rsidRDefault="009B20BA" w:rsidP="009B20B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b/>
                <w:bCs/>
                <w:color w:val="000000"/>
                <w:sz w:val="18"/>
                <w:szCs w:val="18"/>
                <w:rtl/>
                <w:lang w:val="en-GB" w:eastAsia="en-GB"/>
              </w:rPr>
              <w:t xml:space="preserve"> معاد بيانها</w:t>
            </w:r>
          </w:p>
        </w:tc>
      </w:tr>
      <w:tr w:rsidR="00C61248" w:rsidRPr="005269E6" w14:paraId="763438C6" w14:textId="77777777" w:rsidTr="00C61248">
        <w:trPr>
          <w:trHeight w:val="255"/>
        </w:trPr>
        <w:tc>
          <w:tcPr>
            <w:tcW w:w="2198" w:type="dxa"/>
            <w:tcBorders>
              <w:top w:val="nil"/>
              <w:left w:val="nil"/>
              <w:bottom w:val="nil"/>
              <w:right w:val="nil"/>
            </w:tcBorders>
            <w:shd w:val="clear" w:color="auto" w:fill="auto"/>
            <w:noWrap/>
            <w:vAlign w:val="bottom"/>
            <w:hideMark/>
          </w:tcPr>
          <w:p w14:paraId="694C1DB5" w14:textId="6B11B84B" w:rsidR="00E10422" w:rsidRPr="005269E6" w:rsidRDefault="009B20BA" w:rsidP="00E104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 الأخرى</w:t>
            </w:r>
          </w:p>
        </w:tc>
        <w:tc>
          <w:tcPr>
            <w:tcW w:w="1272" w:type="dxa"/>
            <w:tcBorders>
              <w:top w:val="nil"/>
              <w:left w:val="nil"/>
              <w:bottom w:val="nil"/>
              <w:right w:val="nil"/>
            </w:tcBorders>
            <w:shd w:val="clear" w:color="auto" w:fill="auto"/>
            <w:noWrap/>
            <w:vAlign w:val="bottom"/>
            <w:hideMark/>
          </w:tcPr>
          <w:p w14:paraId="281C9CBF" w14:textId="242421AF" w:rsidR="00E10422" w:rsidRPr="005269E6" w:rsidRDefault="00E10422" w:rsidP="00353FA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466</w:t>
            </w:r>
          </w:p>
        </w:tc>
        <w:tc>
          <w:tcPr>
            <w:tcW w:w="1161" w:type="dxa"/>
            <w:tcBorders>
              <w:top w:val="nil"/>
              <w:left w:val="nil"/>
              <w:bottom w:val="nil"/>
              <w:right w:val="nil"/>
            </w:tcBorders>
            <w:shd w:val="clear" w:color="auto" w:fill="auto"/>
            <w:noWrap/>
            <w:vAlign w:val="bottom"/>
            <w:hideMark/>
          </w:tcPr>
          <w:p w14:paraId="6CB605C1" w14:textId="131DF475" w:rsidR="00E10422" w:rsidRPr="005269E6" w:rsidRDefault="00E10422" w:rsidP="00353FA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(411)</w:t>
            </w:r>
          </w:p>
        </w:tc>
        <w:tc>
          <w:tcPr>
            <w:tcW w:w="1217" w:type="dxa"/>
            <w:tcBorders>
              <w:top w:val="nil"/>
              <w:left w:val="nil"/>
              <w:bottom w:val="nil"/>
              <w:right w:val="nil"/>
            </w:tcBorders>
            <w:shd w:val="clear" w:color="auto" w:fill="auto"/>
            <w:noWrap/>
            <w:vAlign w:val="bottom"/>
            <w:hideMark/>
          </w:tcPr>
          <w:p w14:paraId="1E07AA10" w14:textId="01CB29EE" w:rsidR="00E10422" w:rsidRPr="005269E6" w:rsidRDefault="00E10422" w:rsidP="00353FA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55</w:t>
            </w:r>
          </w:p>
        </w:tc>
        <w:tc>
          <w:tcPr>
            <w:tcW w:w="308" w:type="dxa"/>
            <w:tcBorders>
              <w:top w:val="nil"/>
              <w:left w:val="nil"/>
              <w:bottom w:val="nil"/>
              <w:right w:val="nil"/>
            </w:tcBorders>
            <w:shd w:val="clear" w:color="auto" w:fill="auto"/>
            <w:noWrap/>
            <w:vAlign w:val="bottom"/>
            <w:hideMark/>
          </w:tcPr>
          <w:p w14:paraId="2713DF7C" w14:textId="77777777" w:rsidR="00E10422" w:rsidRPr="005269E6" w:rsidRDefault="00E10422" w:rsidP="00353FAC">
            <w:pPr>
              <w:tabs>
                <w:tab w:val="clear" w:pos="794"/>
              </w:tabs>
              <w:spacing w:before="40" w:after="4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auto" w:fill="auto"/>
            <w:noWrap/>
            <w:vAlign w:val="bottom"/>
            <w:hideMark/>
          </w:tcPr>
          <w:p w14:paraId="40717050" w14:textId="5067F4D0" w:rsidR="00E10422" w:rsidRPr="005269E6" w:rsidRDefault="00E10422" w:rsidP="00353FA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154</w:t>
            </w:r>
          </w:p>
        </w:tc>
        <w:tc>
          <w:tcPr>
            <w:tcW w:w="1146" w:type="dxa"/>
            <w:tcBorders>
              <w:top w:val="nil"/>
              <w:left w:val="nil"/>
              <w:bottom w:val="nil"/>
              <w:right w:val="nil"/>
            </w:tcBorders>
            <w:shd w:val="clear" w:color="auto" w:fill="auto"/>
            <w:noWrap/>
            <w:vAlign w:val="bottom"/>
            <w:hideMark/>
          </w:tcPr>
          <w:p w14:paraId="5AEE85DA" w14:textId="13629C31" w:rsidR="00E10422" w:rsidRPr="005269E6" w:rsidRDefault="00E10422" w:rsidP="00353FA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(154)</w:t>
            </w:r>
          </w:p>
        </w:tc>
        <w:tc>
          <w:tcPr>
            <w:tcW w:w="1051" w:type="dxa"/>
            <w:tcBorders>
              <w:top w:val="nil"/>
              <w:left w:val="nil"/>
              <w:bottom w:val="nil"/>
              <w:right w:val="nil"/>
            </w:tcBorders>
            <w:shd w:val="clear" w:color="auto" w:fill="auto"/>
            <w:noWrap/>
            <w:vAlign w:val="bottom"/>
            <w:hideMark/>
          </w:tcPr>
          <w:p w14:paraId="0B91DF67" w14:textId="23C8BF78" w:rsidR="00E10422" w:rsidRPr="005269E6" w:rsidRDefault="00E10422" w:rsidP="00353FA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C61248" w:rsidRPr="005269E6" w14:paraId="58F4F4F4" w14:textId="77777777" w:rsidTr="00C61248">
        <w:trPr>
          <w:trHeight w:val="255"/>
        </w:trPr>
        <w:tc>
          <w:tcPr>
            <w:tcW w:w="2198" w:type="dxa"/>
            <w:tcBorders>
              <w:top w:val="nil"/>
              <w:left w:val="nil"/>
              <w:bottom w:val="nil"/>
              <w:right w:val="nil"/>
            </w:tcBorders>
            <w:shd w:val="clear" w:color="auto" w:fill="auto"/>
            <w:noWrap/>
            <w:vAlign w:val="bottom"/>
            <w:hideMark/>
          </w:tcPr>
          <w:p w14:paraId="4C72F346" w14:textId="3345B50B" w:rsidR="00E10422" w:rsidRPr="005269E6" w:rsidRDefault="009B20BA" w:rsidP="00E10422">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الفوائض المتراكمة</w:t>
            </w:r>
          </w:p>
        </w:tc>
        <w:tc>
          <w:tcPr>
            <w:tcW w:w="1272" w:type="dxa"/>
            <w:tcBorders>
              <w:top w:val="nil"/>
              <w:left w:val="nil"/>
              <w:bottom w:val="nil"/>
              <w:right w:val="nil"/>
            </w:tcBorders>
            <w:shd w:val="clear" w:color="auto" w:fill="auto"/>
            <w:noWrap/>
            <w:vAlign w:val="bottom"/>
            <w:hideMark/>
          </w:tcPr>
          <w:p w14:paraId="70EB9B45" w14:textId="11D8833C" w:rsidR="00E10422" w:rsidRPr="005269E6" w:rsidRDefault="00E10422" w:rsidP="00353FAC">
            <w:pPr>
              <w:tabs>
                <w:tab w:val="clear" w:pos="794"/>
              </w:tabs>
              <w:spacing w:before="40" w:after="40" w:line="240" w:lineRule="exact"/>
              <w:jc w:val="left"/>
              <w:rPr>
                <w:rFonts w:eastAsia="Times New Roman"/>
                <w:color w:val="000000"/>
                <w:sz w:val="18"/>
                <w:szCs w:val="18"/>
                <w:lang w:val="en-GB" w:eastAsia="en-GB"/>
              </w:rPr>
            </w:pPr>
          </w:p>
        </w:tc>
        <w:tc>
          <w:tcPr>
            <w:tcW w:w="1161" w:type="dxa"/>
            <w:tcBorders>
              <w:top w:val="nil"/>
              <w:left w:val="nil"/>
              <w:bottom w:val="nil"/>
              <w:right w:val="nil"/>
            </w:tcBorders>
            <w:shd w:val="clear" w:color="auto" w:fill="auto"/>
            <w:noWrap/>
            <w:vAlign w:val="bottom"/>
            <w:hideMark/>
          </w:tcPr>
          <w:p w14:paraId="19B093EA" w14:textId="4276E465" w:rsidR="00E10422" w:rsidRPr="005269E6" w:rsidRDefault="00C61248" w:rsidP="00353FA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411</w:t>
            </w:r>
          </w:p>
        </w:tc>
        <w:tc>
          <w:tcPr>
            <w:tcW w:w="1217" w:type="dxa"/>
            <w:tcBorders>
              <w:top w:val="nil"/>
              <w:left w:val="nil"/>
              <w:bottom w:val="nil"/>
              <w:right w:val="nil"/>
            </w:tcBorders>
            <w:shd w:val="clear" w:color="auto" w:fill="auto"/>
            <w:noWrap/>
            <w:vAlign w:val="bottom"/>
            <w:hideMark/>
          </w:tcPr>
          <w:p w14:paraId="26273693" w14:textId="05E8B870" w:rsidR="00E10422" w:rsidRPr="005269E6" w:rsidRDefault="00C61248" w:rsidP="00353FA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411</w:t>
            </w:r>
          </w:p>
        </w:tc>
        <w:tc>
          <w:tcPr>
            <w:tcW w:w="308" w:type="dxa"/>
            <w:tcBorders>
              <w:top w:val="nil"/>
              <w:left w:val="nil"/>
              <w:bottom w:val="nil"/>
              <w:right w:val="nil"/>
            </w:tcBorders>
            <w:shd w:val="clear" w:color="auto" w:fill="auto"/>
            <w:noWrap/>
            <w:vAlign w:val="bottom"/>
            <w:hideMark/>
          </w:tcPr>
          <w:p w14:paraId="49657294" w14:textId="77777777" w:rsidR="00E10422" w:rsidRPr="005269E6" w:rsidRDefault="00E10422" w:rsidP="00353FAC">
            <w:pPr>
              <w:tabs>
                <w:tab w:val="clear" w:pos="794"/>
              </w:tabs>
              <w:spacing w:before="40" w:after="4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auto" w:fill="auto"/>
            <w:noWrap/>
            <w:vAlign w:val="bottom"/>
            <w:hideMark/>
          </w:tcPr>
          <w:p w14:paraId="53E9750D" w14:textId="77777777" w:rsidR="00E10422" w:rsidRPr="005269E6" w:rsidRDefault="00E10422" w:rsidP="00353FAC">
            <w:pPr>
              <w:tabs>
                <w:tab w:val="clear" w:pos="794"/>
              </w:tabs>
              <w:spacing w:before="40" w:after="40" w:line="240" w:lineRule="exact"/>
              <w:jc w:val="left"/>
              <w:rPr>
                <w:rFonts w:eastAsia="Times New Roman"/>
                <w:sz w:val="18"/>
                <w:szCs w:val="18"/>
                <w:lang w:val="en-GB" w:eastAsia="en-GB"/>
              </w:rPr>
            </w:pPr>
          </w:p>
        </w:tc>
        <w:tc>
          <w:tcPr>
            <w:tcW w:w="1146" w:type="dxa"/>
            <w:tcBorders>
              <w:top w:val="nil"/>
              <w:left w:val="nil"/>
              <w:bottom w:val="nil"/>
              <w:right w:val="nil"/>
            </w:tcBorders>
            <w:shd w:val="clear" w:color="auto" w:fill="auto"/>
            <w:noWrap/>
            <w:vAlign w:val="bottom"/>
            <w:hideMark/>
          </w:tcPr>
          <w:p w14:paraId="3E3C5308" w14:textId="200BC092" w:rsidR="00E10422" w:rsidRPr="005269E6" w:rsidRDefault="00C61248" w:rsidP="00353FA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154</w:t>
            </w:r>
          </w:p>
        </w:tc>
        <w:tc>
          <w:tcPr>
            <w:tcW w:w="1051" w:type="dxa"/>
            <w:tcBorders>
              <w:top w:val="nil"/>
              <w:left w:val="nil"/>
              <w:bottom w:val="nil"/>
              <w:right w:val="nil"/>
            </w:tcBorders>
            <w:shd w:val="clear" w:color="auto" w:fill="auto"/>
            <w:noWrap/>
            <w:vAlign w:val="bottom"/>
            <w:hideMark/>
          </w:tcPr>
          <w:p w14:paraId="2B4A358C" w14:textId="53DA60BD" w:rsidR="00E10422" w:rsidRPr="005269E6" w:rsidRDefault="00C61248" w:rsidP="00353FAC">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154</w:t>
            </w:r>
          </w:p>
        </w:tc>
      </w:tr>
    </w:tbl>
    <w:p w14:paraId="36F08948" w14:textId="0ABBECE1" w:rsidR="00CF7F73" w:rsidRPr="005269E6" w:rsidRDefault="00CF7F73" w:rsidP="00475CA6">
      <w:pPr>
        <w:pStyle w:val="Headingb"/>
        <w:rPr>
          <w:b w:val="0"/>
          <w:bCs w:val="0"/>
          <w:rtl/>
        </w:rPr>
      </w:pPr>
      <w:r w:rsidRPr="005269E6">
        <w:lastRenderedPageBreak/>
        <w:t>7</w:t>
      </w:r>
      <w:r w:rsidRPr="005269E6">
        <w:rPr>
          <w:rtl/>
        </w:rPr>
        <w:tab/>
      </w:r>
      <w:r w:rsidR="00D31143" w:rsidRPr="005269E6">
        <w:rPr>
          <w:rtl/>
        </w:rPr>
        <w:t>الأموال النقدية وما يعادلها والاستثمارات</w:t>
      </w:r>
    </w:p>
    <w:p w14:paraId="77009841" w14:textId="3946A457" w:rsidR="00D31143" w:rsidRPr="005269E6" w:rsidRDefault="00293840" w:rsidP="00293840">
      <w:pPr>
        <w:spacing w:after="120"/>
        <w:rPr>
          <w:rtl/>
        </w:rPr>
      </w:pPr>
      <w:r w:rsidRPr="005269E6">
        <w:rPr>
          <w:rtl/>
        </w:rPr>
        <w:t xml:space="preserve">وفقاً للفقرة 9 من المعيار </w:t>
      </w:r>
      <w:r w:rsidRPr="005269E6">
        <w:t>IPSAS 2</w:t>
      </w:r>
      <w:r w:rsidRPr="005269E6">
        <w:rPr>
          <w:rtl/>
        </w:rPr>
        <w:t xml:space="preserve">، </w:t>
      </w:r>
      <w:r w:rsidRPr="005269E6">
        <w:rPr>
          <w:rFonts w:hint="cs"/>
          <w:rtl/>
        </w:rPr>
        <w:t>تتأهل،</w:t>
      </w:r>
      <w:r w:rsidRPr="005269E6">
        <w:rPr>
          <w:rtl/>
        </w:rPr>
        <w:t xml:space="preserve"> الاستثمارات التي لها تاريخ استحقاق مدته ثلاثة أشهر أو أقل، كمعادل نقدي. غير أن الاتحاد صنف جميع الاستثمارات، بغض النظر عن تاريخ استحقاقها، تحت عنوان الاستثمارات في عامي 2020 و2021. ونتيجة لذلك، أجرى الاتحاد تحليلاً مفصلاً وأعيد تصنيف جميع الاستثمارات التي لها تاريخ استحقاق مدته ثلاثة أشهر أو أقل كمعادلات نقدية في نهاية عامي 2020 و2021.</w:t>
      </w:r>
    </w:p>
    <w:tbl>
      <w:tblPr>
        <w:bidiVisual/>
        <w:tblW w:w="5000" w:type="pct"/>
        <w:tblLook w:val="04A0" w:firstRow="1" w:lastRow="0" w:firstColumn="1" w:lastColumn="0" w:noHBand="0" w:noVBand="1"/>
      </w:tblPr>
      <w:tblGrid>
        <w:gridCol w:w="2198"/>
        <w:gridCol w:w="1272"/>
        <w:gridCol w:w="1161"/>
        <w:gridCol w:w="1217"/>
        <w:gridCol w:w="308"/>
        <w:gridCol w:w="1286"/>
        <w:gridCol w:w="1146"/>
        <w:gridCol w:w="1051"/>
      </w:tblGrid>
      <w:tr w:rsidR="00CF7F73" w:rsidRPr="005269E6" w14:paraId="52B7DC3A" w14:textId="77777777" w:rsidTr="00666023">
        <w:trPr>
          <w:trHeight w:val="300"/>
        </w:trPr>
        <w:tc>
          <w:tcPr>
            <w:tcW w:w="2198" w:type="dxa"/>
            <w:tcBorders>
              <w:top w:val="nil"/>
              <w:left w:val="nil"/>
              <w:bottom w:val="nil"/>
              <w:right w:val="nil"/>
            </w:tcBorders>
            <w:shd w:val="clear" w:color="000000" w:fill="0070C0"/>
            <w:noWrap/>
            <w:vAlign w:val="bottom"/>
            <w:hideMark/>
          </w:tcPr>
          <w:p w14:paraId="62429064" w14:textId="77777777" w:rsidR="00CF7F73" w:rsidRPr="005269E6" w:rsidRDefault="00CF7F73" w:rsidP="001929A3">
            <w:pPr>
              <w:tabs>
                <w:tab w:val="clear" w:pos="794"/>
              </w:tabs>
              <w:spacing w:before="20" w:after="2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w:t>
            </w:r>
          </w:p>
        </w:tc>
        <w:tc>
          <w:tcPr>
            <w:tcW w:w="3650" w:type="dxa"/>
            <w:gridSpan w:val="3"/>
            <w:tcBorders>
              <w:top w:val="nil"/>
              <w:left w:val="nil"/>
              <w:bottom w:val="nil"/>
              <w:right w:val="nil"/>
            </w:tcBorders>
            <w:shd w:val="clear" w:color="000000" w:fill="0070C0"/>
            <w:noWrap/>
            <w:vAlign w:val="bottom"/>
            <w:hideMark/>
          </w:tcPr>
          <w:p w14:paraId="2EAA3B86" w14:textId="77777777" w:rsidR="00CF7F73" w:rsidRPr="005269E6" w:rsidRDefault="00CF7F73" w:rsidP="001929A3">
            <w:pPr>
              <w:keepNext/>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c>
          <w:tcPr>
            <w:tcW w:w="308" w:type="dxa"/>
            <w:tcBorders>
              <w:top w:val="nil"/>
              <w:left w:val="nil"/>
              <w:bottom w:val="nil"/>
              <w:right w:val="nil"/>
            </w:tcBorders>
            <w:shd w:val="clear" w:color="000000" w:fill="0070C0"/>
            <w:noWrap/>
            <w:vAlign w:val="bottom"/>
            <w:hideMark/>
          </w:tcPr>
          <w:p w14:paraId="53BA4C6F" w14:textId="77777777" w:rsidR="00CF7F73" w:rsidRPr="005269E6" w:rsidRDefault="00CF7F73" w:rsidP="001929A3">
            <w:pPr>
              <w:keepNext/>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3483" w:type="dxa"/>
            <w:gridSpan w:val="3"/>
            <w:tcBorders>
              <w:top w:val="nil"/>
              <w:left w:val="nil"/>
              <w:bottom w:val="nil"/>
              <w:right w:val="nil"/>
            </w:tcBorders>
            <w:shd w:val="clear" w:color="000000" w:fill="0070C0"/>
            <w:noWrap/>
            <w:vAlign w:val="bottom"/>
            <w:hideMark/>
          </w:tcPr>
          <w:p w14:paraId="2D13267A" w14:textId="77777777" w:rsidR="00CF7F73" w:rsidRPr="005269E6" w:rsidRDefault="00CF7F73" w:rsidP="001929A3">
            <w:pPr>
              <w:keepNext/>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293840" w:rsidRPr="005269E6" w14:paraId="5B227D4C" w14:textId="77777777" w:rsidTr="00107714">
        <w:trPr>
          <w:trHeight w:val="540"/>
        </w:trPr>
        <w:tc>
          <w:tcPr>
            <w:tcW w:w="2198" w:type="dxa"/>
            <w:tcBorders>
              <w:top w:val="nil"/>
              <w:left w:val="nil"/>
              <w:bottom w:val="nil"/>
              <w:right w:val="nil"/>
            </w:tcBorders>
            <w:shd w:val="clear" w:color="000000" w:fill="0070C0"/>
            <w:noWrap/>
            <w:vAlign w:val="bottom"/>
            <w:hideMark/>
          </w:tcPr>
          <w:p w14:paraId="728888F7" w14:textId="6131938D" w:rsidR="00293840" w:rsidRPr="005269E6" w:rsidRDefault="00293840" w:rsidP="001929A3">
            <w:pPr>
              <w:tabs>
                <w:tab w:val="clear" w:pos="794"/>
              </w:tabs>
              <w:spacing w:before="20" w:after="2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1272" w:type="dxa"/>
            <w:tcBorders>
              <w:top w:val="nil"/>
              <w:left w:val="nil"/>
              <w:bottom w:val="nil"/>
              <w:right w:val="nil"/>
            </w:tcBorders>
            <w:shd w:val="clear" w:color="000000" w:fill="0070C0"/>
            <w:vAlign w:val="bottom"/>
            <w:hideMark/>
          </w:tcPr>
          <w:p w14:paraId="7AFB5B25" w14:textId="183C7011" w:rsidR="00293840" w:rsidRPr="005269E6" w:rsidRDefault="00293840"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1161" w:type="dxa"/>
            <w:tcBorders>
              <w:top w:val="nil"/>
              <w:left w:val="nil"/>
              <w:bottom w:val="nil"/>
              <w:right w:val="nil"/>
            </w:tcBorders>
            <w:shd w:val="clear" w:color="000000" w:fill="0070C0"/>
            <w:vAlign w:val="bottom"/>
            <w:hideMark/>
          </w:tcPr>
          <w:p w14:paraId="17E49E8B" w14:textId="68111824" w:rsidR="00293840" w:rsidRPr="005269E6" w:rsidRDefault="00293840"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217" w:type="dxa"/>
            <w:tcBorders>
              <w:top w:val="nil"/>
              <w:left w:val="nil"/>
              <w:bottom w:val="nil"/>
              <w:right w:val="nil"/>
            </w:tcBorders>
            <w:shd w:val="clear" w:color="000000" w:fill="0070C0"/>
            <w:vAlign w:val="bottom"/>
            <w:hideMark/>
          </w:tcPr>
          <w:p w14:paraId="38A2F6F7" w14:textId="7EFC6E5F" w:rsidR="00293840" w:rsidRPr="005269E6" w:rsidRDefault="00293840"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c>
          <w:tcPr>
            <w:tcW w:w="308" w:type="dxa"/>
            <w:tcBorders>
              <w:top w:val="nil"/>
              <w:left w:val="nil"/>
              <w:bottom w:val="nil"/>
              <w:right w:val="nil"/>
            </w:tcBorders>
            <w:shd w:val="clear" w:color="000000" w:fill="0070C0"/>
            <w:noWrap/>
            <w:vAlign w:val="bottom"/>
            <w:hideMark/>
          </w:tcPr>
          <w:p w14:paraId="5EE92B9C" w14:textId="2CC3DD95" w:rsidR="00293840" w:rsidRPr="005269E6" w:rsidRDefault="00293840" w:rsidP="001929A3">
            <w:pPr>
              <w:tabs>
                <w:tab w:val="clear" w:pos="794"/>
              </w:tabs>
              <w:spacing w:before="20" w:after="2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000000" w:fill="0070C0"/>
            <w:vAlign w:val="bottom"/>
            <w:hideMark/>
          </w:tcPr>
          <w:p w14:paraId="323ADD42" w14:textId="52903A27" w:rsidR="00293840" w:rsidRPr="005269E6" w:rsidRDefault="00293840"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w:t>
            </w:r>
            <w:r w:rsidRPr="005269E6">
              <w:rPr>
                <w:rFonts w:eastAsia="Times New Roman" w:hint="cs"/>
                <w:b/>
                <w:bCs/>
                <w:color w:val="000000"/>
                <w:sz w:val="18"/>
                <w:szCs w:val="18"/>
                <w:rtl/>
                <w:lang w:val="en-GB" w:eastAsia="en-GB"/>
              </w:rPr>
              <w:t>1</w:t>
            </w:r>
          </w:p>
        </w:tc>
        <w:tc>
          <w:tcPr>
            <w:tcW w:w="1146" w:type="dxa"/>
            <w:tcBorders>
              <w:top w:val="nil"/>
              <w:left w:val="nil"/>
              <w:bottom w:val="nil"/>
              <w:right w:val="nil"/>
            </w:tcBorders>
            <w:shd w:val="clear" w:color="000000" w:fill="0070C0"/>
            <w:vAlign w:val="bottom"/>
            <w:hideMark/>
          </w:tcPr>
          <w:p w14:paraId="174701CC" w14:textId="4D1F3DB5" w:rsidR="00293840" w:rsidRPr="005269E6" w:rsidRDefault="00293840"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051" w:type="dxa"/>
            <w:tcBorders>
              <w:top w:val="nil"/>
              <w:left w:val="nil"/>
              <w:bottom w:val="nil"/>
              <w:right w:val="nil"/>
            </w:tcBorders>
            <w:shd w:val="clear" w:color="000000" w:fill="0070C0"/>
            <w:vAlign w:val="bottom"/>
            <w:hideMark/>
          </w:tcPr>
          <w:p w14:paraId="1A1CBA44" w14:textId="35231D10" w:rsidR="00293840" w:rsidRPr="005269E6" w:rsidRDefault="00293840"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r>
      <w:tr w:rsidR="00CF7F73" w:rsidRPr="005269E6" w14:paraId="67283A4C" w14:textId="77777777" w:rsidTr="00666023">
        <w:trPr>
          <w:trHeight w:val="255"/>
        </w:trPr>
        <w:tc>
          <w:tcPr>
            <w:tcW w:w="2198" w:type="dxa"/>
            <w:tcBorders>
              <w:top w:val="nil"/>
              <w:left w:val="nil"/>
              <w:bottom w:val="nil"/>
              <w:right w:val="nil"/>
            </w:tcBorders>
            <w:shd w:val="clear" w:color="auto" w:fill="auto"/>
            <w:noWrap/>
            <w:vAlign w:val="bottom"/>
            <w:hideMark/>
          </w:tcPr>
          <w:p w14:paraId="552DA819" w14:textId="44B47BE5" w:rsidR="00CF7F73" w:rsidRPr="005269E6" w:rsidRDefault="00293840"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الأموال النقدية وما يعادلها</w:t>
            </w:r>
          </w:p>
        </w:tc>
        <w:tc>
          <w:tcPr>
            <w:tcW w:w="1272" w:type="dxa"/>
            <w:tcBorders>
              <w:top w:val="nil"/>
              <w:left w:val="nil"/>
              <w:bottom w:val="nil"/>
              <w:right w:val="nil"/>
            </w:tcBorders>
            <w:shd w:val="clear" w:color="auto" w:fill="auto"/>
            <w:noWrap/>
            <w:vAlign w:val="bottom"/>
            <w:hideMark/>
          </w:tcPr>
          <w:p w14:paraId="5396989A" w14:textId="1A8317C8" w:rsidR="00CF7F73" w:rsidRPr="005269E6" w:rsidRDefault="00CF7F73" w:rsidP="001929A3">
            <w:pPr>
              <w:tabs>
                <w:tab w:val="clear" w:pos="794"/>
              </w:tabs>
              <w:spacing w:before="20" w:after="20" w:line="240" w:lineRule="exact"/>
              <w:jc w:val="left"/>
              <w:rPr>
                <w:rFonts w:eastAsia="Times New Roman"/>
                <w:color w:val="000000"/>
                <w:sz w:val="18"/>
                <w:szCs w:val="18"/>
                <w:lang w:eastAsia="en-GB"/>
              </w:rPr>
            </w:pPr>
            <w:r w:rsidRPr="005269E6">
              <w:rPr>
                <w:rFonts w:eastAsia="Times New Roman"/>
                <w:color w:val="000000"/>
                <w:sz w:val="18"/>
                <w:szCs w:val="18"/>
                <w:lang w:val="en-GB" w:eastAsia="en-GB"/>
              </w:rPr>
              <w:t>99 406</w:t>
            </w:r>
          </w:p>
        </w:tc>
        <w:tc>
          <w:tcPr>
            <w:tcW w:w="1161" w:type="dxa"/>
            <w:tcBorders>
              <w:top w:val="nil"/>
              <w:left w:val="nil"/>
              <w:bottom w:val="nil"/>
              <w:right w:val="nil"/>
            </w:tcBorders>
            <w:shd w:val="clear" w:color="auto" w:fill="auto"/>
            <w:noWrap/>
            <w:vAlign w:val="bottom"/>
            <w:hideMark/>
          </w:tcPr>
          <w:p w14:paraId="53693DC3" w14:textId="5C70BD15" w:rsidR="00CF7F73" w:rsidRPr="005269E6" w:rsidRDefault="00CF7F73"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35 924</w:t>
            </w:r>
          </w:p>
        </w:tc>
        <w:tc>
          <w:tcPr>
            <w:tcW w:w="1217" w:type="dxa"/>
            <w:tcBorders>
              <w:top w:val="nil"/>
              <w:left w:val="nil"/>
              <w:bottom w:val="nil"/>
              <w:right w:val="nil"/>
            </w:tcBorders>
            <w:shd w:val="clear" w:color="auto" w:fill="auto"/>
            <w:noWrap/>
            <w:vAlign w:val="bottom"/>
            <w:hideMark/>
          </w:tcPr>
          <w:p w14:paraId="07733850" w14:textId="3678BC16" w:rsidR="00CF7F73" w:rsidRPr="005269E6" w:rsidRDefault="00CF7F73"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135 330</w:t>
            </w:r>
          </w:p>
        </w:tc>
        <w:tc>
          <w:tcPr>
            <w:tcW w:w="308" w:type="dxa"/>
            <w:tcBorders>
              <w:top w:val="nil"/>
              <w:left w:val="nil"/>
              <w:bottom w:val="nil"/>
              <w:right w:val="nil"/>
            </w:tcBorders>
            <w:shd w:val="clear" w:color="auto" w:fill="auto"/>
            <w:noWrap/>
            <w:vAlign w:val="bottom"/>
            <w:hideMark/>
          </w:tcPr>
          <w:p w14:paraId="6A43F9B3" w14:textId="77777777" w:rsidR="00CF7F73" w:rsidRPr="005269E6" w:rsidRDefault="00CF7F73" w:rsidP="001929A3">
            <w:pPr>
              <w:tabs>
                <w:tab w:val="clear" w:pos="794"/>
              </w:tabs>
              <w:spacing w:before="20" w:after="2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auto" w:fill="auto"/>
            <w:noWrap/>
            <w:vAlign w:val="bottom"/>
            <w:hideMark/>
          </w:tcPr>
          <w:p w14:paraId="4CCF4169" w14:textId="0115C780" w:rsidR="00CF7F73" w:rsidRPr="005269E6" w:rsidRDefault="00CF7F73"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130 392</w:t>
            </w:r>
          </w:p>
        </w:tc>
        <w:tc>
          <w:tcPr>
            <w:tcW w:w="1146" w:type="dxa"/>
            <w:tcBorders>
              <w:top w:val="nil"/>
              <w:left w:val="nil"/>
              <w:bottom w:val="nil"/>
              <w:right w:val="nil"/>
            </w:tcBorders>
            <w:shd w:val="clear" w:color="auto" w:fill="auto"/>
            <w:noWrap/>
            <w:vAlign w:val="bottom"/>
            <w:hideMark/>
          </w:tcPr>
          <w:p w14:paraId="460D3CE0" w14:textId="4A3C8AC2" w:rsidR="00CF7F73" w:rsidRPr="005269E6" w:rsidRDefault="00CF7F73"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73 419</w:t>
            </w:r>
          </w:p>
        </w:tc>
        <w:tc>
          <w:tcPr>
            <w:tcW w:w="1051" w:type="dxa"/>
            <w:tcBorders>
              <w:top w:val="nil"/>
              <w:left w:val="nil"/>
              <w:bottom w:val="nil"/>
              <w:right w:val="nil"/>
            </w:tcBorders>
            <w:shd w:val="clear" w:color="auto" w:fill="auto"/>
            <w:noWrap/>
            <w:vAlign w:val="bottom"/>
            <w:hideMark/>
          </w:tcPr>
          <w:p w14:paraId="04E52E27" w14:textId="79A91C46" w:rsidR="00CF7F73" w:rsidRPr="005269E6" w:rsidRDefault="00CF7F73"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203 811</w:t>
            </w:r>
          </w:p>
        </w:tc>
      </w:tr>
      <w:tr w:rsidR="00CF7F73" w:rsidRPr="005269E6" w14:paraId="39483E67" w14:textId="77777777" w:rsidTr="00666023">
        <w:trPr>
          <w:trHeight w:val="255"/>
        </w:trPr>
        <w:tc>
          <w:tcPr>
            <w:tcW w:w="2198" w:type="dxa"/>
            <w:tcBorders>
              <w:top w:val="nil"/>
              <w:left w:val="nil"/>
              <w:bottom w:val="nil"/>
              <w:right w:val="nil"/>
            </w:tcBorders>
            <w:shd w:val="clear" w:color="auto" w:fill="auto"/>
            <w:noWrap/>
            <w:vAlign w:val="bottom"/>
            <w:hideMark/>
          </w:tcPr>
          <w:p w14:paraId="0D51754A" w14:textId="1D436527" w:rsidR="00CF7F73" w:rsidRPr="005269E6" w:rsidRDefault="00293840"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الاستثمارات</w:t>
            </w:r>
          </w:p>
        </w:tc>
        <w:tc>
          <w:tcPr>
            <w:tcW w:w="1272" w:type="dxa"/>
            <w:tcBorders>
              <w:top w:val="nil"/>
              <w:left w:val="nil"/>
              <w:bottom w:val="nil"/>
              <w:right w:val="nil"/>
            </w:tcBorders>
            <w:shd w:val="clear" w:color="auto" w:fill="auto"/>
            <w:noWrap/>
            <w:vAlign w:val="bottom"/>
            <w:hideMark/>
          </w:tcPr>
          <w:p w14:paraId="090D5F25" w14:textId="236F7294" w:rsidR="00CF7F73" w:rsidRPr="005269E6" w:rsidRDefault="00CF7F73"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95 177</w:t>
            </w:r>
          </w:p>
        </w:tc>
        <w:tc>
          <w:tcPr>
            <w:tcW w:w="1161" w:type="dxa"/>
            <w:tcBorders>
              <w:top w:val="nil"/>
              <w:left w:val="nil"/>
              <w:bottom w:val="nil"/>
              <w:right w:val="nil"/>
            </w:tcBorders>
            <w:shd w:val="clear" w:color="auto" w:fill="auto"/>
            <w:noWrap/>
            <w:vAlign w:val="bottom"/>
            <w:hideMark/>
          </w:tcPr>
          <w:p w14:paraId="6107B7F3" w14:textId="5A1AD217" w:rsidR="00CF7F73" w:rsidRPr="005269E6" w:rsidRDefault="00CF7F73"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(35 924)</w:t>
            </w:r>
          </w:p>
        </w:tc>
        <w:tc>
          <w:tcPr>
            <w:tcW w:w="1217" w:type="dxa"/>
            <w:tcBorders>
              <w:top w:val="nil"/>
              <w:left w:val="nil"/>
              <w:bottom w:val="nil"/>
              <w:right w:val="nil"/>
            </w:tcBorders>
            <w:shd w:val="clear" w:color="auto" w:fill="auto"/>
            <w:noWrap/>
            <w:vAlign w:val="bottom"/>
            <w:hideMark/>
          </w:tcPr>
          <w:p w14:paraId="0028D73F" w14:textId="60A468CF" w:rsidR="00CF7F73" w:rsidRPr="005269E6" w:rsidRDefault="00CF7F73"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59 253</w:t>
            </w:r>
          </w:p>
        </w:tc>
        <w:tc>
          <w:tcPr>
            <w:tcW w:w="308" w:type="dxa"/>
            <w:tcBorders>
              <w:top w:val="nil"/>
              <w:left w:val="nil"/>
              <w:bottom w:val="nil"/>
              <w:right w:val="nil"/>
            </w:tcBorders>
            <w:shd w:val="clear" w:color="auto" w:fill="auto"/>
            <w:noWrap/>
            <w:vAlign w:val="bottom"/>
            <w:hideMark/>
          </w:tcPr>
          <w:p w14:paraId="39D649EE" w14:textId="77777777" w:rsidR="00CF7F73" w:rsidRPr="005269E6" w:rsidRDefault="00CF7F73" w:rsidP="001929A3">
            <w:pPr>
              <w:tabs>
                <w:tab w:val="clear" w:pos="794"/>
              </w:tabs>
              <w:spacing w:before="20" w:after="2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auto" w:fill="auto"/>
            <w:noWrap/>
            <w:vAlign w:val="bottom"/>
            <w:hideMark/>
          </w:tcPr>
          <w:p w14:paraId="6CDEF239" w14:textId="693F20B0" w:rsidR="00CF7F73" w:rsidRPr="005269E6" w:rsidRDefault="00CF7F73" w:rsidP="001929A3">
            <w:pPr>
              <w:tabs>
                <w:tab w:val="clear" w:pos="794"/>
              </w:tabs>
              <w:spacing w:before="20" w:after="20" w:line="240" w:lineRule="exact"/>
              <w:jc w:val="left"/>
              <w:rPr>
                <w:rFonts w:eastAsia="Times New Roman"/>
                <w:sz w:val="18"/>
                <w:szCs w:val="18"/>
                <w:lang w:val="en-GB" w:eastAsia="en-GB"/>
              </w:rPr>
            </w:pPr>
            <w:r w:rsidRPr="005269E6">
              <w:rPr>
                <w:rFonts w:eastAsia="Times New Roman"/>
                <w:sz w:val="18"/>
                <w:szCs w:val="18"/>
                <w:lang w:val="en-GB" w:eastAsia="en-GB"/>
              </w:rPr>
              <w:t>94 694</w:t>
            </w:r>
          </w:p>
        </w:tc>
        <w:tc>
          <w:tcPr>
            <w:tcW w:w="1146" w:type="dxa"/>
            <w:tcBorders>
              <w:top w:val="nil"/>
              <w:left w:val="nil"/>
              <w:bottom w:val="nil"/>
              <w:right w:val="nil"/>
            </w:tcBorders>
            <w:shd w:val="clear" w:color="auto" w:fill="auto"/>
            <w:noWrap/>
            <w:vAlign w:val="bottom"/>
            <w:hideMark/>
          </w:tcPr>
          <w:p w14:paraId="3FFF56DD" w14:textId="0CA52514" w:rsidR="00CF7F73" w:rsidRPr="005269E6" w:rsidRDefault="00CF7F73"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(73 419)</w:t>
            </w:r>
          </w:p>
        </w:tc>
        <w:tc>
          <w:tcPr>
            <w:tcW w:w="1051" w:type="dxa"/>
            <w:tcBorders>
              <w:top w:val="nil"/>
              <w:left w:val="nil"/>
              <w:bottom w:val="nil"/>
              <w:right w:val="nil"/>
            </w:tcBorders>
            <w:shd w:val="clear" w:color="auto" w:fill="auto"/>
            <w:noWrap/>
            <w:vAlign w:val="bottom"/>
            <w:hideMark/>
          </w:tcPr>
          <w:p w14:paraId="41B43453" w14:textId="29D839E4" w:rsidR="00CF7F73" w:rsidRPr="005269E6" w:rsidRDefault="00CF7F73"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21 275</w:t>
            </w:r>
          </w:p>
        </w:tc>
      </w:tr>
    </w:tbl>
    <w:p w14:paraId="338A1459" w14:textId="45FC6D28" w:rsidR="00CF7F73" w:rsidRPr="005269E6" w:rsidRDefault="00CF7F73" w:rsidP="00475CA6">
      <w:pPr>
        <w:pStyle w:val="Headingb"/>
        <w:rPr>
          <w:b w:val="0"/>
          <w:bCs w:val="0"/>
          <w:rtl/>
        </w:rPr>
      </w:pPr>
      <w:r w:rsidRPr="005269E6">
        <w:t>8</w:t>
      </w:r>
      <w:r w:rsidRPr="005269E6">
        <w:rPr>
          <w:rtl/>
        </w:rPr>
        <w:tab/>
      </w:r>
      <w:r w:rsidR="00293840" w:rsidRPr="005269E6">
        <w:rPr>
          <w:rtl/>
        </w:rPr>
        <w:t>الاستثمارات بالعملات الأجنبية</w:t>
      </w:r>
    </w:p>
    <w:p w14:paraId="533B664F" w14:textId="243402B7" w:rsidR="00CF7F73" w:rsidRPr="005269E6" w:rsidRDefault="003A606A" w:rsidP="003A606A">
      <w:pPr>
        <w:spacing w:after="120"/>
        <w:rPr>
          <w:rtl/>
        </w:rPr>
      </w:pPr>
      <w:r w:rsidRPr="005269E6">
        <w:rPr>
          <w:rtl/>
        </w:rPr>
        <w:t>لم تعد</w:t>
      </w:r>
      <w:r w:rsidRPr="005269E6">
        <w:rPr>
          <w:rFonts w:hint="cs"/>
          <w:rtl/>
        </w:rPr>
        <w:t>َّ</w:t>
      </w:r>
      <w:r w:rsidRPr="005269E6">
        <w:rPr>
          <w:rtl/>
        </w:rPr>
        <w:t>ل بعض الاستثمارات بالعملات الأجنبية في نهاية عام 2020 ل</w:t>
      </w:r>
      <w:r w:rsidRPr="005269E6">
        <w:rPr>
          <w:rFonts w:hint="cs"/>
          <w:rtl/>
        </w:rPr>
        <w:t xml:space="preserve">بيان </w:t>
      </w:r>
      <w:r w:rsidRPr="005269E6">
        <w:rPr>
          <w:rtl/>
        </w:rPr>
        <w:t>تأثير تقلبات العملات الأجنبية. ونتيجة لذلك، س</w:t>
      </w:r>
      <w:r w:rsidRPr="005269E6">
        <w:rPr>
          <w:rFonts w:hint="cs"/>
          <w:rtl/>
        </w:rPr>
        <w:t>ُ</w:t>
      </w:r>
      <w:r w:rsidRPr="005269E6">
        <w:rPr>
          <w:rtl/>
        </w:rPr>
        <w:t>جل انخفاض قدره 339 فرنكا</w:t>
      </w:r>
      <w:r w:rsidR="00475CA6" w:rsidRPr="005269E6">
        <w:rPr>
          <w:rFonts w:hint="cs"/>
          <w:rtl/>
        </w:rPr>
        <w:t>ً</w:t>
      </w:r>
      <w:r w:rsidRPr="005269E6">
        <w:rPr>
          <w:rtl/>
        </w:rPr>
        <w:t xml:space="preserve"> سويسريا</w:t>
      </w:r>
      <w:r w:rsidR="00475CA6" w:rsidRPr="005269E6">
        <w:rPr>
          <w:rFonts w:hint="cs"/>
          <w:rtl/>
        </w:rPr>
        <w:t>ً</w:t>
      </w:r>
      <w:r w:rsidRPr="005269E6">
        <w:rPr>
          <w:rtl/>
        </w:rPr>
        <w:t xml:space="preserve"> في نهاية عام 2020 </w:t>
      </w:r>
      <w:r w:rsidRPr="005269E6">
        <w:rPr>
          <w:rFonts w:hint="cs"/>
          <w:rtl/>
        </w:rPr>
        <w:t>لبيان</w:t>
      </w:r>
      <w:r w:rsidRPr="005269E6">
        <w:rPr>
          <w:rtl/>
        </w:rPr>
        <w:t xml:space="preserve"> خسارة العمل</w:t>
      </w:r>
      <w:r w:rsidRPr="005269E6">
        <w:rPr>
          <w:rFonts w:hint="cs"/>
          <w:rtl/>
        </w:rPr>
        <w:t>ات</w:t>
      </w:r>
      <w:r w:rsidRPr="005269E6">
        <w:rPr>
          <w:rtl/>
        </w:rPr>
        <w:t xml:space="preserve"> الأجنبية </w:t>
      </w:r>
      <w:r w:rsidRPr="005269E6">
        <w:rPr>
          <w:rFonts w:hint="cs"/>
          <w:rtl/>
        </w:rPr>
        <w:t xml:space="preserve">خلال </w:t>
      </w:r>
      <w:r w:rsidRPr="005269E6">
        <w:rPr>
          <w:rtl/>
        </w:rPr>
        <w:t>هذه الفترة في هذه الاستثمارات. ولم تكن هناك حاجة إلى تعديل في عام 2021.</w:t>
      </w:r>
    </w:p>
    <w:tbl>
      <w:tblPr>
        <w:bidiVisual/>
        <w:tblW w:w="3034" w:type="pct"/>
        <w:jc w:val="center"/>
        <w:tblLook w:val="04A0" w:firstRow="1" w:lastRow="0" w:firstColumn="1" w:lastColumn="0" w:noHBand="0" w:noVBand="1"/>
      </w:tblPr>
      <w:tblGrid>
        <w:gridCol w:w="2199"/>
        <w:gridCol w:w="1272"/>
        <w:gridCol w:w="1161"/>
        <w:gridCol w:w="1217"/>
      </w:tblGrid>
      <w:tr w:rsidR="009C7051" w:rsidRPr="005269E6" w14:paraId="38081601" w14:textId="77777777" w:rsidTr="009F14F8">
        <w:trPr>
          <w:trHeight w:val="300"/>
          <w:jc w:val="center"/>
        </w:trPr>
        <w:tc>
          <w:tcPr>
            <w:tcW w:w="2199" w:type="dxa"/>
            <w:tcBorders>
              <w:top w:val="nil"/>
              <w:left w:val="nil"/>
              <w:bottom w:val="nil"/>
              <w:right w:val="nil"/>
            </w:tcBorders>
            <w:shd w:val="clear" w:color="000000" w:fill="0070C0"/>
            <w:noWrap/>
            <w:vAlign w:val="bottom"/>
            <w:hideMark/>
          </w:tcPr>
          <w:p w14:paraId="573768E9" w14:textId="77777777" w:rsidR="009C7051" w:rsidRPr="005269E6" w:rsidRDefault="009C7051" w:rsidP="001929A3">
            <w:pPr>
              <w:tabs>
                <w:tab w:val="clear" w:pos="794"/>
              </w:tabs>
              <w:spacing w:before="20" w:after="2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w:t>
            </w:r>
          </w:p>
        </w:tc>
        <w:tc>
          <w:tcPr>
            <w:tcW w:w="3650" w:type="dxa"/>
            <w:gridSpan w:val="3"/>
            <w:tcBorders>
              <w:top w:val="nil"/>
              <w:left w:val="nil"/>
              <w:bottom w:val="nil"/>
              <w:right w:val="nil"/>
            </w:tcBorders>
            <w:shd w:val="clear" w:color="000000" w:fill="0070C0"/>
            <w:noWrap/>
            <w:vAlign w:val="bottom"/>
            <w:hideMark/>
          </w:tcPr>
          <w:p w14:paraId="03C096D4" w14:textId="77777777" w:rsidR="009C7051" w:rsidRPr="005269E6" w:rsidRDefault="009C7051"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r>
      <w:tr w:rsidR="003A606A" w:rsidRPr="005269E6" w14:paraId="2BF25AC5" w14:textId="77777777" w:rsidTr="009F14F8">
        <w:trPr>
          <w:trHeight w:val="540"/>
          <w:jc w:val="center"/>
        </w:trPr>
        <w:tc>
          <w:tcPr>
            <w:tcW w:w="2199" w:type="dxa"/>
            <w:tcBorders>
              <w:top w:val="nil"/>
              <w:left w:val="nil"/>
              <w:bottom w:val="nil"/>
              <w:right w:val="nil"/>
            </w:tcBorders>
            <w:shd w:val="clear" w:color="000000" w:fill="0070C0"/>
            <w:noWrap/>
            <w:vAlign w:val="bottom"/>
            <w:hideMark/>
          </w:tcPr>
          <w:p w14:paraId="2940FCDB" w14:textId="2045C125" w:rsidR="003A606A" w:rsidRPr="005269E6" w:rsidRDefault="003A606A" w:rsidP="001929A3">
            <w:pPr>
              <w:tabs>
                <w:tab w:val="clear" w:pos="794"/>
              </w:tabs>
              <w:spacing w:before="20" w:after="2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1272" w:type="dxa"/>
            <w:tcBorders>
              <w:top w:val="nil"/>
              <w:left w:val="nil"/>
              <w:bottom w:val="nil"/>
              <w:right w:val="nil"/>
            </w:tcBorders>
            <w:shd w:val="clear" w:color="000000" w:fill="0070C0"/>
            <w:vAlign w:val="bottom"/>
            <w:hideMark/>
          </w:tcPr>
          <w:p w14:paraId="3D3124E4" w14:textId="7E00989D" w:rsidR="003A606A" w:rsidRPr="005269E6" w:rsidRDefault="003A606A"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1161" w:type="dxa"/>
            <w:tcBorders>
              <w:top w:val="nil"/>
              <w:left w:val="nil"/>
              <w:bottom w:val="nil"/>
              <w:right w:val="nil"/>
            </w:tcBorders>
            <w:shd w:val="clear" w:color="000000" w:fill="0070C0"/>
            <w:vAlign w:val="bottom"/>
            <w:hideMark/>
          </w:tcPr>
          <w:p w14:paraId="216115AC" w14:textId="296AC077" w:rsidR="003A606A" w:rsidRPr="005269E6" w:rsidRDefault="003A606A"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217" w:type="dxa"/>
            <w:tcBorders>
              <w:top w:val="nil"/>
              <w:left w:val="nil"/>
              <w:bottom w:val="nil"/>
              <w:right w:val="nil"/>
            </w:tcBorders>
            <w:shd w:val="clear" w:color="000000" w:fill="0070C0"/>
            <w:vAlign w:val="bottom"/>
            <w:hideMark/>
          </w:tcPr>
          <w:p w14:paraId="24892EF8" w14:textId="1F1EADAE" w:rsidR="003A606A" w:rsidRPr="005269E6" w:rsidRDefault="003A606A"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r>
      <w:tr w:rsidR="009C7051" w:rsidRPr="005269E6" w14:paraId="62FD837F" w14:textId="77777777" w:rsidTr="009F14F8">
        <w:trPr>
          <w:trHeight w:val="255"/>
          <w:jc w:val="center"/>
        </w:trPr>
        <w:tc>
          <w:tcPr>
            <w:tcW w:w="2199" w:type="dxa"/>
            <w:tcBorders>
              <w:top w:val="nil"/>
              <w:left w:val="nil"/>
              <w:bottom w:val="nil"/>
              <w:right w:val="nil"/>
            </w:tcBorders>
            <w:shd w:val="clear" w:color="auto" w:fill="auto"/>
            <w:noWrap/>
            <w:vAlign w:val="bottom"/>
            <w:hideMark/>
          </w:tcPr>
          <w:p w14:paraId="0B90F396" w14:textId="540A9EB8" w:rsidR="009C7051" w:rsidRPr="005269E6" w:rsidRDefault="003A606A"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الاستثمارات</w:t>
            </w:r>
          </w:p>
        </w:tc>
        <w:tc>
          <w:tcPr>
            <w:tcW w:w="1272" w:type="dxa"/>
            <w:tcBorders>
              <w:top w:val="nil"/>
              <w:left w:val="nil"/>
              <w:bottom w:val="nil"/>
              <w:right w:val="nil"/>
            </w:tcBorders>
            <w:shd w:val="clear" w:color="auto" w:fill="auto"/>
            <w:noWrap/>
            <w:vAlign w:val="bottom"/>
            <w:hideMark/>
          </w:tcPr>
          <w:p w14:paraId="52DD87ED" w14:textId="378409AE" w:rsidR="009C7051" w:rsidRPr="005269E6" w:rsidRDefault="009C7051" w:rsidP="001929A3">
            <w:pPr>
              <w:tabs>
                <w:tab w:val="clear" w:pos="794"/>
              </w:tabs>
              <w:spacing w:before="20" w:after="20" w:line="240" w:lineRule="exact"/>
              <w:jc w:val="left"/>
              <w:rPr>
                <w:rFonts w:eastAsia="Times New Roman"/>
                <w:color w:val="000000"/>
                <w:sz w:val="18"/>
                <w:szCs w:val="18"/>
                <w:lang w:eastAsia="en-GB"/>
              </w:rPr>
            </w:pPr>
            <w:r w:rsidRPr="005269E6">
              <w:rPr>
                <w:rFonts w:eastAsia="Times New Roman"/>
                <w:color w:val="000000"/>
                <w:sz w:val="18"/>
                <w:szCs w:val="18"/>
                <w:lang w:val="en-GB" w:eastAsia="en-GB"/>
              </w:rPr>
              <w:t>550</w:t>
            </w:r>
          </w:p>
        </w:tc>
        <w:tc>
          <w:tcPr>
            <w:tcW w:w="1161" w:type="dxa"/>
            <w:tcBorders>
              <w:top w:val="nil"/>
              <w:left w:val="nil"/>
              <w:bottom w:val="nil"/>
              <w:right w:val="nil"/>
            </w:tcBorders>
            <w:shd w:val="clear" w:color="auto" w:fill="auto"/>
            <w:noWrap/>
            <w:vAlign w:val="bottom"/>
            <w:hideMark/>
          </w:tcPr>
          <w:p w14:paraId="17B45F0D" w14:textId="090B4C13" w:rsidR="009C7051" w:rsidRPr="005269E6" w:rsidRDefault="009C7051"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(399)</w:t>
            </w:r>
          </w:p>
        </w:tc>
        <w:tc>
          <w:tcPr>
            <w:tcW w:w="1217" w:type="dxa"/>
            <w:tcBorders>
              <w:top w:val="nil"/>
              <w:left w:val="nil"/>
              <w:bottom w:val="nil"/>
              <w:right w:val="nil"/>
            </w:tcBorders>
            <w:shd w:val="clear" w:color="auto" w:fill="auto"/>
            <w:noWrap/>
            <w:vAlign w:val="bottom"/>
            <w:hideMark/>
          </w:tcPr>
          <w:p w14:paraId="7DAF21ED" w14:textId="12117642" w:rsidR="009C7051" w:rsidRPr="005269E6" w:rsidRDefault="00353FAC"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211</w:t>
            </w:r>
          </w:p>
        </w:tc>
      </w:tr>
      <w:tr w:rsidR="009C7051" w:rsidRPr="005269E6" w14:paraId="484928DB" w14:textId="77777777" w:rsidTr="009F14F8">
        <w:trPr>
          <w:trHeight w:val="255"/>
          <w:jc w:val="center"/>
        </w:trPr>
        <w:tc>
          <w:tcPr>
            <w:tcW w:w="2199" w:type="dxa"/>
            <w:tcBorders>
              <w:top w:val="nil"/>
              <w:left w:val="nil"/>
              <w:bottom w:val="nil"/>
              <w:right w:val="nil"/>
            </w:tcBorders>
            <w:shd w:val="clear" w:color="auto" w:fill="auto"/>
            <w:noWrap/>
            <w:vAlign w:val="bottom"/>
            <w:hideMark/>
          </w:tcPr>
          <w:p w14:paraId="32AA869D" w14:textId="78F19DA7" w:rsidR="009C7051" w:rsidRPr="005269E6" w:rsidRDefault="003A606A"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الفوائض المتراكمة</w:t>
            </w:r>
          </w:p>
        </w:tc>
        <w:tc>
          <w:tcPr>
            <w:tcW w:w="1272" w:type="dxa"/>
            <w:tcBorders>
              <w:top w:val="nil"/>
              <w:left w:val="nil"/>
              <w:bottom w:val="nil"/>
              <w:right w:val="nil"/>
            </w:tcBorders>
            <w:shd w:val="clear" w:color="auto" w:fill="auto"/>
            <w:noWrap/>
            <w:vAlign w:val="bottom"/>
            <w:hideMark/>
          </w:tcPr>
          <w:p w14:paraId="52FB08F4" w14:textId="3176CF42" w:rsidR="009C7051" w:rsidRPr="005269E6" w:rsidRDefault="009C7051" w:rsidP="001929A3">
            <w:pPr>
              <w:tabs>
                <w:tab w:val="clear" w:pos="794"/>
              </w:tabs>
              <w:spacing w:before="20" w:after="20" w:line="240" w:lineRule="exact"/>
              <w:jc w:val="left"/>
              <w:rPr>
                <w:rFonts w:eastAsia="Times New Roman"/>
                <w:color w:val="000000"/>
                <w:sz w:val="18"/>
                <w:szCs w:val="18"/>
                <w:lang w:val="en-GB" w:eastAsia="en-GB"/>
              </w:rPr>
            </w:pPr>
          </w:p>
        </w:tc>
        <w:tc>
          <w:tcPr>
            <w:tcW w:w="1161" w:type="dxa"/>
            <w:tcBorders>
              <w:top w:val="nil"/>
              <w:left w:val="nil"/>
              <w:bottom w:val="nil"/>
              <w:right w:val="nil"/>
            </w:tcBorders>
            <w:shd w:val="clear" w:color="auto" w:fill="auto"/>
            <w:noWrap/>
            <w:vAlign w:val="bottom"/>
            <w:hideMark/>
          </w:tcPr>
          <w:p w14:paraId="03936345" w14:textId="33D7F50C" w:rsidR="009C7051" w:rsidRPr="005269E6" w:rsidRDefault="009C7051"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399</w:t>
            </w:r>
          </w:p>
        </w:tc>
        <w:tc>
          <w:tcPr>
            <w:tcW w:w="1217" w:type="dxa"/>
            <w:tcBorders>
              <w:top w:val="nil"/>
              <w:left w:val="nil"/>
              <w:bottom w:val="nil"/>
              <w:right w:val="nil"/>
            </w:tcBorders>
            <w:shd w:val="clear" w:color="auto" w:fill="auto"/>
            <w:noWrap/>
            <w:vAlign w:val="bottom"/>
            <w:hideMark/>
          </w:tcPr>
          <w:p w14:paraId="4853ED63" w14:textId="62EE4E57" w:rsidR="009C7051" w:rsidRPr="005269E6" w:rsidRDefault="009C7051" w:rsidP="001929A3">
            <w:pPr>
              <w:tabs>
                <w:tab w:val="clear" w:pos="794"/>
              </w:tabs>
              <w:spacing w:before="20" w:after="20" w:line="240" w:lineRule="exact"/>
              <w:jc w:val="left"/>
              <w:rPr>
                <w:rFonts w:eastAsia="Times New Roman"/>
                <w:color w:val="000000"/>
                <w:sz w:val="18"/>
                <w:szCs w:val="18"/>
                <w:rtl/>
                <w:lang w:val="en-GB" w:eastAsia="en-GB" w:bidi="ar-EG"/>
              </w:rPr>
            </w:pPr>
            <w:r w:rsidRPr="005269E6">
              <w:rPr>
                <w:rFonts w:eastAsia="Times New Roman"/>
                <w:color w:val="000000"/>
                <w:sz w:val="18"/>
                <w:szCs w:val="18"/>
                <w:lang w:val="en-GB" w:eastAsia="en-GB"/>
              </w:rPr>
              <w:t>339</w:t>
            </w:r>
          </w:p>
        </w:tc>
      </w:tr>
    </w:tbl>
    <w:p w14:paraId="69065585" w14:textId="6D98EC84" w:rsidR="009C7051" w:rsidRPr="005269E6" w:rsidRDefault="009C7051" w:rsidP="00475CA6">
      <w:pPr>
        <w:pStyle w:val="Headingb"/>
        <w:rPr>
          <w:b w:val="0"/>
          <w:bCs w:val="0"/>
          <w:rtl/>
        </w:rPr>
      </w:pPr>
      <w:r w:rsidRPr="005269E6">
        <w:t>9</w:t>
      </w:r>
      <w:r w:rsidRPr="005269E6">
        <w:rPr>
          <w:rtl/>
        </w:rPr>
        <w:tab/>
      </w:r>
      <w:r w:rsidR="008C5DFB" w:rsidRPr="005269E6">
        <w:rPr>
          <w:rtl/>
        </w:rPr>
        <w:t>ضرائب الولايات المتحدة</w:t>
      </w:r>
    </w:p>
    <w:p w14:paraId="6B7442BB" w14:textId="2B8367CF" w:rsidR="008C5DFB" w:rsidRPr="005269E6" w:rsidRDefault="005969D7" w:rsidP="005969D7">
      <w:pPr>
        <w:spacing w:after="120"/>
        <w:rPr>
          <w:rtl/>
        </w:rPr>
      </w:pPr>
      <w:r w:rsidRPr="005269E6">
        <w:rPr>
          <w:rtl/>
        </w:rPr>
        <w:t>يتعين على جميع مواطني الولايات المتحدة دفع ضرائب الدخل إلى إدارة الضرائب الأمريكية على دخلهم الناتج في جميع أنحاء العالم. ويدفع الاتحاد س</w:t>
      </w:r>
      <w:r w:rsidRPr="005269E6">
        <w:rPr>
          <w:rFonts w:hint="cs"/>
          <w:rtl/>
        </w:rPr>
        <w:t>ُ</w:t>
      </w:r>
      <w:r w:rsidRPr="005269E6">
        <w:rPr>
          <w:rtl/>
        </w:rPr>
        <w:t>ل</w:t>
      </w:r>
      <w:r w:rsidRPr="005269E6">
        <w:rPr>
          <w:rFonts w:hint="cs"/>
          <w:rtl/>
        </w:rPr>
        <w:t>َ</w:t>
      </w:r>
      <w:r w:rsidRPr="005269E6">
        <w:rPr>
          <w:rtl/>
        </w:rPr>
        <w:t>فاً للموظفين المستحقين في الولايات المتحدة لدفع الضرائب المستحقة عليهم ويتلقى بعد ذلك المبالغ المستردة من إدارة الضرائب الأمريكية. ومع ذلك، كما هو الحال بالنسبة لجميع منظمات الأمم المتحدة، فإن الأساس الذي تستخدمه إدارة الضرائب الأمريكية لاسترداد الأموال يختلف عن الأساس المستخدم لحساب السلف التي يدفعها الاتحاد الدولي للاتصالات، مما يؤدي إلى حدوث فرق بالنسبة للاتحاد. وقد س</w:t>
      </w:r>
      <w:r w:rsidRPr="005269E6">
        <w:rPr>
          <w:rFonts w:hint="cs"/>
          <w:rtl/>
        </w:rPr>
        <w:t>ُ</w:t>
      </w:r>
      <w:r w:rsidRPr="005269E6">
        <w:rPr>
          <w:rtl/>
        </w:rPr>
        <w:t xml:space="preserve">جل هذا الفرق </w:t>
      </w:r>
      <w:r w:rsidRPr="005269E6">
        <w:rPr>
          <w:rFonts w:hint="cs"/>
          <w:rtl/>
        </w:rPr>
        <w:t>كذمة مدينة</w:t>
      </w:r>
      <w:r w:rsidRPr="005269E6">
        <w:rPr>
          <w:rtl/>
        </w:rPr>
        <w:t xml:space="preserve"> تجاه إدارة الضرائب الأمريكية لا</w:t>
      </w:r>
      <w:r w:rsidR="001929A3" w:rsidRPr="005269E6">
        <w:rPr>
          <w:rFonts w:hint="cs"/>
          <w:rtl/>
        </w:rPr>
        <w:t> </w:t>
      </w:r>
      <w:r w:rsidRPr="005269E6">
        <w:rPr>
          <w:rtl/>
        </w:rPr>
        <w:t>يمكن للاتحاد استردادها. ونتيجة لذلك، س</w:t>
      </w:r>
      <w:r w:rsidRPr="005269E6">
        <w:rPr>
          <w:rFonts w:hint="cs"/>
          <w:rtl/>
        </w:rPr>
        <w:t>ُ</w:t>
      </w:r>
      <w:r w:rsidRPr="005269E6">
        <w:rPr>
          <w:rtl/>
        </w:rPr>
        <w:t>جل انخفاض في قيمة الذمم المدينة القائمة في نهاية عامي 2020 و2021.</w:t>
      </w:r>
    </w:p>
    <w:tbl>
      <w:tblPr>
        <w:bidiVisual/>
        <w:tblW w:w="5000" w:type="pct"/>
        <w:tblLook w:val="04A0" w:firstRow="1" w:lastRow="0" w:firstColumn="1" w:lastColumn="0" w:noHBand="0" w:noVBand="1"/>
      </w:tblPr>
      <w:tblGrid>
        <w:gridCol w:w="2198"/>
        <w:gridCol w:w="1272"/>
        <w:gridCol w:w="1161"/>
        <w:gridCol w:w="1217"/>
        <w:gridCol w:w="308"/>
        <w:gridCol w:w="1286"/>
        <w:gridCol w:w="1146"/>
        <w:gridCol w:w="1051"/>
      </w:tblGrid>
      <w:tr w:rsidR="00B153CF" w:rsidRPr="005269E6" w14:paraId="7418A414" w14:textId="77777777" w:rsidTr="00666023">
        <w:trPr>
          <w:trHeight w:val="300"/>
        </w:trPr>
        <w:tc>
          <w:tcPr>
            <w:tcW w:w="2198" w:type="dxa"/>
            <w:tcBorders>
              <w:top w:val="nil"/>
              <w:left w:val="nil"/>
              <w:bottom w:val="nil"/>
              <w:right w:val="nil"/>
            </w:tcBorders>
            <w:shd w:val="clear" w:color="000000" w:fill="0070C0"/>
            <w:noWrap/>
            <w:vAlign w:val="bottom"/>
            <w:hideMark/>
          </w:tcPr>
          <w:p w14:paraId="2BB02B52" w14:textId="77777777" w:rsidR="00B153CF" w:rsidRPr="005269E6" w:rsidRDefault="00B153CF" w:rsidP="001929A3">
            <w:pPr>
              <w:tabs>
                <w:tab w:val="clear" w:pos="794"/>
              </w:tabs>
              <w:spacing w:before="20" w:after="2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w:t>
            </w:r>
          </w:p>
        </w:tc>
        <w:tc>
          <w:tcPr>
            <w:tcW w:w="3650" w:type="dxa"/>
            <w:gridSpan w:val="3"/>
            <w:tcBorders>
              <w:top w:val="nil"/>
              <w:left w:val="nil"/>
              <w:bottom w:val="nil"/>
              <w:right w:val="nil"/>
            </w:tcBorders>
            <w:shd w:val="clear" w:color="000000" w:fill="0070C0"/>
            <w:noWrap/>
            <w:vAlign w:val="bottom"/>
            <w:hideMark/>
          </w:tcPr>
          <w:p w14:paraId="207AA063" w14:textId="77777777" w:rsidR="00B153CF" w:rsidRPr="005269E6" w:rsidRDefault="00B153CF"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c>
          <w:tcPr>
            <w:tcW w:w="308" w:type="dxa"/>
            <w:tcBorders>
              <w:top w:val="nil"/>
              <w:left w:val="nil"/>
              <w:bottom w:val="nil"/>
              <w:right w:val="nil"/>
            </w:tcBorders>
            <w:shd w:val="clear" w:color="000000" w:fill="0070C0"/>
            <w:noWrap/>
            <w:vAlign w:val="bottom"/>
            <w:hideMark/>
          </w:tcPr>
          <w:p w14:paraId="1B67C744" w14:textId="77777777"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3483" w:type="dxa"/>
            <w:gridSpan w:val="3"/>
            <w:tcBorders>
              <w:top w:val="nil"/>
              <w:left w:val="nil"/>
              <w:bottom w:val="nil"/>
              <w:right w:val="nil"/>
            </w:tcBorders>
            <w:shd w:val="clear" w:color="000000" w:fill="0070C0"/>
            <w:noWrap/>
            <w:vAlign w:val="bottom"/>
            <w:hideMark/>
          </w:tcPr>
          <w:p w14:paraId="7754323F" w14:textId="77777777" w:rsidR="00B153CF" w:rsidRPr="005269E6" w:rsidRDefault="00B153CF"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5969D7" w:rsidRPr="005269E6" w14:paraId="34E5E8DB" w14:textId="77777777" w:rsidTr="00966D05">
        <w:trPr>
          <w:trHeight w:val="540"/>
        </w:trPr>
        <w:tc>
          <w:tcPr>
            <w:tcW w:w="2198" w:type="dxa"/>
            <w:tcBorders>
              <w:top w:val="nil"/>
              <w:left w:val="nil"/>
              <w:bottom w:val="nil"/>
              <w:right w:val="nil"/>
            </w:tcBorders>
            <w:shd w:val="clear" w:color="000000" w:fill="0070C0"/>
            <w:noWrap/>
            <w:vAlign w:val="bottom"/>
            <w:hideMark/>
          </w:tcPr>
          <w:p w14:paraId="705B8395" w14:textId="3869693B" w:rsidR="005969D7" w:rsidRPr="005269E6" w:rsidRDefault="005969D7" w:rsidP="001929A3">
            <w:pPr>
              <w:tabs>
                <w:tab w:val="clear" w:pos="794"/>
              </w:tabs>
              <w:spacing w:before="20" w:after="2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1272" w:type="dxa"/>
            <w:tcBorders>
              <w:top w:val="nil"/>
              <w:left w:val="nil"/>
              <w:bottom w:val="nil"/>
              <w:right w:val="nil"/>
            </w:tcBorders>
            <w:shd w:val="clear" w:color="000000" w:fill="0070C0"/>
            <w:vAlign w:val="bottom"/>
            <w:hideMark/>
          </w:tcPr>
          <w:p w14:paraId="01D3CFC3" w14:textId="1CBE01AB" w:rsidR="005969D7" w:rsidRPr="005269E6" w:rsidRDefault="005969D7"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1161" w:type="dxa"/>
            <w:tcBorders>
              <w:top w:val="nil"/>
              <w:left w:val="nil"/>
              <w:bottom w:val="nil"/>
              <w:right w:val="nil"/>
            </w:tcBorders>
            <w:shd w:val="clear" w:color="000000" w:fill="0070C0"/>
            <w:vAlign w:val="bottom"/>
            <w:hideMark/>
          </w:tcPr>
          <w:p w14:paraId="35D61D38" w14:textId="3FB24ABA" w:rsidR="005969D7" w:rsidRPr="005269E6" w:rsidRDefault="005969D7"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217" w:type="dxa"/>
            <w:tcBorders>
              <w:top w:val="nil"/>
              <w:left w:val="nil"/>
              <w:bottom w:val="nil"/>
              <w:right w:val="nil"/>
            </w:tcBorders>
            <w:shd w:val="clear" w:color="000000" w:fill="0070C0"/>
            <w:vAlign w:val="bottom"/>
            <w:hideMark/>
          </w:tcPr>
          <w:p w14:paraId="722BBBB8" w14:textId="76F9AEE5" w:rsidR="005969D7" w:rsidRPr="005269E6" w:rsidRDefault="005969D7"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c>
          <w:tcPr>
            <w:tcW w:w="308" w:type="dxa"/>
            <w:tcBorders>
              <w:top w:val="nil"/>
              <w:left w:val="nil"/>
              <w:bottom w:val="nil"/>
              <w:right w:val="nil"/>
            </w:tcBorders>
            <w:shd w:val="clear" w:color="000000" w:fill="0070C0"/>
            <w:noWrap/>
            <w:vAlign w:val="bottom"/>
            <w:hideMark/>
          </w:tcPr>
          <w:p w14:paraId="12CD728A" w14:textId="08817C87" w:rsidR="005969D7" w:rsidRPr="005269E6" w:rsidRDefault="005969D7" w:rsidP="001929A3">
            <w:pPr>
              <w:tabs>
                <w:tab w:val="clear" w:pos="794"/>
              </w:tabs>
              <w:spacing w:before="20" w:after="2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000000" w:fill="0070C0"/>
            <w:vAlign w:val="bottom"/>
            <w:hideMark/>
          </w:tcPr>
          <w:p w14:paraId="6EAFD2CD" w14:textId="22B5DC98" w:rsidR="005969D7" w:rsidRPr="005269E6" w:rsidRDefault="005969D7"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w:t>
            </w:r>
            <w:r w:rsidRPr="005269E6">
              <w:rPr>
                <w:rFonts w:eastAsia="Times New Roman" w:hint="cs"/>
                <w:b/>
                <w:bCs/>
                <w:color w:val="000000"/>
                <w:sz w:val="18"/>
                <w:szCs w:val="18"/>
                <w:rtl/>
                <w:lang w:val="en-GB" w:eastAsia="en-GB"/>
              </w:rPr>
              <w:t>1</w:t>
            </w:r>
          </w:p>
        </w:tc>
        <w:tc>
          <w:tcPr>
            <w:tcW w:w="1146" w:type="dxa"/>
            <w:tcBorders>
              <w:top w:val="nil"/>
              <w:left w:val="nil"/>
              <w:bottom w:val="nil"/>
              <w:right w:val="nil"/>
            </w:tcBorders>
            <w:shd w:val="clear" w:color="000000" w:fill="0070C0"/>
            <w:vAlign w:val="bottom"/>
            <w:hideMark/>
          </w:tcPr>
          <w:p w14:paraId="6A36E4ED" w14:textId="67F15792" w:rsidR="005969D7" w:rsidRPr="005269E6" w:rsidRDefault="005969D7"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051" w:type="dxa"/>
            <w:tcBorders>
              <w:top w:val="nil"/>
              <w:left w:val="nil"/>
              <w:bottom w:val="nil"/>
              <w:right w:val="nil"/>
            </w:tcBorders>
            <w:shd w:val="clear" w:color="000000" w:fill="0070C0"/>
            <w:vAlign w:val="bottom"/>
            <w:hideMark/>
          </w:tcPr>
          <w:p w14:paraId="56F94C03" w14:textId="63B77A5B" w:rsidR="005969D7" w:rsidRPr="005269E6" w:rsidRDefault="005969D7"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r>
      <w:tr w:rsidR="00B153CF" w:rsidRPr="005269E6" w14:paraId="138C9490" w14:textId="77777777" w:rsidTr="00666023">
        <w:trPr>
          <w:trHeight w:val="255"/>
        </w:trPr>
        <w:tc>
          <w:tcPr>
            <w:tcW w:w="2198" w:type="dxa"/>
            <w:tcBorders>
              <w:top w:val="nil"/>
              <w:left w:val="nil"/>
              <w:bottom w:val="nil"/>
              <w:right w:val="nil"/>
            </w:tcBorders>
            <w:shd w:val="clear" w:color="auto" w:fill="auto"/>
            <w:noWrap/>
            <w:vAlign w:val="bottom"/>
            <w:hideMark/>
          </w:tcPr>
          <w:p w14:paraId="7322E442" w14:textId="228A4AB9" w:rsidR="00B153CF" w:rsidRPr="005269E6" w:rsidRDefault="000314A1"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نفقات</w:t>
            </w:r>
            <w:r w:rsidR="00B153CF" w:rsidRPr="005269E6">
              <w:rPr>
                <w:rFonts w:eastAsia="Times New Roman" w:hint="cs"/>
                <w:color w:val="000000"/>
                <w:sz w:val="18"/>
                <w:szCs w:val="18"/>
                <w:rtl/>
                <w:lang w:val="en-GB" w:eastAsia="en-GB"/>
              </w:rPr>
              <w:t xml:space="preserve"> </w:t>
            </w:r>
            <w:r w:rsidRPr="005269E6">
              <w:rPr>
                <w:rFonts w:eastAsia="Times New Roman"/>
                <w:color w:val="000000"/>
                <w:sz w:val="18"/>
                <w:szCs w:val="18"/>
                <w:rtl/>
                <w:lang w:val="en-GB" w:eastAsia="en-GB"/>
              </w:rPr>
              <w:t>انخفاض</w:t>
            </w:r>
            <w:r w:rsidRPr="005269E6">
              <w:rPr>
                <w:sz w:val="18"/>
                <w:szCs w:val="18"/>
                <w:rtl/>
              </w:rPr>
              <w:t xml:space="preserve"> </w:t>
            </w:r>
            <w:r w:rsidRPr="005269E6">
              <w:rPr>
                <w:rFonts w:hint="cs"/>
                <w:sz w:val="18"/>
                <w:szCs w:val="18"/>
                <w:rtl/>
              </w:rPr>
              <w:t>ال</w:t>
            </w:r>
            <w:r w:rsidRPr="005269E6">
              <w:rPr>
                <w:sz w:val="18"/>
                <w:szCs w:val="18"/>
                <w:rtl/>
                <w:lang w:val="en-GB" w:eastAsia="en-GB"/>
              </w:rPr>
              <w:t>قيمة</w:t>
            </w:r>
          </w:p>
        </w:tc>
        <w:tc>
          <w:tcPr>
            <w:tcW w:w="1272" w:type="dxa"/>
            <w:tcBorders>
              <w:top w:val="nil"/>
              <w:left w:val="nil"/>
              <w:bottom w:val="nil"/>
              <w:right w:val="nil"/>
            </w:tcBorders>
            <w:shd w:val="clear" w:color="auto" w:fill="auto"/>
            <w:noWrap/>
            <w:vAlign w:val="bottom"/>
            <w:hideMark/>
          </w:tcPr>
          <w:p w14:paraId="1C9BBBDA" w14:textId="57D3BBD8" w:rsidR="00B153CF" w:rsidRPr="005269E6" w:rsidRDefault="00B153CF" w:rsidP="001929A3">
            <w:pPr>
              <w:tabs>
                <w:tab w:val="clear" w:pos="794"/>
              </w:tabs>
              <w:spacing w:before="20" w:after="20" w:line="240" w:lineRule="exact"/>
              <w:jc w:val="left"/>
              <w:rPr>
                <w:rFonts w:eastAsia="Times New Roman"/>
                <w:color w:val="000000"/>
                <w:sz w:val="18"/>
                <w:szCs w:val="18"/>
                <w:lang w:eastAsia="en-GB"/>
              </w:rPr>
            </w:pPr>
            <w:r w:rsidRPr="005269E6">
              <w:rPr>
                <w:rFonts w:eastAsia="Times New Roman"/>
                <w:color w:val="000000"/>
                <w:sz w:val="18"/>
                <w:szCs w:val="18"/>
                <w:lang w:val="en-GB" w:eastAsia="en-GB"/>
              </w:rPr>
              <w:t>-</w:t>
            </w:r>
          </w:p>
        </w:tc>
        <w:tc>
          <w:tcPr>
            <w:tcW w:w="1161" w:type="dxa"/>
            <w:tcBorders>
              <w:top w:val="nil"/>
              <w:left w:val="nil"/>
              <w:bottom w:val="nil"/>
              <w:right w:val="nil"/>
            </w:tcBorders>
            <w:shd w:val="clear" w:color="auto" w:fill="auto"/>
            <w:noWrap/>
            <w:vAlign w:val="bottom"/>
            <w:hideMark/>
          </w:tcPr>
          <w:p w14:paraId="1D82680C" w14:textId="28B8F3C2"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527</w:t>
            </w:r>
          </w:p>
        </w:tc>
        <w:tc>
          <w:tcPr>
            <w:tcW w:w="1217" w:type="dxa"/>
            <w:tcBorders>
              <w:top w:val="nil"/>
              <w:left w:val="nil"/>
              <w:bottom w:val="nil"/>
              <w:right w:val="nil"/>
            </w:tcBorders>
            <w:shd w:val="clear" w:color="auto" w:fill="auto"/>
            <w:noWrap/>
            <w:vAlign w:val="bottom"/>
            <w:hideMark/>
          </w:tcPr>
          <w:p w14:paraId="2EDE63A3" w14:textId="5FD79EE4"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527</w:t>
            </w:r>
          </w:p>
        </w:tc>
        <w:tc>
          <w:tcPr>
            <w:tcW w:w="308" w:type="dxa"/>
            <w:tcBorders>
              <w:top w:val="nil"/>
              <w:left w:val="nil"/>
              <w:bottom w:val="nil"/>
              <w:right w:val="nil"/>
            </w:tcBorders>
            <w:shd w:val="clear" w:color="auto" w:fill="auto"/>
            <w:noWrap/>
            <w:vAlign w:val="bottom"/>
            <w:hideMark/>
          </w:tcPr>
          <w:p w14:paraId="24A11E70" w14:textId="77777777"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auto" w:fill="auto"/>
            <w:noWrap/>
            <w:vAlign w:val="bottom"/>
            <w:hideMark/>
          </w:tcPr>
          <w:p w14:paraId="54196755" w14:textId="4CC5FA1D"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46" w:type="dxa"/>
            <w:tcBorders>
              <w:top w:val="nil"/>
              <w:left w:val="nil"/>
              <w:bottom w:val="nil"/>
              <w:right w:val="nil"/>
            </w:tcBorders>
            <w:shd w:val="clear" w:color="auto" w:fill="auto"/>
            <w:noWrap/>
            <w:vAlign w:val="bottom"/>
            <w:hideMark/>
          </w:tcPr>
          <w:p w14:paraId="6D9E0E01" w14:textId="325467E0"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92</w:t>
            </w:r>
          </w:p>
        </w:tc>
        <w:tc>
          <w:tcPr>
            <w:tcW w:w="1051" w:type="dxa"/>
            <w:tcBorders>
              <w:top w:val="nil"/>
              <w:left w:val="nil"/>
              <w:bottom w:val="nil"/>
              <w:right w:val="nil"/>
            </w:tcBorders>
            <w:shd w:val="clear" w:color="auto" w:fill="auto"/>
            <w:noWrap/>
            <w:vAlign w:val="bottom"/>
            <w:hideMark/>
          </w:tcPr>
          <w:p w14:paraId="638C2C4E" w14:textId="253C6008"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92</w:t>
            </w:r>
          </w:p>
        </w:tc>
      </w:tr>
      <w:tr w:rsidR="00B153CF" w:rsidRPr="005269E6" w14:paraId="78EEEBED" w14:textId="77777777" w:rsidTr="00666023">
        <w:trPr>
          <w:trHeight w:val="255"/>
        </w:trPr>
        <w:tc>
          <w:tcPr>
            <w:tcW w:w="2198" w:type="dxa"/>
            <w:tcBorders>
              <w:top w:val="nil"/>
              <w:left w:val="nil"/>
              <w:bottom w:val="nil"/>
              <w:right w:val="nil"/>
            </w:tcBorders>
            <w:shd w:val="clear" w:color="auto" w:fill="auto"/>
            <w:noWrap/>
            <w:vAlign w:val="bottom"/>
            <w:hideMark/>
          </w:tcPr>
          <w:p w14:paraId="132C2531" w14:textId="7A1E66A3" w:rsidR="00B153CF" w:rsidRPr="005269E6" w:rsidRDefault="000314A1"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w:t>
            </w:r>
            <w:r w:rsidRPr="005269E6">
              <w:rPr>
                <w:rFonts w:eastAsia="Times New Roman" w:hint="cs"/>
                <w:color w:val="000000"/>
                <w:sz w:val="18"/>
                <w:szCs w:val="18"/>
                <w:rtl/>
                <w:lang w:val="en-GB" w:eastAsia="en-GB"/>
              </w:rPr>
              <w:t xml:space="preserve"> الأخرى</w:t>
            </w:r>
          </w:p>
        </w:tc>
        <w:tc>
          <w:tcPr>
            <w:tcW w:w="1272" w:type="dxa"/>
            <w:tcBorders>
              <w:top w:val="nil"/>
              <w:left w:val="nil"/>
              <w:bottom w:val="nil"/>
              <w:right w:val="nil"/>
            </w:tcBorders>
            <w:shd w:val="clear" w:color="auto" w:fill="auto"/>
            <w:noWrap/>
            <w:vAlign w:val="bottom"/>
            <w:hideMark/>
          </w:tcPr>
          <w:p w14:paraId="1F9B8A37" w14:textId="5C7B2AB8"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527</w:t>
            </w:r>
          </w:p>
        </w:tc>
        <w:tc>
          <w:tcPr>
            <w:tcW w:w="1161" w:type="dxa"/>
            <w:tcBorders>
              <w:top w:val="nil"/>
              <w:left w:val="nil"/>
              <w:bottom w:val="nil"/>
              <w:right w:val="nil"/>
            </w:tcBorders>
            <w:shd w:val="clear" w:color="auto" w:fill="auto"/>
            <w:noWrap/>
            <w:vAlign w:val="bottom"/>
            <w:hideMark/>
          </w:tcPr>
          <w:p w14:paraId="2D122969" w14:textId="0BAF2D93"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(527)</w:t>
            </w:r>
          </w:p>
        </w:tc>
        <w:tc>
          <w:tcPr>
            <w:tcW w:w="1217" w:type="dxa"/>
            <w:tcBorders>
              <w:top w:val="nil"/>
              <w:left w:val="nil"/>
              <w:bottom w:val="nil"/>
              <w:right w:val="nil"/>
            </w:tcBorders>
            <w:shd w:val="clear" w:color="auto" w:fill="auto"/>
            <w:noWrap/>
            <w:vAlign w:val="bottom"/>
            <w:hideMark/>
          </w:tcPr>
          <w:p w14:paraId="2CCB7B49" w14:textId="31C6D4F0"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308" w:type="dxa"/>
            <w:tcBorders>
              <w:top w:val="nil"/>
              <w:left w:val="nil"/>
              <w:bottom w:val="nil"/>
              <w:right w:val="nil"/>
            </w:tcBorders>
            <w:shd w:val="clear" w:color="auto" w:fill="auto"/>
            <w:noWrap/>
            <w:vAlign w:val="bottom"/>
            <w:hideMark/>
          </w:tcPr>
          <w:p w14:paraId="154566B4" w14:textId="49BA9E79"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auto" w:fill="auto"/>
            <w:noWrap/>
            <w:vAlign w:val="bottom"/>
            <w:hideMark/>
          </w:tcPr>
          <w:p w14:paraId="2281D04C" w14:textId="4DF3998E" w:rsidR="00B153CF" w:rsidRPr="005269E6" w:rsidRDefault="00B153CF" w:rsidP="001929A3">
            <w:pPr>
              <w:tabs>
                <w:tab w:val="clear" w:pos="794"/>
              </w:tabs>
              <w:spacing w:before="20" w:after="20" w:line="240" w:lineRule="exact"/>
              <w:jc w:val="left"/>
              <w:rPr>
                <w:rFonts w:eastAsia="Times New Roman"/>
                <w:sz w:val="18"/>
                <w:szCs w:val="18"/>
                <w:lang w:val="en-GB" w:eastAsia="en-GB"/>
              </w:rPr>
            </w:pPr>
            <w:r w:rsidRPr="005269E6">
              <w:rPr>
                <w:rFonts w:eastAsia="Times New Roman"/>
                <w:sz w:val="18"/>
                <w:szCs w:val="18"/>
                <w:lang w:val="en-GB" w:eastAsia="en-GB"/>
              </w:rPr>
              <w:t>92</w:t>
            </w:r>
          </w:p>
        </w:tc>
        <w:tc>
          <w:tcPr>
            <w:tcW w:w="1146" w:type="dxa"/>
            <w:tcBorders>
              <w:top w:val="nil"/>
              <w:left w:val="nil"/>
              <w:bottom w:val="nil"/>
              <w:right w:val="nil"/>
            </w:tcBorders>
            <w:shd w:val="clear" w:color="auto" w:fill="auto"/>
            <w:noWrap/>
            <w:vAlign w:val="bottom"/>
            <w:hideMark/>
          </w:tcPr>
          <w:p w14:paraId="6920C355" w14:textId="0B9C5847"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(92)</w:t>
            </w:r>
          </w:p>
        </w:tc>
        <w:tc>
          <w:tcPr>
            <w:tcW w:w="1051" w:type="dxa"/>
            <w:tcBorders>
              <w:top w:val="nil"/>
              <w:left w:val="nil"/>
              <w:bottom w:val="nil"/>
              <w:right w:val="nil"/>
            </w:tcBorders>
            <w:shd w:val="clear" w:color="auto" w:fill="auto"/>
            <w:noWrap/>
            <w:vAlign w:val="bottom"/>
            <w:hideMark/>
          </w:tcPr>
          <w:p w14:paraId="28F277E9" w14:textId="1A54D157" w:rsidR="00B153CF" w:rsidRPr="005269E6" w:rsidRDefault="00B153CF"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bl>
    <w:p w14:paraId="6BC83884" w14:textId="2B7C66AC" w:rsidR="008B521A" w:rsidRPr="005269E6" w:rsidRDefault="008B521A" w:rsidP="00027E2C">
      <w:pPr>
        <w:pStyle w:val="Headingb"/>
        <w:rPr>
          <w:b w:val="0"/>
          <w:bCs w:val="0"/>
          <w:rtl/>
        </w:rPr>
      </w:pPr>
      <w:r w:rsidRPr="005269E6">
        <w:t>10</w:t>
      </w:r>
      <w:r w:rsidRPr="005269E6">
        <w:rPr>
          <w:rtl/>
        </w:rPr>
        <w:tab/>
      </w:r>
      <w:r w:rsidR="00EE3219" w:rsidRPr="005269E6">
        <w:rPr>
          <w:rtl/>
        </w:rPr>
        <w:t xml:space="preserve">أنشطة </w:t>
      </w:r>
      <w:r w:rsidR="00F90636" w:rsidRPr="005269E6">
        <w:rPr>
          <w:rtl/>
        </w:rPr>
        <w:t>تيليكوم</w:t>
      </w:r>
    </w:p>
    <w:p w14:paraId="43CD0E3D" w14:textId="59891527" w:rsidR="00EE3219" w:rsidRPr="005269E6" w:rsidRDefault="00EE3219" w:rsidP="00EE3219">
      <w:pPr>
        <w:spacing w:after="120"/>
        <w:rPr>
          <w:rtl/>
        </w:rPr>
      </w:pPr>
      <w:r w:rsidRPr="005269E6">
        <w:rPr>
          <w:rtl/>
        </w:rPr>
        <w:t>نظرا</w:t>
      </w:r>
      <w:r w:rsidR="004618B4" w:rsidRPr="005269E6">
        <w:rPr>
          <w:rFonts w:hint="cs"/>
          <w:rtl/>
        </w:rPr>
        <w:t>ً</w:t>
      </w:r>
      <w:r w:rsidRPr="005269E6">
        <w:rPr>
          <w:rtl/>
        </w:rPr>
        <w:t xml:space="preserve"> لقيود </w:t>
      </w:r>
      <w:r w:rsidRPr="005269E6">
        <w:rPr>
          <w:rFonts w:hint="cs"/>
          <w:rtl/>
        </w:rPr>
        <w:t>جائحة كوفيد-19</w:t>
      </w:r>
      <w:r w:rsidRPr="005269E6">
        <w:rPr>
          <w:rtl/>
        </w:rPr>
        <w:t>، أ</w:t>
      </w:r>
      <w:r w:rsidRPr="005269E6">
        <w:rPr>
          <w:rFonts w:hint="cs"/>
          <w:rtl/>
        </w:rPr>
        <w:t>ُ</w:t>
      </w:r>
      <w:r w:rsidRPr="005269E6">
        <w:rPr>
          <w:rtl/>
        </w:rPr>
        <w:t xml:space="preserve">لغي الحدث الذي كان </w:t>
      </w:r>
      <w:r w:rsidRPr="005269E6">
        <w:rPr>
          <w:rFonts w:hint="cs"/>
          <w:rtl/>
        </w:rPr>
        <w:t>يُ</w:t>
      </w:r>
      <w:r w:rsidRPr="005269E6">
        <w:rPr>
          <w:rtl/>
        </w:rPr>
        <w:t xml:space="preserve">توقع أن </w:t>
      </w:r>
      <w:r w:rsidRPr="005269E6">
        <w:rPr>
          <w:rFonts w:hint="cs"/>
          <w:rtl/>
        </w:rPr>
        <w:t>يقيمه</w:t>
      </w:r>
      <w:r w:rsidRPr="005269E6">
        <w:rPr>
          <w:rtl/>
        </w:rPr>
        <w:t xml:space="preserve"> الاتحاد في عام 2021. غير أن الاتحاد </w:t>
      </w:r>
      <w:r w:rsidRPr="005269E6">
        <w:rPr>
          <w:rFonts w:hint="cs"/>
          <w:rtl/>
        </w:rPr>
        <w:t>ثبَّت</w:t>
      </w:r>
      <w:r w:rsidRPr="005269E6">
        <w:rPr>
          <w:rtl/>
        </w:rPr>
        <w:t xml:space="preserve"> نفقات الأمانة المتكب</w:t>
      </w:r>
      <w:r w:rsidRPr="005269E6">
        <w:rPr>
          <w:rFonts w:hint="cs"/>
          <w:rtl/>
        </w:rPr>
        <w:t>َ</w:t>
      </w:r>
      <w:r w:rsidRPr="005269E6">
        <w:rPr>
          <w:rtl/>
        </w:rPr>
        <w:t xml:space="preserve">دة في عام 2021 كسلف، مدرجة في ذمم مدينة أخرى، دون </w:t>
      </w:r>
      <w:r w:rsidRPr="005269E6">
        <w:rPr>
          <w:rFonts w:hint="cs"/>
          <w:rtl/>
        </w:rPr>
        <w:t>تحميلها</w:t>
      </w:r>
      <w:r w:rsidRPr="005269E6">
        <w:rPr>
          <w:rtl/>
        </w:rPr>
        <w:t xml:space="preserve"> </w:t>
      </w:r>
      <w:r w:rsidRPr="005269E6">
        <w:rPr>
          <w:rFonts w:hint="cs"/>
          <w:rtl/>
        </w:rPr>
        <w:t>ل</w:t>
      </w:r>
      <w:r w:rsidRPr="005269E6">
        <w:rPr>
          <w:rtl/>
        </w:rPr>
        <w:t xml:space="preserve">بيان الإيرادات للفترة. ونتيجة لذلك، سجل تصويب </w:t>
      </w:r>
      <w:r w:rsidRPr="005269E6">
        <w:rPr>
          <w:rFonts w:hint="cs"/>
          <w:rtl/>
        </w:rPr>
        <w:t>لتثبيت</w:t>
      </w:r>
      <w:r w:rsidRPr="005269E6">
        <w:rPr>
          <w:rtl/>
        </w:rPr>
        <w:t xml:space="preserve"> نفقات الأمانة عام 2021 في الفترة المناسبة.</w:t>
      </w:r>
    </w:p>
    <w:tbl>
      <w:tblPr>
        <w:bidiVisual/>
        <w:tblW w:w="5000" w:type="pct"/>
        <w:tblLook w:val="04A0" w:firstRow="1" w:lastRow="0" w:firstColumn="1" w:lastColumn="0" w:noHBand="0" w:noVBand="1"/>
      </w:tblPr>
      <w:tblGrid>
        <w:gridCol w:w="2198"/>
        <w:gridCol w:w="1272"/>
        <w:gridCol w:w="1161"/>
        <w:gridCol w:w="1217"/>
        <w:gridCol w:w="308"/>
        <w:gridCol w:w="1286"/>
        <w:gridCol w:w="1146"/>
        <w:gridCol w:w="1051"/>
      </w:tblGrid>
      <w:tr w:rsidR="008B521A" w:rsidRPr="005269E6" w14:paraId="6254E19C" w14:textId="77777777" w:rsidTr="00666023">
        <w:trPr>
          <w:trHeight w:val="300"/>
        </w:trPr>
        <w:tc>
          <w:tcPr>
            <w:tcW w:w="2198" w:type="dxa"/>
            <w:tcBorders>
              <w:top w:val="nil"/>
              <w:left w:val="nil"/>
              <w:bottom w:val="nil"/>
              <w:right w:val="nil"/>
            </w:tcBorders>
            <w:shd w:val="clear" w:color="000000" w:fill="0070C0"/>
            <w:noWrap/>
            <w:vAlign w:val="bottom"/>
            <w:hideMark/>
          </w:tcPr>
          <w:p w14:paraId="0BB361AA" w14:textId="77777777" w:rsidR="008B521A" w:rsidRPr="005269E6" w:rsidRDefault="008B521A" w:rsidP="001929A3">
            <w:pPr>
              <w:tabs>
                <w:tab w:val="clear" w:pos="794"/>
              </w:tabs>
              <w:spacing w:before="20" w:after="20" w:line="240" w:lineRule="exact"/>
              <w:jc w:val="left"/>
              <w:rPr>
                <w:rFonts w:eastAsia="Times New Roman"/>
                <w:b/>
                <w:bCs/>
                <w:color w:val="FF0000"/>
                <w:sz w:val="18"/>
                <w:szCs w:val="18"/>
                <w:lang w:val="en-GB" w:eastAsia="en-GB"/>
              </w:rPr>
            </w:pPr>
            <w:r w:rsidRPr="005269E6">
              <w:rPr>
                <w:rFonts w:eastAsia="Times New Roman"/>
                <w:b/>
                <w:bCs/>
                <w:color w:val="FF0000"/>
                <w:sz w:val="18"/>
                <w:szCs w:val="18"/>
                <w:lang w:val="en-GB" w:eastAsia="en-GB"/>
              </w:rPr>
              <w:t> </w:t>
            </w:r>
          </w:p>
        </w:tc>
        <w:tc>
          <w:tcPr>
            <w:tcW w:w="3650" w:type="dxa"/>
            <w:gridSpan w:val="3"/>
            <w:tcBorders>
              <w:top w:val="nil"/>
              <w:left w:val="nil"/>
              <w:bottom w:val="nil"/>
              <w:right w:val="nil"/>
            </w:tcBorders>
            <w:shd w:val="clear" w:color="000000" w:fill="0070C0"/>
            <w:noWrap/>
            <w:vAlign w:val="bottom"/>
            <w:hideMark/>
          </w:tcPr>
          <w:p w14:paraId="7BB67D1D" w14:textId="77777777" w:rsidR="008B521A" w:rsidRPr="005269E6" w:rsidRDefault="008B521A"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c>
          <w:tcPr>
            <w:tcW w:w="308" w:type="dxa"/>
            <w:tcBorders>
              <w:top w:val="nil"/>
              <w:left w:val="nil"/>
              <w:bottom w:val="nil"/>
              <w:right w:val="nil"/>
            </w:tcBorders>
            <w:shd w:val="clear" w:color="000000" w:fill="0070C0"/>
            <w:noWrap/>
            <w:vAlign w:val="bottom"/>
            <w:hideMark/>
          </w:tcPr>
          <w:p w14:paraId="22EAB0E1" w14:textId="77777777" w:rsidR="008B521A" w:rsidRPr="005269E6" w:rsidRDefault="008B521A"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3483" w:type="dxa"/>
            <w:gridSpan w:val="3"/>
            <w:tcBorders>
              <w:top w:val="nil"/>
              <w:left w:val="nil"/>
              <w:bottom w:val="nil"/>
              <w:right w:val="nil"/>
            </w:tcBorders>
            <w:shd w:val="clear" w:color="000000" w:fill="0070C0"/>
            <w:noWrap/>
            <w:vAlign w:val="bottom"/>
            <w:hideMark/>
          </w:tcPr>
          <w:p w14:paraId="20907E95" w14:textId="77777777" w:rsidR="008B521A" w:rsidRPr="005269E6" w:rsidRDefault="008B521A"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5969D7" w:rsidRPr="005269E6" w14:paraId="020E5481" w14:textId="77777777" w:rsidTr="00B05A3F">
        <w:trPr>
          <w:trHeight w:val="540"/>
        </w:trPr>
        <w:tc>
          <w:tcPr>
            <w:tcW w:w="2198" w:type="dxa"/>
            <w:tcBorders>
              <w:top w:val="nil"/>
              <w:left w:val="nil"/>
              <w:bottom w:val="nil"/>
              <w:right w:val="nil"/>
            </w:tcBorders>
            <w:shd w:val="clear" w:color="000000" w:fill="0070C0"/>
            <w:noWrap/>
            <w:vAlign w:val="bottom"/>
            <w:hideMark/>
          </w:tcPr>
          <w:p w14:paraId="6D600273" w14:textId="5E568A8D" w:rsidR="005969D7" w:rsidRPr="005269E6" w:rsidRDefault="005969D7" w:rsidP="001929A3">
            <w:pPr>
              <w:tabs>
                <w:tab w:val="clear" w:pos="794"/>
              </w:tabs>
              <w:spacing w:before="20" w:after="2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1272" w:type="dxa"/>
            <w:tcBorders>
              <w:top w:val="nil"/>
              <w:left w:val="nil"/>
              <w:bottom w:val="nil"/>
              <w:right w:val="nil"/>
            </w:tcBorders>
            <w:shd w:val="clear" w:color="000000" w:fill="0070C0"/>
            <w:vAlign w:val="bottom"/>
            <w:hideMark/>
          </w:tcPr>
          <w:p w14:paraId="174ADB62" w14:textId="70A29C45" w:rsidR="005969D7" w:rsidRPr="005269E6" w:rsidRDefault="005969D7"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1161" w:type="dxa"/>
            <w:tcBorders>
              <w:top w:val="nil"/>
              <w:left w:val="nil"/>
              <w:bottom w:val="nil"/>
              <w:right w:val="nil"/>
            </w:tcBorders>
            <w:shd w:val="clear" w:color="000000" w:fill="0070C0"/>
            <w:vAlign w:val="bottom"/>
            <w:hideMark/>
          </w:tcPr>
          <w:p w14:paraId="2DCEFDC4" w14:textId="49D005C3" w:rsidR="005969D7" w:rsidRPr="005269E6" w:rsidRDefault="005969D7"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217" w:type="dxa"/>
            <w:tcBorders>
              <w:top w:val="nil"/>
              <w:left w:val="nil"/>
              <w:bottom w:val="nil"/>
              <w:right w:val="nil"/>
            </w:tcBorders>
            <w:shd w:val="clear" w:color="000000" w:fill="0070C0"/>
            <w:vAlign w:val="bottom"/>
            <w:hideMark/>
          </w:tcPr>
          <w:p w14:paraId="78EA26C2" w14:textId="79BD6926" w:rsidR="005969D7" w:rsidRPr="005269E6" w:rsidRDefault="00AE6518"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c>
          <w:tcPr>
            <w:tcW w:w="308" w:type="dxa"/>
            <w:tcBorders>
              <w:top w:val="nil"/>
              <w:left w:val="nil"/>
              <w:bottom w:val="nil"/>
              <w:right w:val="nil"/>
            </w:tcBorders>
            <w:shd w:val="clear" w:color="000000" w:fill="0070C0"/>
            <w:noWrap/>
            <w:vAlign w:val="bottom"/>
            <w:hideMark/>
          </w:tcPr>
          <w:p w14:paraId="49DDE985" w14:textId="311F5A43" w:rsidR="005969D7" w:rsidRPr="005269E6" w:rsidRDefault="005969D7" w:rsidP="001929A3">
            <w:pPr>
              <w:tabs>
                <w:tab w:val="clear" w:pos="794"/>
              </w:tabs>
              <w:spacing w:before="20" w:after="2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000000" w:fill="0070C0"/>
            <w:vAlign w:val="bottom"/>
            <w:hideMark/>
          </w:tcPr>
          <w:p w14:paraId="615475B2" w14:textId="3107E587" w:rsidR="005969D7" w:rsidRPr="005269E6" w:rsidRDefault="005969D7"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w:t>
            </w:r>
            <w:r w:rsidRPr="005269E6">
              <w:rPr>
                <w:rFonts w:eastAsia="Times New Roman" w:hint="cs"/>
                <w:b/>
                <w:bCs/>
                <w:color w:val="000000"/>
                <w:sz w:val="18"/>
                <w:szCs w:val="18"/>
                <w:rtl/>
                <w:lang w:val="en-GB" w:eastAsia="en-GB"/>
              </w:rPr>
              <w:t>1</w:t>
            </w:r>
          </w:p>
        </w:tc>
        <w:tc>
          <w:tcPr>
            <w:tcW w:w="1146" w:type="dxa"/>
            <w:tcBorders>
              <w:top w:val="nil"/>
              <w:left w:val="nil"/>
              <w:bottom w:val="nil"/>
              <w:right w:val="nil"/>
            </w:tcBorders>
            <w:shd w:val="clear" w:color="000000" w:fill="0070C0"/>
            <w:vAlign w:val="bottom"/>
            <w:hideMark/>
          </w:tcPr>
          <w:p w14:paraId="00341A77" w14:textId="0C550D73" w:rsidR="005969D7" w:rsidRPr="005269E6" w:rsidRDefault="005969D7"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051" w:type="dxa"/>
            <w:tcBorders>
              <w:top w:val="nil"/>
              <w:left w:val="nil"/>
              <w:bottom w:val="nil"/>
              <w:right w:val="nil"/>
            </w:tcBorders>
            <w:shd w:val="clear" w:color="000000" w:fill="0070C0"/>
            <w:vAlign w:val="bottom"/>
            <w:hideMark/>
          </w:tcPr>
          <w:p w14:paraId="69E7F0D0" w14:textId="7605E8E1" w:rsidR="005969D7" w:rsidRPr="005269E6" w:rsidRDefault="00AE6518" w:rsidP="001929A3">
            <w:pPr>
              <w:tabs>
                <w:tab w:val="clear" w:pos="794"/>
              </w:tabs>
              <w:spacing w:before="20" w:after="2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r>
      <w:tr w:rsidR="008B521A" w:rsidRPr="005269E6" w14:paraId="62649205" w14:textId="77777777" w:rsidTr="008B521A">
        <w:trPr>
          <w:trHeight w:val="255"/>
        </w:trPr>
        <w:tc>
          <w:tcPr>
            <w:tcW w:w="2198" w:type="dxa"/>
            <w:tcBorders>
              <w:top w:val="nil"/>
              <w:left w:val="nil"/>
              <w:bottom w:val="nil"/>
              <w:right w:val="nil"/>
            </w:tcBorders>
            <w:shd w:val="clear" w:color="auto" w:fill="auto"/>
            <w:noWrap/>
            <w:vAlign w:val="bottom"/>
            <w:hideMark/>
          </w:tcPr>
          <w:p w14:paraId="7ACC7ACD" w14:textId="46C746BD" w:rsidR="008B521A" w:rsidRPr="005269E6" w:rsidRDefault="00EE3219"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نفقات</w:t>
            </w:r>
            <w:r w:rsidRPr="005269E6">
              <w:rPr>
                <w:rFonts w:eastAsia="Times New Roman" w:hint="cs"/>
                <w:color w:val="000000"/>
                <w:sz w:val="18"/>
                <w:szCs w:val="18"/>
                <w:rtl/>
                <w:lang w:val="en-GB" w:eastAsia="en-GB"/>
              </w:rPr>
              <w:t xml:space="preserve"> أخرى</w:t>
            </w:r>
          </w:p>
        </w:tc>
        <w:tc>
          <w:tcPr>
            <w:tcW w:w="1272" w:type="dxa"/>
            <w:tcBorders>
              <w:top w:val="nil"/>
              <w:left w:val="nil"/>
              <w:bottom w:val="nil"/>
              <w:right w:val="nil"/>
            </w:tcBorders>
            <w:shd w:val="clear" w:color="auto" w:fill="auto"/>
            <w:noWrap/>
            <w:vAlign w:val="bottom"/>
          </w:tcPr>
          <w:p w14:paraId="1190158C" w14:textId="7525095A" w:rsidR="008B521A" w:rsidRPr="005269E6" w:rsidRDefault="008B521A" w:rsidP="00EE4643">
            <w:pPr>
              <w:tabs>
                <w:tab w:val="clear" w:pos="794"/>
              </w:tabs>
              <w:spacing w:before="20" w:after="20" w:line="240" w:lineRule="exact"/>
              <w:jc w:val="left"/>
              <w:rPr>
                <w:rFonts w:eastAsia="Times New Roman"/>
                <w:color w:val="000000"/>
                <w:sz w:val="18"/>
                <w:szCs w:val="18"/>
                <w:lang w:eastAsia="en-GB"/>
              </w:rPr>
            </w:pPr>
          </w:p>
        </w:tc>
        <w:tc>
          <w:tcPr>
            <w:tcW w:w="1161" w:type="dxa"/>
            <w:tcBorders>
              <w:top w:val="nil"/>
              <w:left w:val="nil"/>
              <w:bottom w:val="nil"/>
              <w:right w:val="nil"/>
            </w:tcBorders>
            <w:shd w:val="clear" w:color="auto" w:fill="auto"/>
            <w:noWrap/>
            <w:vAlign w:val="bottom"/>
            <w:hideMark/>
          </w:tcPr>
          <w:p w14:paraId="5F9744D8" w14:textId="28E4C86B" w:rsidR="008B521A" w:rsidRPr="005269E6" w:rsidRDefault="008B521A" w:rsidP="00EE4643">
            <w:pPr>
              <w:tabs>
                <w:tab w:val="clear" w:pos="794"/>
              </w:tabs>
              <w:spacing w:before="20" w:after="20" w:line="240" w:lineRule="exact"/>
              <w:jc w:val="left"/>
              <w:rPr>
                <w:rFonts w:eastAsia="Times New Roman"/>
                <w:color w:val="000000"/>
                <w:sz w:val="18"/>
                <w:szCs w:val="18"/>
                <w:lang w:val="en-GB" w:eastAsia="en-GB"/>
              </w:rPr>
            </w:pPr>
          </w:p>
        </w:tc>
        <w:tc>
          <w:tcPr>
            <w:tcW w:w="1217" w:type="dxa"/>
            <w:tcBorders>
              <w:top w:val="nil"/>
              <w:left w:val="nil"/>
              <w:bottom w:val="nil"/>
              <w:right w:val="nil"/>
            </w:tcBorders>
            <w:shd w:val="clear" w:color="auto" w:fill="auto"/>
            <w:noWrap/>
            <w:vAlign w:val="bottom"/>
            <w:hideMark/>
          </w:tcPr>
          <w:p w14:paraId="4938FA05" w14:textId="6BE97B1F" w:rsidR="008B521A" w:rsidRPr="005269E6" w:rsidRDefault="008B521A" w:rsidP="00EE4643">
            <w:pPr>
              <w:tabs>
                <w:tab w:val="clear" w:pos="794"/>
              </w:tabs>
              <w:spacing w:before="20" w:after="20" w:line="240" w:lineRule="exact"/>
              <w:jc w:val="left"/>
              <w:rPr>
                <w:rFonts w:eastAsia="Times New Roman"/>
                <w:color w:val="000000"/>
                <w:sz w:val="18"/>
                <w:szCs w:val="18"/>
                <w:lang w:val="en-GB" w:eastAsia="en-GB"/>
              </w:rPr>
            </w:pPr>
          </w:p>
        </w:tc>
        <w:tc>
          <w:tcPr>
            <w:tcW w:w="308" w:type="dxa"/>
            <w:tcBorders>
              <w:top w:val="nil"/>
              <w:left w:val="nil"/>
              <w:bottom w:val="nil"/>
              <w:right w:val="nil"/>
            </w:tcBorders>
            <w:shd w:val="clear" w:color="auto" w:fill="auto"/>
            <w:noWrap/>
            <w:vAlign w:val="bottom"/>
            <w:hideMark/>
          </w:tcPr>
          <w:p w14:paraId="29DC6CB5" w14:textId="77777777" w:rsidR="008B521A" w:rsidRPr="005269E6" w:rsidRDefault="008B521A" w:rsidP="00EE4643">
            <w:pPr>
              <w:tabs>
                <w:tab w:val="clear" w:pos="794"/>
              </w:tabs>
              <w:spacing w:before="20" w:after="2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auto" w:fill="auto"/>
            <w:noWrap/>
            <w:vAlign w:val="bottom"/>
            <w:hideMark/>
          </w:tcPr>
          <w:p w14:paraId="08431BE5" w14:textId="77777777" w:rsidR="008B521A" w:rsidRPr="005269E6" w:rsidRDefault="008B521A" w:rsidP="00EE464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46" w:type="dxa"/>
            <w:tcBorders>
              <w:top w:val="nil"/>
              <w:left w:val="nil"/>
              <w:bottom w:val="nil"/>
              <w:right w:val="nil"/>
            </w:tcBorders>
            <w:shd w:val="clear" w:color="auto" w:fill="auto"/>
            <w:noWrap/>
            <w:vAlign w:val="bottom"/>
            <w:hideMark/>
          </w:tcPr>
          <w:p w14:paraId="1191E641" w14:textId="0A2FEAED" w:rsidR="008B521A" w:rsidRPr="005269E6" w:rsidRDefault="008B521A" w:rsidP="00EE464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268</w:t>
            </w:r>
          </w:p>
        </w:tc>
        <w:tc>
          <w:tcPr>
            <w:tcW w:w="1051" w:type="dxa"/>
            <w:tcBorders>
              <w:top w:val="nil"/>
              <w:left w:val="nil"/>
              <w:bottom w:val="nil"/>
              <w:right w:val="nil"/>
            </w:tcBorders>
            <w:shd w:val="clear" w:color="auto" w:fill="auto"/>
            <w:noWrap/>
            <w:vAlign w:val="bottom"/>
            <w:hideMark/>
          </w:tcPr>
          <w:p w14:paraId="253AF8B9" w14:textId="727D494D" w:rsidR="008B521A" w:rsidRPr="005269E6" w:rsidRDefault="008B521A" w:rsidP="00EE464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268</w:t>
            </w:r>
          </w:p>
        </w:tc>
      </w:tr>
      <w:tr w:rsidR="008B521A" w:rsidRPr="005269E6" w14:paraId="0499F27F" w14:textId="77777777" w:rsidTr="008B521A">
        <w:trPr>
          <w:trHeight w:val="255"/>
        </w:trPr>
        <w:tc>
          <w:tcPr>
            <w:tcW w:w="2198" w:type="dxa"/>
            <w:tcBorders>
              <w:top w:val="nil"/>
              <w:left w:val="nil"/>
              <w:bottom w:val="nil"/>
              <w:right w:val="nil"/>
            </w:tcBorders>
            <w:shd w:val="clear" w:color="auto" w:fill="auto"/>
            <w:noWrap/>
            <w:vAlign w:val="bottom"/>
            <w:hideMark/>
          </w:tcPr>
          <w:p w14:paraId="4742A83A" w14:textId="49B3244A" w:rsidR="008B521A" w:rsidRPr="005269E6" w:rsidRDefault="00EE3219" w:rsidP="001929A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 الأخرى</w:t>
            </w:r>
          </w:p>
        </w:tc>
        <w:tc>
          <w:tcPr>
            <w:tcW w:w="1272" w:type="dxa"/>
            <w:tcBorders>
              <w:top w:val="nil"/>
              <w:left w:val="nil"/>
              <w:bottom w:val="nil"/>
              <w:right w:val="nil"/>
            </w:tcBorders>
            <w:shd w:val="clear" w:color="auto" w:fill="auto"/>
            <w:noWrap/>
            <w:vAlign w:val="bottom"/>
          </w:tcPr>
          <w:p w14:paraId="633C8DD0" w14:textId="1B6AB478" w:rsidR="008B521A" w:rsidRPr="005269E6" w:rsidRDefault="008B521A" w:rsidP="00EE4643">
            <w:pPr>
              <w:tabs>
                <w:tab w:val="clear" w:pos="794"/>
              </w:tabs>
              <w:spacing w:before="20" w:after="20" w:line="240" w:lineRule="exact"/>
              <w:jc w:val="left"/>
              <w:rPr>
                <w:rFonts w:eastAsia="Times New Roman"/>
                <w:color w:val="000000"/>
                <w:sz w:val="18"/>
                <w:szCs w:val="18"/>
                <w:lang w:val="en-GB" w:eastAsia="en-GB"/>
              </w:rPr>
            </w:pPr>
          </w:p>
        </w:tc>
        <w:tc>
          <w:tcPr>
            <w:tcW w:w="1161" w:type="dxa"/>
            <w:tcBorders>
              <w:top w:val="nil"/>
              <w:left w:val="nil"/>
              <w:bottom w:val="nil"/>
              <w:right w:val="nil"/>
            </w:tcBorders>
            <w:shd w:val="clear" w:color="auto" w:fill="auto"/>
            <w:noWrap/>
            <w:vAlign w:val="bottom"/>
            <w:hideMark/>
          </w:tcPr>
          <w:p w14:paraId="25194F1D" w14:textId="6B544868" w:rsidR="008B521A" w:rsidRPr="005269E6" w:rsidRDefault="008B521A" w:rsidP="00EE4643">
            <w:pPr>
              <w:tabs>
                <w:tab w:val="clear" w:pos="794"/>
              </w:tabs>
              <w:spacing w:before="20" w:after="20" w:line="240" w:lineRule="exact"/>
              <w:jc w:val="left"/>
              <w:rPr>
                <w:rFonts w:eastAsia="Times New Roman"/>
                <w:color w:val="000000"/>
                <w:sz w:val="18"/>
                <w:szCs w:val="18"/>
                <w:lang w:val="en-GB" w:eastAsia="en-GB"/>
              </w:rPr>
            </w:pPr>
          </w:p>
        </w:tc>
        <w:tc>
          <w:tcPr>
            <w:tcW w:w="1217" w:type="dxa"/>
            <w:tcBorders>
              <w:top w:val="nil"/>
              <w:left w:val="nil"/>
              <w:bottom w:val="nil"/>
              <w:right w:val="nil"/>
            </w:tcBorders>
            <w:shd w:val="clear" w:color="auto" w:fill="auto"/>
            <w:noWrap/>
            <w:vAlign w:val="bottom"/>
            <w:hideMark/>
          </w:tcPr>
          <w:p w14:paraId="56FCCA40" w14:textId="679A2EA4" w:rsidR="008B521A" w:rsidRPr="005269E6" w:rsidRDefault="008B521A" w:rsidP="00EE4643">
            <w:pPr>
              <w:tabs>
                <w:tab w:val="clear" w:pos="794"/>
              </w:tabs>
              <w:spacing w:before="20" w:after="20" w:line="240" w:lineRule="exact"/>
              <w:jc w:val="left"/>
              <w:rPr>
                <w:rFonts w:eastAsia="Times New Roman"/>
                <w:color w:val="000000"/>
                <w:sz w:val="18"/>
                <w:szCs w:val="18"/>
                <w:lang w:val="en-GB" w:eastAsia="en-GB"/>
              </w:rPr>
            </w:pPr>
          </w:p>
        </w:tc>
        <w:tc>
          <w:tcPr>
            <w:tcW w:w="308" w:type="dxa"/>
            <w:tcBorders>
              <w:top w:val="nil"/>
              <w:left w:val="nil"/>
              <w:bottom w:val="nil"/>
              <w:right w:val="nil"/>
            </w:tcBorders>
            <w:shd w:val="clear" w:color="auto" w:fill="auto"/>
            <w:noWrap/>
            <w:vAlign w:val="bottom"/>
            <w:hideMark/>
          </w:tcPr>
          <w:p w14:paraId="3AE7D45D" w14:textId="77777777" w:rsidR="008B521A" w:rsidRPr="005269E6" w:rsidRDefault="008B521A" w:rsidP="00EE4643">
            <w:pPr>
              <w:tabs>
                <w:tab w:val="clear" w:pos="794"/>
              </w:tabs>
              <w:spacing w:before="20" w:after="2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auto" w:fill="auto"/>
            <w:noWrap/>
            <w:vAlign w:val="bottom"/>
            <w:hideMark/>
          </w:tcPr>
          <w:p w14:paraId="6ACAC8D4" w14:textId="553FB62F" w:rsidR="008B521A" w:rsidRPr="005269E6" w:rsidRDefault="008B521A" w:rsidP="00EE4643">
            <w:pPr>
              <w:tabs>
                <w:tab w:val="clear" w:pos="794"/>
              </w:tabs>
              <w:spacing w:before="20" w:after="20" w:line="240" w:lineRule="exact"/>
              <w:jc w:val="left"/>
              <w:rPr>
                <w:rFonts w:eastAsia="Times New Roman"/>
                <w:sz w:val="18"/>
                <w:szCs w:val="18"/>
                <w:lang w:val="en-GB" w:eastAsia="en-GB"/>
              </w:rPr>
            </w:pPr>
            <w:r w:rsidRPr="005269E6">
              <w:rPr>
                <w:rFonts w:eastAsia="Times New Roman"/>
                <w:sz w:val="18"/>
                <w:szCs w:val="18"/>
                <w:lang w:val="en-GB" w:eastAsia="en-GB"/>
              </w:rPr>
              <w:t>795</w:t>
            </w:r>
          </w:p>
        </w:tc>
        <w:tc>
          <w:tcPr>
            <w:tcW w:w="1146" w:type="dxa"/>
            <w:tcBorders>
              <w:top w:val="nil"/>
              <w:left w:val="nil"/>
              <w:bottom w:val="nil"/>
              <w:right w:val="nil"/>
            </w:tcBorders>
            <w:shd w:val="clear" w:color="auto" w:fill="auto"/>
            <w:noWrap/>
            <w:vAlign w:val="bottom"/>
            <w:hideMark/>
          </w:tcPr>
          <w:p w14:paraId="00874D14" w14:textId="256F25A2" w:rsidR="008B521A" w:rsidRPr="005269E6" w:rsidRDefault="008B521A" w:rsidP="00EE464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(268)</w:t>
            </w:r>
          </w:p>
        </w:tc>
        <w:tc>
          <w:tcPr>
            <w:tcW w:w="1051" w:type="dxa"/>
            <w:tcBorders>
              <w:top w:val="nil"/>
              <w:left w:val="nil"/>
              <w:bottom w:val="nil"/>
              <w:right w:val="nil"/>
            </w:tcBorders>
            <w:shd w:val="clear" w:color="auto" w:fill="auto"/>
            <w:noWrap/>
            <w:vAlign w:val="bottom"/>
            <w:hideMark/>
          </w:tcPr>
          <w:p w14:paraId="61A4A6A5" w14:textId="25057F9A" w:rsidR="008B521A" w:rsidRPr="005269E6" w:rsidRDefault="008B521A" w:rsidP="00EE4643">
            <w:pPr>
              <w:tabs>
                <w:tab w:val="clear" w:pos="794"/>
              </w:tabs>
              <w:spacing w:before="20" w:after="2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509</w:t>
            </w:r>
          </w:p>
        </w:tc>
      </w:tr>
    </w:tbl>
    <w:p w14:paraId="0C2746BA" w14:textId="165914D2" w:rsidR="008B521A" w:rsidRPr="005269E6" w:rsidRDefault="008B521A" w:rsidP="0057487F">
      <w:pPr>
        <w:pStyle w:val="Headingb"/>
        <w:rPr>
          <w:b w:val="0"/>
          <w:bCs w:val="0"/>
          <w:rtl/>
        </w:rPr>
      </w:pPr>
      <w:r w:rsidRPr="005269E6">
        <w:lastRenderedPageBreak/>
        <w:t>11</w:t>
      </w:r>
      <w:r w:rsidRPr="005269E6">
        <w:rPr>
          <w:rtl/>
        </w:rPr>
        <w:tab/>
      </w:r>
      <w:r w:rsidR="00A1421C" w:rsidRPr="005269E6">
        <w:rPr>
          <w:rtl/>
        </w:rPr>
        <w:t>إعادة تقييم</w:t>
      </w:r>
    </w:p>
    <w:p w14:paraId="01A63378" w14:textId="6AEBFD47" w:rsidR="00A1421C" w:rsidRPr="005269E6" w:rsidRDefault="00A1421C" w:rsidP="00A1421C">
      <w:pPr>
        <w:spacing w:after="120"/>
        <w:rPr>
          <w:rtl/>
        </w:rPr>
      </w:pPr>
      <w:r w:rsidRPr="005269E6">
        <w:rPr>
          <w:rFonts w:hint="cs"/>
          <w:rtl/>
        </w:rPr>
        <w:t>ثبَّت</w:t>
      </w:r>
      <w:r w:rsidRPr="005269E6">
        <w:rPr>
          <w:rtl/>
        </w:rPr>
        <w:t xml:space="preserve"> الاتحاد في عام 2020 الأثر التراكمي لإعادة تقييم العملات الأجنبية </w:t>
      </w:r>
      <w:r w:rsidRPr="005269E6">
        <w:rPr>
          <w:rFonts w:hint="cs"/>
          <w:rtl/>
        </w:rPr>
        <w:t>خلال</w:t>
      </w:r>
      <w:r w:rsidRPr="005269E6">
        <w:rPr>
          <w:rtl/>
        </w:rPr>
        <w:t xml:space="preserve"> السنوات السابقة </w:t>
      </w:r>
      <w:r w:rsidRPr="005269E6">
        <w:rPr>
          <w:rFonts w:hint="cs"/>
          <w:rtl/>
        </w:rPr>
        <w:t>على ا</w:t>
      </w:r>
      <w:r w:rsidRPr="005269E6">
        <w:rPr>
          <w:rtl/>
        </w:rPr>
        <w:t xml:space="preserve">لأموال من خارج الميزانية </w:t>
      </w:r>
      <w:r w:rsidRPr="005269E6">
        <w:rPr>
          <w:rFonts w:hint="cs"/>
          <w:rtl/>
        </w:rPr>
        <w:t>بعملتي ا</w:t>
      </w:r>
      <w:r w:rsidRPr="005269E6">
        <w:rPr>
          <w:rtl/>
        </w:rPr>
        <w:t xml:space="preserve">ليورو والدولار الأمريكي. وبعد ذلك، </w:t>
      </w:r>
      <w:r w:rsidRPr="005269E6">
        <w:rPr>
          <w:rFonts w:hint="cs"/>
          <w:rtl/>
        </w:rPr>
        <w:t>تثبَّت</w:t>
      </w:r>
      <w:r w:rsidRPr="005269E6">
        <w:rPr>
          <w:rtl/>
        </w:rPr>
        <w:t xml:space="preserve"> سنويا</w:t>
      </w:r>
      <w:r w:rsidR="0057487F" w:rsidRPr="005269E6">
        <w:rPr>
          <w:rFonts w:hint="cs"/>
          <w:rtl/>
        </w:rPr>
        <w:t>ً</w:t>
      </w:r>
      <w:r w:rsidRPr="005269E6">
        <w:rPr>
          <w:rtl/>
        </w:rPr>
        <w:t xml:space="preserve"> إعادة تقييم عام</w:t>
      </w:r>
      <w:r w:rsidR="00A7423D" w:rsidRPr="005269E6">
        <w:rPr>
          <w:rFonts w:hint="cs"/>
          <w:rtl/>
        </w:rPr>
        <w:t>َ</w:t>
      </w:r>
      <w:r w:rsidRPr="005269E6">
        <w:rPr>
          <w:rtl/>
        </w:rPr>
        <w:t>ي 2021 و2022.</w:t>
      </w:r>
    </w:p>
    <w:tbl>
      <w:tblPr>
        <w:bidiVisual/>
        <w:tblW w:w="5000" w:type="pct"/>
        <w:tblLook w:val="04A0" w:firstRow="1" w:lastRow="0" w:firstColumn="1" w:lastColumn="0" w:noHBand="0" w:noVBand="1"/>
      </w:tblPr>
      <w:tblGrid>
        <w:gridCol w:w="2198"/>
        <w:gridCol w:w="1272"/>
        <w:gridCol w:w="1161"/>
        <w:gridCol w:w="1217"/>
        <w:gridCol w:w="308"/>
        <w:gridCol w:w="1286"/>
        <w:gridCol w:w="1146"/>
        <w:gridCol w:w="1051"/>
      </w:tblGrid>
      <w:tr w:rsidR="008B521A" w:rsidRPr="005269E6" w14:paraId="63EBA87A" w14:textId="77777777" w:rsidTr="00666023">
        <w:trPr>
          <w:trHeight w:val="300"/>
        </w:trPr>
        <w:tc>
          <w:tcPr>
            <w:tcW w:w="2198" w:type="dxa"/>
            <w:tcBorders>
              <w:top w:val="nil"/>
              <w:left w:val="nil"/>
              <w:bottom w:val="nil"/>
              <w:right w:val="nil"/>
            </w:tcBorders>
            <w:shd w:val="clear" w:color="000000" w:fill="0070C0"/>
            <w:noWrap/>
            <w:vAlign w:val="bottom"/>
            <w:hideMark/>
          </w:tcPr>
          <w:p w14:paraId="434A0DB6" w14:textId="77777777" w:rsidR="008B521A" w:rsidRPr="005269E6" w:rsidRDefault="008B521A" w:rsidP="00A7423D">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w:t>
            </w:r>
          </w:p>
        </w:tc>
        <w:tc>
          <w:tcPr>
            <w:tcW w:w="3650" w:type="dxa"/>
            <w:gridSpan w:val="3"/>
            <w:tcBorders>
              <w:top w:val="nil"/>
              <w:left w:val="nil"/>
              <w:bottom w:val="nil"/>
              <w:right w:val="nil"/>
            </w:tcBorders>
            <w:shd w:val="clear" w:color="000000" w:fill="0070C0"/>
            <w:noWrap/>
            <w:vAlign w:val="bottom"/>
            <w:hideMark/>
          </w:tcPr>
          <w:p w14:paraId="0AFCD60A" w14:textId="77777777" w:rsidR="008B521A" w:rsidRPr="005269E6" w:rsidRDefault="008B521A" w:rsidP="0057487F">
            <w:pPr>
              <w:keepNext/>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c>
          <w:tcPr>
            <w:tcW w:w="308" w:type="dxa"/>
            <w:tcBorders>
              <w:top w:val="nil"/>
              <w:left w:val="nil"/>
              <w:bottom w:val="nil"/>
              <w:right w:val="nil"/>
            </w:tcBorders>
            <w:shd w:val="clear" w:color="000000" w:fill="0070C0"/>
            <w:noWrap/>
            <w:vAlign w:val="bottom"/>
            <w:hideMark/>
          </w:tcPr>
          <w:p w14:paraId="20ABE5B9" w14:textId="77777777" w:rsidR="008B521A" w:rsidRPr="005269E6" w:rsidRDefault="008B521A" w:rsidP="0057487F">
            <w:pPr>
              <w:keepNext/>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3483" w:type="dxa"/>
            <w:gridSpan w:val="3"/>
            <w:tcBorders>
              <w:top w:val="nil"/>
              <w:left w:val="nil"/>
              <w:bottom w:val="nil"/>
              <w:right w:val="nil"/>
            </w:tcBorders>
            <w:shd w:val="clear" w:color="000000" w:fill="0070C0"/>
            <w:noWrap/>
            <w:vAlign w:val="bottom"/>
            <w:hideMark/>
          </w:tcPr>
          <w:p w14:paraId="7D98A47F" w14:textId="77777777" w:rsidR="008B521A" w:rsidRPr="005269E6" w:rsidRDefault="008B521A" w:rsidP="0057487F">
            <w:pPr>
              <w:keepNext/>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EE3219" w:rsidRPr="005269E6" w14:paraId="7E6E9DF8" w14:textId="77777777" w:rsidTr="00AF51B0">
        <w:trPr>
          <w:trHeight w:val="540"/>
        </w:trPr>
        <w:tc>
          <w:tcPr>
            <w:tcW w:w="2198" w:type="dxa"/>
            <w:tcBorders>
              <w:top w:val="nil"/>
              <w:left w:val="nil"/>
              <w:bottom w:val="nil"/>
              <w:right w:val="nil"/>
            </w:tcBorders>
            <w:shd w:val="clear" w:color="000000" w:fill="0070C0"/>
            <w:noWrap/>
            <w:vAlign w:val="bottom"/>
            <w:hideMark/>
          </w:tcPr>
          <w:p w14:paraId="62AB3266" w14:textId="173D40FF" w:rsidR="00EE3219" w:rsidRPr="005269E6" w:rsidRDefault="00EE3219" w:rsidP="00EE321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1272" w:type="dxa"/>
            <w:tcBorders>
              <w:top w:val="nil"/>
              <w:left w:val="nil"/>
              <w:bottom w:val="nil"/>
              <w:right w:val="nil"/>
            </w:tcBorders>
            <w:shd w:val="clear" w:color="000000" w:fill="0070C0"/>
            <w:vAlign w:val="bottom"/>
            <w:hideMark/>
          </w:tcPr>
          <w:p w14:paraId="5CB96A57" w14:textId="42670EEC" w:rsidR="00EE3219" w:rsidRPr="005269E6" w:rsidRDefault="00EE3219" w:rsidP="00EE321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1161" w:type="dxa"/>
            <w:tcBorders>
              <w:top w:val="nil"/>
              <w:left w:val="nil"/>
              <w:bottom w:val="nil"/>
              <w:right w:val="nil"/>
            </w:tcBorders>
            <w:shd w:val="clear" w:color="000000" w:fill="0070C0"/>
            <w:vAlign w:val="bottom"/>
            <w:hideMark/>
          </w:tcPr>
          <w:p w14:paraId="50316C0A" w14:textId="4F7821E8" w:rsidR="00EE3219" w:rsidRPr="005269E6" w:rsidRDefault="00EE3219" w:rsidP="00EE321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217" w:type="dxa"/>
            <w:tcBorders>
              <w:top w:val="nil"/>
              <w:left w:val="nil"/>
              <w:bottom w:val="nil"/>
              <w:right w:val="nil"/>
            </w:tcBorders>
            <w:shd w:val="clear" w:color="000000" w:fill="0070C0"/>
            <w:vAlign w:val="bottom"/>
            <w:hideMark/>
          </w:tcPr>
          <w:p w14:paraId="130A8CB5" w14:textId="068F9CAD" w:rsidR="00EE3219" w:rsidRPr="005269E6" w:rsidRDefault="00AE6518" w:rsidP="00EE321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c>
          <w:tcPr>
            <w:tcW w:w="308" w:type="dxa"/>
            <w:tcBorders>
              <w:top w:val="nil"/>
              <w:left w:val="nil"/>
              <w:bottom w:val="nil"/>
              <w:right w:val="nil"/>
            </w:tcBorders>
            <w:shd w:val="clear" w:color="000000" w:fill="0070C0"/>
            <w:noWrap/>
            <w:vAlign w:val="bottom"/>
            <w:hideMark/>
          </w:tcPr>
          <w:p w14:paraId="16C4C3C3" w14:textId="2526F1D6" w:rsidR="00EE3219" w:rsidRPr="005269E6" w:rsidRDefault="00EE3219" w:rsidP="00EE3219">
            <w:pPr>
              <w:tabs>
                <w:tab w:val="clear" w:pos="794"/>
              </w:tabs>
              <w:spacing w:before="40" w:after="4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000000" w:fill="0070C0"/>
            <w:vAlign w:val="bottom"/>
            <w:hideMark/>
          </w:tcPr>
          <w:p w14:paraId="1596D8AC" w14:textId="5CF6DEE8" w:rsidR="00EE3219" w:rsidRPr="005269E6" w:rsidRDefault="00EE3219" w:rsidP="00EE321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w:t>
            </w:r>
            <w:r w:rsidRPr="005269E6">
              <w:rPr>
                <w:rFonts w:eastAsia="Times New Roman" w:hint="cs"/>
                <w:b/>
                <w:bCs/>
                <w:color w:val="000000"/>
                <w:sz w:val="18"/>
                <w:szCs w:val="18"/>
                <w:rtl/>
                <w:lang w:val="en-GB" w:eastAsia="en-GB"/>
              </w:rPr>
              <w:t>1</w:t>
            </w:r>
          </w:p>
        </w:tc>
        <w:tc>
          <w:tcPr>
            <w:tcW w:w="1146" w:type="dxa"/>
            <w:tcBorders>
              <w:top w:val="nil"/>
              <w:left w:val="nil"/>
              <w:bottom w:val="nil"/>
              <w:right w:val="nil"/>
            </w:tcBorders>
            <w:shd w:val="clear" w:color="000000" w:fill="0070C0"/>
            <w:vAlign w:val="bottom"/>
            <w:hideMark/>
          </w:tcPr>
          <w:p w14:paraId="5703073D" w14:textId="715ACA99" w:rsidR="00EE3219" w:rsidRPr="005269E6" w:rsidRDefault="00EE3219" w:rsidP="00EE321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051" w:type="dxa"/>
            <w:tcBorders>
              <w:top w:val="nil"/>
              <w:left w:val="nil"/>
              <w:bottom w:val="nil"/>
              <w:right w:val="nil"/>
            </w:tcBorders>
            <w:shd w:val="clear" w:color="000000" w:fill="0070C0"/>
            <w:vAlign w:val="bottom"/>
            <w:hideMark/>
          </w:tcPr>
          <w:p w14:paraId="2A399750" w14:textId="4DDBFB4E" w:rsidR="00EE3219" w:rsidRPr="005269E6" w:rsidRDefault="00AE6518" w:rsidP="00EE321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r>
      <w:tr w:rsidR="008B521A" w:rsidRPr="005269E6" w14:paraId="145850F7" w14:textId="77777777" w:rsidTr="00666023">
        <w:trPr>
          <w:trHeight w:val="255"/>
        </w:trPr>
        <w:tc>
          <w:tcPr>
            <w:tcW w:w="2198" w:type="dxa"/>
            <w:tcBorders>
              <w:top w:val="nil"/>
              <w:left w:val="nil"/>
              <w:bottom w:val="nil"/>
              <w:right w:val="nil"/>
            </w:tcBorders>
            <w:shd w:val="clear" w:color="auto" w:fill="auto"/>
            <w:noWrap/>
            <w:vAlign w:val="bottom"/>
            <w:hideMark/>
          </w:tcPr>
          <w:p w14:paraId="74AF1EFD" w14:textId="256C643D" w:rsidR="008B521A" w:rsidRPr="005269E6" w:rsidRDefault="00A1421C" w:rsidP="0066602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نفقات التمويل</w:t>
            </w:r>
            <w:r w:rsidR="008B521A" w:rsidRPr="005269E6">
              <w:rPr>
                <w:rFonts w:eastAsia="Times New Roman" w:hint="cs"/>
                <w:color w:val="000000"/>
                <w:sz w:val="18"/>
                <w:szCs w:val="18"/>
                <w:rtl/>
                <w:lang w:val="en-GB" w:eastAsia="en-GB"/>
              </w:rPr>
              <w:t xml:space="preserve"> </w:t>
            </w:r>
          </w:p>
        </w:tc>
        <w:tc>
          <w:tcPr>
            <w:tcW w:w="1272" w:type="dxa"/>
            <w:tcBorders>
              <w:top w:val="nil"/>
              <w:left w:val="nil"/>
              <w:bottom w:val="nil"/>
              <w:right w:val="nil"/>
            </w:tcBorders>
            <w:shd w:val="clear" w:color="auto" w:fill="auto"/>
            <w:noWrap/>
            <w:vAlign w:val="bottom"/>
          </w:tcPr>
          <w:p w14:paraId="7D44BF53" w14:textId="18A7C346" w:rsidR="008B521A" w:rsidRPr="005269E6" w:rsidRDefault="002C4E1E" w:rsidP="00EE4643">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w:t>
            </w:r>
          </w:p>
        </w:tc>
        <w:tc>
          <w:tcPr>
            <w:tcW w:w="1161" w:type="dxa"/>
            <w:tcBorders>
              <w:top w:val="nil"/>
              <w:left w:val="nil"/>
              <w:bottom w:val="nil"/>
              <w:right w:val="nil"/>
            </w:tcBorders>
            <w:shd w:val="clear" w:color="auto" w:fill="auto"/>
            <w:noWrap/>
            <w:vAlign w:val="bottom"/>
            <w:hideMark/>
          </w:tcPr>
          <w:p w14:paraId="516CD740" w14:textId="76FB0CD9" w:rsidR="008B521A"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0</w:t>
            </w:r>
          </w:p>
        </w:tc>
        <w:tc>
          <w:tcPr>
            <w:tcW w:w="1217" w:type="dxa"/>
            <w:tcBorders>
              <w:top w:val="nil"/>
              <w:left w:val="nil"/>
              <w:bottom w:val="nil"/>
              <w:right w:val="nil"/>
            </w:tcBorders>
            <w:shd w:val="clear" w:color="auto" w:fill="auto"/>
            <w:noWrap/>
            <w:vAlign w:val="bottom"/>
            <w:hideMark/>
          </w:tcPr>
          <w:p w14:paraId="578A9514" w14:textId="1828D86C" w:rsidR="008B521A"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0</w:t>
            </w:r>
          </w:p>
        </w:tc>
        <w:tc>
          <w:tcPr>
            <w:tcW w:w="308" w:type="dxa"/>
            <w:tcBorders>
              <w:top w:val="nil"/>
              <w:left w:val="nil"/>
              <w:bottom w:val="nil"/>
              <w:right w:val="nil"/>
            </w:tcBorders>
            <w:shd w:val="clear" w:color="auto" w:fill="auto"/>
            <w:noWrap/>
            <w:vAlign w:val="bottom"/>
            <w:hideMark/>
          </w:tcPr>
          <w:p w14:paraId="7A861081" w14:textId="77777777" w:rsidR="008B521A" w:rsidRPr="005269E6" w:rsidRDefault="008B521A" w:rsidP="00EE4643">
            <w:pPr>
              <w:tabs>
                <w:tab w:val="clear" w:pos="794"/>
              </w:tabs>
              <w:spacing w:before="40" w:after="4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auto" w:fill="auto"/>
            <w:noWrap/>
            <w:vAlign w:val="bottom"/>
            <w:hideMark/>
          </w:tcPr>
          <w:p w14:paraId="043428D1" w14:textId="05265085" w:rsidR="008B521A"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46" w:type="dxa"/>
            <w:tcBorders>
              <w:top w:val="nil"/>
              <w:left w:val="nil"/>
              <w:bottom w:val="nil"/>
              <w:right w:val="nil"/>
            </w:tcBorders>
            <w:shd w:val="clear" w:color="auto" w:fill="auto"/>
            <w:noWrap/>
            <w:vAlign w:val="bottom"/>
            <w:hideMark/>
          </w:tcPr>
          <w:p w14:paraId="600E8874" w14:textId="4FA3A65A" w:rsidR="008B521A"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051" w:type="dxa"/>
            <w:tcBorders>
              <w:top w:val="nil"/>
              <w:left w:val="nil"/>
              <w:bottom w:val="nil"/>
              <w:right w:val="nil"/>
            </w:tcBorders>
            <w:shd w:val="clear" w:color="auto" w:fill="auto"/>
            <w:noWrap/>
            <w:vAlign w:val="bottom"/>
            <w:hideMark/>
          </w:tcPr>
          <w:p w14:paraId="2895C2A1" w14:textId="109BA0C5" w:rsidR="008B521A"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8B521A" w:rsidRPr="005269E6" w14:paraId="77BC014B" w14:textId="77777777" w:rsidTr="00666023">
        <w:trPr>
          <w:trHeight w:val="255"/>
        </w:trPr>
        <w:tc>
          <w:tcPr>
            <w:tcW w:w="2198" w:type="dxa"/>
            <w:tcBorders>
              <w:top w:val="nil"/>
              <w:left w:val="nil"/>
              <w:bottom w:val="nil"/>
              <w:right w:val="nil"/>
            </w:tcBorders>
            <w:shd w:val="clear" w:color="auto" w:fill="auto"/>
            <w:noWrap/>
            <w:vAlign w:val="bottom"/>
            <w:hideMark/>
          </w:tcPr>
          <w:p w14:paraId="1B26C93B" w14:textId="23F8A445" w:rsidR="008B521A" w:rsidRPr="005269E6" w:rsidRDefault="00A1421C" w:rsidP="0066602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الأموال الخارجية المخصَصة</w:t>
            </w:r>
          </w:p>
        </w:tc>
        <w:tc>
          <w:tcPr>
            <w:tcW w:w="1272" w:type="dxa"/>
            <w:tcBorders>
              <w:top w:val="nil"/>
              <w:left w:val="nil"/>
              <w:bottom w:val="nil"/>
              <w:right w:val="nil"/>
            </w:tcBorders>
            <w:shd w:val="clear" w:color="auto" w:fill="auto"/>
            <w:noWrap/>
            <w:vAlign w:val="bottom"/>
          </w:tcPr>
          <w:p w14:paraId="3A02AA6F" w14:textId="3D736ABA" w:rsidR="008B521A"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61" w:type="dxa"/>
            <w:tcBorders>
              <w:top w:val="nil"/>
              <w:left w:val="nil"/>
              <w:bottom w:val="nil"/>
              <w:right w:val="nil"/>
            </w:tcBorders>
            <w:shd w:val="clear" w:color="auto" w:fill="auto"/>
            <w:noWrap/>
            <w:vAlign w:val="bottom"/>
            <w:hideMark/>
          </w:tcPr>
          <w:p w14:paraId="1351418A" w14:textId="196980AC" w:rsidR="008B521A"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142</w:t>
            </w:r>
          </w:p>
        </w:tc>
        <w:tc>
          <w:tcPr>
            <w:tcW w:w="1217" w:type="dxa"/>
            <w:tcBorders>
              <w:top w:val="nil"/>
              <w:left w:val="nil"/>
              <w:bottom w:val="nil"/>
              <w:right w:val="nil"/>
            </w:tcBorders>
            <w:shd w:val="clear" w:color="auto" w:fill="auto"/>
            <w:noWrap/>
            <w:vAlign w:val="bottom"/>
            <w:hideMark/>
          </w:tcPr>
          <w:p w14:paraId="2F4BFD1D" w14:textId="6247CEEB" w:rsidR="008B521A"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142</w:t>
            </w:r>
          </w:p>
        </w:tc>
        <w:tc>
          <w:tcPr>
            <w:tcW w:w="308" w:type="dxa"/>
            <w:tcBorders>
              <w:top w:val="nil"/>
              <w:left w:val="nil"/>
              <w:bottom w:val="nil"/>
              <w:right w:val="nil"/>
            </w:tcBorders>
            <w:shd w:val="clear" w:color="auto" w:fill="auto"/>
            <w:noWrap/>
            <w:vAlign w:val="bottom"/>
            <w:hideMark/>
          </w:tcPr>
          <w:p w14:paraId="1139FAEF" w14:textId="77777777" w:rsidR="008B521A" w:rsidRPr="005269E6" w:rsidRDefault="008B521A" w:rsidP="00EE4643">
            <w:pPr>
              <w:tabs>
                <w:tab w:val="clear" w:pos="794"/>
              </w:tabs>
              <w:spacing w:before="40" w:after="4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auto" w:fill="auto"/>
            <w:noWrap/>
            <w:vAlign w:val="bottom"/>
            <w:hideMark/>
          </w:tcPr>
          <w:p w14:paraId="785C5B8B" w14:textId="02BAB86A" w:rsidR="008B521A" w:rsidRPr="005269E6" w:rsidRDefault="002C4E1E" w:rsidP="00EE4643">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w:t>
            </w:r>
          </w:p>
        </w:tc>
        <w:tc>
          <w:tcPr>
            <w:tcW w:w="1146" w:type="dxa"/>
            <w:tcBorders>
              <w:top w:val="nil"/>
              <w:left w:val="nil"/>
              <w:bottom w:val="nil"/>
              <w:right w:val="nil"/>
            </w:tcBorders>
            <w:shd w:val="clear" w:color="auto" w:fill="auto"/>
            <w:noWrap/>
            <w:vAlign w:val="bottom"/>
            <w:hideMark/>
          </w:tcPr>
          <w:p w14:paraId="0A30D098" w14:textId="7A9ADD68" w:rsidR="008B521A"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051" w:type="dxa"/>
            <w:tcBorders>
              <w:top w:val="nil"/>
              <w:left w:val="nil"/>
              <w:bottom w:val="nil"/>
              <w:right w:val="nil"/>
            </w:tcBorders>
            <w:shd w:val="clear" w:color="auto" w:fill="auto"/>
            <w:noWrap/>
            <w:vAlign w:val="bottom"/>
            <w:hideMark/>
          </w:tcPr>
          <w:p w14:paraId="0DBF1CAE" w14:textId="2C487454" w:rsidR="008B521A"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2C4E1E" w:rsidRPr="005269E6" w14:paraId="3717DCD7" w14:textId="77777777" w:rsidTr="00666023">
        <w:trPr>
          <w:trHeight w:val="255"/>
        </w:trPr>
        <w:tc>
          <w:tcPr>
            <w:tcW w:w="2198" w:type="dxa"/>
            <w:tcBorders>
              <w:top w:val="nil"/>
              <w:left w:val="nil"/>
              <w:bottom w:val="nil"/>
              <w:right w:val="nil"/>
            </w:tcBorders>
            <w:shd w:val="clear" w:color="auto" w:fill="auto"/>
            <w:noWrap/>
            <w:vAlign w:val="bottom"/>
          </w:tcPr>
          <w:p w14:paraId="3AB68352" w14:textId="6C7DFFC6" w:rsidR="002C4E1E" w:rsidRPr="005269E6" w:rsidRDefault="00A1421C" w:rsidP="00666023">
            <w:pPr>
              <w:tabs>
                <w:tab w:val="clear" w:pos="794"/>
              </w:tabs>
              <w:spacing w:before="40" w:after="40" w:line="240" w:lineRule="exact"/>
              <w:jc w:val="left"/>
              <w:rPr>
                <w:rFonts w:eastAsia="Times New Roman"/>
                <w:color w:val="000000"/>
                <w:sz w:val="18"/>
                <w:szCs w:val="18"/>
                <w:rtl/>
                <w:lang w:val="en-GB" w:eastAsia="en-GB"/>
              </w:rPr>
            </w:pPr>
            <w:r w:rsidRPr="005269E6">
              <w:rPr>
                <w:rFonts w:eastAsia="Times New Roman" w:hint="cs"/>
                <w:color w:val="000000"/>
                <w:sz w:val="18"/>
                <w:szCs w:val="18"/>
                <w:rtl/>
                <w:lang w:val="en-GB" w:eastAsia="en-GB"/>
              </w:rPr>
              <w:t>الفوائض المتراكمة</w:t>
            </w:r>
          </w:p>
        </w:tc>
        <w:tc>
          <w:tcPr>
            <w:tcW w:w="1272" w:type="dxa"/>
            <w:tcBorders>
              <w:top w:val="nil"/>
              <w:left w:val="nil"/>
              <w:bottom w:val="nil"/>
              <w:right w:val="nil"/>
            </w:tcBorders>
            <w:shd w:val="clear" w:color="auto" w:fill="auto"/>
            <w:noWrap/>
            <w:vAlign w:val="bottom"/>
          </w:tcPr>
          <w:p w14:paraId="06D8A9D9" w14:textId="297FE8F7" w:rsidR="002C4E1E"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61" w:type="dxa"/>
            <w:tcBorders>
              <w:top w:val="nil"/>
              <w:left w:val="nil"/>
              <w:bottom w:val="nil"/>
              <w:right w:val="nil"/>
            </w:tcBorders>
            <w:shd w:val="clear" w:color="auto" w:fill="auto"/>
            <w:noWrap/>
            <w:vAlign w:val="bottom"/>
          </w:tcPr>
          <w:p w14:paraId="40F8A121" w14:textId="23FA983E" w:rsidR="002C4E1E"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(142)</w:t>
            </w:r>
          </w:p>
        </w:tc>
        <w:tc>
          <w:tcPr>
            <w:tcW w:w="1217" w:type="dxa"/>
            <w:tcBorders>
              <w:top w:val="nil"/>
              <w:left w:val="nil"/>
              <w:bottom w:val="nil"/>
              <w:right w:val="nil"/>
            </w:tcBorders>
            <w:shd w:val="clear" w:color="auto" w:fill="auto"/>
            <w:noWrap/>
            <w:vAlign w:val="bottom"/>
          </w:tcPr>
          <w:p w14:paraId="1D4A4AC7" w14:textId="45B5CF86" w:rsidR="002C4E1E"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(142)</w:t>
            </w:r>
          </w:p>
        </w:tc>
        <w:tc>
          <w:tcPr>
            <w:tcW w:w="308" w:type="dxa"/>
            <w:tcBorders>
              <w:top w:val="nil"/>
              <w:left w:val="nil"/>
              <w:bottom w:val="nil"/>
              <w:right w:val="nil"/>
            </w:tcBorders>
            <w:shd w:val="clear" w:color="auto" w:fill="auto"/>
            <w:noWrap/>
            <w:vAlign w:val="bottom"/>
          </w:tcPr>
          <w:p w14:paraId="46237B53" w14:textId="77777777" w:rsidR="002C4E1E"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p>
        </w:tc>
        <w:tc>
          <w:tcPr>
            <w:tcW w:w="1286" w:type="dxa"/>
            <w:tcBorders>
              <w:top w:val="nil"/>
              <w:left w:val="nil"/>
              <w:bottom w:val="nil"/>
              <w:right w:val="nil"/>
            </w:tcBorders>
            <w:shd w:val="clear" w:color="auto" w:fill="auto"/>
            <w:noWrap/>
            <w:vAlign w:val="bottom"/>
          </w:tcPr>
          <w:p w14:paraId="5A3F007C" w14:textId="6AE72C4E" w:rsidR="002C4E1E" w:rsidRPr="005269E6" w:rsidRDefault="002C4E1E" w:rsidP="00EE4643">
            <w:pPr>
              <w:tabs>
                <w:tab w:val="clear" w:pos="794"/>
              </w:tabs>
              <w:spacing w:before="40" w:after="40" w:line="240" w:lineRule="exact"/>
              <w:jc w:val="left"/>
              <w:rPr>
                <w:rFonts w:eastAsia="Times New Roman"/>
                <w:sz w:val="18"/>
                <w:szCs w:val="18"/>
                <w:lang w:val="en-GB" w:eastAsia="en-GB"/>
              </w:rPr>
            </w:pPr>
            <w:r w:rsidRPr="005269E6">
              <w:rPr>
                <w:rFonts w:eastAsia="Times New Roman"/>
                <w:sz w:val="18"/>
                <w:szCs w:val="18"/>
                <w:lang w:val="en-GB" w:eastAsia="en-GB"/>
              </w:rPr>
              <w:t>-</w:t>
            </w:r>
          </w:p>
        </w:tc>
        <w:tc>
          <w:tcPr>
            <w:tcW w:w="1146" w:type="dxa"/>
            <w:tcBorders>
              <w:top w:val="nil"/>
              <w:left w:val="nil"/>
              <w:bottom w:val="nil"/>
              <w:right w:val="nil"/>
            </w:tcBorders>
            <w:shd w:val="clear" w:color="auto" w:fill="auto"/>
            <w:noWrap/>
            <w:vAlign w:val="bottom"/>
          </w:tcPr>
          <w:p w14:paraId="3E026D03" w14:textId="419BAA5E" w:rsidR="002C4E1E"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051" w:type="dxa"/>
            <w:tcBorders>
              <w:top w:val="nil"/>
              <w:left w:val="nil"/>
              <w:bottom w:val="nil"/>
              <w:right w:val="nil"/>
            </w:tcBorders>
            <w:shd w:val="clear" w:color="auto" w:fill="auto"/>
            <w:noWrap/>
            <w:vAlign w:val="bottom"/>
          </w:tcPr>
          <w:p w14:paraId="7E1CEF5E" w14:textId="0BE39FB5" w:rsidR="002C4E1E" w:rsidRPr="005269E6" w:rsidRDefault="002C4E1E"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bl>
    <w:p w14:paraId="0CDDEA2F" w14:textId="374F81E5" w:rsidR="00D479F8" w:rsidRPr="005269E6" w:rsidRDefault="00D479F8" w:rsidP="0057487F">
      <w:pPr>
        <w:pStyle w:val="Headingb"/>
        <w:rPr>
          <w:b w:val="0"/>
          <w:bCs w:val="0"/>
          <w:rtl/>
        </w:rPr>
      </w:pPr>
      <w:r w:rsidRPr="005269E6">
        <w:t>12</w:t>
      </w:r>
      <w:r w:rsidRPr="005269E6">
        <w:rPr>
          <w:rtl/>
        </w:rPr>
        <w:tab/>
      </w:r>
      <w:r w:rsidR="00054D14" w:rsidRPr="005269E6">
        <w:rPr>
          <w:rtl/>
        </w:rPr>
        <w:t>استرداد الأرصدة - الأنشطة الاحتيالية</w:t>
      </w:r>
    </w:p>
    <w:p w14:paraId="4B5CD29E" w14:textId="091EF7A4" w:rsidR="00054D14" w:rsidRPr="005269E6" w:rsidRDefault="00054D14" w:rsidP="0057487F">
      <w:pPr>
        <w:rPr>
          <w:rtl/>
          <w:lang w:bidi="ar-SY"/>
        </w:rPr>
      </w:pPr>
      <w:r w:rsidRPr="005269E6">
        <w:rPr>
          <w:rtl/>
          <w:lang w:bidi="ar-SY"/>
        </w:rPr>
        <w:t>بعد إجراء تحقيق، اكت</w:t>
      </w:r>
      <w:r w:rsidRPr="005269E6">
        <w:rPr>
          <w:rFonts w:hint="cs"/>
          <w:rtl/>
          <w:lang w:bidi="ar-SY"/>
        </w:rPr>
        <w:t>ُ</w:t>
      </w:r>
      <w:r w:rsidRPr="005269E6">
        <w:rPr>
          <w:rtl/>
          <w:lang w:bidi="ar-SY"/>
        </w:rPr>
        <w:t>شف أخيرا</w:t>
      </w:r>
      <w:r w:rsidR="0057487F" w:rsidRPr="005269E6">
        <w:rPr>
          <w:rFonts w:hint="cs"/>
          <w:rtl/>
          <w:lang w:bidi="ar-SY"/>
        </w:rPr>
        <w:t>ً</w:t>
      </w:r>
      <w:r w:rsidRPr="005269E6">
        <w:rPr>
          <w:rtl/>
          <w:lang w:bidi="ar-SY"/>
        </w:rPr>
        <w:t xml:space="preserve"> أن أحد موظفي المكتب الإقليمي للاتحاد</w:t>
      </w:r>
      <w:r w:rsidRPr="005269E6">
        <w:rPr>
          <w:rFonts w:hint="cs"/>
          <w:rtl/>
          <w:lang w:bidi="ar-SY"/>
        </w:rPr>
        <w:t xml:space="preserve"> احتال في شأن</w:t>
      </w:r>
      <w:r w:rsidRPr="005269E6">
        <w:rPr>
          <w:rtl/>
        </w:rPr>
        <w:t xml:space="preserve"> </w:t>
      </w:r>
      <w:r w:rsidRPr="005269E6">
        <w:rPr>
          <w:rtl/>
          <w:lang w:bidi="ar-SY"/>
        </w:rPr>
        <w:t>تحميل</w:t>
      </w:r>
      <w:r w:rsidRPr="005269E6">
        <w:rPr>
          <w:rtl/>
        </w:rPr>
        <w:t xml:space="preserve"> </w:t>
      </w:r>
      <w:r w:rsidRPr="005269E6">
        <w:rPr>
          <w:rtl/>
          <w:lang w:bidi="ar-SY"/>
        </w:rPr>
        <w:t>نفقات شخصية ونفقات أخرى غير ذات صلة</w:t>
      </w:r>
      <w:r w:rsidRPr="005269E6">
        <w:rPr>
          <w:rFonts w:hint="cs"/>
          <w:rtl/>
          <w:lang w:bidi="ar-SY"/>
        </w:rPr>
        <w:t xml:space="preserve"> إلى</w:t>
      </w:r>
      <w:r w:rsidRPr="005269E6">
        <w:rPr>
          <w:rtl/>
        </w:rPr>
        <w:t xml:space="preserve"> </w:t>
      </w:r>
      <w:r w:rsidRPr="005269E6">
        <w:rPr>
          <w:rtl/>
          <w:lang w:bidi="ar-SY"/>
        </w:rPr>
        <w:t>مشروعين تمولهما</w:t>
      </w:r>
      <w:r w:rsidRPr="005269E6">
        <w:rPr>
          <w:rtl/>
        </w:rPr>
        <w:t xml:space="preserve"> </w:t>
      </w:r>
      <w:r w:rsidRPr="005269E6">
        <w:rPr>
          <w:rtl/>
          <w:lang w:bidi="ar-SY"/>
        </w:rPr>
        <w:t>الهيئة الوطنية للإذاعة والاتصالات (</w:t>
      </w:r>
      <w:r w:rsidRPr="005269E6">
        <w:rPr>
          <w:lang w:bidi="ar-SY"/>
        </w:rPr>
        <w:t>NBTC</w:t>
      </w:r>
      <w:r w:rsidRPr="005269E6">
        <w:rPr>
          <w:rtl/>
          <w:lang w:bidi="ar-SY"/>
        </w:rPr>
        <w:t>)</w:t>
      </w:r>
      <w:r w:rsidRPr="005269E6">
        <w:rPr>
          <w:rFonts w:hint="cs"/>
          <w:rtl/>
          <w:lang w:bidi="ar-SY"/>
        </w:rPr>
        <w:t>.</w:t>
      </w:r>
    </w:p>
    <w:p w14:paraId="1E79F65A" w14:textId="6B418871" w:rsidR="00054D14" w:rsidRPr="005269E6" w:rsidRDefault="00054D14" w:rsidP="0057487F">
      <w:pPr>
        <w:spacing w:after="120"/>
      </w:pPr>
      <w:r w:rsidRPr="005269E6">
        <w:rPr>
          <w:rtl/>
          <w:lang w:bidi="ar-SY"/>
        </w:rPr>
        <w:t xml:space="preserve">وفي عام 2021 رد الاتحاد المبلغ إلى الجهة المانحة </w:t>
      </w:r>
      <w:r w:rsidRPr="005269E6">
        <w:rPr>
          <w:rFonts w:hint="cs"/>
          <w:rtl/>
          <w:lang w:bidi="ar-SY"/>
        </w:rPr>
        <w:t>وثبَّت</w:t>
      </w:r>
      <w:r w:rsidRPr="005269E6">
        <w:rPr>
          <w:rtl/>
          <w:lang w:bidi="ar-SY"/>
        </w:rPr>
        <w:t xml:space="preserve"> أصل</w:t>
      </w:r>
      <w:r w:rsidRPr="005269E6">
        <w:rPr>
          <w:rFonts w:hint="cs"/>
          <w:rtl/>
          <w:lang w:bidi="ar-SY"/>
        </w:rPr>
        <w:t>اً</w:t>
      </w:r>
      <w:r w:rsidRPr="005269E6">
        <w:rPr>
          <w:rtl/>
          <w:lang w:bidi="ar-SY"/>
        </w:rPr>
        <w:t xml:space="preserve"> بهدف استرداد المبلغ غير المستح</w:t>
      </w:r>
      <w:r w:rsidRPr="005269E6">
        <w:rPr>
          <w:rFonts w:hint="cs"/>
          <w:rtl/>
          <w:lang w:bidi="ar-SY"/>
        </w:rPr>
        <w:t>َ</w:t>
      </w:r>
      <w:r w:rsidRPr="005269E6">
        <w:rPr>
          <w:rtl/>
          <w:lang w:bidi="ar-SY"/>
        </w:rPr>
        <w:t>ق من الجاني.</w:t>
      </w:r>
    </w:p>
    <w:tbl>
      <w:tblPr>
        <w:bidiVisual/>
        <w:tblW w:w="0" w:type="auto"/>
        <w:jc w:val="center"/>
        <w:tblLook w:val="04A0" w:firstRow="1" w:lastRow="0" w:firstColumn="1" w:lastColumn="0" w:noHBand="0" w:noVBand="1"/>
      </w:tblPr>
      <w:tblGrid>
        <w:gridCol w:w="1549"/>
        <w:gridCol w:w="2081"/>
        <w:gridCol w:w="1095"/>
        <w:gridCol w:w="1359"/>
      </w:tblGrid>
      <w:tr w:rsidR="006E2F90" w:rsidRPr="005269E6" w14:paraId="174372E5" w14:textId="77777777" w:rsidTr="0040010E">
        <w:trPr>
          <w:trHeight w:val="300"/>
          <w:jc w:val="center"/>
        </w:trPr>
        <w:tc>
          <w:tcPr>
            <w:tcW w:w="0" w:type="auto"/>
            <w:tcBorders>
              <w:top w:val="nil"/>
              <w:left w:val="nil"/>
              <w:bottom w:val="nil"/>
              <w:right w:val="nil"/>
            </w:tcBorders>
            <w:shd w:val="clear" w:color="000000" w:fill="0070C0"/>
            <w:noWrap/>
            <w:vAlign w:val="bottom"/>
            <w:hideMark/>
          </w:tcPr>
          <w:p w14:paraId="41A507A3" w14:textId="77777777" w:rsidR="006E2F90" w:rsidRPr="005269E6" w:rsidRDefault="006E2F90" w:rsidP="006E2F9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0" w:type="auto"/>
            <w:gridSpan w:val="3"/>
            <w:tcBorders>
              <w:top w:val="nil"/>
              <w:left w:val="nil"/>
              <w:bottom w:val="nil"/>
              <w:right w:val="nil"/>
            </w:tcBorders>
            <w:shd w:val="clear" w:color="000000" w:fill="0070C0"/>
            <w:noWrap/>
            <w:vAlign w:val="bottom"/>
            <w:hideMark/>
          </w:tcPr>
          <w:p w14:paraId="7322C098" w14:textId="77777777" w:rsidR="006E2F90" w:rsidRPr="005269E6" w:rsidRDefault="006E2F90" w:rsidP="006E2F90">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9A7EC1" w:rsidRPr="005269E6" w14:paraId="7EE8DEFD" w14:textId="77777777" w:rsidTr="0040010E">
        <w:trPr>
          <w:trHeight w:val="300"/>
          <w:jc w:val="center"/>
        </w:trPr>
        <w:tc>
          <w:tcPr>
            <w:tcW w:w="0" w:type="auto"/>
            <w:tcBorders>
              <w:top w:val="nil"/>
              <w:left w:val="nil"/>
              <w:bottom w:val="nil"/>
              <w:right w:val="nil"/>
            </w:tcBorders>
            <w:shd w:val="clear" w:color="000000" w:fill="0070C0"/>
            <w:noWrap/>
            <w:vAlign w:val="bottom"/>
            <w:hideMark/>
          </w:tcPr>
          <w:p w14:paraId="119B6F6B" w14:textId="60F94784" w:rsidR="009A7EC1" w:rsidRPr="005269E6" w:rsidRDefault="009A7EC1" w:rsidP="009A7EC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0" w:type="auto"/>
            <w:tcBorders>
              <w:top w:val="nil"/>
              <w:left w:val="nil"/>
              <w:bottom w:val="nil"/>
              <w:right w:val="nil"/>
            </w:tcBorders>
            <w:shd w:val="clear" w:color="000000" w:fill="0070C0"/>
            <w:vAlign w:val="bottom"/>
            <w:hideMark/>
          </w:tcPr>
          <w:p w14:paraId="130E2681" w14:textId="2F056803" w:rsidR="009A7EC1" w:rsidRPr="005269E6" w:rsidRDefault="009A7EC1" w:rsidP="009A7EC1">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w:t>
            </w:r>
            <w:r w:rsidRPr="005269E6">
              <w:rPr>
                <w:rFonts w:eastAsia="Times New Roman" w:hint="cs"/>
                <w:b/>
                <w:bCs/>
                <w:color w:val="000000"/>
                <w:sz w:val="18"/>
                <w:szCs w:val="18"/>
                <w:rtl/>
                <w:lang w:val="en-GB" w:eastAsia="en-GB"/>
              </w:rPr>
              <w:t>1</w:t>
            </w:r>
          </w:p>
        </w:tc>
        <w:tc>
          <w:tcPr>
            <w:tcW w:w="0" w:type="auto"/>
            <w:tcBorders>
              <w:top w:val="nil"/>
              <w:left w:val="nil"/>
              <w:bottom w:val="nil"/>
              <w:right w:val="nil"/>
            </w:tcBorders>
            <w:shd w:val="clear" w:color="000000" w:fill="0070C0"/>
            <w:vAlign w:val="bottom"/>
            <w:hideMark/>
          </w:tcPr>
          <w:p w14:paraId="20E7D30B" w14:textId="6485777B" w:rsidR="009A7EC1" w:rsidRPr="005269E6" w:rsidRDefault="009A7EC1" w:rsidP="009A7EC1">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0" w:type="auto"/>
            <w:tcBorders>
              <w:top w:val="nil"/>
              <w:left w:val="nil"/>
              <w:bottom w:val="nil"/>
              <w:right w:val="nil"/>
            </w:tcBorders>
            <w:shd w:val="clear" w:color="000000" w:fill="0070C0"/>
            <w:vAlign w:val="bottom"/>
            <w:hideMark/>
          </w:tcPr>
          <w:p w14:paraId="78981EF7" w14:textId="2792BC99" w:rsidR="009A7EC1" w:rsidRPr="005269E6" w:rsidRDefault="00AE6518" w:rsidP="009A7EC1">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r>
      <w:tr w:rsidR="006E2F90" w:rsidRPr="005269E6" w14:paraId="55D50A7F" w14:textId="77777777" w:rsidTr="0040010E">
        <w:trPr>
          <w:trHeight w:val="255"/>
          <w:jc w:val="center"/>
        </w:trPr>
        <w:tc>
          <w:tcPr>
            <w:tcW w:w="0" w:type="auto"/>
            <w:tcBorders>
              <w:top w:val="nil"/>
              <w:left w:val="nil"/>
              <w:bottom w:val="nil"/>
              <w:right w:val="nil"/>
            </w:tcBorders>
            <w:shd w:val="clear" w:color="auto" w:fill="auto"/>
            <w:noWrap/>
            <w:vAlign w:val="bottom"/>
            <w:hideMark/>
          </w:tcPr>
          <w:p w14:paraId="46BF9A74" w14:textId="5084274F" w:rsidR="006E2F90" w:rsidRPr="005269E6" w:rsidRDefault="009A7EC1" w:rsidP="006E2F9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الإيرادات الطوعية</w:t>
            </w:r>
          </w:p>
        </w:tc>
        <w:tc>
          <w:tcPr>
            <w:tcW w:w="0" w:type="auto"/>
            <w:tcBorders>
              <w:top w:val="nil"/>
              <w:left w:val="nil"/>
              <w:bottom w:val="nil"/>
              <w:right w:val="nil"/>
            </w:tcBorders>
            <w:shd w:val="clear" w:color="auto" w:fill="auto"/>
            <w:noWrap/>
            <w:vAlign w:val="bottom"/>
            <w:hideMark/>
          </w:tcPr>
          <w:p w14:paraId="3F95286F" w14:textId="171EC8BD" w:rsidR="006E2F90" w:rsidRPr="005269E6" w:rsidRDefault="006E2F90"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noWrap/>
            <w:vAlign w:val="bottom"/>
            <w:hideMark/>
          </w:tcPr>
          <w:p w14:paraId="583D116D" w14:textId="10F217D9" w:rsidR="006E2F90" w:rsidRPr="005269E6" w:rsidRDefault="006E2F90"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(158)</w:t>
            </w:r>
          </w:p>
        </w:tc>
        <w:tc>
          <w:tcPr>
            <w:tcW w:w="0" w:type="auto"/>
            <w:tcBorders>
              <w:top w:val="nil"/>
              <w:left w:val="nil"/>
              <w:bottom w:val="nil"/>
              <w:right w:val="nil"/>
            </w:tcBorders>
            <w:shd w:val="clear" w:color="auto" w:fill="auto"/>
            <w:noWrap/>
            <w:vAlign w:val="bottom"/>
            <w:hideMark/>
          </w:tcPr>
          <w:p w14:paraId="39D25A0A" w14:textId="20239AB0" w:rsidR="006E2F90" w:rsidRPr="005269E6" w:rsidRDefault="006E2F90"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(158)</w:t>
            </w:r>
          </w:p>
        </w:tc>
      </w:tr>
      <w:tr w:rsidR="006E2F90" w:rsidRPr="005269E6" w14:paraId="20110A3E" w14:textId="77777777" w:rsidTr="0040010E">
        <w:trPr>
          <w:trHeight w:val="255"/>
          <w:jc w:val="center"/>
        </w:trPr>
        <w:tc>
          <w:tcPr>
            <w:tcW w:w="0" w:type="auto"/>
            <w:tcBorders>
              <w:top w:val="nil"/>
              <w:left w:val="nil"/>
              <w:bottom w:val="nil"/>
              <w:right w:val="nil"/>
            </w:tcBorders>
            <w:shd w:val="clear" w:color="auto" w:fill="auto"/>
            <w:noWrap/>
            <w:vAlign w:val="bottom"/>
            <w:hideMark/>
          </w:tcPr>
          <w:p w14:paraId="6900944F" w14:textId="58751BBA" w:rsidR="006E2F90" w:rsidRPr="005269E6" w:rsidRDefault="009A7EC1" w:rsidP="006E2F9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نفقات أخرى</w:t>
            </w:r>
          </w:p>
        </w:tc>
        <w:tc>
          <w:tcPr>
            <w:tcW w:w="0" w:type="auto"/>
            <w:tcBorders>
              <w:top w:val="nil"/>
              <w:left w:val="nil"/>
              <w:bottom w:val="nil"/>
              <w:right w:val="nil"/>
            </w:tcBorders>
            <w:shd w:val="clear" w:color="auto" w:fill="auto"/>
            <w:noWrap/>
            <w:vAlign w:val="bottom"/>
            <w:hideMark/>
          </w:tcPr>
          <w:p w14:paraId="5646834C" w14:textId="2A8A910D" w:rsidR="006E2F90" w:rsidRPr="005269E6" w:rsidRDefault="006E2F90"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noWrap/>
            <w:vAlign w:val="bottom"/>
            <w:hideMark/>
          </w:tcPr>
          <w:p w14:paraId="6A27EA53" w14:textId="6E4BE517" w:rsidR="006E2F90" w:rsidRPr="005269E6" w:rsidRDefault="006E2F90"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158 </w:t>
            </w:r>
          </w:p>
        </w:tc>
        <w:tc>
          <w:tcPr>
            <w:tcW w:w="0" w:type="auto"/>
            <w:tcBorders>
              <w:top w:val="nil"/>
              <w:left w:val="nil"/>
              <w:bottom w:val="nil"/>
              <w:right w:val="nil"/>
            </w:tcBorders>
            <w:shd w:val="clear" w:color="auto" w:fill="auto"/>
            <w:noWrap/>
            <w:vAlign w:val="bottom"/>
            <w:hideMark/>
          </w:tcPr>
          <w:p w14:paraId="18556BB0" w14:textId="518E64EA" w:rsidR="006E2F90" w:rsidRPr="005269E6" w:rsidRDefault="006E2F90"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158 </w:t>
            </w:r>
          </w:p>
        </w:tc>
      </w:tr>
      <w:tr w:rsidR="006E2F90" w:rsidRPr="005269E6" w14:paraId="1C2B1521" w14:textId="77777777" w:rsidTr="0040010E">
        <w:trPr>
          <w:trHeight w:val="255"/>
          <w:jc w:val="center"/>
        </w:trPr>
        <w:tc>
          <w:tcPr>
            <w:tcW w:w="0" w:type="auto"/>
            <w:tcBorders>
              <w:top w:val="nil"/>
              <w:left w:val="nil"/>
              <w:bottom w:val="nil"/>
              <w:right w:val="nil"/>
            </w:tcBorders>
            <w:shd w:val="clear" w:color="auto" w:fill="auto"/>
            <w:noWrap/>
            <w:vAlign w:val="bottom"/>
            <w:hideMark/>
          </w:tcPr>
          <w:p w14:paraId="48C2B50E" w14:textId="5775B029" w:rsidR="006E2F90" w:rsidRPr="005269E6" w:rsidRDefault="009A7EC1" w:rsidP="006E2F9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 الأخرى</w:t>
            </w:r>
          </w:p>
        </w:tc>
        <w:tc>
          <w:tcPr>
            <w:tcW w:w="0" w:type="auto"/>
            <w:tcBorders>
              <w:top w:val="nil"/>
              <w:left w:val="nil"/>
              <w:bottom w:val="nil"/>
              <w:right w:val="nil"/>
            </w:tcBorders>
            <w:shd w:val="clear" w:color="auto" w:fill="auto"/>
            <w:noWrap/>
            <w:vAlign w:val="bottom"/>
            <w:hideMark/>
          </w:tcPr>
          <w:p w14:paraId="70A8AD54" w14:textId="0067ABBF" w:rsidR="006E2F90" w:rsidRPr="005269E6" w:rsidRDefault="006E2F90"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noWrap/>
            <w:vAlign w:val="bottom"/>
            <w:hideMark/>
          </w:tcPr>
          <w:p w14:paraId="120E6827" w14:textId="2B90D519" w:rsidR="006E2F90" w:rsidRPr="005269E6" w:rsidRDefault="006E2F90"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158 </w:t>
            </w:r>
          </w:p>
        </w:tc>
        <w:tc>
          <w:tcPr>
            <w:tcW w:w="0" w:type="auto"/>
            <w:tcBorders>
              <w:top w:val="nil"/>
              <w:left w:val="nil"/>
              <w:bottom w:val="nil"/>
              <w:right w:val="nil"/>
            </w:tcBorders>
            <w:shd w:val="clear" w:color="auto" w:fill="auto"/>
            <w:noWrap/>
            <w:vAlign w:val="bottom"/>
            <w:hideMark/>
          </w:tcPr>
          <w:p w14:paraId="4DBE64BA" w14:textId="5EC24BA8" w:rsidR="006E2F90" w:rsidRPr="005269E6" w:rsidRDefault="006E2F90"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158 </w:t>
            </w:r>
          </w:p>
        </w:tc>
      </w:tr>
      <w:tr w:rsidR="006E2F90" w:rsidRPr="005269E6" w14:paraId="76936692" w14:textId="77777777" w:rsidTr="0040010E">
        <w:trPr>
          <w:trHeight w:val="255"/>
          <w:jc w:val="center"/>
        </w:trPr>
        <w:tc>
          <w:tcPr>
            <w:tcW w:w="0" w:type="auto"/>
            <w:tcBorders>
              <w:top w:val="nil"/>
              <w:left w:val="nil"/>
              <w:bottom w:val="nil"/>
              <w:right w:val="nil"/>
            </w:tcBorders>
            <w:shd w:val="clear" w:color="auto" w:fill="auto"/>
            <w:noWrap/>
            <w:vAlign w:val="bottom"/>
            <w:hideMark/>
          </w:tcPr>
          <w:p w14:paraId="3BD6597F" w14:textId="18C3A75F" w:rsidR="006E2F90" w:rsidRPr="005269E6" w:rsidRDefault="009A7EC1" w:rsidP="006E2F9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ديون أخرى</w:t>
            </w:r>
          </w:p>
        </w:tc>
        <w:tc>
          <w:tcPr>
            <w:tcW w:w="0" w:type="auto"/>
            <w:tcBorders>
              <w:top w:val="nil"/>
              <w:left w:val="nil"/>
              <w:bottom w:val="nil"/>
              <w:right w:val="nil"/>
            </w:tcBorders>
            <w:shd w:val="clear" w:color="auto" w:fill="auto"/>
            <w:noWrap/>
            <w:vAlign w:val="bottom"/>
            <w:hideMark/>
          </w:tcPr>
          <w:p w14:paraId="2934340E" w14:textId="759E6188" w:rsidR="006E2F90" w:rsidRPr="005269E6" w:rsidRDefault="006E2F90"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0" w:type="auto"/>
            <w:tcBorders>
              <w:top w:val="nil"/>
              <w:left w:val="nil"/>
              <w:bottom w:val="nil"/>
              <w:right w:val="nil"/>
            </w:tcBorders>
            <w:shd w:val="clear" w:color="auto" w:fill="auto"/>
            <w:noWrap/>
            <w:vAlign w:val="bottom"/>
            <w:hideMark/>
          </w:tcPr>
          <w:p w14:paraId="52BDCB89" w14:textId="040EF10D" w:rsidR="006E2F90" w:rsidRPr="005269E6" w:rsidRDefault="006E2F90"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(158)</w:t>
            </w:r>
          </w:p>
        </w:tc>
        <w:tc>
          <w:tcPr>
            <w:tcW w:w="0" w:type="auto"/>
            <w:tcBorders>
              <w:top w:val="nil"/>
              <w:left w:val="nil"/>
              <w:bottom w:val="nil"/>
              <w:right w:val="nil"/>
            </w:tcBorders>
            <w:shd w:val="clear" w:color="auto" w:fill="auto"/>
            <w:noWrap/>
            <w:vAlign w:val="bottom"/>
            <w:hideMark/>
          </w:tcPr>
          <w:p w14:paraId="5636276D" w14:textId="4C42221D" w:rsidR="006E2F90" w:rsidRPr="005269E6" w:rsidRDefault="006E2F90" w:rsidP="00EE464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(158)</w:t>
            </w:r>
          </w:p>
        </w:tc>
      </w:tr>
    </w:tbl>
    <w:p w14:paraId="1BAFFEE5" w14:textId="0FB7DBCC" w:rsidR="006E2F90" w:rsidRPr="005269E6" w:rsidRDefault="006E2F90" w:rsidP="009E0BC7">
      <w:pPr>
        <w:pStyle w:val="Headingb"/>
        <w:rPr>
          <w:b w:val="0"/>
          <w:bCs w:val="0"/>
          <w:rtl/>
        </w:rPr>
      </w:pPr>
      <w:r w:rsidRPr="005269E6">
        <w:t>1</w:t>
      </w:r>
      <w:r w:rsidR="00701BC0" w:rsidRPr="005269E6">
        <w:t>3</w:t>
      </w:r>
      <w:r w:rsidRPr="005269E6">
        <w:rPr>
          <w:rtl/>
        </w:rPr>
        <w:tab/>
      </w:r>
      <w:r w:rsidR="009B5ECA" w:rsidRPr="005269E6">
        <w:rPr>
          <w:rtl/>
        </w:rPr>
        <w:t>إعادة تصنيف الأرصدة المدينة</w:t>
      </w:r>
    </w:p>
    <w:p w14:paraId="49D26857" w14:textId="1B7CD041" w:rsidR="006E2F90" w:rsidRPr="005269E6" w:rsidRDefault="009B5ECA" w:rsidP="009E0BC7">
      <w:pPr>
        <w:rPr>
          <w:rtl/>
        </w:rPr>
      </w:pPr>
      <w:r w:rsidRPr="005269E6">
        <w:rPr>
          <w:rtl/>
          <w:lang w:bidi="ar-SY"/>
        </w:rPr>
        <w:t>بالإضافة إلى الإشعارات الدائنة المستل</w:t>
      </w:r>
      <w:r w:rsidRPr="005269E6">
        <w:rPr>
          <w:rFonts w:hint="cs"/>
          <w:rtl/>
          <w:lang w:bidi="ar-SY"/>
        </w:rPr>
        <w:t>َ</w:t>
      </w:r>
      <w:r w:rsidRPr="005269E6">
        <w:rPr>
          <w:rtl/>
          <w:lang w:bidi="ar-SY"/>
        </w:rPr>
        <w:t>مة والمدفوعات المسبقة،</w:t>
      </w:r>
      <w:r w:rsidRPr="005269E6">
        <w:rPr>
          <w:rFonts w:hint="cs"/>
          <w:rtl/>
          <w:lang w:bidi="ar-SY"/>
        </w:rPr>
        <w:t xml:space="preserve"> شكلت</w:t>
      </w:r>
      <w:r w:rsidRPr="005269E6">
        <w:rPr>
          <w:rtl/>
          <w:lang w:bidi="ar-SY"/>
        </w:rPr>
        <w:t xml:space="preserve"> بعض الحسابات الدائنة صافي رصيد مدين في نهاية عام</w:t>
      </w:r>
      <w:r w:rsidR="009E0BC7" w:rsidRPr="005269E6">
        <w:rPr>
          <w:rFonts w:hint="cs"/>
          <w:rtl/>
          <w:lang w:bidi="ar-SY"/>
        </w:rPr>
        <w:t> </w:t>
      </w:r>
      <w:r w:rsidRPr="005269E6">
        <w:rPr>
          <w:rtl/>
          <w:lang w:bidi="ar-SY"/>
        </w:rPr>
        <w:t>2021. ونتيجة لذلك،</w:t>
      </w:r>
      <w:r w:rsidRPr="005269E6">
        <w:rPr>
          <w:rtl/>
        </w:rPr>
        <w:t xml:space="preserve"> </w:t>
      </w:r>
      <w:r w:rsidRPr="005269E6">
        <w:rPr>
          <w:rtl/>
          <w:lang w:bidi="ar-SY"/>
        </w:rPr>
        <w:t xml:space="preserve">أعيد تصنيف صافي </w:t>
      </w:r>
      <w:r w:rsidRPr="005269E6">
        <w:rPr>
          <w:rFonts w:hint="cs"/>
          <w:rtl/>
          <w:lang w:bidi="ar-SY"/>
        </w:rPr>
        <w:t>ال</w:t>
      </w:r>
      <w:r w:rsidRPr="005269E6">
        <w:rPr>
          <w:rtl/>
          <w:lang w:bidi="ar-SY"/>
        </w:rPr>
        <w:t>رصيد المدين بشكل صحيح على أنه ذمم مدينة أخرى.</w:t>
      </w:r>
    </w:p>
    <w:p w14:paraId="1DB7918F" w14:textId="1E4E061D" w:rsidR="009B5ECA" w:rsidRPr="005269E6" w:rsidRDefault="009B5ECA" w:rsidP="009E0BC7">
      <w:pPr>
        <w:spacing w:after="120"/>
        <w:rPr>
          <w:rtl/>
          <w:lang w:bidi="ar-SY"/>
        </w:rPr>
      </w:pPr>
      <w:r w:rsidRPr="005269E6">
        <w:rPr>
          <w:rFonts w:hint="cs"/>
          <w:rtl/>
          <w:lang w:bidi="ar-SY"/>
        </w:rPr>
        <w:t>و</w:t>
      </w:r>
      <w:r w:rsidRPr="005269E6">
        <w:rPr>
          <w:rtl/>
          <w:lang w:bidi="ar-SY"/>
        </w:rPr>
        <w:t>ليس لهذا التعديل أي تأثير على الأداء المالي.</w:t>
      </w:r>
    </w:p>
    <w:tbl>
      <w:tblPr>
        <w:bidiVisual/>
        <w:tblW w:w="0" w:type="auto"/>
        <w:jc w:val="center"/>
        <w:tblLook w:val="04A0" w:firstRow="1" w:lastRow="0" w:firstColumn="1" w:lastColumn="0" w:noHBand="0" w:noVBand="1"/>
      </w:tblPr>
      <w:tblGrid>
        <w:gridCol w:w="1611"/>
        <w:gridCol w:w="2081"/>
        <w:gridCol w:w="1095"/>
        <w:gridCol w:w="1359"/>
      </w:tblGrid>
      <w:tr w:rsidR="00F00EFD" w:rsidRPr="005269E6" w14:paraId="5B3A4AD7" w14:textId="77777777" w:rsidTr="0040010E">
        <w:trPr>
          <w:trHeight w:val="345"/>
          <w:jc w:val="center"/>
        </w:trPr>
        <w:tc>
          <w:tcPr>
            <w:tcW w:w="0" w:type="auto"/>
            <w:tcBorders>
              <w:top w:val="nil"/>
              <w:left w:val="nil"/>
              <w:bottom w:val="nil"/>
              <w:right w:val="nil"/>
            </w:tcBorders>
            <w:shd w:val="clear" w:color="000000" w:fill="0070C0"/>
            <w:noWrap/>
            <w:vAlign w:val="bottom"/>
            <w:hideMark/>
          </w:tcPr>
          <w:p w14:paraId="51D9A1DD" w14:textId="77777777" w:rsidR="00F00EFD" w:rsidRPr="005269E6" w:rsidRDefault="00F00EFD" w:rsidP="00F00EFD">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0" w:type="auto"/>
            <w:gridSpan w:val="3"/>
            <w:tcBorders>
              <w:top w:val="nil"/>
              <w:left w:val="nil"/>
              <w:bottom w:val="nil"/>
              <w:right w:val="nil"/>
            </w:tcBorders>
            <w:shd w:val="clear" w:color="000000" w:fill="0070C0"/>
            <w:noWrap/>
            <w:hideMark/>
          </w:tcPr>
          <w:p w14:paraId="25236DDC" w14:textId="77777777" w:rsidR="00F00EFD" w:rsidRPr="005269E6" w:rsidRDefault="00F00EFD" w:rsidP="00F00EFD">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9B5ECA" w:rsidRPr="005269E6" w14:paraId="5236A963" w14:textId="77777777" w:rsidTr="0040010E">
        <w:trPr>
          <w:trHeight w:val="345"/>
          <w:jc w:val="center"/>
        </w:trPr>
        <w:tc>
          <w:tcPr>
            <w:tcW w:w="0" w:type="auto"/>
            <w:tcBorders>
              <w:top w:val="nil"/>
              <w:left w:val="nil"/>
              <w:bottom w:val="nil"/>
              <w:right w:val="nil"/>
            </w:tcBorders>
            <w:shd w:val="clear" w:color="000000" w:fill="0070C0"/>
            <w:noWrap/>
            <w:vAlign w:val="bottom"/>
            <w:hideMark/>
          </w:tcPr>
          <w:p w14:paraId="6656039A" w14:textId="16BF9E35" w:rsidR="009B5ECA" w:rsidRPr="005269E6" w:rsidRDefault="009B5ECA" w:rsidP="009B5ECA">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0" w:type="auto"/>
            <w:tcBorders>
              <w:top w:val="nil"/>
              <w:left w:val="nil"/>
              <w:bottom w:val="nil"/>
              <w:right w:val="nil"/>
            </w:tcBorders>
            <w:shd w:val="clear" w:color="000000" w:fill="0070C0"/>
            <w:vAlign w:val="bottom"/>
            <w:hideMark/>
          </w:tcPr>
          <w:p w14:paraId="0CD5218F" w14:textId="39D425B1" w:rsidR="009B5ECA" w:rsidRPr="005269E6" w:rsidRDefault="009B5ECA" w:rsidP="009B5EC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w:t>
            </w:r>
            <w:r w:rsidRPr="005269E6">
              <w:rPr>
                <w:rFonts w:eastAsia="Times New Roman" w:hint="cs"/>
                <w:b/>
                <w:bCs/>
                <w:color w:val="000000"/>
                <w:sz w:val="18"/>
                <w:szCs w:val="18"/>
                <w:rtl/>
                <w:lang w:val="en-GB" w:eastAsia="en-GB"/>
              </w:rPr>
              <w:t>1</w:t>
            </w:r>
          </w:p>
        </w:tc>
        <w:tc>
          <w:tcPr>
            <w:tcW w:w="0" w:type="auto"/>
            <w:tcBorders>
              <w:top w:val="nil"/>
              <w:left w:val="nil"/>
              <w:bottom w:val="nil"/>
              <w:right w:val="nil"/>
            </w:tcBorders>
            <w:shd w:val="clear" w:color="000000" w:fill="0070C0"/>
            <w:vAlign w:val="bottom"/>
            <w:hideMark/>
          </w:tcPr>
          <w:p w14:paraId="67753307" w14:textId="6F51C87A" w:rsidR="009B5ECA" w:rsidRPr="005269E6" w:rsidRDefault="009B5ECA" w:rsidP="009B5EC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0" w:type="auto"/>
            <w:tcBorders>
              <w:top w:val="nil"/>
              <w:left w:val="nil"/>
              <w:bottom w:val="nil"/>
              <w:right w:val="nil"/>
            </w:tcBorders>
            <w:shd w:val="clear" w:color="000000" w:fill="0070C0"/>
            <w:vAlign w:val="bottom"/>
            <w:hideMark/>
          </w:tcPr>
          <w:p w14:paraId="163389B5" w14:textId="6DBDBBBE" w:rsidR="009B5ECA" w:rsidRPr="005269E6" w:rsidRDefault="009B5ECA" w:rsidP="009B5ECA">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r>
      <w:tr w:rsidR="00F00EFD" w:rsidRPr="005269E6" w14:paraId="48461133" w14:textId="77777777" w:rsidTr="0040010E">
        <w:trPr>
          <w:trHeight w:val="300"/>
          <w:jc w:val="center"/>
        </w:trPr>
        <w:tc>
          <w:tcPr>
            <w:tcW w:w="0" w:type="auto"/>
            <w:tcBorders>
              <w:top w:val="nil"/>
              <w:left w:val="nil"/>
              <w:bottom w:val="nil"/>
              <w:right w:val="nil"/>
            </w:tcBorders>
            <w:shd w:val="clear" w:color="auto" w:fill="auto"/>
            <w:noWrap/>
            <w:vAlign w:val="bottom"/>
            <w:hideMark/>
          </w:tcPr>
          <w:p w14:paraId="160D237E" w14:textId="02B4FB1A" w:rsidR="00F00EFD" w:rsidRPr="005269E6" w:rsidRDefault="005C6CE2" w:rsidP="00F00EFD">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الذمم الدائنة</w:t>
            </w:r>
          </w:p>
        </w:tc>
        <w:tc>
          <w:tcPr>
            <w:tcW w:w="0" w:type="auto"/>
            <w:tcBorders>
              <w:top w:val="nil"/>
              <w:left w:val="nil"/>
              <w:bottom w:val="nil"/>
              <w:right w:val="nil"/>
            </w:tcBorders>
            <w:shd w:val="clear" w:color="auto" w:fill="auto"/>
            <w:noWrap/>
            <w:vAlign w:val="bottom"/>
            <w:hideMark/>
          </w:tcPr>
          <w:p w14:paraId="11175B2A" w14:textId="05F94EF7" w:rsidR="00F00EFD" w:rsidRPr="005269E6" w:rsidRDefault="00F00EFD"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988 </w:t>
            </w:r>
          </w:p>
        </w:tc>
        <w:tc>
          <w:tcPr>
            <w:tcW w:w="0" w:type="auto"/>
            <w:tcBorders>
              <w:top w:val="nil"/>
              <w:left w:val="nil"/>
              <w:bottom w:val="nil"/>
              <w:right w:val="nil"/>
            </w:tcBorders>
            <w:shd w:val="clear" w:color="auto" w:fill="auto"/>
            <w:noWrap/>
            <w:vAlign w:val="bottom"/>
            <w:hideMark/>
          </w:tcPr>
          <w:p w14:paraId="48110B30" w14:textId="48571719" w:rsidR="00F00EFD" w:rsidRPr="005269E6" w:rsidRDefault="00F00EFD"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(988)</w:t>
            </w:r>
          </w:p>
        </w:tc>
        <w:tc>
          <w:tcPr>
            <w:tcW w:w="0" w:type="auto"/>
            <w:tcBorders>
              <w:top w:val="nil"/>
              <w:left w:val="nil"/>
              <w:bottom w:val="nil"/>
              <w:right w:val="nil"/>
            </w:tcBorders>
            <w:shd w:val="clear" w:color="auto" w:fill="auto"/>
            <w:noWrap/>
            <w:vAlign w:val="bottom"/>
            <w:hideMark/>
          </w:tcPr>
          <w:p w14:paraId="50E6FB5D" w14:textId="7EEDF502" w:rsidR="00F00EFD" w:rsidRPr="005269E6" w:rsidRDefault="00F00EFD"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F00EFD" w:rsidRPr="005269E6" w14:paraId="087E5A72" w14:textId="77777777" w:rsidTr="0040010E">
        <w:trPr>
          <w:trHeight w:val="300"/>
          <w:jc w:val="center"/>
        </w:trPr>
        <w:tc>
          <w:tcPr>
            <w:tcW w:w="0" w:type="auto"/>
            <w:tcBorders>
              <w:top w:val="nil"/>
              <w:left w:val="nil"/>
              <w:bottom w:val="nil"/>
              <w:right w:val="nil"/>
            </w:tcBorders>
            <w:shd w:val="clear" w:color="auto" w:fill="auto"/>
            <w:noWrap/>
            <w:vAlign w:val="bottom"/>
            <w:hideMark/>
          </w:tcPr>
          <w:p w14:paraId="430EB961" w14:textId="4BE33E64" w:rsidR="00F00EFD" w:rsidRPr="005269E6" w:rsidRDefault="005C6CE2" w:rsidP="00F00EFD">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الذمم المدينة الأخرى</w:t>
            </w:r>
          </w:p>
        </w:tc>
        <w:tc>
          <w:tcPr>
            <w:tcW w:w="0" w:type="auto"/>
            <w:tcBorders>
              <w:top w:val="nil"/>
              <w:left w:val="nil"/>
              <w:bottom w:val="nil"/>
              <w:right w:val="nil"/>
            </w:tcBorders>
            <w:shd w:val="clear" w:color="auto" w:fill="auto"/>
            <w:noWrap/>
            <w:vAlign w:val="bottom"/>
            <w:hideMark/>
          </w:tcPr>
          <w:p w14:paraId="26EA8EA3" w14:textId="1AB1987B" w:rsidR="00F00EFD" w:rsidRPr="005269E6" w:rsidRDefault="00F00EFD"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0" w:type="auto"/>
            <w:tcBorders>
              <w:top w:val="nil"/>
              <w:left w:val="nil"/>
              <w:bottom w:val="nil"/>
              <w:right w:val="nil"/>
            </w:tcBorders>
            <w:shd w:val="clear" w:color="auto" w:fill="auto"/>
            <w:noWrap/>
            <w:vAlign w:val="bottom"/>
            <w:hideMark/>
          </w:tcPr>
          <w:p w14:paraId="0F6ED93C" w14:textId="543A4066" w:rsidR="00F00EFD" w:rsidRPr="005269E6" w:rsidRDefault="00F00EFD"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988 </w:t>
            </w:r>
          </w:p>
        </w:tc>
        <w:tc>
          <w:tcPr>
            <w:tcW w:w="0" w:type="auto"/>
            <w:tcBorders>
              <w:top w:val="nil"/>
              <w:left w:val="nil"/>
              <w:bottom w:val="nil"/>
              <w:right w:val="nil"/>
            </w:tcBorders>
            <w:shd w:val="clear" w:color="auto" w:fill="auto"/>
            <w:noWrap/>
            <w:vAlign w:val="bottom"/>
            <w:hideMark/>
          </w:tcPr>
          <w:p w14:paraId="2A909A5B" w14:textId="59C576AC" w:rsidR="00F00EFD" w:rsidRPr="005269E6" w:rsidRDefault="00F00EFD"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988 </w:t>
            </w:r>
          </w:p>
        </w:tc>
      </w:tr>
    </w:tbl>
    <w:p w14:paraId="72424811" w14:textId="365D09F4" w:rsidR="000C2A44" w:rsidRPr="005269E6" w:rsidRDefault="000C2A44" w:rsidP="009E0BC7">
      <w:pPr>
        <w:pStyle w:val="Headingb"/>
        <w:rPr>
          <w:b w:val="0"/>
          <w:bCs w:val="0"/>
          <w:rtl/>
        </w:rPr>
      </w:pPr>
      <w:r w:rsidRPr="005269E6">
        <w:t>14</w:t>
      </w:r>
      <w:r w:rsidRPr="005269E6">
        <w:rPr>
          <w:rtl/>
        </w:rPr>
        <w:tab/>
      </w:r>
      <w:r w:rsidR="005C6CE2" w:rsidRPr="005269E6">
        <w:rPr>
          <w:rtl/>
        </w:rPr>
        <w:t>تمويل الأحداث</w:t>
      </w:r>
    </w:p>
    <w:p w14:paraId="73D3AE62" w14:textId="58954936" w:rsidR="000C2A44" w:rsidRPr="005269E6" w:rsidRDefault="004F21A9" w:rsidP="004F21A9">
      <w:pPr>
        <w:rPr>
          <w:rtl/>
        </w:rPr>
      </w:pPr>
      <w:r w:rsidRPr="005269E6">
        <w:rPr>
          <w:rFonts w:hint="cs"/>
          <w:rtl/>
          <w:lang w:bidi="ar-SY"/>
        </w:rPr>
        <w:t>رُصد</w:t>
      </w:r>
      <w:r w:rsidRPr="005269E6">
        <w:rPr>
          <w:rtl/>
          <w:lang w:bidi="ar-SY"/>
        </w:rPr>
        <w:t xml:space="preserve"> مبلغ </w:t>
      </w:r>
      <w:r w:rsidR="002D09F8" w:rsidRPr="005269E6">
        <w:rPr>
          <w:lang w:bidi="ar-SY"/>
        </w:rPr>
        <w:t>1 581</w:t>
      </w:r>
      <w:r w:rsidRPr="005269E6">
        <w:rPr>
          <w:rtl/>
          <w:lang w:bidi="ar-SY"/>
        </w:rPr>
        <w:t xml:space="preserve"> مليون فرنك سويسري في الميزانية لبعض النفقات التي يتعين تكبدها في عام 2021. بيد أن الأحداث الأساسية أرجئت وجرت في عام 2022.</w:t>
      </w:r>
    </w:p>
    <w:p w14:paraId="08122BBD" w14:textId="61D96EF2" w:rsidR="004F21A9" w:rsidRPr="005269E6" w:rsidRDefault="00361213" w:rsidP="0040010E">
      <w:pPr>
        <w:rPr>
          <w:spacing w:val="4"/>
          <w:rtl/>
          <w:lang w:bidi="ar-SY"/>
        </w:rPr>
      </w:pPr>
      <w:r w:rsidRPr="005269E6">
        <w:rPr>
          <w:spacing w:val="4"/>
          <w:rtl/>
          <w:lang w:bidi="ar-SY"/>
        </w:rPr>
        <w:t xml:space="preserve">وقد </w:t>
      </w:r>
      <w:r w:rsidRPr="005269E6">
        <w:rPr>
          <w:rFonts w:hint="cs"/>
          <w:spacing w:val="4"/>
          <w:rtl/>
          <w:lang w:bidi="ar-SY"/>
        </w:rPr>
        <w:t>ثبَّت</w:t>
      </w:r>
      <w:r w:rsidRPr="005269E6">
        <w:rPr>
          <w:spacing w:val="4"/>
          <w:rtl/>
          <w:lang w:bidi="ar-SY"/>
        </w:rPr>
        <w:t xml:space="preserve"> الاتحاد </w:t>
      </w:r>
      <w:r w:rsidRPr="005269E6">
        <w:rPr>
          <w:rFonts w:hint="cs"/>
          <w:spacing w:val="4"/>
          <w:rtl/>
          <w:lang w:bidi="ar-SY"/>
        </w:rPr>
        <w:t>بصورة خاطئة</w:t>
      </w:r>
      <w:r w:rsidRPr="005269E6">
        <w:rPr>
          <w:spacing w:val="4"/>
          <w:rtl/>
          <w:lang w:bidi="ar-SY"/>
        </w:rPr>
        <w:t xml:space="preserve"> نفقات الخدمات التعاقدية عام 2021 بالمبالغ المدرجة في الميزانية البالغة</w:t>
      </w:r>
      <w:r w:rsidR="00333DA3" w:rsidRPr="005269E6">
        <w:rPr>
          <w:rFonts w:hint="cs"/>
          <w:spacing w:val="4"/>
          <w:rtl/>
          <w:lang w:bidi="ar-SY"/>
        </w:rPr>
        <w:t xml:space="preserve"> </w:t>
      </w:r>
      <w:r w:rsidR="00333DA3" w:rsidRPr="005269E6">
        <w:rPr>
          <w:spacing w:val="4"/>
          <w:lang w:bidi="ar-SY"/>
        </w:rPr>
        <w:t>0,227</w:t>
      </w:r>
      <w:r w:rsidRPr="005269E6">
        <w:rPr>
          <w:spacing w:val="4"/>
          <w:rtl/>
          <w:lang w:bidi="ar-SY"/>
        </w:rPr>
        <w:t xml:space="preserve"> مليون فرنك سويسري. ونتيجة لذلك، </w:t>
      </w:r>
      <w:r w:rsidRPr="005269E6">
        <w:rPr>
          <w:rFonts w:hint="cs"/>
          <w:spacing w:val="4"/>
          <w:rtl/>
          <w:lang w:bidi="ar-SY"/>
        </w:rPr>
        <w:t>ألغيت</w:t>
      </w:r>
      <w:r w:rsidRPr="005269E6">
        <w:rPr>
          <w:spacing w:val="4"/>
          <w:rtl/>
          <w:lang w:bidi="ar-SY"/>
        </w:rPr>
        <w:t xml:space="preserve"> هذه المعاملات التي بلغ مجموعها 1,354 مليون فرنك سويسري </w:t>
      </w:r>
      <w:r w:rsidRPr="005269E6">
        <w:rPr>
          <w:rFonts w:hint="cs"/>
          <w:spacing w:val="4"/>
          <w:rtl/>
          <w:lang w:bidi="ar-SY"/>
        </w:rPr>
        <w:t>وثُبِّتت</w:t>
      </w:r>
      <w:r w:rsidRPr="005269E6">
        <w:rPr>
          <w:spacing w:val="4"/>
          <w:rtl/>
          <w:lang w:bidi="ar-SY"/>
        </w:rPr>
        <w:t xml:space="preserve"> أيضا</w:t>
      </w:r>
      <w:r w:rsidR="00333DA3" w:rsidRPr="005269E6">
        <w:rPr>
          <w:rFonts w:hint="cs"/>
          <w:spacing w:val="4"/>
          <w:rtl/>
          <w:lang w:bidi="ar-SY"/>
        </w:rPr>
        <w:t>ً</w:t>
      </w:r>
      <w:r w:rsidRPr="005269E6">
        <w:rPr>
          <w:spacing w:val="4"/>
          <w:rtl/>
          <w:lang w:bidi="ar-SY"/>
        </w:rPr>
        <w:t xml:space="preserve"> عند تكبدها عام 2022.</w:t>
      </w:r>
    </w:p>
    <w:tbl>
      <w:tblPr>
        <w:bidiVisual/>
        <w:tblW w:w="5000" w:type="pct"/>
        <w:tblLook w:val="04A0" w:firstRow="1" w:lastRow="0" w:firstColumn="1" w:lastColumn="0" w:noHBand="0" w:noVBand="1"/>
      </w:tblPr>
      <w:tblGrid>
        <w:gridCol w:w="1420"/>
        <w:gridCol w:w="1068"/>
        <w:gridCol w:w="1149"/>
        <w:gridCol w:w="1134"/>
        <w:gridCol w:w="260"/>
        <w:gridCol w:w="1581"/>
        <w:gridCol w:w="1068"/>
        <w:gridCol w:w="1098"/>
        <w:gridCol w:w="861"/>
      </w:tblGrid>
      <w:tr w:rsidR="00314F82" w:rsidRPr="005269E6" w14:paraId="1AD744DB" w14:textId="6933A968" w:rsidTr="00C10695">
        <w:trPr>
          <w:trHeight w:val="345"/>
        </w:trPr>
        <w:tc>
          <w:tcPr>
            <w:tcW w:w="1420" w:type="dxa"/>
            <w:tcBorders>
              <w:top w:val="nil"/>
              <w:left w:val="nil"/>
              <w:bottom w:val="nil"/>
              <w:right w:val="nil"/>
            </w:tcBorders>
            <w:shd w:val="clear" w:color="000000" w:fill="0070C0"/>
            <w:noWrap/>
            <w:vAlign w:val="bottom"/>
            <w:hideMark/>
          </w:tcPr>
          <w:p w14:paraId="4C31D74D" w14:textId="77777777" w:rsidR="00314F82" w:rsidRPr="005269E6" w:rsidRDefault="00314F82"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lastRenderedPageBreak/>
              <w:t> </w:t>
            </w:r>
          </w:p>
        </w:tc>
        <w:tc>
          <w:tcPr>
            <w:tcW w:w="3351" w:type="dxa"/>
            <w:gridSpan w:val="3"/>
            <w:tcBorders>
              <w:top w:val="nil"/>
              <w:left w:val="nil"/>
              <w:bottom w:val="nil"/>
              <w:right w:val="nil"/>
            </w:tcBorders>
            <w:shd w:val="clear" w:color="000000" w:fill="0070C0"/>
            <w:noWrap/>
            <w:hideMark/>
          </w:tcPr>
          <w:p w14:paraId="2F1D872B" w14:textId="59B42CC3" w:rsidR="00314F82" w:rsidRPr="005269E6" w:rsidRDefault="00314F82" w:rsidP="0040010E">
            <w:pPr>
              <w:keepNext/>
              <w:keepLines/>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c>
          <w:tcPr>
            <w:tcW w:w="260" w:type="dxa"/>
            <w:tcBorders>
              <w:top w:val="nil"/>
              <w:left w:val="nil"/>
              <w:bottom w:val="nil"/>
              <w:right w:val="nil"/>
            </w:tcBorders>
            <w:shd w:val="clear" w:color="auto" w:fill="auto"/>
          </w:tcPr>
          <w:p w14:paraId="7C8F7621" w14:textId="77777777" w:rsidR="00314F82" w:rsidRPr="005269E6" w:rsidRDefault="00314F82" w:rsidP="0040010E">
            <w:pPr>
              <w:keepNext/>
              <w:keepLines/>
              <w:tabs>
                <w:tab w:val="clear" w:pos="794"/>
              </w:tabs>
              <w:spacing w:before="40" w:after="40" w:line="240" w:lineRule="exact"/>
              <w:jc w:val="center"/>
              <w:rPr>
                <w:rFonts w:eastAsia="Times New Roman"/>
                <w:b/>
                <w:bCs/>
                <w:color w:val="000000"/>
                <w:sz w:val="18"/>
                <w:szCs w:val="18"/>
                <w:lang w:val="en-GB" w:eastAsia="en-GB"/>
              </w:rPr>
            </w:pPr>
          </w:p>
        </w:tc>
        <w:tc>
          <w:tcPr>
            <w:tcW w:w="1581" w:type="dxa"/>
            <w:tcBorders>
              <w:top w:val="nil"/>
              <w:left w:val="nil"/>
              <w:bottom w:val="nil"/>
              <w:right w:val="nil"/>
            </w:tcBorders>
            <w:shd w:val="clear" w:color="auto" w:fill="0070C0"/>
          </w:tcPr>
          <w:p w14:paraId="7EE5FA8E" w14:textId="77777777" w:rsidR="00314F82" w:rsidRPr="005269E6" w:rsidRDefault="00314F82" w:rsidP="0040010E">
            <w:pPr>
              <w:keepNext/>
              <w:keepLines/>
              <w:tabs>
                <w:tab w:val="clear" w:pos="794"/>
              </w:tabs>
              <w:spacing w:before="40" w:after="40" w:line="240" w:lineRule="exact"/>
              <w:jc w:val="center"/>
              <w:rPr>
                <w:rFonts w:eastAsia="Times New Roman"/>
                <w:b/>
                <w:bCs/>
                <w:color w:val="000000"/>
                <w:sz w:val="18"/>
                <w:szCs w:val="18"/>
                <w:lang w:val="en-GB" w:eastAsia="en-GB"/>
              </w:rPr>
            </w:pPr>
          </w:p>
        </w:tc>
        <w:tc>
          <w:tcPr>
            <w:tcW w:w="3027" w:type="dxa"/>
            <w:gridSpan w:val="3"/>
            <w:tcBorders>
              <w:top w:val="nil"/>
              <w:left w:val="nil"/>
              <w:bottom w:val="nil"/>
              <w:right w:val="nil"/>
            </w:tcBorders>
            <w:shd w:val="clear" w:color="auto" w:fill="0070C0"/>
          </w:tcPr>
          <w:p w14:paraId="7DF6D7EA" w14:textId="66C717B9" w:rsidR="00314F82" w:rsidRPr="005269E6" w:rsidRDefault="00314F82" w:rsidP="0040010E">
            <w:pPr>
              <w:keepNext/>
              <w:keepLines/>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361213" w:rsidRPr="005269E6" w14:paraId="1E8D1D1B" w14:textId="07899540" w:rsidTr="00604AC6">
        <w:trPr>
          <w:trHeight w:val="510"/>
        </w:trPr>
        <w:tc>
          <w:tcPr>
            <w:tcW w:w="1420" w:type="dxa"/>
            <w:tcBorders>
              <w:top w:val="nil"/>
              <w:left w:val="nil"/>
              <w:bottom w:val="nil"/>
              <w:right w:val="nil"/>
            </w:tcBorders>
            <w:shd w:val="clear" w:color="000000" w:fill="0070C0"/>
            <w:noWrap/>
            <w:vAlign w:val="bottom"/>
            <w:hideMark/>
          </w:tcPr>
          <w:p w14:paraId="4F793CEE" w14:textId="312F5C94" w:rsidR="00361213" w:rsidRPr="005269E6" w:rsidRDefault="00361213" w:rsidP="0040010E">
            <w:pPr>
              <w:keepNext/>
              <w:keepLines/>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1068" w:type="dxa"/>
            <w:tcBorders>
              <w:top w:val="nil"/>
              <w:left w:val="nil"/>
              <w:bottom w:val="nil"/>
              <w:right w:val="nil"/>
            </w:tcBorders>
            <w:shd w:val="clear" w:color="000000" w:fill="0070C0"/>
            <w:vAlign w:val="bottom"/>
            <w:hideMark/>
          </w:tcPr>
          <w:p w14:paraId="79235937" w14:textId="600EEBFF" w:rsidR="00361213" w:rsidRPr="005269E6" w:rsidRDefault="00361213" w:rsidP="0040010E">
            <w:pPr>
              <w:keepNext/>
              <w:keepLines/>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1149" w:type="dxa"/>
            <w:tcBorders>
              <w:top w:val="nil"/>
              <w:left w:val="nil"/>
              <w:bottom w:val="nil"/>
              <w:right w:val="nil"/>
            </w:tcBorders>
            <w:shd w:val="clear" w:color="000000" w:fill="0070C0"/>
            <w:vAlign w:val="bottom"/>
            <w:hideMark/>
          </w:tcPr>
          <w:p w14:paraId="5C227C41" w14:textId="55473832" w:rsidR="00361213" w:rsidRPr="005269E6" w:rsidRDefault="00361213" w:rsidP="0040010E">
            <w:pPr>
              <w:keepNext/>
              <w:keepLines/>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134" w:type="dxa"/>
            <w:tcBorders>
              <w:top w:val="nil"/>
              <w:left w:val="nil"/>
              <w:bottom w:val="nil"/>
              <w:right w:val="nil"/>
            </w:tcBorders>
            <w:shd w:val="clear" w:color="000000" w:fill="0070C0"/>
            <w:vAlign w:val="bottom"/>
            <w:hideMark/>
          </w:tcPr>
          <w:p w14:paraId="3205AB65" w14:textId="6C69844D" w:rsidR="00361213" w:rsidRPr="005269E6" w:rsidRDefault="00AE6518" w:rsidP="0040010E">
            <w:pPr>
              <w:keepNext/>
              <w:keepLines/>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c>
          <w:tcPr>
            <w:tcW w:w="260" w:type="dxa"/>
            <w:tcBorders>
              <w:top w:val="nil"/>
              <w:left w:val="nil"/>
              <w:bottom w:val="nil"/>
              <w:right w:val="nil"/>
            </w:tcBorders>
            <w:shd w:val="clear" w:color="auto" w:fill="auto"/>
          </w:tcPr>
          <w:p w14:paraId="540D6E30" w14:textId="77777777" w:rsidR="00361213" w:rsidRPr="005269E6" w:rsidRDefault="00361213" w:rsidP="0040010E">
            <w:pPr>
              <w:keepNext/>
              <w:keepLines/>
              <w:tabs>
                <w:tab w:val="clear" w:pos="794"/>
              </w:tabs>
              <w:spacing w:before="40" w:after="40" w:line="240" w:lineRule="exact"/>
              <w:jc w:val="center"/>
              <w:rPr>
                <w:rFonts w:eastAsia="Times New Roman"/>
                <w:b/>
                <w:bCs/>
                <w:color w:val="000000"/>
                <w:sz w:val="18"/>
                <w:szCs w:val="18"/>
                <w:lang w:val="en-GB" w:eastAsia="en-GB"/>
              </w:rPr>
            </w:pPr>
          </w:p>
        </w:tc>
        <w:tc>
          <w:tcPr>
            <w:tcW w:w="1581" w:type="dxa"/>
            <w:tcBorders>
              <w:top w:val="nil"/>
              <w:left w:val="nil"/>
              <w:bottom w:val="nil"/>
              <w:right w:val="nil"/>
            </w:tcBorders>
            <w:shd w:val="clear" w:color="auto" w:fill="0070C0"/>
            <w:vAlign w:val="bottom"/>
          </w:tcPr>
          <w:p w14:paraId="65856301" w14:textId="30B69D33" w:rsidR="00361213" w:rsidRPr="005269E6" w:rsidRDefault="00361213" w:rsidP="0040010E">
            <w:pPr>
              <w:keepNext/>
              <w:keepLines/>
              <w:tabs>
                <w:tab w:val="clear" w:pos="794"/>
              </w:tabs>
              <w:spacing w:before="40" w:after="40" w:line="240" w:lineRule="exact"/>
              <w:jc w:val="center"/>
              <w:rPr>
                <w:rFonts w:eastAsia="Times New Roman"/>
                <w:b/>
                <w:bCs/>
                <w:color w:val="000000"/>
                <w:sz w:val="18"/>
                <w:szCs w:val="18"/>
                <w:lang w:eastAsia="en-GB" w:bidi="ar-SY"/>
              </w:rPr>
            </w:pPr>
            <w:r w:rsidRPr="005269E6">
              <w:rPr>
                <w:rFonts w:eastAsia="Times New Roman"/>
                <w:b/>
                <w:bCs/>
                <w:color w:val="000000"/>
                <w:sz w:val="18"/>
                <w:szCs w:val="18"/>
                <w:rtl/>
                <w:lang w:val="en-GB" w:eastAsia="en-GB"/>
              </w:rPr>
              <w:t>الحسابات</w:t>
            </w:r>
          </w:p>
        </w:tc>
        <w:tc>
          <w:tcPr>
            <w:tcW w:w="1068" w:type="dxa"/>
            <w:tcBorders>
              <w:top w:val="nil"/>
              <w:left w:val="nil"/>
              <w:bottom w:val="nil"/>
              <w:right w:val="nil"/>
            </w:tcBorders>
            <w:shd w:val="clear" w:color="000000" w:fill="0070C0"/>
            <w:vAlign w:val="bottom"/>
          </w:tcPr>
          <w:p w14:paraId="6D282EF0" w14:textId="2C88C0FE" w:rsidR="00361213" w:rsidRPr="005269E6" w:rsidRDefault="00361213" w:rsidP="0040010E">
            <w:pPr>
              <w:keepNext/>
              <w:keepLines/>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w:t>
            </w:r>
            <w:r w:rsidRPr="005269E6">
              <w:rPr>
                <w:rFonts w:eastAsia="Times New Roman" w:hint="cs"/>
                <w:b/>
                <w:bCs/>
                <w:color w:val="000000"/>
                <w:sz w:val="18"/>
                <w:szCs w:val="18"/>
                <w:rtl/>
                <w:lang w:val="en-GB" w:eastAsia="en-GB"/>
              </w:rPr>
              <w:t>1</w:t>
            </w:r>
          </w:p>
        </w:tc>
        <w:tc>
          <w:tcPr>
            <w:tcW w:w="1098" w:type="dxa"/>
            <w:tcBorders>
              <w:top w:val="nil"/>
              <w:left w:val="nil"/>
              <w:bottom w:val="nil"/>
              <w:right w:val="nil"/>
            </w:tcBorders>
            <w:shd w:val="clear" w:color="000000" w:fill="0070C0"/>
            <w:vAlign w:val="bottom"/>
          </w:tcPr>
          <w:p w14:paraId="6007009E" w14:textId="349C780D" w:rsidR="00361213" w:rsidRPr="005269E6" w:rsidRDefault="00361213" w:rsidP="0040010E">
            <w:pPr>
              <w:keepNext/>
              <w:keepLines/>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861" w:type="dxa"/>
            <w:tcBorders>
              <w:top w:val="nil"/>
              <w:left w:val="nil"/>
              <w:bottom w:val="nil"/>
              <w:right w:val="nil"/>
            </w:tcBorders>
            <w:shd w:val="clear" w:color="000000" w:fill="0070C0"/>
            <w:vAlign w:val="bottom"/>
          </w:tcPr>
          <w:p w14:paraId="442F71DF" w14:textId="243ECF96" w:rsidR="00361213" w:rsidRPr="005269E6" w:rsidRDefault="00AE6518" w:rsidP="0040010E">
            <w:pPr>
              <w:keepNext/>
              <w:keepLines/>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بيانها</w:t>
            </w:r>
          </w:p>
        </w:tc>
      </w:tr>
      <w:tr w:rsidR="00314F82" w:rsidRPr="005269E6" w14:paraId="7509CEF2" w14:textId="480356EF" w:rsidTr="00C10695">
        <w:trPr>
          <w:trHeight w:val="300"/>
        </w:trPr>
        <w:tc>
          <w:tcPr>
            <w:tcW w:w="1420" w:type="dxa"/>
            <w:tcBorders>
              <w:top w:val="nil"/>
              <w:left w:val="nil"/>
              <w:bottom w:val="nil"/>
              <w:right w:val="nil"/>
            </w:tcBorders>
            <w:shd w:val="clear" w:color="auto" w:fill="auto"/>
            <w:noWrap/>
            <w:vAlign w:val="bottom"/>
            <w:hideMark/>
          </w:tcPr>
          <w:p w14:paraId="26A25F5D" w14:textId="22F4D5B5" w:rsidR="00314F82" w:rsidRPr="005269E6" w:rsidRDefault="00361213" w:rsidP="0040010E">
            <w:pPr>
              <w:keepNext/>
              <w:keepLines/>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رأس المال المخصص</w:t>
            </w:r>
          </w:p>
        </w:tc>
        <w:tc>
          <w:tcPr>
            <w:tcW w:w="1068" w:type="dxa"/>
            <w:tcBorders>
              <w:top w:val="nil"/>
              <w:left w:val="nil"/>
              <w:bottom w:val="nil"/>
              <w:right w:val="nil"/>
            </w:tcBorders>
            <w:shd w:val="clear" w:color="auto" w:fill="auto"/>
            <w:noWrap/>
            <w:vAlign w:val="bottom"/>
          </w:tcPr>
          <w:p w14:paraId="3E31425C" w14:textId="6595D3EA" w:rsidR="00314F82" w:rsidRPr="005269E6" w:rsidRDefault="00314F82" w:rsidP="0040010E">
            <w:pPr>
              <w:keepNext/>
              <w:keepLines/>
              <w:tabs>
                <w:tab w:val="clear" w:pos="794"/>
              </w:tabs>
              <w:spacing w:before="40" w:after="40" w:line="240" w:lineRule="exact"/>
              <w:jc w:val="left"/>
              <w:rPr>
                <w:rFonts w:eastAsia="Times New Roman"/>
                <w:color w:val="000000"/>
                <w:sz w:val="18"/>
                <w:szCs w:val="18"/>
                <w:lang w:val="en-GB" w:eastAsia="en-GB"/>
              </w:rPr>
            </w:pPr>
          </w:p>
        </w:tc>
        <w:tc>
          <w:tcPr>
            <w:tcW w:w="1149" w:type="dxa"/>
            <w:tcBorders>
              <w:top w:val="nil"/>
              <w:left w:val="nil"/>
              <w:bottom w:val="nil"/>
              <w:right w:val="nil"/>
            </w:tcBorders>
            <w:shd w:val="clear" w:color="auto" w:fill="auto"/>
            <w:noWrap/>
            <w:vAlign w:val="bottom"/>
            <w:hideMark/>
          </w:tcPr>
          <w:p w14:paraId="02CB9985" w14:textId="30BC56F9" w:rsidR="00314F82" w:rsidRPr="005269E6" w:rsidRDefault="00691020"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1 581</w:t>
            </w:r>
          </w:p>
        </w:tc>
        <w:tc>
          <w:tcPr>
            <w:tcW w:w="1134" w:type="dxa"/>
            <w:tcBorders>
              <w:top w:val="nil"/>
              <w:left w:val="nil"/>
              <w:bottom w:val="nil"/>
              <w:right w:val="nil"/>
            </w:tcBorders>
            <w:shd w:val="clear" w:color="auto" w:fill="auto"/>
            <w:noWrap/>
            <w:vAlign w:val="bottom"/>
            <w:hideMark/>
          </w:tcPr>
          <w:p w14:paraId="57CD2B7A" w14:textId="0A996A85" w:rsidR="00314F82" w:rsidRPr="005269E6" w:rsidRDefault="00691020"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1 581</w:t>
            </w:r>
          </w:p>
        </w:tc>
        <w:tc>
          <w:tcPr>
            <w:tcW w:w="260" w:type="dxa"/>
            <w:tcBorders>
              <w:top w:val="nil"/>
              <w:left w:val="nil"/>
              <w:bottom w:val="nil"/>
              <w:right w:val="nil"/>
            </w:tcBorders>
            <w:shd w:val="clear" w:color="auto" w:fill="auto"/>
          </w:tcPr>
          <w:p w14:paraId="27F15CE2" w14:textId="77777777" w:rsidR="00314F82" w:rsidRPr="005269E6" w:rsidRDefault="00314F82" w:rsidP="0040010E">
            <w:pPr>
              <w:keepNext/>
              <w:keepLines/>
              <w:tabs>
                <w:tab w:val="clear" w:pos="794"/>
              </w:tabs>
              <w:spacing w:before="40" w:after="40" w:line="240" w:lineRule="exact"/>
              <w:jc w:val="left"/>
              <w:rPr>
                <w:rFonts w:eastAsia="Times New Roman"/>
                <w:color w:val="000000"/>
                <w:sz w:val="18"/>
                <w:szCs w:val="18"/>
                <w:lang w:val="en-GB" w:eastAsia="en-GB"/>
              </w:rPr>
            </w:pPr>
          </w:p>
        </w:tc>
        <w:tc>
          <w:tcPr>
            <w:tcW w:w="1581" w:type="dxa"/>
            <w:tcBorders>
              <w:top w:val="nil"/>
              <w:left w:val="nil"/>
              <w:bottom w:val="nil"/>
              <w:right w:val="nil"/>
            </w:tcBorders>
          </w:tcPr>
          <w:p w14:paraId="535A425D" w14:textId="4D6D8682" w:rsidR="00314F82" w:rsidRPr="005269E6" w:rsidRDefault="00361213" w:rsidP="0040010E">
            <w:pPr>
              <w:keepNext/>
              <w:keepLines/>
              <w:tabs>
                <w:tab w:val="clear" w:pos="794"/>
              </w:tabs>
              <w:spacing w:before="40" w:after="40" w:line="240" w:lineRule="exact"/>
              <w:jc w:val="left"/>
              <w:rPr>
                <w:rFonts w:eastAsia="Times New Roman"/>
                <w:b/>
                <w:bCs/>
                <w:color w:val="000000"/>
                <w:sz w:val="18"/>
                <w:szCs w:val="18"/>
                <w:lang w:eastAsia="en-GB" w:bidi="ar-SY"/>
              </w:rPr>
            </w:pPr>
            <w:r w:rsidRPr="005269E6">
              <w:rPr>
                <w:rFonts w:eastAsia="Times New Roman"/>
                <w:b/>
                <w:bCs/>
                <w:color w:val="000000"/>
                <w:sz w:val="18"/>
                <w:szCs w:val="18"/>
                <w:rtl/>
                <w:lang w:eastAsia="en-GB" w:bidi="ar-SY"/>
              </w:rPr>
              <w:t>إيرادات التشغيل الأخرى</w:t>
            </w:r>
          </w:p>
        </w:tc>
        <w:tc>
          <w:tcPr>
            <w:tcW w:w="1068" w:type="dxa"/>
            <w:tcBorders>
              <w:top w:val="nil"/>
              <w:left w:val="nil"/>
              <w:bottom w:val="nil"/>
              <w:right w:val="nil"/>
            </w:tcBorders>
          </w:tcPr>
          <w:p w14:paraId="2D95611C" w14:textId="2534CB04" w:rsidR="00314F82" w:rsidRPr="005269E6" w:rsidRDefault="00691020"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1 581</w:t>
            </w:r>
          </w:p>
        </w:tc>
        <w:tc>
          <w:tcPr>
            <w:tcW w:w="1098" w:type="dxa"/>
            <w:tcBorders>
              <w:top w:val="nil"/>
              <w:left w:val="nil"/>
              <w:bottom w:val="nil"/>
              <w:right w:val="nil"/>
            </w:tcBorders>
          </w:tcPr>
          <w:p w14:paraId="30337BA5" w14:textId="780C5996" w:rsidR="00314F82" w:rsidRPr="005269E6" w:rsidRDefault="00691020"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(1 581)</w:t>
            </w:r>
          </w:p>
        </w:tc>
        <w:tc>
          <w:tcPr>
            <w:tcW w:w="861" w:type="dxa"/>
            <w:tcBorders>
              <w:top w:val="nil"/>
              <w:left w:val="nil"/>
              <w:bottom w:val="nil"/>
              <w:right w:val="nil"/>
            </w:tcBorders>
          </w:tcPr>
          <w:p w14:paraId="432AF3AE" w14:textId="0CD5B59F" w:rsidR="00314F82" w:rsidRPr="005269E6" w:rsidRDefault="00691020"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314F82" w:rsidRPr="005269E6" w14:paraId="13CA914F" w14:textId="4CB8A4BA" w:rsidTr="00C10695">
        <w:trPr>
          <w:trHeight w:val="300"/>
        </w:trPr>
        <w:tc>
          <w:tcPr>
            <w:tcW w:w="1420" w:type="dxa"/>
            <w:tcBorders>
              <w:top w:val="nil"/>
              <w:left w:val="nil"/>
              <w:bottom w:val="nil"/>
              <w:right w:val="nil"/>
            </w:tcBorders>
            <w:shd w:val="clear" w:color="auto" w:fill="auto"/>
            <w:noWrap/>
            <w:vAlign w:val="bottom"/>
            <w:hideMark/>
          </w:tcPr>
          <w:p w14:paraId="145512C7" w14:textId="68FF511C" w:rsidR="00314F82" w:rsidRPr="005269E6" w:rsidRDefault="00361213" w:rsidP="0040010E">
            <w:pPr>
              <w:keepNext/>
              <w:keepLines/>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العجز المتراكم</w:t>
            </w:r>
          </w:p>
        </w:tc>
        <w:tc>
          <w:tcPr>
            <w:tcW w:w="1068" w:type="dxa"/>
            <w:tcBorders>
              <w:top w:val="nil"/>
              <w:left w:val="nil"/>
              <w:bottom w:val="nil"/>
              <w:right w:val="nil"/>
            </w:tcBorders>
            <w:shd w:val="clear" w:color="auto" w:fill="auto"/>
            <w:noWrap/>
            <w:vAlign w:val="bottom"/>
            <w:hideMark/>
          </w:tcPr>
          <w:p w14:paraId="1EBE0F52" w14:textId="69303029" w:rsidR="00314F82" w:rsidRPr="005269E6" w:rsidRDefault="00840992"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149" w:type="dxa"/>
            <w:tcBorders>
              <w:top w:val="nil"/>
              <w:left w:val="nil"/>
              <w:bottom w:val="nil"/>
              <w:right w:val="nil"/>
            </w:tcBorders>
            <w:shd w:val="clear" w:color="auto" w:fill="auto"/>
            <w:noWrap/>
            <w:vAlign w:val="bottom"/>
            <w:hideMark/>
          </w:tcPr>
          <w:p w14:paraId="7C5E8B03" w14:textId="3FFD51F6" w:rsidR="00314F82" w:rsidRPr="005269E6" w:rsidRDefault="00840992"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(1 581)</w:t>
            </w:r>
          </w:p>
        </w:tc>
        <w:tc>
          <w:tcPr>
            <w:tcW w:w="1134" w:type="dxa"/>
            <w:tcBorders>
              <w:top w:val="nil"/>
              <w:left w:val="nil"/>
              <w:bottom w:val="nil"/>
              <w:right w:val="nil"/>
            </w:tcBorders>
            <w:shd w:val="clear" w:color="auto" w:fill="auto"/>
            <w:noWrap/>
            <w:vAlign w:val="bottom"/>
            <w:hideMark/>
          </w:tcPr>
          <w:p w14:paraId="5207E434" w14:textId="0C7E1835" w:rsidR="00314F82" w:rsidRPr="005269E6" w:rsidRDefault="00840992"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(1 581)</w:t>
            </w:r>
          </w:p>
        </w:tc>
        <w:tc>
          <w:tcPr>
            <w:tcW w:w="260" w:type="dxa"/>
            <w:tcBorders>
              <w:top w:val="nil"/>
              <w:left w:val="nil"/>
              <w:bottom w:val="nil"/>
              <w:right w:val="nil"/>
            </w:tcBorders>
            <w:shd w:val="clear" w:color="auto" w:fill="auto"/>
          </w:tcPr>
          <w:p w14:paraId="4C339CCD" w14:textId="77777777" w:rsidR="00314F82" w:rsidRPr="005269E6" w:rsidRDefault="00314F82" w:rsidP="0040010E">
            <w:pPr>
              <w:keepNext/>
              <w:keepLines/>
              <w:tabs>
                <w:tab w:val="clear" w:pos="794"/>
              </w:tabs>
              <w:spacing w:before="40" w:after="40" w:line="240" w:lineRule="exact"/>
              <w:jc w:val="left"/>
              <w:rPr>
                <w:rFonts w:eastAsia="Times New Roman"/>
                <w:color w:val="000000"/>
                <w:sz w:val="18"/>
                <w:szCs w:val="18"/>
                <w:lang w:val="en-GB" w:eastAsia="en-GB"/>
              </w:rPr>
            </w:pPr>
          </w:p>
        </w:tc>
        <w:tc>
          <w:tcPr>
            <w:tcW w:w="1581" w:type="dxa"/>
            <w:tcBorders>
              <w:top w:val="nil"/>
              <w:left w:val="nil"/>
              <w:bottom w:val="nil"/>
              <w:right w:val="nil"/>
            </w:tcBorders>
          </w:tcPr>
          <w:p w14:paraId="1D4E763A" w14:textId="15499C9F" w:rsidR="00314F82" w:rsidRPr="005269E6" w:rsidRDefault="00361213" w:rsidP="0040010E">
            <w:pPr>
              <w:keepNext/>
              <w:keepLines/>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العجز المتراكم</w:t>
            </w:r>
          </w:p>
        </w:tc>
        <w:tc>
          <w:tcPr>
            <w:tcW w:w="1068" w:type="dxa"/>
            <w:tcBorders>
              <w:top w:val="nil"/>
              <w:left w:val="nil"/>
              <w:bottom w:val="nil"/>
              <w:right w:val="nil"/>
            </w:tcBorders>
          </w:tcPr>
          <w:p w14:paraId="0B94F7AF" w14:textId="5C736F03" w:rsidR="00314F82" w:rsidRPr="005269E6" w:rsidRDefault="00840992"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098" w:type="dxa"/>
            <w:tcBorders>
              <w:top w:val="nil"/>
              <w:left w:val="nil"/>
              <w:bottom w:val="nil"/>
              <w:right w:val="nil"/>
            </w:tcBorders>
          </w:tcPr>
          <w:p w14:paraId="1BBBEDF4" w14:textId="2FD3E74C" w:rsidR="00314F82" w:rsidRPr="005269E6" w:rsidRDefault="00840992"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1 354</w:t>
            </w:r>
          </w:p>
        </w:tc>
        <w:tc>
          <w:tcPr>
            <w:tcW w:w="861" w:type="dxa"/>
            <w:tcBorders>
              <w:top w:val="nil"/>
              <w:left w:val="nil"/>
              <w:bottom w:val="nil"/>
              <w:right w:val="nil"/>
            </w:tcBorders>
          </w:tcPr>
          <w:p w14:paraId="629452CD" w14:textId="6E95F332" w:rsidR="00314F82" w:rsidRPr="005269E6" w:rsidRDefault="00840992"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(1 354)</w:t>
            </w:r>
          </w:p>
        </w:tc>
      </w:tr>
      <w:tr w:rsidR="00314F82" w:rsidRPr="005269E6" w14:paraId="03583BD7" w14:textId="77777777" w:rsidTr="00C10695">
        <w:trPr>
          <w:trHeight w:val="300"/>
        </w:trPr>
        <w:tc>
          <w:tcPr>
            <w:tcW w:w="1420" w:type="dxa"/>
            <w:tcBorders>
              <w:top w:val="nil"/>
              <w:left w:val="nil"/>
              <w:bottom w:val="nil"/>
              <w:right w:val="nil"/>
            </w:tcBorders>
            <w:shd w:val="clear" w:color="auto" w:fill="auto"/>
            <w:noWrap/>
            <w:vAlign w:val="bottom"/>
          </w:tcPr>
          <w:p w14:paraId="69530234" w14:textId="77777777" w:rsidR="00314F82" w:rsidRPr="005269E6" w:rsidRDefault="00314F82" w:rsidP="0040010E">
            <w:pPr>
              <w:keepNext/>
              <w:keepLines/>
              <w:tabs>
                <w:tab w:val="clear" w:pos="794"/>
              </w:tabs>
              <w:spacing w:before="40" w:after="40" w:line="240" w:lineRule="exact"/>
              <w:jc w:val="left"/>
              <w:rPr>
                <w:rFonts w:eastAsia="Times New Roman"/>
                <w:b/>
                <w:bCs/>
                <w:color w:val="000000"/>
                <w:sz w:val="18"/>
                <w:szCs w:val="18"/>
                <w:lang w:val="en-GB" w:eastAsia="en-GB"/>
              </w:rPr>
            </w:pPr>
          </w:p>
        </w:tc>
        <w:tc>
          <w:tcPr>
            <w:tcW w:w="1068" w:type="dxa"/>
            <w:tcBorders>
              <w:top w:val="nil"/>
              <w:left w:val="nil"/>
              <w:bottom w:val="nil"/>
              <w:right w:val="nil"/>
            </w:tcBorders>
            <w:shd w:val="clear" w:color="auto" w:fill="auto"/>
            <w:noWrap/>
            <w:vAlign w:val="bottom"/>
          </w:tcPr>
          <w:p w14:paraId="308882FF" w14:textId="77777777" w:rsidR="00314F82" w:rsidRPr="005269E6" w:rsidRDefault="00314F82" w:rsidP="0040010E">
            <w:pPr>
              <w:keepNext/>
              <w:keepLines/>
              <w:tabs>
                <w:tab w:val="clear" w:pos="794"/>
              </w:tabs>
              <w:spacing w:before="40" w:after="40" w:line="240" w:lineRule="exact"/>
              <w:jc w:val="left"/>
              <w:rPr>
                <w:rFonts w:eastAsia="Times New Roman"/>
                <w:color w:val="000000"/>
                <w:sz w:val="18"/>
                <w:szCs w:val="18"/>
                <w:lang w:val="en-GB" w:eastAsia="en-GB"/>
              </w:rPr>
            </w:pPr>
          </w:p>
        </w:tc>
        <w:tc>
          <w:tcPr>
            <w:tcW w:w="1149" w:type="dxa"/>
            <w:tcBorders>
              <w:top w:val="nil"/>
              <w:left w:val="nil"/>
              <w:bottom w:val="nil"/>
              <w:right w:val="nil"/>
            </w:tcBorders>
            <w:shd w:val="clear" w:color="auto" w:fill="auto"/>
            <w:noWrap/>
            <w:vAlign w:val="bottom"/>
          </w:tcPr>
          <w:p w14:paraId="00163F04" w14:textId="77777777" w:rsidR="00314F82" w:rsidRPr="005269E6" w:rsidRDefault="00314F82" w:rsidP="0040010E">
            <w:pPr>
              <w:keepNext/>
              <w:keepLines/>
              <w:tabs>
                <w:tab w:val="clear" w:pos="794"/>
              </w:tabs>
              <w:spacing w:before="40" w:after="40" w:line="240" w:lineRule="exact"/>
              <w:jc w:val="left"/>
              <w:rPr>
                <w:rFonts w:eastAsia="Times New Roman"/>
                <w:color w:val="000000"/>
                <w:sz w:val="18"/>
                <w:szCs w:val="18"/>
                <w:lang w:val="en-GB" w:eastAsia="en-GB"/>
              </w:rPr>
            </w:pPr>
          </w:p>
        </w:tc>
        <w:tc>
          <w:tcPr>
            <w:tcW w:w="1134" w:type="dxa"/>
            <w:tcBorders>
              <w:top w:val="nil"/>
              <w:left w:val="nil"/>
              <w:bottom w:val="nil"/>
              <w:right w:val="nil"/>
            </w:tcBorders>
            <w:shd w:val="clear" w:color="auto" w:fill="auto"/>
            <w:noWrap/>
            <w:vAlign w:val="bottom"/>
          </w:tcPr>
          <w:p w14:paraId="707C2FC7" w14:textId="77777777" w:rsidR="00314F82" w:rsidRPr="005269E6" w:rsidRDefault="00314F82" w:rsidP="0040010E">
            <w:pPr>
              <w:keepNext/>
              <w:keepLines/>
              <w:tabs>
                <w:tab w:val="clear" w:pos="794"/>
              </w:tabs>
              <w:spacing w:before="40" w:after="40" w:line="240" w:lineRule="exact"/>
              <w:jc w:val="left"/>
              <w:rPr>
                <w:rFonts w:eastAsia="Times New Roman"/>
                <w:color w:val="000000"/>
                <w:sz w:val="18"/>
                <w:szCs w:val="18"/>
                <w:lang w:val="en-GB" w:eastAsia="en-GB"/>
              </w:rPr>
            </w:pPr>
          </w:p>
        </w:tc>
        <w:tc>
          <w:tcPr>
            <w:tcW w:w="260" w:type="dxa"/>
            <w:tcBorders>
              <w:top w:val="nil"/>
              <w:left w:val="nil"/>
              <w:bottom w:val="nil"/>
              <w:right w:val="nil"/>
            </w:tcBorders>
            <w:shd w:val="clear" w:color="auto" w:fill="auto"/>
          </w:tcPr>
          <w:p w14:paraId="6741CF64" w14:textId="77777777" w:rsidR="00314F82" w:rsidRPr="005269E6" w:rsidRDefault="00314F82" w:rsidP="0040010E">
            <w:pPr>
              <w:keepNext/>
              <w:keepLines/>
              <w:tabs>
                <w:tab w:val="clear" w:pos="794"/>
              </w:tabs>
              <w:spacing w:before="40" w:after="40" w:line="240" w:lineRule="exact"/>
              <w:jc w:val="left"/>
              <w:rPr>
                <w:rFonts w:eastAsia="Times New Roman"/>
                <w:color w:val="000000"/>
                <w:sz w:val="18"/>
                <w:szCs w:val="18"/>
                <w:lang w:val="en-GB" w:eastAsia="en-GB"/>
              </w:rPr>
            </w:pPr>
          </w:p>
        </w:tc>
        <w:tc>
          <w:tcPr>
            <w:tcW w:w="1581" w:type="dxa"/>
            <w:tcBorders>
              <w:top w:val="nil"/>
              <w:left w:val="nil"/>
              <w:bottom w:val="nil"/>
              <w:right w:val="nil"/>
            </w:tcBorders>
          </w:tcPr>
          <w:p w14:paraId="738A9B60" w14:textId="0FD50227" w:rsidR="00314F82" w:rsidRPr="005269E6" w:rsidRDefault="00361213" w:rsidP="0040010E">
            <w:pPr>
              <w:keepNext/>
              <w:keepLines/>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النفقات الأخرى</w:t>
            </w:r>
          </w:p>
        </w:tc>
        <w:tc>
          <w:tcPr>
            <w:tcW w:w="1068" w:type="dxa"/>
            <w:tcBorders>
              <w:top w:val="nil"/>
              <w:left w:val="nil"/>
              <w:bottom w:val="nil"/>
              <w:right w:val="nil"/>
            </w:tcBorders>
          </w:tcPr>
          <w:p w14:paraId="62BE1EBF" w14:textId="4B40073E" w:rsidR="00314F82" w:rsidRPr="005269E6" w:rsidRDefault="00840992"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(277)</w:t>
            </w:r>
          </w:p>
        </w:tc>
        <w:tc>
          <w:tcPr>
            <w:tcW w:w="1098" w:type="dxa"/>
            <w:tcBorders>
              <w:top w:val="nil"/>
              <w:left w:val="nil"/>
              <w:bottom w:val="nil"/>
              <w:right w:val="nil"/>
            </w:tcBorders>
          </w:tcPr>
          <w:p w14:paraId="32AE630C" w14:textId="735B7B08" w:rsidR="00314F82" w:rsidRPr="005269E6" w:rsidRDefault="00840992"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227</w:t>
            </w:r>
          </w:p>
        </w:tc>
        <w:tc>
          <w:tcPr>
            <w:tcW w:w="861" w:type="dxa"/>
            <w:tcBorders>
              <w:top w:val="nil"/>
              <w:left w:val="nil"/>
              <w:bottom w:val="nil"/>
              <w:right w:val="nil"/>
            </w:tcBorders>
          </w:tcPr>
          <w:p w14:paraId="671A9F25" w14:textId="0F4F77C3" w:rsidR="00314F82" w:rsidRPr="005269E6" w:rsidRDefault="00840992" w:rsidP="0040010E">
            <w:pPr>
              <w:keepNext/>
              <w:keepLines/>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(227)</w:t>
            </w:r>
          </w:p>
        </w:tc>
      </w:tr>
    </w:tbl>
    <w:p w14:paraId="0A3D431A" w14:textId="2ED6E8EE" w:rsidR="00C10695" w:rsidRPr="005269E6" w:rsidRDefault="00C10695" w:rsidP="00333DA3">
      <w:pPr>
        <w:pStyle w:val="Headingb"/>
        <w:rPr>
          <w:b w:val="0"/>
          <w:bCs w:val="0"/>
          <w:rtl/>
        </w:rPr>
      </w:pPr>
      <w:r w:rsidRPr="005269E6">
        <w:t>15</w:t>
      </w:r>
      <w:r w:rsidRPr="005269E6">
        <w:rPr>
          <w:rtl/>
        </w:rPr>
        <w:tab/>
      </w:r>
      <w:r w:rsidR="00952B1C" w:rsidRPr="005269E6">
        <w:rPr>
          <w:rtl/>
        </w:rPr>
        <w:t>التبرعات لمتحف تكنولوجيا المعلومات والاتصالات وقاعة بوبوف (</w:t>
      </w:r>
      <w:r w:rsidR="00952B1C" w:rsidRPr="005269E6">
        <w:t>POPOV</w:t>
      </w:r>
      <w:r w:rsidR="00952B1C" w:rsidRPr="005269E6">
        <w:rPr>
          <w:rtl/>
        </w:rPr>
        <w:t>)</w:t>
      </w:r>
    </w:p>
    <w:p w14:paraId="274CAE6F" w14:textId="07B6267C" w:rsidR="00C10695" w:rsidRPr="005269E6" w:rsidRDefault="00952B1C" w:rsidP="00C10695">
      <w:pPr>
        <w:spacing w:after="120"/>
        <w:rPr>
          <w:lang w:bidi="ar-SY"/>
        </w:rPr>
      </w:pPr>
      <w:r w:rsidRPr="005269E6">
        <w:rPr>
          <w:rtl/>
          <w:lang w:bidi="ar-SY"/>
        </w:rPr>
        <w:t>سجل الاتحاد</w:t>
      </w:r>
      <w:r w:rsidRPr="005269E6">
        <w:rPr>
          <w:rtl/>
        </w:rPr>
        <w:t xml:space="preserve"> </w:t>
      </w:r>
      <w:r w:rsidRPr="005269E6">
        <w:rPr>
          <w:rtl/>
          <w:lang w:bidi="ar-SY"/>
        </w:rPr>
        <w:t>عن خطأ إيرادات لرعاية متحف تكنولوجيا المعلومات والاتصالات و</w:t>
      </w:r>
      <w:r w:rsidRPr="005269E6">
        <w:rPr>
          <w:rFonts w:hint="cs"/>
          <w:rtl/>
          <w:lang w:bidi="ar-SY"/>
        </w:rPr>
        <w:t xml:space="preserve">قاعة </w:t>
      </w:r>
      <w:r w:rsidRPr="005269E6">
        <w:rPr>
          <w:rtl/>
          <w:lang w:bidi="ar-SY"/>
        </w:rPr>
        <w:t xml:space="preserve">بوبوف في عامي 2020 و2021. </w:t>
      </w:r>
      <w:r w:rsidRPr="005269E6">
        <w:rPr>
          <w:rFonts w:hint="cs"/>
          <w:rtl/>
          <w:lang w:bidi="ar-SY"/>
        </w:rPr>
        <w:t>وألغي تسجل</w:t>
      </w:r>
      <w:r w:rsidRPr="005269E6">
        <w:rPr>
          <w:rtl/>
          <w:lang w:bidi="ar-SY"/>
        </w:rPr>
        <w:t xml:space="preserve"> التبرع </w:t>
      </w:r>
      <w:r w:rsidRPr="005269E6">
        <w:rPr>
          <w:rFonts w:hint="cs"/>
          <w:rtl/>
          <w:lang w:bidi="ar-SY"/>
        </w:rPr>
        <w:t>ل</w:t>
      </w:r>
      <w:r w:rsidRPr="005269E6">
        <w:rPr>
          <w:rtl/>
          <w:lang w:bidi="ar-SY"/>
        </w:rPr>
        <w:t>متحف تكنولوجيا المعلومات والاتصالات وقاعة بوبوف.</w:t>
      </w:r>
    </w:p>
    <w:tbl>
      <w:tblPr>
        <w:bidiVisual/>
        <w:tblW w:w="5000" w:type="pct"/>
        <w:tblLook w:val="04A0" w:firstRow="1" w:lastRow="0" w:firstColumn="1" w:lastColumn="0" w:noHBand="0" w:noVBand="1"/>
      </w:tblPr>
      <w:tblGrid>
        <w:gridCol w:w="1835"/>
        <w:gridCol w:w="1287"/>
        <w:gridCol w:w="1192"/>
        <w:gridCol w:w="968"/>
        <w:gridCol w:w="284"/>
        <w:gridCol w:w="1241"/>
        <w:gridCol w:w="1407"/>
        <w:gridCol w:w="1425"/>
      </w:tblGrid>
      <w:tr w:rsidR="00515ED9" w:rsidRPr="005269E6" w14:paraId="7240784E" w14:textId="77777777" w:rsidTr="00515ED9">
        <w:trPr>
          <w:trHeight w:val="300"/>
        </w:trPr>
        <w:tc>
          <w:tcPr>
            <w:tcW w:w="1835" w:type="dxa"/>
            <w:tcBorders>
              <w:top w:val="nil"/>
              <w:left w:val="nil"/>
              <w:bottom w:val="nil"/>
              <w:right w:val="nil"/>
            </w:tcBorders>
            <w:shd w:val="clear" w:color="000000" w:fill="0070C0"/>
            <w:noWrap/>
            <w:vAlign w:val="bottom"/>
            <w:hideMark/>
          </w:tcPr>
          <w:p w14:paraId="52213E16" w14:textId="77777777" w:rsidR="00515ED9" w:rsidRPr="005269E6" w:rsidRDefault="00515ED9" w:rsidP="00C4727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lang w:val="en-GB" w:eastAsia="en-GB"/>
              </w:rPr>
              <w:t> </w:t>
            </w:r>
          </w:p>
        </w:tc>
        <w:tc>
          <w:tcPr>
            <w:tcW w:w="3447" w:type="dxa"/>
            <w:gridSpan w:val="3"/>
            <w:tcBorders>
              <w:top w:val="nil"/>
              <w:left w:val="nil"/>
              <w:bottom w:val="nil"/>
              <w:right w:val="nil"/>
            </w:tcBorders>
            <w:shd w:val="clear" w:color="000000" w:fill="0070C0"/>
            <w:noWrap/>
            <w:vAlign w:val="bottom"/>
            <w:hideMark/>
          </w:tcPr>
          <w:p w14:paraId="6057B545" w14:textId="77777777" w:rsidR="00515ED9" w:rsidRPr="005269E6" w:rsidRDefault="00515ED9" w:rsidP="00C4727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c>
          <w:tcPr>
            <w:tcW w:w="284" w:type="dxa"/>
            <w:tcBorders>
              <w:top w:val="nil"/>
              <w:left w:val="nil"/>
              <w:bottom w:val="nil"/>
              <w:right w:val="nil"/>
            </w:tcBorders>
            <w:shd w:val="clear" w:color="000000" w:fill="0070C0"/>
            <w:noWrap/>
            <w:vAlign w:val="bottom"/>
            <w:hideMark/>
          </w:tcPr>
          <w:p w14:paraId="1FD20BC2" w14:textId="77777777" w:rsidR="00515ED9" w:rsidRPr="005269E6" w:rsidRDefault="00515ED9" w:rsidP="00C4727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1241" w:type="dxa"/>
            <w:tcBorders>
              <w:top w:val="nil"/>
              <w:left w:val="nil"/>
              <w:bottom w:val="nil"/>
              <w:right w:val="nil"/>
            </w:tcBorders>
            <w:shd w:val="clear" w:color="000000" w:fill="0070C0"/>
          </w:tcPr>
          <w:p w14:paraId="36C8DBA9" w14:textId="77777777" w:rsidR="00515ED9" w:rsidRPr="005269E6" w:rsidRDefault="00515ED9" w:rsidP="00C47279">
            <w:pPr>
              <w:tabs>
                <w:tab w:val="clear" w:pos="794"/>
              </w:tabs>
              <w:spacing w:before="40" w:after="40" w:line="240" w:lineRule="exact"/>
              <w:jc w:val="center"/>
              <w:rPr>
                <w:rFonts w:eastAsia="Times New Roman"/>
                <w:b/>
                <w:bCs/>
                <w:color w:val="000000"/>
                <w:sz w:val="18"/>
                <w:szCs w:val="18"/>
                <w:lang w:val="en-GB" w:eastAsia="en-GB"/>
              </w:rPr>
            </w:pPr>
          </w:p>
        </w:tc>
        <w:tc>
          <w:tcPr>
            <w:tcW w:w="2832" w:type="dxa"/>
            <w:gridSpan w:val="2"/>
            <w:tcBorders>
              <w:top w:val="nil"/>
              <w:left w:val="nil"/>
              <w:bottom w:val="nil"/>
              <w:right w:val="nil"/>
            </w:tcBorders>
            <w:shd w:val="clear" w:color="000000" w:fill="0070C0"/>
            <w:noWrap/>
            <w:vAlign w:val="bottom"/>
            <w:hideMark/>
          </w:tcPr>
          <w:p w14:paraId="5819D656" w14:textId="40632680" w:rsidR="00515ED9" w:rsidRPr="005269E6" w:rsidRDefault="00515ED9" w:rsidP="00C4727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515ED9" w:rsidRPr="005269E6" w14:paraId="7B666E43" w14:textId="77777777" w:rsidTr="00515ED9">
        <w:trPr>
          <w:trHeight w:val="540"/>
        </w:trPr>
        <w:tc>
          <w:tcPr>
            <w:tcW w:w="1835" w:type="dxa"/>
            <w:tcBorders>
              <w:top w:val="nil"/>
              <w:left w:val="nil"/>
              <w:bottom w:val="nil"/>
              <w:right w:val="nil"/>
            </w:tcBorders>
            <w:shd w:val="clear" w:color="000000" w:fill="0070C0"/>
            <w:noWrap/>
            <w:vAlign w:val="bottom"/>
            <w:hideMark/>
          </w:tcPr>
          <w:p w14:paraId="2E544B16" w14:textId="5534EBE4" w:rsidR="00515ED9" w:rsidRPr="005269E6" w:rsidRDefault="00515ED9" w:rsidP="00515ED9">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1287" w:type="dxa"/>
            <w:tcBorders>
              <w:top w:val="nil"/>
              <w:left w:val="nil"/>
              <w:bottom w:val="nil"/>
              <w:right w:val="nil"/>
            </w:tcBorders>
            <w:shd w:val="clear" w:color="000000" w:fill="0070C0"/>
            <w:vAlign w:val="bottom"/>
            <w:hideMark/>
          </w:tcPr>
          <w:p w14:paraId="72D1637B" w14:textId="5F1BA966" w:rsidR="00515ED9" w:rsidRPr="005269E6" w:rsidRDefault="00515ED9" w:rsidP="00515ED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 xml:space="preserve">الرصيد في </w:t>
            </w:r>
            <w:r w:rsidRPr="005269E6">
              <w:rPr>
                <w:rFonts w:eastAsia="Times New Roman"/>
                <w:b/>
                <w:bCs/>
                <w:color w:val="000000"/>
                <w:sz w:val="18"/>
                <w:szCs w:val="18"/>
                <w:lang w:eastAsia="en-GB"/>
              </w:rPr>
              <w:t>31</w:t>
            </w:r>
            <w:r w:rsidRPr="005269E6">
              <w:rPr>
                <w:rFonts w:eastAsia="Times New Roman"/>
                <w:b/>
                <w:bCs/>
                <w:color w:val="000000"/>
                <w:sz w:val="18"/>
                <w:szCs w:val="18"/>
                <w:rtl/>
                <w:lang w:eastAsia="en-GB" w:bidi="ar-SY"/>
              </w:rPr>
              <w:t xml:space="preserve"> ديسمبر </w:t>
            </w:r>
            <w:r w:rsidRPr="005269E6">
              <w:rPr>
                <w:rFonts w:eastAsia="Times New Roman"/>
                <w:b/>
                <w:bCs/>
                <w:color w:val="000000"/>
                <w:sz w:val="18"/>
                <w:szCs w:val="18"/>
                <w:lang w:eastAsia="en-GB" w:bidi="ar-SY"/>
              </w:rPr>
              <w:t>2020</w:t>
            </w:r>
          </w:p>
        </w:tc>
        <w:tc>
          <w:tcPr>
            <w:tcW w:w="1192" w:type="dxa"/>
            <w:tcBorders>
              <w:top w:val="nil"/>
              <w:left w:val="nil"/>
              <w:bottom w:val="nil"/>
              <w:right w:val="nil"/>
            </w:tcBorders>
            <w:shd w:val="clear" w:color="000000" w:fill="0070C0"/>
            <w:vAlign w:val="center"/>
            <w:hideMark/>
          </w:tcPr>
          <w:p w14:paraId="65E25360" w14:textId="546F4674" w:rsidR="00515ED9" w:rsidRPr="005269E6" w:rsidRDefault="00515ED9" w:rsidP="00515ED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968" w:type="dxa"/>
            <w:tcBorders>
              <w:top w:val="nil"/>
              <w:left w:val="nil"/>
              <w:bottom w:val="nil"/>
              <w:right w:val="nil"/>
            </w:tcBorders>
            <w:shd w:val="clear" w:color="000000" w:fill="0070C0"/>
            <w:vAlign w:val="center"/>
            <w:hideMark/>
          </w:tcPr>
          <w:p w14:paraId="36A58715" w14:textId="6D10903E" w:rsidR="00515ED9" w:rsidRPr="005269E6" w:rsidRDefault="00515ED9" w:rsidP="00515ED9">
            <w:pPr>
              <w:tabs>
                <w:tab w:val="clear" w:pos="794"/>
              </w:tabs>
              <w:spacing w:before="40" w:after="40" w:line="240" w:lineRule="exact"/>
              <w:jc w:val="center"/>
              <w:rPr>
                <w:rFonts w:eastAsia="Times New Roman"/>
                <w:b/>
                <w:bCs/>
                <w:color w:val="000000"/>
                <w:sz w:val="18"/>
                <w:szCs w:val="18"/>
                <w:rtl/>
                <w:lang w:val="en-GB" w:eastAsia="en-GB" w:bidi="ar-SY"/>
              </w:rPr>
            </w:pPr>
            <w:r w:rsidRPr="005269E6">
              <w:rPr>
                <w:rFonts w:eastAsia="Times New Roman"/>
                <w:b/>
                <w:bCs/>
                <w:color w:val="000000"/>
                <w:sz w:val="18"/>
                <w:szCs w:val="18"/>
                <w:lang w:val="en-GB" w:eastAsia="en-GB"/>
              </w:rPr>
              <w:t>2020</w:t>
            </w:r>
            <w:r w:rsidRPr="005269E6">
              <w:rPr>
                <w:rFonts w:eastAsia="Times New Roman"/>
                <w:b/>
                <w:bCs/>
                <w:color w:val="000000"/>
                <w:sz w:val="18"/>
                <w:szCs w:val="18"/>
                <w:rtl/>
                <w:lang w:val="en-GB" w:eastAsia="en-GB" w:bidi="ar-SY"/>
              </w:rPr>
              <w:t xml:space="preserve"> معاد بيانها</w:t>
            </w:r>
          </w:p>
        </w:tc>
        <w:tc>
          <w:tcPr>
            <w:tcW w:w="284" w:type="dxa"/>
            <w:tcBorders>
              <w:top w:val="nil"/>
              <w:left w:val="nil"/>
              <w:bottom w:val="nil"/>
              <w:right w:val="nil"/>
            </w:tcBorders>
            <w:shd w:val="clear" w:color="000000" w:fill="0070C0"/>
            <w:noWrap/>
            <w:vAlign w:val="bottom"/>
            <w:hideMark/>
          </w:tcPr>
          <w:p w14:paraId="073BF81D" w14:textId="77777777" w:rsidR="00515ED9" w:rsidRPr="005269E6" w:rsidRDefault="00515ED9" w:rsidP="00515ED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1241" w:type="dxa"/>
            <w:tcBorders>
              <w:top w:val="nil"/>
              <w:left w:val="nil"/>
              <w:bottom w:val="nil"/>
              <w:right w:val="nil"/>
            </w:tcBorders>
            <w:shd w:val="clear" w:color="000000" w:fill="0070C0"/>
          </w:tcPr>
          <w:p w14:paraId="5333706B" w14:textId="15377149" w:rsidR="00515ED9" w:rsidRPr="005269E6" w:rsidRDefault="00515ED9" w:rsidP="00515ED9">
            <w:pPr>
              <w:tabs>
                <w:tab w:val="clear" w:pos="794"/>
              </w:tabs>
              <w:spacing w:before="40" w:after="40" w:line="240" w:lineRule="exact"/>
              <w:jc w:val="center"/>
              <w:rPr>
                <w:rFonts w:eastAsia="Times New Roman"/>
                <w:b/>
                <w:bCs/>
                <w:color w:val="000000"/>
                <w:sz w:val="18"/>
                <w:szCs w:val="18"/>
                <w:lang w:eastAsia="en-GB" w:bidi="ar-SY"/>
              </w:rPr>
            </w:pPr>
            <w:r w:rsidRPr="005269E6">
              <w:rPr>
                <w:rFonts w:eastAsia="Times New Roman"/>
                <w:b/>
                <w:bCs/>
                <w:color w:val="000000"/>
                <w:sz w:val="18"/>
                <w:szCs w:val="18"/>
                <w:rtl/>
                <w:lang w:val="en-GB" w:eastAsia="en-GB"/>
              </w:rPr>
              <w:t xml:space="preserve">الرصيد في </w:t>
            </w:r>
            <w:r w:rsidRPr="005269E6">
              <w:rPr>
                <w:rFonts w:eastAsia="Times New Roman"/>
                <w:b/>
                <w:bCs/>
                <w:color w:val="000000"/>
                <w:sz w:val="18"/>
                <w:szCs w:val="18"/>
                <w:lang w:eastAsia="en-GB"/>
              </w:rPr>
              <w:t>1</w:t>
            </w:r>
            <w:r w:rsidRPr="005269E6">
              <w:rPr>
                <w:rFonts w:eastAsia="Times New Roman"/>
                <w:b/>
                <w:bCs/>
                <w:color w:val="000000"/>
                <w:sz w:val="18"/>
                <w:szCs w:val="18"/>
                <w:rtl/>
                <w:lang w:eastAsia="en-GB" w:bidi="ar-SY"/>
              </w:rPr>
              <w:t xml:space="preserve"> يناير </w:t>
            </w:r>
            <w:r w:rsidRPr="005269E6">
              <w:rPr>
                <w:rFonts w:eastAsia="Times New Roman"/>
                <w:b/>
                <w:bCs/>
                <w:color w:val="000000"/>
                <w:sz w:val="18"/>
                <w:szCs w:val="18"/>
                <w:lang w:eastAsia="en-GB" w:bidi="ar-SY"/>
              </w:rPr>
              <w:t>2021</w:t>
            </w:r>
          </w:p>
        </w:tc>
        <w:tc>
          <w:tcPr>
            <w:tcW w:w="1407" w:type="dxa"/>
            <w:tcBorders>
              <w:top w:val="nil"/>
              <w:left w:val="nil"/>
              <w:bottom w:val="nil"/>
              <w:right w:val="nil"/>
            </w:tcBorders>
            <w:shd w:val="clear" w:color="000000" w:fill="0070C0"/>
            <w:vAlign w:val="center"/>
            <w:hideMark/>
          </w:tcPr>
          <w:p w14:paraId="22AA2EF4" w14:textId="529FB018" w:rsidR="00515ED9" w:rsidRPr="005269E6" w:rsidRDefault="00515ED9" w:rsidP="00515ED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425" w:type="dxa"/>
            <w:tcBorders>
              <w:top w:val="nil"/>
              <w:left w:val="nil"/>
              <w:bottom w:val="nil"/>
              <w:right w:val="nil"/>
            </w:tcBorders>
            <w:shd w:val="clear" w:color="000000" w:fill="0070C0"/>
            <w:vAlign w:val="center"/>
            <w:hideMark/>
          </w:tcPr>
          <w:p w14:paraId="75D805E1" w14:textId="7EF94747" w:rsidR="00515ED9" w:rsidRPr="005269E6" w:rsidRDefault="00515ED9" w:rsidP="00515ED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b/>
                <w:bCs/>
                <w:color w:val="000000"/>
                <w:sz w:val="18"/>
                <w:szCs w:val="18"/>
                <w:rtl/>
                <w:lang w:val="en-GB" w:eastAsia="en-GB" w:bidi="ar-SY"/>
              </w:rPr>
              <w:t xml:space="preserve"> معاد بيانها</w:t>
            </w:r>
          </w:p>
        </w:tc>
      </w:tr>
      <w:tr w:rsidR="00515ED9" w:rsidRPr="005269E6" w14:paraId="4A11C7C7" w14:textId="77777777" w:rsidTr="00515ED9">
        <w:trPr>
          <w:trHeight w:val="255"/>
        </w:trPr>
        <w:tc>
          <w:tcPr>
            <w:tcW w:w="1835" w:type="dxa"/>
            <w:tcBorders>
              <w:top w:val="nil"/>
              <w:left w:val="nil"/>
              <w:bottom w:val="nil"/>
              <w:right w:val="nil"/>
            </w:tcBorders>
            <w:shd w:val="clear" w:color="auto" w:fill="auto"/>
            <w:noWrap/>
            <w:vAlign w:val="bottom"/>
            <w:hideMark/>
          </w:tcPr>
          <w:p w14:paraId="23A10557" w14:textId="09280CAE" w:rsidR="00515ED9" w:rsidRPr="005269E6" w:rsidRDefault="0040010E" w:rsidP="00C47279">
            <w:pPr>
              <w:tabs>
                <w:tab w:val="clear" w:pos="794"/>
              </w:tabs>
              <w:spacing w:before="40" w:after="40" w:line="240" w:lineRule="exact"/>
              <w:jc w:val="left"/>
              <w:rPr>
                <w:rFonts w:eastAsia="Times New Roman"/>
                <w:color w:val="000000"/>
                <w:sz w:val="18"/>
                <w:szCs w:val="18"/>
                <w:lang w:eastAsia="en-GB"/>
              </w:rPr>
            </w:pPr>
            <w:r w:rsidRPr="005269E6">
              <w:rPr>
                <w:rFonts w:eastAsia="Times New Roman"/>
                <w:color w:val="000000"/>
                <w:sz w:val="18"/>
                <w:szCs w:val="18"/>
                <w:lang w:eastAsia="en-GB"/>
              </w:rPr>
              <w:t>1/3</w:t>
            </w:r>
            <w:r w:rsidRPr="005269E6">
              <w:rPr>
                <w:rFonts w:eastAsia="Times New Roman" w:hint="cs"/>
                <w:color w:val="000000"/>
                <w:sz w:val="18"/>
                <w:szCs w:val="18"/>
                <w:rtl/>
                <w:lang w:eastAsia="en-GB" w:bidi="ar-EG"/>
              </w:rPr>
              <w:t xml:space="preserve"> </w:t>
            </w:r>
            <w:r w:rsidRPr="005269E6">
              <w:rPr>
                <w:rFonts w:eastAsia="Times New Roman" w:hint="cs"/>
                <w:color w:val="000000"/>
                <w:sz w:val="18"/>
                <w:szCs w:val="18"/>
                <w:rtl/>
                <w:lang w:val="en-GB" w:eastAsia="en-GB"/>
              </w:rPr>
              <w:t>الأموال الخارجية</w:t>
            </w:r>
          </w:p>
        </w:tc>
        <w:tc>
          <w:tcPr>
            <w:tcW w:w="1287" w:type="dxa"/>
            <w:tcBorders>
              <w:top w:val="nil"/>
              <w:left w:val="nil"/>
              <w:bottom w:val="nil"/>
              <w:right w:val="nil"/>
            </w:tcBorders>
            <w:shd w:val="clear" w:color="auto" w:fill="auto"/>
            <w:noWrap/>
            <w:vAlign w:val="bottom"/>
            <w:hideMark/>
          </w:tcPr>
          <w:p w14:paraId="73569DF7" w14:textId="0EF30029"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(2 728)</w:t>
            </w:r>
          </w:p>
        </w:tc>
        <w:tc>
          <w:tcPr>
            <w:tcW w:w="1192" w:type="dxa"/>
            <w:tcBorders>
              <w:top w:val="nil"/>
              <w:left w:val="nil"/>
              <w:bottom w:val="nil"/>
              <w:right w:val="nil"/>
            </w:tcBorders>
            <w:shd w:val="clear" w:color="auto" w:fill="auto"/>
            <w:noWrap/>
            <w:vAlign w:val="bottom"/>
            <w:hideMark/>
          </w:tcPr>
          <w:p w14:paraId="5CF6F1E2" w14:textId="77777777"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2 728 </w:t>
            </w:r>
          </w:p>
        </w:tc>
        <w:tc>
          <w:tcPr>
            <w:tcW w:w="968" w:type="dxa"/>
            <w:tcBorders>
              <w:top w:val="nil"/>
              <w:left w:val="nil"/>
              <w:bottom w:val="nil"/>
              <w:right w:val="nil"/>
            </w:tcBorders>
            <w:shd w:val="clear" w:color="auto" w:fill="auto"/>
            <w:noWrap/>
            <w:vAlign w:val="bottom"/>
            <w:hideMark/>
          </w:tcPr>
          <w:p w14:paraId="08AA4D56" w14:textId="5FF9AB76"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284" w:type="dxa"/>
            <w:tcBorders>
              <w:top w:val="nil"/>
              <w:left w:val="nil"/>
              <w:bottom w:val="nil"/>
              <w:right w:val="nil"/>
            </w:tcBorders>
            <w:shd w:val="clear" w:color="auto" w:fill="auto"/>
            <w:noWrap/>
            <w:vAlign w:val="bottom"/>
            <w:hideMark/>
          </w:tcPr>
          <w:p w14:paraId="086594BE" w14:textId="77777777"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p>
        </w:tc>
        <w:tc>
          <w:tcPr>
            <w:tcW w:w="1241" w:type="dxa"/>
            <w:tcBorders>
              <w:top w:val="nil"/>
              <w:left w:val="nil"/>
              <w:bottom w:val="nil"/>
              <w:right w:val="nil"/>
            </w:tcBorders>
          </w:tcPr>
          <w:p w14:paraId="1D8407ED" w14:textId="77777777"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p>
        </w:tc>
        <w:tc>
          <w:tcPr>
            <w:tcW w:w="1407" w:type="dxa"/>
            <w:tcBorders>
              <w:top w:val="nil"/>
              <w:left w:val="nil"/>
              <w:bottom w:val="nil"/>
              <w:right w:val="nil"/>
            </w:tcBorders>
            <w:shd w:val="clear" w:color="auto" w:fill="auto"/>
            <w:noWrap/>
            <w:vAlign w:val="bottom"/>
            <w:hideMark/>
          </w:tcPr>
          <w:p w14:paraId="3C07EEDA" w14:textId="646F6EB3"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425" w:type="dxa"/>
            <w:tcBorders>
              <w:top w:val="nil"/>
              <w:left w:val="nil"/>
              <w:bottom w:val="nil"/>
              <w:right w:val="nil"/>
            </w:tcBorders>
            <w:shd w:val="clear" w:color="auto" w:fill="auto"/>
            <w:noWrap/>
            <w:vAlign w:val="bottom"/>
            <w:hideMark/>
          </w:tcPr>
          <w:p w14:paraId="1762F305" w14:textId="02CDBCAD"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515ED9" w:rsidRPr="005269E6" w14:paraId="72C4C933" w14:textId="77777777" w:rsidTr="00515ED9">
        <w:trPr>
          <w:trHeight w:val="255"/>
        </w:trPr>
        <w:tc>
          <w:tcPr>
            <w:tcW w:w="1835" w:type="dxa"/>
            <w:tcBorders>
              <w:top w:val="nil"/>
              <w:left w:val="nil"/>
              <w:bottom w:val="nil"/>
              <w:right w:val="nil"/>
            </w:tcBorders>
            <w:shd w:val="clear" w:color="auto" w:fill="auto"/>
            <w:noWrap/>
            <w:vAlign w:val="bottom"/>
            <w:hideMark/>
          </w:tcPr>
          <w:p w14:paraId="272A09A4" w14:textId="54A09FCF" w:rsidR="00515ED9" w:rsidRPr="005269E6" w:rsidRDefault="00515ED9" w:rsidP="00C4727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الفوائض المتراكمة</w:t>
            </w:r>
          </w:p>
        </w:tc>
        <w:tc>
          <w:tcPr>
            <w:tcW w:w="1287" w:type="dxa"/>
            <w:tcBorders>
              <w:top w:val="nil"/>
              <w:left w:val="nil"/>
              <w:bottom w:val="nil"/>
              <w:right w:val="nil"/>
            </w:tcBorders>
            <w:shd w:val="clear" w:color="auto" w:fill="auto"/>
            <w:noWrap/>
            <w:vAlign w:val="bottom"/>
            <w:hideMark/>
          </w:tcPr>
          <w:p w14:paraId="12C0A515" w14:textId="12BFBE69"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1192" w:type="dxa"/>
            <w:tcBorders>
              <w:top w:val="nil"/>
              <w:left w:val="nil"/>
              <w:bottom w:val="nil"/>
              <w:right w:val="nil"/>
            </w:tcBorders>
            <w:shd w:val="clear" w:color="auto" w:fill="auto"/>
            <w:noWrap/>
            <w:vAlign w:val="bottom"/>
            <w:hideMark/>
          </w:tcPr>
          <w:p w14:paraId="0389DB91" w14:textId="3F347B5F"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(2 728)</w:t>
            </w:r>
          </w:p>
        </w:tc>
        <w:tc>
          <w:tcPr>
            <w:tcW w:w="968" w:type="dxa"/>
            <w:tcBorders>
              <w:top w:val="nil"/>
              <w:left w:val="nil"/>
              <w:bottom w:val="nil"/>
              <w:right w:val="nil"/>
            </w:tcBorders>
            <w:shd w:val="clear" w:color="auto" w:fill="auto"/>
            <w:noWrap/>
            <w:vAlign w:val="bottom"/>
            <w:hideMark/>
          </w:tcPr>
          <w:p w14:paraId="5AB90159" w14:textId="77777777"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(2 728)</w:t>
            </w:r>
          </w:p>
        </w:tc>
        <w:tc>
          <w:tcPr>
            <w:tcW w:w="284" w:type="dxa"/>
            <w:tcBorders>
              <w:top w:val="nil"/>
              <w:left w:val="nil"/>
              <w:bottom w:val="nil"/>
              <w:right w:val="nil"/>
            </w:tcBorders>
            <w:shd w:val="clear" w:color="auto" w:fill="auto"/>
            <w:noWrap/>
            <w:vAlign w:val="bottom"/>
            <w:hideMark/>
          </w:tcPr>
          <w:p w14:paraId="06758B9A" w14:textId="77777777"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p>
        </w:tc>
        <w:tc>
          <w:tcPr>
            <w:tcW w:w="1241" w:type="dxa"/>
            <w:tcBorders>
              <w:top w:val="nil"/>
              <w:left w:val="nil"/>
              <w:bottom w:val="nil"/>
              <w:right w:val="nil"/>
            </w:tcBorders>
          </w:tcPr>
          <w:p w14:paraId="0590B174" w14:textId="77777777"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p>
        </w:tc>
        <w:tc>
          <w:tcPr>
            <w:tcW w:w="1407" w:type="dxa"/>
            <w:tcBorders>
              <w:top w:val="nil"/>
              <w:left w:val="nil"/>
              <w:bottom w:val="nil"/>
              <w:right w:val="nil"/>
            </w:tcBorders>
            <w:shd w:val="clear" w:color="auto" w:fill="auto"/>
            <w:noWrap/>
            <w:vAlign w:val="bottom"/>
            <w:hideMark/>
          </w:tcPr>
          <w:p w14:paraId="6679455F" w14:textId="2D0388A8"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425" w:type="dxa"/>
            <w:tcBorders>
              <w:top w:val="nil"/>
              <w:left w:val="nil"/>
              <w:bottom w:val="nil"/>
              <w:right w:val="nil"/>
            </w:tcBorders>
            <w:shd w:val="clear" w:color="auto" w:fill="auto"/>
            <w:noWrap/>
            <w:vAlign w:val="bottom"/>
            <w:hideMark/>
          </w:tcPr>
          <w:p w14:paraId="556730B7" w14:textId="37110E28"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515ED9" w:rsidRPr="005269E6" w14:paraId="38DD0388" w14:textId="77777777" w:rsidTr="00515ED9">
        <w:trPr>
          <w:trHeight w:val="255"/>
        </w:trPr>
        <w:tc>
          <w:tcPr>
            <w:tcW w:w="1835" w:type="dxa"/>
            <w:tcBorders>
              <w:top w:val="nil"/>
              <w:left w:val="nil"/>
              <w:bottom w:val="nil"/>
              <w:right w:val="nil"/>
            </w:tcBorders>
            <w:shd w:val="clear" w:color="auto" w:fill="auto"/>
            <w:noWrap/>
            <w:vAlign w:val="bottom"/>
            <w:hideMark/>
          </w:tcPr>
          <w:p w14:paraId="026798E0" w14:textId="77777777" w:rsidR="00515ED9" w:rsidRPr="005269E6" w:rsidRDefault="00515ED9" w:rsidP="0040010E">
            <w:pPr>
              <w:tabs>
                <w:tab w:val="clear" w:pos="794"/>
              </w:tabs>
              <w:spacing w:before="0" w:line="240" w:lineRule="exact"/>
              <w:jc w:val="left"/>
              <w:rPr>
                <w:rFonts w:eastAsia="Times New Roman"/>
                <w:color w:val="000000"/>
                <w:sz w:val="18"/>
                <w:szCs w:val="18"/>
                <w:lang w:val="en-GB" w:eastAsia="en-GB"/>
              </w:rPr>
            </w:pPr>
          </w:p>
        </w:tc>
        <w:tc>
          <w:tcPr>
            <w:tcW w:w="1287" w:type="dxa"/>
            <w:tcBorders>
              <w:top w:val="nil"/>
              <w:left w:val="nil"/>
              <w:bottom w:val="nil"/>
              <w:right w:val="nil"/>
            </w:tcBorders>
            <w:shd w:val="clear" w:color="auto" w:fill="auto"/>
            <w:noWrap/>
            <w:vAlign w:val="bottom"/>
            <w:hideMark/>
          </w:tcPr>
          <w:p w14:paraId="5B6079DA" w14:textId="77777777" w:rsidR="00515ED9" w:rsidRPr="005269E6" w:rsidRDefault="00515ED9" w:rsidP="0040010E">
            <w:pPr>
              <w:tabs>
                <w:tab w:val="clear" w:pos="794"/>
              </w:tabs>
              <w:spacing w:before="0" w:line="240" w:lineRule="exact"/>
              <w:jc w:val="left"/>
              <w:rPr>
                <w:rFonts w:eastAsia="Times New Roman"/>
                <w:sz w:val="18"/>
                <w:szCs w:val="18"/>
                <w:lang w:val="en-GB" w:eastAsia="en-GB"/>
              </w:rPr>
            </w:pPr>
          </w:p>
        </w:tc>
        <w:tc>
          <w:tcPr>
            <w:tcW w:w="1192" w:type="dxa"/>
            <w:tcBorders>
              <w:top w:val="nil"/>
              <w:left w:val="nil"/>
              <w:bottom w:val="nil"/>
              <w:right w:val="nil"/>
            </w:tcBorders>
            <w:shd w:val="clear" w:color="auto" w:fill="auto"/>
            <w:noWrap/>
            <w:vAlign w:val="bottom"/>
            <w:hideMark/>
          </w:tcPr>
          <w:p w14:paraId="1F2F8E0B" w14:textId="77777777" w:rsidR="00515ED9" w:rsidRPr="005269E6" w:rsidRDefault="00515ED9" w:rsidP="0040010E">
            <w:pPr>
              <w:tabs>
                <w:tab w:val="clear" w:pos="794"/>
              </w:tabs>
              <w:spacing w:before="0" w:line="240" w:lineRule="exact"/>
              <w:jc w:val="left"/>
              <w:rPr>
                <w:rFonts w:eastAsia="Times New Roman"/>
                <w:sz w:val="18"/>
                <w:szCs w:val="18"/>
                <w:lang w:val="en-GB" w:eastAsia="en-GB"/>
              </w:rPr>
            </w:pPr>
          </w:p>
        </w:tc>
        <w:tc>
          <w:tcPr>
            <w:tcW w:w="968" w:type="dxa"/>
            <w:tcBorders>
              <w:top w:val="nil"/>
              <w:left w:val="nil"/>
              <w:bottom w:val="nil"/>
              <w:right w:val="nil"/>
            </w:tcBorders>
            <w:shd w:val="clear" w:color="auto" w:fill="auto"/>
            <w:noWrap/>
            <w:vAlign w:val="bottom"/>
            <w:hideMark/>
          </w:tcPr>
          <w:p w14:paraId="7E691169" w14:textId="77777777" w:rsidR="00515ED9" w:rsidRPr="005269E6" w:rsidRDefault="00515ED9" w:rsidP="0040010E">
            <w:pPr>
              <w:tabs>
                <w:tab w:val="clear" w:pos="794"/>
              </w:tabs>
              <w:spacing w:before="0" w:line="240" w:lineRule="exact"/>
              <w:jc w:val="left"/>
              <w:rPr>
                <w:rFonts w:eastAsia="Times New Roman"/>
                <w:sz w:val="18"/>
                <w:szCs w:val="18"/>
                <w:lang w:val="en-GB" w:eastAsia="en-GB"/>
              </w:rPr>
            </w:pPr>
          </w:p>
        </w:tc>
        <w:tc>
          <w:tcPr>
            <w:tcW w:w="284" w:type="dxa"/>
            <w:tcBorders>
              <w:top w:val="nil"/>
              <w:left w:val="nil"/>
              <w:bottom w:val="nil"/>
              <w:right w:val="nil"/>
            </w:tcBorders>
            <w:shd w:val="clear" w:color="auto" w:fill="auto"/>
            <w:noWrap/>
            <w:vAlign w:val="bottom"/>
            <w:hideMark/>
          </w:tcPr>
          <w:p w14:paraId="1FCDEC0C" w14:textId="77777777" w:rsidR="00515ED9" w:rsidRPr="005269E6" w:rsidRDefault="00515ED9" w:rsidP="0040010E">
            <w:pPr>
              <w:tabs>
                <w:tab w:val="clear" w:pos="794"/>
              </w:tabs>
              <w:spacing w:before="0" w:line="240" w:lineRule="exact"/>
              <w:jc w:val="left"/>
              <w:rPr>
                <w:rFonts w:eastAsia="Times New Roman"/>
                <w:sz w:val="18"/>
                <w:szCs w:val="18"/>
                <w:lang w:val="en-GB" w:eastAsia="en-GB"/>
              </w:rPr>
            </w:pPr>
          </w:p>
        </w:tc>
        <w:tc>
          <w:tcPr>
            <w:tcW w:w="1241" w:type="dxa"/>
            <w:tcBorders>
              <w:top w:val="nil"/>
              <w:left w:val="nil"/>
              <w:bottom w:val="nil"/>
              <w:right w:val="nil"/>
            </w:tcBorders>
          </w:tcPr>
          <w:p w14:paraId="2CD414EF" w14:textId="77777777" w:rsidR="00515ED9" w:rsidRPr="005269E6" w:rsidRDefault="00515ED9" w:rsidP="0040010E">
            <w:pPr>
              <w:tabs>
                <w:tab w:val="clear" w:pos="794"/>
              </w:tabs>
              <w:spacing w:before="0" w:line="240" w:lineRule="exact"/>
              <w:jc w:val="left"/>
              <w:rPr>
                <w:rFonts w:eastAsia="Times New Roman"/>
                <w:sz w:val="18"/>
                <w:szCs w:val="18"/>
                <w:lang w:val="en-GB" w:eastAsia="en-GB"/>
              </w:rPr>
            </w:pPr>
          </w:p>
        </w:tc>
        <w:tc>
          <w:tcPr>
            <w:tcW w:w="1407" w:type="dxa"/>
            <w:tcBorders>
              <w:top w:val="nil"/>
              <w:left w:val="nil"/>
              <w:bottom w:val="nil"/>
              <w:right w:val="nil"/>
            </w:tcBorders>
            <w:shd w:val="clear" w:color="auto" w:fill="auto"/>
            <w:noWrap/>
            <w:vAlign w:val="bottom"/>
            <w:hideMark/>
          </w:tcPr>
          <w:p w14:paraId="39E5486C" w14:textId="1AF46504" w:rsidR="00515ED9" w:rsidRPr="005269E6" w:rsidRDefault="00515ED9" w:rsidP="0040010E">
            <w:pPr>
              <w:tabs>
                <w:tab w:val="clear" w:pos="794"/>
              </w:tabs>
              <w:spacing w:before="0" w:line="240" w:lineRule="exact"/>
              <w:jc w:val="left"/>
              <w:rPr>
                <w:rFonts w:eastAsia="Times New Roman"/>
                <w:sz w:val="18"/>
                <w:szCs w:val="18"/>
                <w:lang w:val="en-GB" w:eastAsia="en-GB"/>
              </w:rPr>
            </w:pPr>
          </w:p>
        </w:tc>
        <w:tc>
          <w:tcPr>
            <w:tcW w:w="1425" w:type="dxa"/>
            <w:tcBorders>
              <w:top w:val="nil"/>
              <w:left w:val="nil"/>
              <w:bottom w:val="nil"/>
              <w:right w:val="nil"/>
            </w:tcBorders>
            <w:shd w:val="clear" w:color="auto" w:fill="auto"/>
            <w:noWrap/>
            <w:vAlign w:val="bottom"/>
            <w:hideMark/>
          </w:tcPr>
          <w:p w14:paraId="2C183CB0" w14:textId="77777777" w:rsidR="00515ED9" w:rsidRPr="005269E6" w:rsidRDefault="00515ED9" w:rsidP="0040010E">
            <w:pPr>
              <w:tabs>
                <w:tab w:val="clear" w:pos="794"/>
              </w:tabs>
              <w:spacing w:before="0" w:line="240" w:lineRule="exact"/>
              <w:jc w:val="left"/>
              <w:rPr>
                <w:rFonts w:eastAsia="Times New Roman"/>
                <w:sz w:val="18"/>
                <w:szCs w:val="18"/>
                <w:lang w:val="en-GB" w:eastAsia="en-GB"/>
              </w:rPr>
            </w:pPr>
          </w:p>
        </w:tc>
      </w:tr>
      <w:tr w:rsidR="00515ED9" w:rsidRPr="005269E6" w14:paraId="5805E329" w14:textId="77777777" w:rsidTr="00515ED9">
        <w:trPr>
          <w:trHeight w:val="255"/>
        </w:trPr>
        <w:tc>
          <w:tcPr>
            <w:tcW w:w="1835" w:type="dxa"/>
            <w:tcBorders>
              <w:top w:val="nil"/>
              <w:left w:val="nil"/>
              <w:bottom w:val="nil"/>
              <w:right w:val="nil"/>
            </w:tcBorders>
            <w:shd w:val="clear" w:color="auto" w:fill="auto"/>
            <w:noWrap/>
            <w:vAlign w:val="bottom"/>
            <w:hideMark/>
          </w:tcPr>
          <w:p w14:paraId="11DD38D9" w14:textId="12E040B8" w:rsidR="00515ED9" w:rsidRPr="005269E6" w:rsidRDefault="00515ED9" w:rsidP="00515ED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إيرادات التشغيل الأخرى</w:t>
            </w:r>
          </w:p>
        </w:tc>
        <w:tc>
          <w:tcPr>
            <w:tcW w:w="1287" w:type="dxa"/>
            <w:tcBorders>
              <w:top w:val="nil"/>
              <w:left w:val="nil"/>
              <w:bottom w:val="nil"/>
              <w:right w:val="nil"/>
            </w:tcBorders>
            <w:shd w:val="clear" w:color="auto" w:fill="auto"/>
            <w:noWrap/>
            <w:vAlign w:val="bottom"/>
            <w:hideMark/>
          </w:tcPr>
          <w:p w14:paraId="6EDA9866" w14:textId="77777777"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p>
        </w:tc>
        <w:tc>
          <w:tcPr>
            <w:tcW w:w="1192" w:type="dxa"/>
            <w:tcBorders>
              <w:top w:val="nil"/>
              <w:left w:val="nil"/>
              <w:bottom w:val="nil"/>
              <w:right w:val="nil"/>
            </w:tcBorders>
            <w:shd w:val="clear" w:color="auto" w:fill="auto"/>
            <w:noWrap/>
            <w:vAlign w:val="bottom"/>
            <w:hideMark/>
          </w:tcPr>
          <w:p w14:paraId="53156A67" w14:textId="77777777" w:rsidR="00515ED9" w:rsidRPr="005269E6" w:rsidRDefault="00515ED9" w:rsidP="0040010E">
            <w:pPr>
              <w:tabs>
                <w:tab w:val="clear" w:pos="794"/>
              </w:tabs>
              <w:spacing w:before="40" w:after="40" w:line="240" w:lineRule="exact"/>
              <w:jc w:val="left"/>
              <w:rPr>
                <w:rFonts w:eastAsia="Times New Roman"/>
                <w:sz w:val="18"/>
                <w:szCs w:val="18"/>
                <w:lang w:val="en-GB" w:eastAsia="en-GB"/>
              </w:rPr>
            </w:pPr>
          </w:p>
        </w:tc>
        <w:tc>
          <w:tcPr>
            <w:tcW w:w="968" w:type="dxa"/>
            <w:tcBorders>
              <w:top w:val="nil"/>
              <w:left w:val="nil"/>
              <w:bottom w:val="nil"/>
              <w:right w:val="nil"/>
            </w:tcBorders>
            <w:shd w:val="clear" w:color="auto" w:fill="auto"/>
            <w:noWrap/>
            <w:vAlign w:val="bottom"/>
            <w:hideMark/>
          </w:tcPr>
          <w:p w14:paraId="779FDA3D" w14:textId="77777777" w:rsidR="00515ED9" w:rsidRPr="005269E6" w:rsidRDefault="00515ED9" w:rsidP="0040010E">
            <w:pPr>
              <w:tabs>
                <w:tab w:val="clear" w:pos="794"/>
              </w:tabs>
              <w:spacing w:before="40" w:after="40" w:line="240" w:lineRule="exact"/>
              <w:jc w:val="left"/>
              <w:rPr>
                <w:rFonts w:eastAsia="Times New Roman"/>
                <w:sz w:val="18"/>
                <w:szCs w:val="18"/>
                <w:lang w:val="en-GB" w:eastAsia="en-GB"/>
              </w:rPr>
            </w:pPr>
          </w:p>
        </w:tc>
        <w:tc>
          <w:tcPr>
            <w:tcW w:w="284" w:type="dxa"/>
            <w:tcBorders>
              <w:top w:val="nil"/>
              <w:left w:val="nil"/>
              <w:bottom w:val="nil"/>
              <w:right w:val="nil"/>
            </w:tcBorders>
            <w:shd w:val="clear" w:color="auto" w:fill="auto"/>
            <w:noWrap/>
            <w:vAlign w:val="bottom"/>
            <w:hideMark/>
          </w:tcPr>
          <w:p w14:paraId="4A845AC8" w14:textId="77777777" w:rsidR="00515ED9" w:rsidRPr="005269E6" w:rsidRDefault="00515ED9" w:rsidP="0040010E">
            <w:pPr>
              <w:tabs>
                <w:tab w:val="clear" w:pos="794"/>
              </w:tabs>
              <w:spacing w:before="40" w:after="40" w:line="240" w:lineRule="exact"/>
              <w:jc w:val="left"/>
              <w:rPr>
                <w:rFonts w:eastAsia="Times New Roman"/>
                <w:sz w:val="18"/>
                <w:szCs w:val="18"/>
                <w:lang w:val="en-GB" w:eastAsia="en-GB"/>
              </w:rPr>
            </w:pPr>
          </w:p>
        </w:tc>
        <w:tc>
          <w:tcPr>
            <w:tcW w:w="1241" w:type="dxa"/>
            <w:tcBorders>
              <w:top w:val="nil"/>
              <w:left w:val="nil"/>
              <w:bottom w:val="nil"/>
              <w:right w:val="nil"/>
            </w:tcBorders>
          </w:tcPr>
          <w:p w14:paraId="63C29F2C" w14:textId="2F4A8D4E"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(2 310)</w:t>
            </w:r>
          </w:p>
        </w:tc>
        <w:tc>
          <w:tcPr>
            <w:tcW w:w="1407" w:type="dxa"/>
            <w:tcBorders>
              <w:top w:val="nil"/>
              <w:left w:val="nil"/>
              <w:bottom w:val="nil"/>
              <w:right w:val="nil"/>
            </w:tcBorders>
            <w:shd w:val="clear" w:color="auto" w:fill="auto"/>
            <w:noWrap/>
            <w:vAlign w:val="bottom"/>
            <w:hideMark/>
          </w:tcPr>
          <w:p w14:paraId="529B97FA" w14:textId="5F33DD6E"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2 310 </w:t>
            </w:r>
          </w:p>
        </w:tc>
        <w:tc>
          <w:tcPr>
            <w:tcW w:w="1425" w:type="dxa"/>
            <w:tcBorders>
              <w:top w:val="nil"/>
              <w:left w:val="nil"/>
              <w:bottom w:val="nil"/>
              <w:right w:val="nil"/>
            </w:tcBorders>
            <w:shd w:val="clear" w:color="auto" w:fill="auto"/>
            <w:noWrap/>
            <w:vAlign w:val="bottom"/>
            <w:hideMark/>
          </w:tcPr>
          <w:p w14:paraId="36222C2F" w14:textId="303A9D30"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515ED9" w:rsidRPr="005269E6" w14:paraId="6A25D86D" w14:textId="77777777" w:rsidTr="00515ED9">
        <w:trPr>
          <w:trHeight w:val="255"/>
        </w:trPr>
        <w:tc>
          <w:tcPr>
            <w:tcW w:w="1835" w:type="dxa"/>
            <w:tcBorders>
              <w:top w:val="nil"/>
              <w:left w:val="nil"/>
              <w:bottom w:val="nil"/>
              <w:right w:val="nil"/>
            </w:tcBorders>
            <w:shd w:val="clear" w:color="auto" w:fill="auto"/>
            <w:noWrap/>
            <w:vAlign w:val="bottom"/>
            <w:hideMark/>
          </w:tcPr>
          <w:p w14:paraId="74E87ECC" w14:textId="6597B1D3" w:rsidR="00515ED9" w:rsidRPr="005269E6" w:rsidRDefault="00515ED9" w:rsidP="00515ED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احتياطات أخرى</w:t>
            </w:r>
          </w:p>
        </w:tc>
        <w:tc>
          <w:tcPr>
            <w:tcW w:w="1287" w:type="dxa"/>
            <w:tcBorders>
              <w:top w:val="nil"/>
              <w:left w:val="nil"/>
              <w:bottom w:val="nil"/>
              <w:right w:val="nil"/>
            </w:tcBorders>
            <w:shd w:val="clear" w:color="auto" w:fill="auto"/>
            <w:noWrap/>
            <w:vAlign w:val="bottom"/>
            <w:hideMark/>
          </w:tcPr>
          <w:p w14:paraId="16554F53" w14:textId="77777777"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p>
        </w:tc>
        <w:tc>
          <w:tcPr>
            <w:tcW w:w="1192" w:type="dxa"/>
            <w:tcBorders>
              <w:top w:val="nil"/>
              <w:left w:val="nil"/>
              <w:bottom w:val="nil"/>
              <w:right w:val="nil"/>
            </w:tcBorders>
            <w:shd w:val="clear" w:color="auto" w:fill="auto"/>
            <w:noWrap/>
            <w:vAlign w:val="bottom"/>
            <w:hideMark/>
          </w:tcPr>
          <w:p w14:paraId="61D0D654" w14:textId="77777777" w:rsidR="00515ED9" w:rsidRPr="005269E6" w:rsidRDefault="00515ED9" w:rsidP="0040010E">
            <w:pPr>
              <w:tabs>
                <w:tab w:val="clear" w:pos="794"/>
              </w:tabs>
              <w:spacing w:before="40" w:after="40" w:line="240" w:lineRule="exact"/>
              <w:jc w:val="left"/>
              <w:rPr>
                <w:rFonts w:eastAsia="Times New Roman"/>
                <w:sz w:val="18"/>
                <w:szCs w:val="18"/>
                <w:lang w:val="en-GB" w:eastAsia="en-GB"/>
              </w:rPr>
            </w:pPr>
          </w:p>
        </w:tc>
        <w:tc>
          <w:tcPr>
            <w:tcW w:w="968" w:type="dxa"/>
            <w:tcBorders>
              <w:top w:val="nil"/>
              <w:left w:val="nil"/>
              <w:bottom w:val="nil"/>
              <w:right w:val="nil"/>
            </w:tcBorders>
            <w:shd w:val="clear" w:color="auto" w:fill="auto"/>
            <w:noWrap/>
            <w:vAlign w:val="bottom"/>
            <w:hideMark/>
          </w:tcPr>
          <w:p w14:paraId="23BB30AE" w14:textId="77777777" w:rsidR="00515ED9" w:rsidRPr="005269E6" w:rsidRDefault="00515ED9" w:rsidP="0040010E">
            <w:pPr>
              <w:tabs>
                <w:tab w:val="clear" w:pos="794"/>
              </w:tabs>
              <w:spacing w:before="40" w:after="40" w:line="240" w:lineRule="exact"/>
              <w:jc w:val="left"/>
              <w:rPr>
                <w:rFonts w:eastAsia="Times New Roman"/>
                <w:sz w:val="18"/>
                <w:szCs w:val="18"/>
                <w:lang w:val="en-GB" w:eastAsia="en-GB"/>
              </w:rPr>
            </w:pPr>
          </w:p>
        </w:tc>
        <w:tc>
          <w:tcPr>
            <w:tcW w:w="284" w:type="dxa"/>
            <w:tcBorders>
              <w:top w:val="nil"/>
              <w:left w:val="nil"/>
              <w:bottom w:val="nil"/>
              <w:right w:val="nil"/>
            </w:tcBorders>
            <w:shd w:val="clear" w:color="auto" w:fill="auto"/>
            <w:noWrap/>
            <w:vAlign w:val="bottom"/>
            <w:hideMark/>
          </w:tcPr>
          <w:p w14:paraId="5F4746B8" w14:textId="77777777" w:rsidR="00515ED9" w:rsidRPr="005269E6" w:rsidRDefault="00515ED9" w:rsidP="0040010E">
            <w:pPr>
              <w:tabs>
                <w:tab w:val="clear" w:pos="794"/>
              </w:tabs>
              <w:spacing w:before="40" w:after="40" w:line="240" w:lineRule="exact"/>
              <w:jc w:val="left"/>
              <w:rPr>
                <w:rFonts w:eastAsia="Times New Roman"/>
                <w:sz w:val="18"/>
                <w:szCs w:val="18"/>
                <w:lang w:val="en-GB" w:eastAsia="en-GB"/>
              </w:rPr>
            </w:pPr>
          </w:p>
        </w:tc>
        <w:tc>
          <w:tcPr>
            <w:tcW w:w="1241" w:type="dxa"/>
            <w:tcBorders>
              <w:top w:val="nil"/>
              <w:left w:val="nil"/>
              <w:bottom w:val="nil"/>
              <w:right w:val="nil"/>
            </w:tcBorders>
          </w:tcPr>
          <w:p w14:paraId="7C33A648" w14:textId="5A1BC80B"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(2 310)</w:t>
            </w:r>
          </w:p>
        </w:tc>
        <w:tc>
          <w:tcPr>
            <w:tcW w:w="1407" w:type="dxa"/>
            <w:tcBorders>
              <w:top w:val="nil"/>
              <w:left w:val="nil"/>
              <w:bottom w:val="nil"/>
              <w:right w:val="nil"/>
            </w:tcBorders>
            <w:shd w:val="clear" w:color="auto" w:fill="auto"/>
            <w:noWrap/>
            <w:vAlign w:val="bottom"/>
            <w:hideMark/>
          </w:tcPr>
          <w:p w14:paraId="4C70F3EF" w14:textId="41799B54"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1425" w:type="dxa"/>
            <w:tcBorders>
              <w:top w:val="nil"/>
              <w:left w:val="nil"/>
              <w:bottom w:val="nil"/>
              <w:right w:val="nil"/>
            </w:tcBorders>
            <w:shd w:val="clear" w:color="auto" w:fill="auto"/>
            <w:noWrap/>
            <w:vAlign w:val="bottom"/>
            <w:hideMark/>
          </w:tcPr>
          <w:p w14:paraId="244AF1AA" w14:textId="563B2A2C" w:rsidR="00515ED9" w:rsidRPr="005269E6" w:rsidRDefault="00515ED9"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(2 310)</w:t>
            </w:r>
          </w:p>
        </w:tc>
      </w:tr>
    </w:tbl>
    <w:p w14:paraId="1ACC46CE" w14:textId="45494185" w:rsidR="005D4DBF" w:rsidRPr="005269E6" w:rsidRDefault="005D4DBF" w:rsidP="00515ED9">
      <w:pPr>
        <w:pStyle w:val="Headingb"/>
        <w:rPr>
          <w:b w:val="0"/>
          <w:bCs w:val="0"/>
          <w:rtl/>
        </w:rPr>
      </w:pPr>
      <w:r w:rsidRPr="005269E6">
        <w:t>16</w:t>
      </w:r>
      <w:r w:rsidRPr="005269E6">
        <w:rPr>
          <w:rtl/>
        </w:rPr>
        <w:tab/>
      </w:r>
      <w:r w:rsidR="00952B1C" w:rsidRPr="005269E6">
        <w:rPr>
          <w:rtl/>
        </w:rPr>
        <w:t>مقاصة النفقات</w:t>
      </w:r>
    </w:p>
    <w:p w14:paraId="29C51C69" w14:textId="711BBC49" w:rsidR="005D4DBF" w:rsidRPr="005269E6" w:rsidRDefault="00912A15" w:rsidP="00912A15">
      <w:pPr>
        <w:spacing w:after="120"/>
        <w:rPr>
          <w:rtl/>
          <w:lang w:bidi="ar-SY"/>
        </w:rPr>
      </w:pPr>
      <w:r w:rsidRPr="005269E6">
        <w:rPr>
          <w:rtl/>
        </w:rPr>
        <w:t xml:space="preserve">يتعلق </w:t>
      </w:r>
      <w:r w:rsidRPr="005269E6">
        <w:rPr>
          <w:rFonts w:hint="cs"/>
          <w:rtl/>
        </w:rPr>
        <w:t>القيد</w:t>
      </w:r>
      <w:r w:rsidRPr="005269E6">
        <w:rPr>
          <w:rtl/>
        </w:rPr>
        <w:t xml:space="preserve"> المذكور أدناه </w:t>
      </w:r>
      <w:r w:rsidRPr="005269E6">
        <w:rPr>
          <w:rFonts w:hint="cs"/>
          <w:rtl/>
        </w:rPr>
        <w:t>بمقاصة</w:t>
      </w:r>
      <w:r w:rsidRPr="005269E6">
        <w:rPr>
          <w:rtl/>
        </w:rPr>
        <w:t xml:space="preserve"> نفقات محاسبة العمليات المعتادة في الاتحاد. وكان ينبغي ألا يكون هذا المبلغ </w:t>
      </w:r>
      <w:r w:rsidRPr="005269E6">
        <w:rPr>
          <w:rFonts w:hint="cs"/>
          <w:rtl/>
        </w:rPr>
        <w:t>مشمولاً بالمقاصة،</w:t>
      </w:r>
      <w:r w:rsidRPr="005269E6">
        <w:rPr>
          <w:rtl/>
        </w:rPr>
        <w:t xml:space="preserve"> </w:t>
      </w:r>
      <w:r w:rsidRPr="005269E6">
        <w:rPr>
          <w:rFonts w:hint="cs"/>
          <w:rtl/>
        </w:rPr>
        <w:t>بل</w:t>
      </w:r>
      <w:r w:rsidRPr="005269E6">
        <w:rPr>
          <w:rtl/>
        </w:rPr>
        <w:t xml:space="preserve"> كان يتعين إدراجه كإيرادات ونفقات.</w:t>
      </w:r>
    </w:p>
    <w:tbl>
      <w:tblPr>
        <w:bidiVisual/>
        <w:tblW w:w="2418" w:type="pct"/>
        <w:jc w:val="center"/>
        <w:tblLook w:val="04A0" w:firstRow="1" w:lastRow="0" w:firstColumn="1" w:lastColumn="0" w:noHBand="0" w:noVBand="1"/>
      </w:tblPr>
      <w:tblGrid>
        <w:gridCol w:w="2108"/>
        <w:gridCol w:w="1136"/>
        <w:gridCol w:w="1411"/>
        <w:gridCol w:w="6"/>
      </w:tblGrid>
      <w:tr w:rsidR="00E07EC8" w:rsidRPr="005269E6" w14:paraId="03D47783" w14:textId="5CB222B5" w:rsidTr="00E07EC8">
        <w:trPr>
          <w:trHeight w:val="300"/>
          <w:jc w:val="center"/>
        </w:trPr>
        <w:tc>
          <w:tcPr>
            <w:tcW w:w="2107" w:type="dxa"/>
            <w:shd w:val="clear" w:color="000000" w:fill="0070C0"/>
            <w:noWrap/>
            <w:vAlign w:val="bottom"/>
            <w:hideMark/>
          </w:tcPr>
          <w:p w14:paraId="17701CCE" w14:textId="77777777" w:rsidR="00E07EC8" w:rsidRPr="005269E6" w:rsidRDefault="00E07EC8" w:rsidP="005D4DB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2552" w:type="dxa"/>
            <w:gridSpan w:val="3"/>
            <w:shd w:val="clear" w:color="000000" w:fill="0070C0"/>
            <w:vAlign w:val="bottom"/>
          </w:tcPr>
          <w:p w14:paraId="38EA6234" w14:textId="6998A582" w:rsidR="00E07EC8" w:rsidRPr="005269E6" w:rsidRDefault="00E07EC8" w:rsidP="005D4DBF">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E07EC8" w:rsidRPr="005269E6" w14:paraId="2AAD40F8" w14:textId="77777777" w:rsidTr="00E07EC8">
        <w:trPr>
          <w:gridAfter w:val="1"/>
          <w:wAfter w:w="6" w:type="dxa"/>
          <w:trHeight w:val="559"/>
          <w:jc w:val="center"/>
        </w:trPr>
        <w:tc>
          <w:tcPr>
            <w:tcW w:w="2107" w:type="dxa"/>
            <w:shd w:val="clear" w:color="000000" w:fill="0070C0"/>
            <w:noWrap/>
            <w:vAlign w:val="bottom"/>
            <w:hideMark/>
          </w:tcPr>
          <w:p w14:paraId="08F984FB" w14:textId="2FE621C6" w:rsidR="00E07EC8" w:rsidRPr="005269E6" w:rsidRDefault="00E07EC8" w:rsidP="00384FA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w:t>
            </w:r>
          </w:p>
        </w:tc>
        <w:tc>
          <w:tcPr>
            <w:tcW w:w="1136" w:type="dxa"/>
            <w:shd w:val="clear" w:color="000000" w:fill="0070C0"/>
            <w:vAlign w:val="bottom"/>
            <w:hideMark/>
          </w:tcPr>
          <w:p w14:paraId="321CFF68" w14:textId="2BEF1F73" w:rsidR="00E07EC8" w:rsidRPr="005269E6" w:rsidRDefault="00E07EC8" w:rsidP="00384FA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410" w:type="dxa"/>
            <w:shd w:val="clear" w:color="000000" w:fill="0070C0"/>
            <w:vAlign w:val="bottom"/>
            <w:hideMark/>
          </w:tcPr>
          <w:p w14:paraId="1D7EF5ED" w14:textId="00661ACC" w:rsidR="00E07EC8" w:rsidRPr="005269E6" w:rsidRDefault="00E07EC8" w:rsidP="00384FA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w:t>
            </w:r>
          </w:p>
        </w:tc>
      </w:tr>
      <w:tr w:rsidR="00E07EC8" w:rsidRPr="005269E6" w14:paraId="08EC8EB2" w14:textId="77777777" w:rsidTr="00E07EC8">
        <w:trPr>
          <w:gridAfter w:val="1"/>
          <w:wAfter w:w="6" w:type="dxa"/>
          <w:trHeight w:val="255"/>
          <w:jc w:val="center"/>
        </w:trPr>
        <w:tc>
          <w:tcPr>
            <w:tcW w:w="2107" w:type="dxa"/>
            <w:shd w:val="clear" w:color="auto" w:fill="auto"/>
            <w:noWrap/>
            <w:vAlign w:val="bottom"/>
            <w:hideMark/>
          </w:tcPr>
          <w:p w14:paraId="53A22297" w14:textId="0D2A47AF" w:rsidR="00E07EC8" w:rsidRPr="005269E6" w:rsidRDefault="00E07EC8" w:rsidP="005D4DB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احتياطيات أخرى</w:t>
            </w:r>
          </w:p>
        </w:tc>
        <w:tc>
          <w:tcPr>
            <w:tcW w:w="1136" w:type="dxa"/>
            <w:shd w:val="clear" w:color="auto" w:fill="auto"/>
            <w:noWrap/>
            <w:vAlign w:val="bottom"/>
            <w:hideMark/>
          </w:tcPr>
          <w:p w14:paraId="764E452E" w14:textId="57A6A7C1" w:rsidR="00E07EC8" w:rsidRPr="005269E6" w:rsidRDefault="00E07EC8"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w:t>
            </w:r>
          </w:p>
        </w:tc>
        <w:tc>
          <w:tcPr>
            <w:tcW w:w="1410" w:type="dxa"/>
            <w:shd w:val="clear" w:color="auto" w:fill="auto"/>
            <w:noWrap/>
            <w:vAlign w:val="bottom"/>
            <w:hideMark/>
          </w:tcPr>
          <w:p w14:paraId="33C0DD0A" w14:textId="7F4123E5" w:rsidR="00E07EC8" w:rsidRPr="005269E6" w:rsidRDefault="00E07EC8"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w:t>
            </w:r>
          </w:p>
        </w:tc>
      </w:tr>
      <w:tr w:rsidR="00E07EC8" w:rsidRPr="005269E6" w14:paraId="53CEA59D" w14:textId="77777777" w:rsidTr="00E07EC8">
        <w:trPr>
          <w:gridAfter w:val="1"/>
          <w:wAfter w:w="6" w:type="dxa"/>
          <w:trHeight w:val="255"/>
          <w:jc w:val="center"/>
        </w:trPr>
        <w:tc>
          <w:tcPr>
            <w:tcW w:w="2107" w:type="dxa"/>
            <w:shd w:val="clear" w:color="auto" w:fill="auto"/>
            <w:noWrap/>
            <w:vAlign w:val="bottom"/>
            <w:hideMark/>
          </w:tcPr>
          <w:p w14:paraId="762AEFC5" w14:textId="06801FB1" w:rsidR="00E07EC8" w:rsidRPr="005269E6" w:rsidRDefault="00E07EC8" w:rsidP="005D4DB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الفوائض المتراكمة</w:t>
            </w:r>
          </w:p>
        </w:tc>
        <w:tc>
          <w:tcPr>
            <w:tcW w:w="1136" w:type="dxa"/>
            <w:shd w:val="clear" w:color="auto" w:fill="auto"/>
            <w:noWrap/>
            <w:vAlign w:val="bottom"/>
            <w:hideMark/>
          </w:tcPr>
          <w:p w14:paraId="10C33A83" w14:textId="43AC8336" w:rsidR="00E07EC8" w:rsidRPr="005269E6" w:rsidRDefault="00E07EC8"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w:t>
            </w:r>
          </w:p>
        </w:tc>
        <w:tc>
          <w:tcPr>
            <w:tcW w:w="1410" w:type="dxa"/>
            <w:shd w:val="clear" w:color="auto" w:fill="auto"/>
            <w:noWrap/>
            <w:vAlign w:val="bottom"/>
            <w:hideMark/>
          </w:tcPr>
          <w:p w14:paraId="2CA868F1" w14:textId="4C328AEE" w:rsidR="00E07EC8" w:rsidRPr="005269E6" w:rsidRDefault="00E07EC8"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w:t>
            </w:r>
          </w:p>
        </w:tc>
      </w:tr>
    </w:tbl>
    <w:p w14:paraId="0CF3789E" w14:textId="01441281" w:rsidR="005D4DBF" w:rsidRPr="005269E6" w:rsidRDefault="005D4DBF" w:rsidP="00E07EC8">
      <w:pPr>
        <w:pStyle w:val="Headingb"/>
        <w:rPr>
          <w:b w:val="0"/>
          <w:bCs w:val="0"/>
          <w:rtl/>
        </w:rPr>
      </w:pPr>
      <w:r w:rsidRPr="005269E6">
        <w:t>17</w:t>
      </w:r>
      <w:r w:rsidRPr="005269E6">
        <w:rPr>
          <w:rtl/>
        </w:rPr>
        <w:tab/>
      </w:r>
      <w:r w:rsidR="00A066B6" w:rsidRPr="005269E6">
        <w:rPr>
          <w:rtl/>
        </w:rPr>
        <w:t>الحسابات المغلقة لطرف ثالث</w:t>
      </w:r>
    </w:p>
    <w:p w14:paraId="646870F5" w14:textId="68F13755" w:rsidR="00A066B6" w:rsidRPr="005269E6" w:rsidRDefault="00A066B6" w:rsidP="00A066B6">
      <w:r w:rsidRPr="005269E6">
        <w:rPr>
          <w:rtl/>
        </w:rPr>
        <w:t xml:space="preserve">في عام 2021، اكتشف الاتحاد أن أرصدة غير مسددة </w:t>
      </w:r>
      <w:r w:rsidRPr="005269E6">
        <w:rPr>
          <w:rFonts w:hint="cs"/>
          <w:rtl/>
        </w:rPr>
        <w:t>باقية</w:t>
      </w:r>
      <w:r w:rsidRPr="005269E6">
        <w:rPr>
          <w:rtl/>
        </w:rPr>
        <w:t xml:space="preserve"> </w:t>
      </w:r>
      <w:r w:rsidRPr="005269E6">
        <w:rPr>
          <w:rFonts w:hint="cs"/>
          <w:rtl/>
        </w:rPr>
        <w:t>في إطار</w:t>
      </w:r>
      <w:r w:rsidRPr="005269E6">
        <w:rPr>
          <w:rtl/>
        </w:rPr>
        <w:t xml:space="preserve"> الحسابات المغلقة لطرف ثالث</w:t>
      </w:r>
      <w:r w:rsidRPr="005269E6">
        <w:rPr>
          <w:rFonts w:hint="cs"/>
          <w:rtl/>
        </w:rPr>
        <w:t xml:space="preserve"> </w:t>
      </w:r>
      <w:r w:rsidRPr="005269E6">
        <w:rPr>
          <w:rtl/>
        </w:rPr>
        <w:t>بمبلغ 35 فرنكا</w:t>
      </w:r>
      <w:r w:rsidR="00365C56" w:rsidRPr="005269E6">
        <w:rPr>
          <w:rFonts w:hint="cs"/>
          <w:rtl/>
        </w:rPr>
        <w:t>ً</w:t>
      </w:r>
      <w:r w:rsidRPr="005269E6">
        <w:rPr>
          <w:rtl/>
        </w:rPr>
        <w:t xml:space="preserve"> سويسريا</w:t>
      </w:r>
      <w:r w:rsidR="00365C56" w:rsidRPr="005269E6">
        <w:rPr>
          <w:rFonts w:hint="cs"/>
          <w:rtl/>
        </w:rPr>
        <w:t>ً</w:t>
      </w:r>
      <w:r w:rsidRPr="005269E6">
        <w:rPr>
          <w:rtl/>
        </w:rPr>
        <w:t xml:space="preserve"> كان ينبغي إقفالها عند استكمال المشاريع ذات الصلة.</w:t>
      </w:r>
    </w:p>
    <w:p w14:paraId="7366F71C" w14:textId="15C25740" w:rsidR="005D4DBF" w:rsidRPr="005269E6" w:rsidRDefault="00A066B6" w:rsidP="00A066B6">
      <w:pPr>
        <w:spacing w:after="120"/>
        <w:rPr>
          <w:rtl/>
          <w:lang w:bidi="ar-SY"/>
        </w:rPr>
      </w:pPr>
      <w:bookmarkStart w:id="722" w:name="lt_pId1338"/>
      <w:bookmarkEnd w:id="722"/>
      <w:r w:rsidRPr="005269E6">
        <w:rPr>
          <w:rtl/>
        </w:rPr>
        <w:t xml:space="preserve">ونتيجة لذلك، </w:t>
      </w:r>
      <w:r w:rsidRPr="005269E6">
        <w:rPr>
          <w:rFonts w:hint="cs"/>
          <w:rtl/>
        </w:rPr>
        <w:t>حول</w:t>
      </w:r>
      <w:r w:rsidRPr="005269E6">
        <w:rPr>
          <w:rtl/>
        </w:rPr>
        <w:t xml:space="preserve"> الاتحاد هذه الأرصدة غير المسددة إلى فائض متراكم.</w:t>
      </w:r>
    </w:p>
    <w:tbl>
      <w:tblPr>
        <w:bidiVisual/>
        <w:tblW w:w="6100" w:type="dxa"/>
        <w:jc w:val="center"/>
        <w:tblLook w:val="04A0" w:firstRow="1" w:lastRow="0" w:firstColumn="1" w:lastColumn="0" w:noHBand="0" w:noVBand="1"/>
      </w:tblPr>
      <w:tblGrid>
        <w:gridCol w:w="1797"/>
        <w:gridCol w:w="1703"/>
        <w:gridCol w:w="1192"/>
        <w:gridCol w:w="1408"/>
      </w:tblGrid>
      <w:tr w:rsidR="004A4905" w:rsidRPr="005269E6" w14:paraId="72CC377D" w14:textId="77777777" w:rsidTr="008E346B">
        <w:trPr>
          <w:trHeight w:val="300"/>
          <w:jc w:val="center"/>
        </w:trPr>
        <w:tc>
          <w:tcPr>
            <w:tcW w:w="1797" w:type="dxa"/>
            <w:tcBorders>
              <w:top w:val="nil"/>
              <w:left w:val="nil"/>
              <w:bottom w:val="nil"/>
              <w:right w:val="nil"/>
            </w:tcBorders>
            <w:shd w:val="clear" w:color="000000" w:fill="0070C0"/>
            <w:noWrap/>
            <w:vAlign w:val="bottom"/>
            <w:hideMark/>
          </w:tcPr>
          <w:p w14:paraId="6BAD9363" w14:textId="77777777" w:rsidR="004A4905" w:rsidRPr="005269E6" w:rsidRDefault="004A4905" w:rsidP="004A490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4303" w:type="dxa"/>
            <w:gridSpan w:val="3"/>
            <w:tcBorders>
              <w:top w:val="nil"/>
              <w:left w:val="nil"/>
              <w:bottom w:val="nil"/>
              <w:right w:val="nil"/>
            </w:tcBorders>
            <w:shd w:val="clear" w:color="000000" w:fill="0070C0"/>
            <w:noWrap/>
            <w:vAlign w:val="bottom"/>
            <w:hideMark/>
          </w:tcPr>
          <w:p w14:paraId="7CFC36B8" w14:textId="77777777" w:rsidR="004A4905" w:rsidRPr="005269E6" w:rsidRDefault="004A4905" w:rsidP="004A4905">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245FE1" w:rsidRPr="005269E6" w14:paraId="56D9CEA3" w14:textId="77777777" w:rsidTr="008E346B">
        <w:trPr>
          <w:trHeight w:val="300"/>
          <w:jc w:val="center"/>
        </w:trPr>
        <w:tc>
          <w:tcPr>
            <w:tcW w:w="1797" w:type="dxa"/>
            <w:tcBorders>
              <w:top w:val="nil"/>
              <w:left w:val="nil"/>
              <w:bottom w:val="nil"/>
              <w:right w:val="nil"/>
            </w:tcBorders>
            <w:shd w:val="clear" w:color="000000" w:fill="0070C0"/>
            <w:noWrap/>
            <w:vAlign w:val="bottom"/>
            <w:hideMark/>
          </w:tcPr>
          <w:p w14:paraId="1F799FFD" w14:textId="44030F6B" w:rsidR="00245FE1" w:rsidRPr="005269E6" w:rsidRDefault="00245FE1" w:rsidP="00245FE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w:t>
            </w:r>
          </w:p>
        </w:tc>
        <w:tc>
          <w:tcPr>
            <w:tcW w:w="1703" w:type="dxa"/>
            <w:tcBorders>
              <w:top w:val="nil"/>
              <w:left w:val="nil"/>
              <w:bottom w:val="nil"/>
              <w:right w:val="nil"/>
            </w:tcBorders>
            <w:shd w:val="clear" w:color="000000" w:fill="0070C0"/>
            <w:vAlign w:val="bottom"/>
            <w:hideMark/>
          </w:tcPr>
          <w:p w14:paraId="17FB5DD7" w14:textId="1516D689" w:rsidR="00245FE1" w:rsidRPr="005269E6" w:rsidRDefault="00245FE1" w:rsidP="00245FE1">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w:t>
            </w:r>
            <w:r w:rsidRPr="005269E6">
              <w:rPr>
                <w:rFonts w:eastAsia="Times New Roman" w:hint="cs"/>
                <w:b/>
                <w:bCs/>
                <w:color w:val="000000"/>
                <w:sz w:val="18"/>
                <w:szCs w:val="18"/>
                <w:rtl/>
                <w:lang w:val="en-GB" w:eastAsia="en-GB"/>
              </w:rPr>
              <w:t>1</w:t>
            </w:r>
          </w:p>
        </w:tc>
        <w:tc>
          <w:tcPr>
            <w:tcW w:w="1192" w:type="dxa"/>
            <w:tcBorders>
              <w:top w:val="nil"/>
              <w:left w:val="nil"/>
              <w:bottom w:val="nil"/>
              <w:right w:val="nil"/>
            </w:tcBorders>
            <w:shd w:val="clear" w:color="000000" w:fill="0070C0"/>
            <w:vAlign w:val="bottom"/>
            <w:hideMark/>
          </w:tcPr>
          <w:p w14:paraId="214BCC09" w14:textId="7DD60984" w:rsidR="00245FE1" w:rsidRPr="005269E6" w:rsidRDefault="00245FE1" w:rsidP="00245FE1">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1408" w:type="dxa"/>
            <w:tcBorders>
              <w:top w:val="nil"/>
              <w:left w:val="nil"/>
              <w:bottom w:val="nil"/>
              <w:right w:val="nil"/>
            </w:tcBorders>
            <w:shd w:val="clear" w:color="000000" w:fill="0070C0"/>
            <w:vAlign w:val="bottom"/>
            <w:hideMark/>
          </w:tcPr>
          <w:p w14:paraId="73DF4152" w14:textId="681EA6B9" w:rsidR="00245FE1" w:rsidRPr="005269E6" w:rsidRDefault="00245FE1" w:rsidP="00245FE1">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w:t>
            </w:r>
          </w:p>
        </w:tc>
      </w:tr>
      <w:tr w:rsidR="00A066B6" w:rsidRPr="005269E6" w14:paraId="4958E814" w14:textId="77777777" w:rsidTr="008E346B">
        <w:trPr>
          <w:trHeight w:val="255"/>
          <w:jc w:val="center"/>
        </w:trPr>
        <w:tc>
          <w:tcPr>
            <w:tcW w:w="1797" w:type="dxa"/>
            <w:tcBorders>
              <w:top w:val="nil"/>
              <w:left w:val="nil"/>
              <w:bottom w:val="nil"/>
              <w:right w:val="nil"/>
            </w:tcBorders>
            <w:shd w:val="clear" w:color="auto" w:fill="auto"/>
            <w:noWrap/>
            <w:vAlign w:val="bottom"/>
            <w:hideMark/>
          </w:tcPr>
          <w:p w14:paraId="7CD93A1F" w14:textId="51EB3DB1" w:rsidR="00A066B6" w:rsidRPr="005269E6" w:rsidRDefault="00A066B6" w:rsidP="00A066B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احتياطيات أخرى</w:t>
            </w:r>
          </w:p>
        </w:tc>
        <w:tc>
          <w:tcPr>
            <w:tcW w:w="1703" w:type="dxa"/>
            <w:tcBorders>
              <w:top w:val="nil"/>
              <w:left w:val="nil"/>
              <w:bottom w:val="nil"/>
              <w:right w:val="nil"/>
            </w:tcBorders>
            <w:shd w:val="clear" w:color="auto" w:fill="auto"/>
            <w:noWrap/>
            <w:vAlign w:val="bottom"/>
            <w:hideMark/>
          </w:tcPr>
          <w:p w14:paraId="3497C195" w14:textId="47589D89" w:rsidR="00A066B6" w:rsidRPr="005269E6" w:rsidRDefault="00A066B6"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35 </w:t>
            </w:r>
          </w:p>
        </w:tc>
        <w:tc>
          <w:tcPr>
            <w:tcW w:w="1192" w:type="dxa"/>
            <w:tcBorders>
              <w:top w:val="nil"/>
              <w:left w:val="nil"/>
              <w:bottom w:val="nil"/>
              <w:right w:val="nil"/>
            </w:tcBorders>
            <w:shd w:val="clear" w:color="auto" w:fill="auto"/>
            <w:noWrap/>
            <w:vAlign w:val="bottom"/>
            <w:hideMark/>
          </w:tcPr>
          <w:p w14:paraId="3CEA3098" w14:textId="4979AF2C" w:rsidR="00A066B6" w:rsidRPr="005269E6" w:rsidRDefault="00A066B6"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(35)</w:t>
            </w:r>
          </w:p>
        </w:tc>
        <w:tc>
          <w:tcPr>
            <w:tcW w:w="1408" w:type="dxa"/>
            <w:tcBorders>
              <w:top w:val="nil"/>
              <w:left w:val="nil"/>
              <w:bottom w:val="nil"/>
              <w:right w:val="nil"/>
            </w:tcBorders>
            <w:shd w:val="clear" w:color="auto" w:fill="auto"/>
            <w:noWrap/>
            <w:vAlign w:val="bottom"/>
            <w:hideMark/>
          </w:tcPr>
          <w:p w14:paraId="7F570B49" w14:textId="7E10F63E" w:rsidR="00A066B6" w:rsidRPr="005269E6" w:rsidRDefault="00A066B6"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A066B6" w:rsidRPr="005269E6" w14:paraId="2B5DEE30" w14:textId="77777777" w:rsidTr="008E346B">
        <w:trPr>
          <w:trHeight w:val="255"/>
          <w:jc w:val="center"/>
        </w:trPr>
        <w:tc>
          <w:tcPr>
            <w:tcW w:w="1797" w:type="dxa"/>
            <w:tcBorders>
              <w:top w:val="nil"/>
              <w:left w:val="nil"/>
              <w:bottom w:val="nil"/>
              <w:right w:val="nil"/>
            </w:tcBorders>
            <w:shd w:val="clear" w:color="auto" w:fill="auto"/>
            <w:noWrap/>
            <w:vAlign w:val="bottom"/>
            <w:hideMark/>
          </w:tcPr>
          <w:p w14:paraId="72CC2B24" w14:textId="5494F6A2" w:rsidR="00A066B6" w:rsidRPr="005269E6" w:rsidRDefault="00A066B6" w:rsidP="00A066B6">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الفوائض المتراكمة</w:t>
            </w:r>
          </w:p>
        </w:tc>
        <w:tc>
          <w:tcPr>
            <w:tcW w:w="1703" w:type="dxa"/>
            <w:tcBorders>
              <w:top w:val="nil"/>
              <w:left w:val="nil"/>
              <w:bottom w:val="nil"/>
              <w:right w:val="nil"/>
            </w:tcBorders>
            <w:shd w:val="clear" w:color="auto" w:fill="auto"/>
            <w:noWrap/>
            <w:vAlign w:val="bottom"/>
            <w:hideMark/>
          </w:tcPr>
          <w:p w14:paraId="1DA00927" w14:textId="08E4B829" w:rsidR="00A066B6" w:rsidRPr="005269E6" w:rsidRDefault="00A066B6"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(35)</w:t>
            </w:r>
          </w:p>
        </w:tc>
        <w:tc>
          <w:tcPr>
            <w:tcW w:w="1192" w:type="dxa"/>
            <w:tcBorders>
              <w:top w:val="nil"/>
              <w:left w:val="nil"/>
              <w:bottom w:val="nil"/>
              <w:right w:val="nil"/>
            </w:tcBorders>
            <w:shd w:val="clear" w:color="auto" w:fill="auto"/>
            <w:noWrap/>
            <w:vAlign w:val="bottom"/>
            <w:hideMark/>
          </w:tcPr>
          <w:p w14:paraId="1F8BE76D" w14:textId="2239DAC3" w:rsidR="00A066B6" w:rsidRPr="005269E6" w:rsidRDefault="00A066B6"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35 </w:t>
            </w:r>
          </w:p>
        </w:tc>
        <w:tc>
          <w:tcPr>
            <w:tcW w:w="1408" w:type="dxa"/>
            <w:tcBorders>
              <w:top w:val="nil"/>
              <w:left w:val="nil"/>
              <w:bottom w:val="nil"/>
              <w:right w:val="nil"/>
            </w:tcBorders>
            <w:shd w:val="clear" w:color="auto" w:fill="auto"/>
            <w:noWrap/>
            <w:vAlign w:val="bottom"/>
            <w:hideMark/>
          </w:tcPr>
          <w:p w14:paraId="5539F44C" w14:textId="7527990D" w:rsidR="00A066B6" w:rsidRPr="005269E6" w:rsidRDefault="00A066B6" w:rsidP="0040010E">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bl>
    <w:p w14:paraId="65409473" w14:textId="138121A9" w:rsidR="00355757" w:rsidRPr="005269E6" w:rsidRDefault="00355757" w:rsidP="008E346B">
      <w:pPr>
        <w:pStyle w:val="Headingb"/>
        <w:rPr>
          <w:b w:val="0"/>
          <w:bCs w:val="0"/>
          <w:rtl/>
        </w:rPr>
      </w:pPr>
      <w:r w:rsidRPr="005269E6">
        <w:t>18</w:t>
      </w:r>
      <w:r w:rsidRPr="005269E6">
        <w:rPr>
          <w:rtl/>
        </w:rPr>
        <w:tab/>
      </w:r>
      <w:r w:rsidR="00095987" w:rsidRPr="005269E6">
        <w:rPr>
          <w:rtl/>
        </w:rPr>
        <w:t>خسائر تاريخية</w:t>
      </w:r>
    </w:p>
    <w:p w14:paraId="230C08DD" w14:textId="7FF3B9B0" w:rsidR="00095987" w:rsidRPr="005269E6" w:rsidRDefault="00095987" w:rsidP="001133CF">
      <w:pPr>
        <w:rPr>
          <w:rtl/>
          <w:lang w:bidi="ar-SY"/>
        </w:rPr>
      </w:pPr>
      <w:r w:rsidRPr="005269E6">
        <w:rPr>
          <w:rtl/>
          <w:lang w:bidi="ar-SY"/>
        </w:rPr>
        <w:t xml:space="preserve">في عام 2021، </w:t>
      </w:r>
      <w:r w:rsidRPr="005269E6">
        <w:rPr>
          <w:rFonts w:hint="cs"/>
          <w:rtl/>
          <w:lang w:bidi="ar-SY"/>
        </w:rPr>
        <w:t>ثبَّت</w:t>
      </w:r>
      <w:r w:rsidRPr="005269E6">
        <w:rPr>
          <w:rtl/>
          <w:lang w:bidi="ar-SY"/>
        </w:rPr>
        <w:t xml:space="preserve"> الاتحاد صافي فوائد مكاسب وخسائر صرف العملات في المشاريع عن طريق خصم الحسابات المدينة، بدلاً من حسابات المشاريع ذات الصلة.</w:t>
      </w:r>
    </w:p>
    <w:p w14:paraId="06FFBEDD" w14:textId="1FBCC680" w:rsidR="00355757" w:rsidRPr="005269E6" w:rsidRDefault="00095987" w:rsidP="00095987">
      <w:pPr>
        <w:spacing w:after="120"/>
        <w:rPr>
          <w:rtl/>
          <w:lang w:bidi="ar-SY"/>
        </w:rPr>
      </w:pPr>
      <w:r w:rsidRPr="005269E6">
        <w:rPr>
          <w:rtl/>
          <w:lang w:bidi="ar-SY"/>
        </w:rPr>
        <w:lastRenderedPageBreak/>
        <w:t>ونتيجة لذلك، أعيد تصنيف هذه الفوائد الصافية الإيجابية إلى حسابات المشروع.</w:t>
      </w:r>
    </w:p>
    <w:tbl>
      <w:tblPr>
        <w:bidiVisual/>
        <w:tblW w:w="0" w:type="auto"/>
        <w:jc w:val="center"/>
        <w:tblLook w:val="04A0" w:firstRow="1" w:lastRow="0" w:firstColumn="1" w:lastColumn="0" w:noHBand="0" w:noVBand="1"/>
      </w:tblPr>
      <w:tblGrid>
        <w:gridCol w:w="2945"/>
        <w:gridCol w:w="2081"/>
        <w:gridCol w:w="1095"/>
        <w:gridCol w:w="1311"/>
      </w:tblGrid>
      <w:tr w:rsidR="00355757" w:rsidRPr="005269E6" w14:paraId="3EA82FDA" w14:textId="77777777" w:rsidTr="00E71850">
        <w:trPr>
          <w:trHeight w:val="255"/>
          <w:jc w:val="center"/>
        </w:trPr>
        <w:tc>
          <w:tcPr>
            <w:tcW w:w="0" w:type="auto"/>
            <w:tcBorders>
              <w:top w:val="nil"/>
              <w:left w:val="nil"/>
              <w:bottom w:val="nil"/>
              <w:right w:val="nil"/>
            </w:tcBorders>
            <w:shd w:val="clear" w:color="000000" w:fill="0070C0"/>
            <w:noWrap/>
            <w:vAlign w:val="bottom"/>
            <w:hideMark/>
          </w:tcPr>
          <w:p w14:paraId="29711FE9" w14:textId="77777777" w:rsidR="00355757" w:rsidRPr="005269E6" w:rsidRDefault="00355757" w:rsidP="00355757">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0" w:type="auto"/>
            <w:gridSpan w:val="3"/>
            <w:tcBorders>
              <w:top w:val="nil"/>
              <w:left w:val="nil"/>
              <w:bottom w:val="nil"/>
              <w:right w:val="nil"/>
            </w:tcBorders>
            <w:shd w:val="clear" w:color="000000" w:fill="0070C0"/>
            <w:noWrap/>
            <w:vAlign w:val="bottom"/>
            <w:hideMark/>
          </w:tcPr>
          <w:p w14:paraId="73E1F606" w14:textId="77777777" w:rsidR="00355757" w:rsidRPr="005269E6" w:rsidRDefault="00355757" w:rsidP="0035575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r>
      <w:tr w:rsidR="00095987" w:rsidRPr="005269E6" w14:paraId="572476BC" w14:textId="77777777" w:rsidTr="00E71850">
        <w:trPr>
          <w:trHeight w:val="559"/>
          <w:jc w:val="center"/>
        </w:trPr>
        <w:tc>
          <w:tcPr>
            <w:tcW w:w="0" w:type="auto"/>
            <w:tcBorders>
              <w:top w:val="nil"/>
              <w:left w:val="nil"/>
              <w:bottom w:val="nil"/>
              <w:right w:val="nil"/>
            </w:tcBorders>
            <w:shd w:val="clear" w:color="000000" w:fill="0070C0"/>
            <w:vAlign w:val="bottom"/>
            <w:hideMark/>
          </w:tcPr>
          <w:p w14:paraId="554098C8" w14:textId="7F12BE1B" w:rsidR="00095987" w:rsidRPr="005269E6" w:rsidRDefault="00095987" w:rsidP="00095987">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0" w:type="auto"/>
            <w:tcBorders>
              <w:top w:val="nil"/>
              <w:left w:val="nil"/>
              <w:bottom w:val="nil"/>
              <w:right w:val="nil"/>
            </w:tcBorders>
            <w:shd w:val="clear" w:color="000000" w:fill="0070C0"/>
            <w:vAlign w:val="bottom"/>
            <w:hideMark/>
          </w:tcPr>
          <w:p w14:paraId="2A3221A6" w14:textId="56DE4502" w:rsidR="00095987" w:rsidRPr="005269E6" w:rsidRDefault="00095987" w:rsidP="0009598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0" w:type="auto"/>
            <w:tcBorders>
              <w:top w:val="nil"/>
              <w:left w:val="nil"/>
              <w:bottom w:val="nil"/>
              <w:right w:val="nil"/>
            </w:tcBorders>
            <w:shd w:val="clear" w:color="000000" w:fill="0070C0"/>
            <w:vAlign w:val="bottom"/>
            <w:hideMark/>
          </w:tcPr>
          <w:p w14:paraId="6041B3D8" w14:textId="2B0B26F6" w:rsidR="00095987" w:rsidRPr="005269E6" w:rsidRDefault="00095987" w:rsidP="0009598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0" w:type="auto"/>
            <w:tcBorders>
              <w:top w:val="nil"/>
              <w:left w:val="nil"/>
              <w:bottom w:val="nil"/>
              <w:right w:val="nil"/>
            </w:tcBorders>
            <w:shd w:val="clear" w:color="000000" w:fill="0070C0"/>
            <w:vAlign w:val="bottom"/>
            <w:hideMark/>
          </w:tcPr>
          <w:p w14:paraId="539D5DCD" w14:textId="7ED9A88F" w:rsidR="00095987" w:rsidRPr="005269E6" w:rsidRDefault="00AE6518" w:rsidP="0009598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w:t>
            </w:r>
          </w:p>
        </w:tc>
      </w:tr>
      <w:tr w:rsidR="00355757" w:rsidRPr="005269E6" w14:paraId="1FACA591"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2CEBEE67" w14:textId="15A1A1C3" w:rsidR="00355757" w:rsidRPr="005269E6" w:rsidRDefault="00095987" w:rsidP="00095987">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الذمم المدينة الأخرى</w:t>
            </w:r>
          </w:p>
        </w:tc>
        <w:tc>
          <w:tcPr>
            <w:tcW w:w="0" w:type="auto"/>
            <w:tcBorders>
              <w:top w:val="nil"/>
              <w:left w:val="nil"/>
              <w:bottom w:val="nil"/>
              <w:right w:val="nil"/>
            </w:tcBorders>
            <w:shd w:val="clear" w:color="auto" w:fill="auto"/>
            <w:noWrap/>
            <w:vAlign w:val="bottom"/>
            <w:hideMark/>
          </w:tcPr>
          <w:p w14:paraId="7225B2AB" w14:textId="2821FCDD" w:rsidR="00355757" w:rsidRPr="005269E6" w:rsidRDefault="00355757"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468 </w:t>
            </w:r>
          </w:p>
        </w:tc>
        <w:tc>
          <w:tcPr>
            <w:tcW w:w="0" w:type="auto"/>
            <w:tcBorders>
              <w:top w:val="nil"/>
              <w:left w:val="nil"/>
              <w:bottom w:val="nil"/>
              <w:right w:val="nil"/>
            </w:tcBorders>
            <w:shd w:val="clear" w:color="auto" w:fill="auto"/>
            <w:noWrap/>
            <w:vAlign w:val="bottom"/>
            <w:hideMark/>
          </w:tcPr>
          <w:p w14:paraId="2B442E60" w14:textId="3AEE7FA1" w:rsidR="00355757" w:rsidRPr="005269E6" w:rsidRDefault="00355757"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(468)</w:t>
            </w:r>
          </w:p>
        </w:tc>
        <w:tc>
          <w:tcPr>
            <w:tcW w:w="0" w:type="auto"/>
            <w:tcBorders>
              <w:top w:val="nil"/>
              <w:left w:val="nil"/>
              <w:bottom w:val="nil"/>
              <w:right w:val="nil"/>
            </w:tcBorders>
            <w:shd w:val="clear" w:color="auto" w:fill="auto"/>
            <w:noWrap/>
            <w:vAlign w:val="bottom"/>
            <w:hideMark/>
          </w:tcPr>
          <w:p w14:paraId="71B3F436" w14:textId="774BF1DF" w:rsidR="00355757" w:rsidRPr="005269E6" w:rsidRDefault="00355757"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355757" w:rsidRPr="005269E6" w14:paraId="138E1DF2"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3D587F85" w14:textId="702DFAA7" w:rsidR="00355757" w:rsidRPr="005269E6" w:rsidRDefault="00095987" w:rsidP="00355757">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صناديق الأطراف</w:t>
            </w:r>
            <w:r w:rsidRPr="005269E6">
              <w:rPr>
                <w:rFonts w:eastAsia="Times New Roman" w:hint="cs"/>
                <w:color w:val="000000"/>
                <w:sz w:val="18"/>
                <w:szCs w:val="18"/>
                <w:rtl/>
                <w:lang w:val="en-GB" w:eastAsia="en-GB"/>
              </w:rPr>
              <w:t xml:space="preserve"> الثالثة</w:t>
            </w:r>
            <w:r w:rsidRPr="005269E6">
              <w:rPr>
                <w:rFonts w:eastAsia="Times New Roman"/>
                <w:color w:val="000000"/>
                <w:sz w:val="18"/>
                <w:szCs w:val="18"/>
                <w:rtl/>
                <w:lang w:val="en-GB" w:eastAsia="en-GB"/>
              </w:rPr>
              <w:t xml:space="preserve"> - المشاريع المقفلة</w:t>
            </w:r>
          </w:p>
        </w:tc>
        <w:tc>
          <w:tcPr>
            <w:tcW w:w="0" w:type="auto"/>
            <w:tcBorders>
              <w:top w:val="nil"/>
              <w:left w:val="nil"/>
              <w:bottom w:val="nil"/>
              <w:right w:val="nil"/>
            </w:tcBorders>
            <w:shd w:val="clear" w:color="auto" w:fill="auto"/>
            <w:noWrap/>
            <w:vAlign w:val="bottom"/>
            <w:hideMark/>
          </w:tcPr>
          <w:p w14:paraId="0720F4FA" w14:textId="55AD45C3" w:rsidR="00355757" w:rsidRPr="005269E6" w:rsidRDefault="00355757"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0" w:type="auto"/>
            <w:tcBorders>
              <w:top w:val="nil"/>
              <w:left w:val="nil"/>
              <w:bottom w:val="nil"/>
              <w:right w:val="nil"/>
            </w:tcBorders>
            <w:shd w:val="clear" w:color="auto" w:fill="auto"/>
            <w:noWrap/>
            <w:vAlign w:val="bottom"/>
            <w:hideMark/>
          </w:tcPr>
          <w:p w14:paraId="1662BE44" w14:textId="748C040E" w:rsidR="00355757" w:rsidRPr="005269E6" w:rsidRDefault="00355757"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468 </w:t>
            </w:r>
          </w:p>
        </w:tc>
        <w:tc>
          <w:tcPr>
            <w:tcW w:w="0" w:type="auto"/>
            <w:tcBorders>
              <w:top w:val="nil"/>
              <w:left w:val="nil"/>
              <w:bottom w:val="nil"/>
              <w:right w:val="nil"/>
            </w:tcBorders>
            <w:shd w:val="clear" w:color="auto" w:fill="auto"/>
            <w:noWrap/>
            <w:vAlign w:val="bottom"/>
            <w:hideMark/>
          </w:tcPr>
          <w:p w14:paraId="6529E6F4" w14:textId="3A8492AF" w:rsidR="00355757" w:rsidRPr="005269E6" w:rsidRDefault="00355757"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(468)</w:t>
            </w:r>
          </w:p>
        </w:tc>
      </w:tr>
    </w:tbl>
    <w:p w14:paraId="2099B15E" w14:textId="0748F13E" w:rsidR="00355757" w:rsidRPr="005269E6" w:rsidRDefault="00355757" w:rsidP="008340F5">
      <w:pPr>
        <w:pStyle w:val="Headingb"/>
        <w:rPr>
          <w:b w:val="0"/>
          <w:bCs w:val="0"/>
          <w:rtl/>
        </w:rPr>
      </w:pPr>
      <w:r w:rsidRPr="005269E6">
        <w:t>19</w:t>
      </w:r>
      <w:r w:rsidRPr="005269E6">
        <w:rPr>
          <w:rtl/>
        </w:rPr>
        <w:tab/>
      </w:r>
      <w:r w:rsidR="00006E7A" w:rsidRPr="005269E6">
        <w:rPr>
          <w:rtl/>
        </w:rPr>
        <w:t>المعاشات التقاعدية</w:t>
      </w:r>
    </w:p>
    <w:p w14:paraId="0C0929A3" w14:textId="6A7B3CF3" w:rsidR="00006E7A" w:rsidRPr="005269E6" w:rsidRDefault="00006E7A" w:rsidP="00006E7A">
      <w:pPr>
        <w:spacing w:after="120"/>
        <w:rPr>
          <w:rtl/>
          <w:lang w:bidi="ar-SY"/>
        </w:rPr>
      </w:pPr>
      <w:r w:rsidRPr="005269E6">
        <w:rPr>
          <w:rtl/>
          <w:lang w:bidi="ar-SY"/>
        </w:rPr>
        <w:t xml:space="preserve">وفي عام 2020، </w:t>
      </w:r>
      <w:r w:rsidRPr="005269E6">
        <w:rPr>
          <w:rtl/>
        </w:rPr>
        <w:t xml:space="preserve">تبين </w:t>
      </w:r>
      <w:r w:rsidRPr="005269E6">
        <w:rPr>
          <w:rtl/>
          <w:lang w:bidi="ar-SY"/>
        </w:rPr>
        <w:t>أن التزامات المعاشات التقاعدية التي تراكمت على الاتحاد على مر السنين، لم تكن في الواقع مستح</w:t>
      </w:r>
      <w:r w:rsidR="00321EB1" w:rsidRPr="005269E6">
        <w:rPr>
          <w:rFonts w:hint="cs"/>
          <w:rtl/>
          <w:lang w:bidi="ar-SY"/>
        </w:rPr>
        <w:t>َ</w:t>
      </w:r>
      <w:r w:rsidRPr="005269E6">
        <w:rPr>
          <w:rtl/>
          <w:lang w:bidi="ar-SY"/>
        </w:rPr>
        <w:t>قة، بعد قرار صندوق الأمم المتحدة لحماية المعاشات التقاعدية</w:t>
      </w:r>
      <w:r w:rsidR="00321EB1" w:rsidRPr="005269E6">
        <w:rPr>
          <w:rFonts w:hint="cs"/>
          <w:rtl/>
          <w:lang w:bidi="ar-SY"/>
        </w:rPr>
        <w:t xml:space="preserve"> (</w:t>
      </w:r>
      <w:r w:rsidR="00321EB1" w:rsidRPr="005269E6">
        <w:rPr>
          <w:lang w:bidi="ar-SY"/>
        </w:rPr>
        <w:t>UNSPF</w:t>
      </w:r>
      <w:r w:rsidR="00321EB1" w:rsidRPr="005269E6">
        <w:rPr>
          <w:rFonts w:hint="cs"/>
          <w:rtl/>
          <w:lang w:bidi="ar-SY"/>
        </w:rPr>
        <w:t>)</w:t>
      </w:r>
      <w:r w:rsidRPr="005269E6">
        <w:rPr>
          <w:rtl/>
          <w:lang w:bidi="ar-SY"/>
        </w:rPr>
        <w:t xml:space="preserve"> والوفاة المبكرة لصاحب المعاش.</w:t>
      </w:r>
    </w:p>
    <w:p w14:paraId="0FC94A60" w14:textId="14DE1FDB" w:rsidR="00355757" w:rsidRPr="005269E6" w:rsidRDefault="00006E7A" w:rsidP="00006E7A">
      <w:pPr>
        <w:spacing w:after="120"/>
        <w:rPr>
          <w:rtl/>
          <w:lang w:bidi="ar-SY"/>
        </w:rPr>
      </w:pPr>
      <w:r w:rsidRPr="005269E6">
        <w:rPr>
          <w:rtl/>
          <w:lang w:bidi="ar-SY"/>
        </w:rPr>
        <w:t>ونتيجة لذلك، قام الاتحاد في عام 2020 بإلغاء الالتزامات المستح</w:t>
      </w:r>
      <w:r w:rsidR="00321EB1" w:rsidRPr="005269E6">
        <w:rPr>
          <w:rFonts w:hint="cs"/>
          <w:rtl/>
          <w:lang w:bidi="ar-SY"/>
        </w:rPr>
        <w:t>َ</w:t>
      </w:r>
      <w:r w:rsidRPr="005269E6">
        <w:rPr>
          <w:rtl/>
          <w:lang w:bidi="ar-SY"/>
        </w:rPr>
        <w:t>قة وتحويل صافي الفوائد إلى الاحتياطيات.</w:t>
      </w:r>
    </w:p>
    <w:tbl>
      <w:tblPr>
        <w:bidiVisual/>
        <w:tblW w:w="0" w:type="auto"/>
        <w:jc w:val="center"/>
        <w:tblLook w:val="04A0" w:firstRow="1" w:lastRow="0" w:firstColumn="1" w:lastColumn="0" w:noHBand="0" w:noVBand="1"/>
      </w:tblPr>
      <w:tblGrid>
        <w:gridCol w:w="1958"/>
        <w:gridCol w:w="2081"/>
        <w:gridCol w:w="1095"/>
        <w:gridCol w:w="1630"/>
      </w:tblGrid>
      <w:tr w:rsidR="00D946F3" w:rsidRPr="005269E6" w14:paraId="672AD2E4" w14:textId="77777777" w:rsidTr="00E71850">
        <w:trPr>
          <w:trHeight w:val="255"/>
          <w:jc w:val="center"/>
        </w:trPr>
        <w:tc>
          <w:tcPr>
            <w:tcW w:w="0" w:type="auto"/>
            <w:tcBorders>
              <w:top w:val="nil"/>
              <w:left w:val="nil"/>
              <w:bottom w:val="nil"/>
              <w:right w:val="nil"/>
            </w:tcBorders>
            <w:shd w:val="clear" w:color="000000" w:fill="0070C0"/>
            <w:noWrap/>
            <w:vAlign w:val="bottom"/>
            <w:hideMark/>
          </w:tcPr>
          <w:p w14:paraId="5338E205" w14:textId="77777777" w:rsidR="00D946F3" w:rsidRPr="005269E6" w:rsidRDefault="00D946F3" w:rsidP="00D946F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0" w:type="auto"/>
            <w:gridSpan w:val="3"/>
            <w:tcBorders>
              <w:top w:val="nil"/>
              <w:left w:val="nil"/>
              <w:bottom w:val="nil"/>
              <w:right w:val="nil"/>
            </w:tcBorders>
            <w:shd w:val="clear" w:color="000000" w:fill="0070C0"/>
            <w:noWrap/>
            <w:vAlign w:val="bottom"/>
            <w:hideMark/>
          </w:tcPr>
          <w:p w14:paraId="4843AC03" w14:textId="77777777" w:rsidR="00D946F3" w:rsidRPr="005269E6" w:rsidRDefault="00D946F3" w:rsidP="00D946F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r>
      <w:tr w:rsidR="00317F84" w:rsidRPr="005269E6" w14:paraId="44F857AE" w14:textId="77777777" w:rsidTr="00E71850">
        <w:trPr>
          <w:trHeight w:val="300"/>
          <w:jc w:val="center"/>
        </w:trPr>
        <w:tc>
          <w:tcPr>
            <w:tcW w:w="0" w:type="auto"/>
            <w:tcBorders>
              <w:top w:val="nil"/>
              <w:left w:val="nil"/>
              <w:bottom w:val="nil"/>
              <w:right w:val="nil"/>
            </w:tcBorders>
            <w:shd w:val="clear" w:color="000000" w:fill="0070C0"/>
            <w:noWrap/>
            <w:vAlign w:val="bottom"/>
            <w:hideMark/>
          </w:tcPr>
          <w:p w14:paraId="70E972EE" w14:textId="712229AA" w:rsidR="00317F84" w:rsidRPr="005269E6" w:rsidRDefault="00317F84" w:rsidP="00317F8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w:t>
            </w:r>
          </w:p>
        </w:tc>
        <w:tc>
          <w:tcPr>
            <w:tcW w:w="0" w:type="auto"/>
            <w:tcBorders>
              <w:top w:val="nil"/>
              <w:left w:val="nil"/>
              <w:bottom w:val="nil"/>
              <w:right w:val="nil"/>
            </w:tcBorders>
            <w:shd w:val="clear" w:color="000000" w:fill="0070C0"/>
            <w:vAlign w:val="bottom"/>
            <w:hideMark/>
          </w:tcPr>
          <w:p w14:paraId="46EB0933" w14:textId="226E8EA2" w:rsidR="00317F84" w:rsidRPr="005269E6" w:rsidRDefault="00317F84" w:rsidP="00317F8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0" w:type="auto"/>
            <w:tcBorders>
              <w:top w:val="nil"/>
              <w:left w:val="nil"/>
              <w:bottom w:val="nil"/>
              <w:right w:val="nil"/>
            </w:tcBorders>
            <w:shd w:val="clear" w:color="000000" w:fill="0070C0"/>
            <w:vAlign w:val="bottom"/>
            <w:hideMark/>
          </w:tcPr>
          <w:p w14:paraId="41CCC35E" w14:textId="1232EB0E" w:rsidR="00317F84" w:rsidRPr="005269E6" w:rsidRDefault="00317F84" w:rsidP="00317F8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0" w:type="auto"/>
            <w:tcBorders>
              <w:top w:val="nil"/>
              <w:left w:val="nil"/>
              <w:bottom w:val="nil"/>
              <w:right w:val="nil"/>
            </w:tcBorders>
            <w:shd w:val="clear" w:color="000000" w:fill="0070C0"/>
            <w:noWrap/>
            <w:vAlign w:val="center"/>
            <w:hideMark/>
          </w:tcPr>
          <w:p w14:paraId="676FBED1" w14:textId="5389541C" w:rsidR="00317F84" w:rsidRPr="005269E6" w:rsidRDefault="00317F84" w:rsidP="00317F8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bidi="ar-EG"/>
              </w:rPr>
              <w:t xml:space="preserve">المجموع الكلي </w:t>
            </w:r>
            <w:r w:rsidRPr="005269E6">
              <w:rPr>
                <w:rFonts w:eastAsia="Times New Roman"/>
                <w:b/>
                <w:bCs/>
                <w:color w:val="000000"/>
                <w:sz w:val="18"/>
                <w:szCs w:val="18"/>
                <w:lang w:val="en-GB" w:eastAsia="en-GB"/>
              </w:rPr>
              <w:t>2020</w:t>
            </w:r>
          </w:p>
        </w:tc>
      </w:tr>
      <w:tr w:rsidR="00D946F3" w:rsidRPr="005269E6" w14:paraId="2D06361E"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06487C71" w14:textId="3D42306E" w:rsidR="00D946F3" w:rsidRPr="005269E6" w:rsidRDefault="00317F84" w:rsidP="00D946F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الموردون والدائنون الآخرون</w:t>
            </w:r>
          </w:p>
        </w:tc>
        <w:tc>
          <w:tcPr>
            <w:tcW w:w="0" w:type="auto"/>
            <w:tcBorders>
              <w:top w:val="nil"/>
              <w:left w:val="nil"/>
              <w:bottom w:val="nil"/>
              <w:right w:val="nil"/>
            </w:tcBorders>
            <w:shd w:val="clear" w:color="auto" w:fill="auto"/>
            <w:noWrap/>
            <w:vAlign w:val="bottom"/>
            <w:hideMark/>
          </w:tcPr>
          <w:p w14:paraId="25DAA071" w14:textId="401E5EC4" w:rsidR="00D946F3" w:rsidRPr="005269E6" w:rsidRDefault="00D946F3"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(329)</w:t>
            </w:r>
          </w:p>
        </w:tc>
        <w:tc>
          <w:tcPr>
            <w:tcW w:w="0" w:type="auto"/>
            <w:tcBorders>
              <w:top w:val="nil"/>
              <w:left w:val="nil"/>
              <w:bottom w:val="nil"/>
              <w:right w:val="nil"/>
            </w:tcBorders>
            <w:shd w:val="clear" w:color="auto" w:fill="auto"/>
            <w:noWrap/>
            <w:vAlign w:val="bottom"/>
            <w:hideMark/>
          </w:tcPr>
          <w:p w14:paraId="4F49DB07" w14:textId="1172F132" w:rsidR="00D946F3" w:rsidRPr="005269E6" w:rsidRDefault="00D946F3"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329 </w:t>
            </w:r>
          </w:p>
        </w:tc>
        <w:tc>
          <w:tcPr>
            <w:tcW w:w="0" w:type="auto"/>
            <w:tcBorders>
              <w:top w:val="nil"/>
              <w:left w:val="nil"/>
              <w:bottom w:val="nil"/>
              <w:right w:val="nil"/>
            </w:tcBorders>
            <w:shd w:val="clear" w:color="auto" w:fill="auto"/>
            <w:noWrap/>
            <w:vAlign w:val="bottom"/>
            <w:hideMark/>
          </w:tcPr>
          <w:p w14:paraId="5F647C6C" w14:textId="49A947D3" w:rsidR="00D946F3" w:rsidRPr="005269E6" w:rsidRDefault="00D946F3"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D946F3" w:rsidRPr="005269E6" w14:paraId="618AAD55"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6256F28A" w14:textId="34243608" w:rsidR="00D946F3" w:rsidRPr="005269E6" w:rsidRDefault="00317F84" w:rsidP="00D946F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w:t>
            </w:r>
            <w:r w:rsidRPr="005269E6">
              <w:rPr>
                <w:rFonts w:eastAsia="Times New Roman"/>
                <w:color w:val="000000"/>
                <w:sz w:val="18"/>
                <w:szCs w:val="18"/>
                <w:rtl/>
                <w:lang w:val="en-GB" w:eastAsia="en-GB"/>
              </w:rPr>
              <w:t>حساب ا</w:t>
            </w:r>
            <w:r w:rsidRPr="005269E6">
              <w:rPr>
                <w:rFonts w:eastAsia="Times New Roman" w:hint="cs"/>
                <w:color w:val="000000"/>
                <w:sz w:val="18"/>
                <w:szCs w:val="18"/>
                <w:rtl/>
                <w:lang w:val="en-GB" w:eastAsia="en-GB"/>
              </w:rPr>
              <w:t>لا</w:t>
            </w:r>
            <w:r w:rsidRPr="005269E6">
              <w:rPr>
                <w:rFonts w:eastAsia="Times New Roman"/>
                <w:color w:val="000000"/>
                <w:sz w:val="18"/>
                <w:szCs w:val="18"/>
                <w:rtl/>
                <w:lang w:val="en-GB" w:eastAsia="en-GB"/>
              </w:rPr>
              <w:t>حتياطي</w:t>
            </w:r>
          </w:p>
        </w:tc>
        <w:tc>
          <w:tcPr>
            <w:tcW w:w="0" w:type="auto"/>
            <w:tcBorders>
              <w:top w:val="nil"/>
              <w:left w:val="nil"/>
              <w:bottom w:val="nil"/>
              <w:right w:val="nil"/>
            </w:tcBorders>
            <w:shd w:val="clear" w:color="auto" w:fill="auto"/>
            <w:noWrap/>
            <w:vAlign w:val="bottom"/>
            <w:hideMark/>
          </w:tcPr>
          <w:p w14:paraId="3CA38993" w14:textId="77777777" w:rsidR="00D946F3" w:rsidRPr="005269E6" w:rsidRDefault="00D946F3" w:rsidP="00E71850">
            <w:pPr>
              <w:tabs>
                <w:tab w:val="clear" w:pos="794"/>
              </w:tabs>
              <w:spacing w:before="40" w:after="40" w:line="240" w:lineRule="exact"/>
              <w:jc w:val="left"/>
              <w:rPr>
                <w:rFonts w:eastAsia="Times New Roman"/>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68E1A664" w14:textId="68266B54" w:rsidR="00D946F3" w:rsidRPr="005269E6" w:rsidRDefault="00D946F3"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(329)</w:t>
            </w:r>
          </w:p>
        </w:tc>
        <w:tc>
          <w:tcPr>
            <w:tcW w:w="0" w:type="auto"/>
            <w:tcBorders>
              <w:top w:val="nil"/>
              <w:left w:val="nil"/>
              <w:bottom w:val="nil"/>
              <w:right w:val="nil"/>
            </w:tcBorders>
            <w:shd w:val="clear" w:color="auto" w:fill="auto"/>
            <w:noWrap/>
            <w:vAlign w:val="bottom"/>
            <w:hideMark/>
          </w:tcPr>
          <w:p w14:paraId="33B929F0" w14:textId="084EB4F9" w:rsidR="00D946F3" w:rsidRPr="005269E6" w:rsidRDefault="00D946F3"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(329)</w:t>
            </w:r>
          </w:p>
        </w:tc>
      </w:tr>
    </w:tbl>
    <w:p w14:paraId="0F01419E" w14:textId="3B50A316" w:rsidR="00077573" w:rsidRPr="005269E6" w:rsidRDefault="00077573" w:rsidP="0076342B">
      <w:pPr>
        <w:pStyle w:val="Headingb"/>
        <w:rPr>
          <w:b w:val="0"/>
          <w:bCs w:val="0"/>
          <w:rtl/>
        </w:rPr>
      </w:pPr>
      <w:r w:rsidRPr="005269E6">
        <w:t>20</w:t>
      </w:r>
      <w:r w:rsidRPr="005269E6">
        <w:rPr>
          <w:rtl/>
        </w:rPr>
        <w:tab/>
      </w:r>
      <w:r w:rsidR="00042631" w:rsidRPr="005269E6">
        <w:rPr>
          <w:rtl/>
        </w:rPr>
        <w:t>المكاسب</w:t>
      </w:r>
      <w:r w:rsidR="00317F84" w:rsidRPr="005269E6">
        <w:rPr>
          <w:rtl/>
        </w:rPr>
        <w:t>/</w:t>
      </w:r>
      <w:r w:rsidR="00317F84" w:rsidRPr="005269E6">
        <w:rPr>
          <w:rFonts w:hint="cs"/>
          <w:rtl/>
        </w:rPr>
        <w:t>ال</w:t>
      </w:r>
      <w:r w:rsidR="00317F84" w:rsidRPr="005269E6">
        <w:rPr>
          <w:rtl/>
        </w:rPr>
        <w:t xml:space="preserve">خسائر غير المحققة </w:t>
      </w:r>
      <w:r w:rsidR="00317F84" w:rsidRPr="005269E6">
        <w:rPr>
          <w:rFonts w:hint="cs"/>
          <w:rtl/>
        </w:rPr>
        <w:t xml:space="preserve">من </w:t>
      </w:r>
      <w:r w:rsidR="00317F84" w:rsidRPr="005269E6">
        <w:rPr>
          <w:rtl/>
        </w:rPr>
        <w:t>صرف العملات الأجنبية</w:t>
      </w:r>
    </w:p>
    <w:p w14:paraId="6523C82A" w14:textId="77777777" w:rsidR="00042631" w:rsidRPr="005269E6" w:rsidRDefault="00042631" w:rsidP="00042631">
      <w:r w:rsidRPr="005269E6">
        <w:rPr>
          <w:rtl/>
        </w:rPr>
        <w:t>تبين أن المكاسب والخسائر غير المحققة في صرف العملات الأجنبية التي أقرها الاتحاد للفترة من 2010 إلى 2020 حسبت باستخدام أسعار صرف العملات الأجنبية الخاطئة.</w:t>
      </w:r>
    </w:p>
    <w:p w14:paraId="121FA63B" w14:textId="28C2D9B0" w:rsidR="00077573" w:rsidRPr="005269E6" w:rsidRDefault="00042631" w:rsidP="00042631">
      <w:pPr>
        <w:spacing w:after="120"/>
        <w:rPr>
          <w:rtl/>
          <w:lang w:bidi="ar-SY"/>
        </w:rPr>
      </w:pPr>
      <w:bookmarkStart w:id="723" w:name="lt_pId1347"/>
      <w:bookmarkEnd w:id="723"/>
      <w:r w:rsidRPr="005269E6">
        <w:rPr>
          <w:rtl/>
        </w:rPr>
        <w:t xml:space="preserve">ونتيجة لذلك، أعيد حساب </w:t>
      </w:r>
      <w:bookmarkStart w:id="724" w:name="_Hlk161139552"/>
      <w:r w:rsidRPr="005269E6">
        <w:rPr>
          <w:rtl/>
        </w:rPr>
        <w:t xml:space="preserve">المكاسب </w:t>
      </w:r>
      <w:bookmarkEnd w:id="724"/>
      <w:r w:rsidRPr="005269E6">
        <w:rPr>
          <w:rtl/>
        </w:rPr>
        <w:t xml:space="preserve">والخسائر غير المحققة </w:t>
      </w:r>
      <w:r w:rsidRPr="005269E6">
        <w:rPr>
          <w:rFonts w:hint="cs"/>
          <w:rtl/>
        </w:rPr>
        <w:t>من</w:t>
      </w:r>
      <w:r w:rsidRPr="005269E6">
        <w:rPr>
          <w:rtl/>
        </w:rPr>
        <w:t xml:space="preserve"> صرف العملات الأجنبية باستخدام أسعار صرف العملات الأجنبية المناسبة لكل فترة.</w:t>
      </w:r>
    </w:p>
    <w:tbl>
      <w:tblPr>
        <w:bidiVisual/>
        <w:tblW w:w="0" w:type="auto"/>
        <w:jc w:val="center"/>
        <w:tblLook w:val="04A0" w:firstRow="1" w:lastRow="0" w:firstColumn="1" w:lastColumn="0" w:noHBand="0" w:noVBand="1"/>
      </w:tblPr>
      <w:tblGrid>
        <w:gridCol w:w="1427"/>
        <w:gridCol w:w="2081"/>
        <w:gridCol w:w="1095"/>
        <w:gridCol w:w="1359"/>
      </w:tblGrid>
      <w:tr w:rsidR="00565983" w:rsidRPr="005269E6" w14:paraId="67053F69" w14:textId="77777777" w:rsidTr="00E71850">
        <w:trPr>
          <w:trHeight w:val="300"/>
          <w:jc w:val="center"/>
        </w:trPr>
        <w:tc>
          <w:tcPr>
            <w:tcW w:w="0" w:type="auto"/>
            <w:tcBorders>
              <w:top w:val="nil"/>
              <w:left w:val="nil"/>
              <w:bottom w:val="nil"/>
              <w:right w:val="nil"/>
            </w:tcBorders>
            <w:shd w:val="clear" w:color="000000" w:fill="0070C0"/>
            <w:noWrap/>
            <w:vAlign w:val="bottom"/>
            <w:hideMark/>
          </w:tcPr>
          <w:p w14:paraId="6C7640D7" w14:textId="77777777" w:rsidR="00565983" w:rsidRPr="005269E6" w:rsidRDefault="00565983" w:rsidP="005659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0" w:type="auto"/>
            <w:gridSpan w:val="3"/>
            <w:tcBorders>
              <w:top w:val="nil"/>
              <w:left w:val="nil"/>
              <w:bottom w:val="nil"/>
              <w:right w:val="nil"/>
            </w:tcBorders>
            <w:shd w:val="clear" w:color="000000" w:fill="0070C0"/>
            <w:noWrap/>
            <w:vAlign w:val="bottom"/>
            <w:hideMark/>
          </w:tcPr>
          <w:p w14:paraId="0FA278E9" w14:textId="77777777" w:rsidR="00565983" w:rsidRPr="005269E6" w:rsidRDefault="00565983" w:rsidP="0056598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r>
      <w:tr w:rsidR="00042631" w:rsidRPr="005269E6" w14:paraId="4A883C1A" w14:textId="77777777" w:rsidTr="00E71850">
        <w:trPr>
          <w:trHeight w:val="381"/>
          <w:jc w:val="center"/>
        </w:trPr>
        <w:tc>
          <w:tcPr>
            <w:tcW w:w="0" w:type="auto"/>
            <w:tcBorders>
              <w:top w:val="nil"/>
              <w:left w:val="nil"/>
              <w:bottom w:val="nil"/>
              <w:right w:val="nil"/>
            </w:tcBorders>
            <w:shd w:val="clear" w:color="000000" w:fill="0070C0"/>
            <w:noWrap/>
            <w:vAlign w:val="bottom"/>
            <w:hideMark/>
          </w:tcPr>
          <w:p w14:paraId="4F5E84E6" w14:textId="34852151" w:rsidR="00042631" w:rsidRPr="005269E6" w:rsidRDefault="00042631" w:rsidP="0004263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0" w:type="auto"/>
            <w:tcBorders>
              <w:top w:val="nil"/>
              <w:left w:val="nil"/>
              <w:bottom w:val="nil"/>
              <w:right w:val="nil"/>
            </w:tcBorders>
            <w:shd w:val="clear" w:color="000000" w:fill="0070C0"/>
            <w:vAlign w:val="bottom"/>
            <w:hideMark/>
          </w:tcPr>
          <w:p w14:paraId="781D38A7" w14:textId="4E0FCF34" w:rsidR="00042631" w:rsidRPr="005269E6" w:rsidRDefault="00042631" w:rsidP="00042631">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0" w:type="auto"/>
            <w:tcBorders>
              <w:top w:val="nil"/>
              <w:left w:val="nil"/>
              <w:bottom w:val="nil"/>
              <w:right w:val="nil"/>
            </w:tcBorders>
            <w:shd w:val="clear" w:color="000000" w:fill="0070C0"/>
            <w:vAlign w:val="bottom"/>
            <w:hideMark/>
          </w:tcPr>
          <w:p w14:paraId="14135B5A" w14:textId="677C86C7" w:rsidR="00042631" w:rsidRPr="005269E6" w:rsidRDefault="00042631" w:rsidP="00042631">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0" w:type="auto"/>
            <w:tcBorders>
              <w:top w:val="nil"/>
              <w:left w:val="nil"/>
              <w:bottom w:val="nil"/>
              <w:right w:val="nil"/>
            </w:tcBorders>
            <w:shd w:val="clear" w:color="000000" w:fill="0070C0"/>
            <w:vAlign w:val="bottom"/>
            <w:hideMark/>
          </w:tcPr>
          <w:p w14:paraId="45A448C3" w14:textId="0098618A" w:rsidR="00042631" w:rsidRPr="005269E6" w:rsidRDefault="00AE6518" w:rsidP="00042631">
            <w:pPr>
              <w:tabs>
                <w:tab w:val="clear" w:pos="794"/>
              </w:tabs>
              <w:spacing w:before="40" w:after="40" w:line="240" w:lineRule="exact"/>
              <w:jc w:val="center"/>
              <w:rPr>
                <w:rFonts w:eastAsia="Times New Roman"/>
                <w:b/>
                <w:bCs/>
                <w:color w:val="000000"/>
                <w:sz w:val="18"/>
                <w:szCs w:val="18"/>
                <w:lang w:eastAsia="en-GB" w:bidi="ar-SY"/>
              </w:rPr>
            </w:pPr>
            <w:r w:rsidRPr="005269E6">
              <w:rPr>
                <w:rFonts w:eastAsia="Times New Roman"/>
                <w:b/>
                <w:bCs/>
                <w:color w:val="000000"/>
                <w:sz w:val="18"/>
                <w:szCs w:val="18"/>
                <w:lang w:val="en-GB" w:eastAsia="en-GB"/>
              </w:rPr>
              <w:t>2020</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w:t>
            </w:r>
            <w:r w:rsidRPr="005269E6">
              <w:rPr>
                <w:rFonts w:eastAsia="Times New Roman" w:hint="cs"/>
                <w:b/>
                <w:bCs/>
                <w:color w:val="000000"/>
                <w:sz w:val="18"/>
                <w:szCs w:val="18"/>
                <w:rtl/>
                <w:lang w:val="en-GB" w:eastAsia="en-GB" w:bidi="ar-SY"/>
              </w:rPr>
              <w:t>ا</w:t>
            </w:r>
          </w:p>
        </w:tc>
      </w:tr>
      <w:tr w:rsidR="00565983" w:rsidRPr="005269E6" w14:paraId="586D0776"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6776946C" w14:textId="204E07A2" w:rsidR="00565983" w:rsidRPr="005269E6" w:rsidRDefault="00042631" w:rsidP="005659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نفقات التمويل</w:t>
            </w:r>
          </w:p>
        </w:tc>
        <w:tc>
          <w:tcPr>
            <w:tcW w:w="0" w:type="auto"/>
            <w:tcBorders>
              <w:top w:val="nil"/>
              <w:left w:val="nil"/>
              <w:bottom w:val="nil"/>
              <w:right w:val="nil"/>
            </w:tcBorders>
            <w:shd w:val="clear" w:color="auto" w:fill="auto"/>
            <w:noWrap/>
            <w:vAlign w:val="bottom"/>
            <w:hideMark/>
          </w:tcPr>
          <w:p w14:paraId="4B28F16A" w14:textId="2A31DA3B" w:rsidR="00565983" w:rsidRPr="005269E6" w:rsidRDefault="00565983"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2 007 </w:t>
            </w:r>
          </w:p>
        </w:tc>
        <w:tc>
          <w:tcPr>
            <w:tcW w:w="0" w:type="auto"/>
            <w:tcBorders>
              <w:top w:val="nil"/>
              <w:left w:val="nil"/>
              <w:bottom w:val="nil"/>
              <w:right w:val="nil"/>
            </w:tcBorders>
            <w:shd w:val="clear" w:color="auto" w:fill="auto"/>
            <w:noWrap/>
            <w:vAlign w:val="bottom"/>
            <w:hideMark/>
          </w:tcPr>
          <w:p w14:paraId="7CC244D9" w14:textId="3C3889ED" w:rsidR="00565983" w:rsidRPr="005269E6" w:rsidRDefault="00565983"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(2 007)</w:t>
            </w:r>
          </w:p>
        </w:tc>
        <w:tc>
          <w:tcPr>
            <w:tcW w:w="0" w:type="auto"/>
            <w:tcBorders>
              <w:top w:val="nil"/>
              <w:left w:val="nil"/>
              <w:bottom w:val="nil"/>
              <w:right w:val="nil"/>
            </w:tcBorders>
            <w:shd w:val="clear" w:color="auto" w:fill="auto"/>
            <w:noWrap/>
            <w:vAlign w:val="bottom"/>
            <w:hideMark/>
          </w:tcPr>
          <w:p w14:paraId="43D834C3" w14:textId="0D51716F" w:rsidR="00565983" w:rsidRPr="005269E6" w:rsidRDefault="00565983"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565983" w:rsidRPr="005269E6" w14:paraId="7122A721"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69C425E9" w14:textId="589CC079" w:rsidR="00565983" w:rsidRPr="005269E6" w:rsidRDefault="00042631" w:rsidP="005659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الفوائض المتراكمة</w:t>
            </w:r>
          </w:p>
        </w:tc>
        <w:tc>
          <w:tcPr>
            <w:tcW w:w="0" w:type="auto"/>
            <w:tcBorders>
              <w:top w:val="nil"/>
              <w:left w:val="nil"/>
              <w:bottom w:val="nil"/>
              <w:right w:val="nil"/>
            </w:tcBorders>
            <w:shd w:val="clear" w:color="auto" w:fill="auto"/>
            <w:noWrap/>
            <w:vAlign w:val="bottom"/>
            <w:hideMark/>
          </w:tcPr>
          <w:p w14:paraId="24EF5900" w14:textId="77777777" w:rsidR="00565983" w:rsidRPr="005269E6" w:rsidRDefault="00565983" w:rsidP="00E71850">
            <w:pPr>
              <w:tabs>
                <w:tab w:val="clear" w:pos="794"/>
              </w:tabs>
              <w:spacing w:before="40" w:after="40" w:line="240" w:lineRule="exact"/>
              <w:jc w:val="left"/>
              <w:rPr>
                <w:rFonts w:eastAsia="Times New Roman"/>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0D362A6C" w14:textId="64A093CD" w:rsidR="00565983" w:rsidRPr="005269E6" w:rsidRDefault="00565983"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2 923 </w:t>
            </w:r>
          </w:p>
        </w:tc>
        <w:tc>
          <w:tcPr>
            <w:tcW w:w="0" w:type="auto"/>
            <w:tcBorders>
              <w:top w:val="nil"/>
              <w:left w:val="nil"/>
              <w:bottom w:val="nil"/>
              <w:right w:val="nil"/>
            </w:tcBorders>
            <w:shd w:val="clear" w:color="auto" w:fill="auto"/>
            <w:noWrap/>
            <w:vAlign w:val="bottom"/>
            <w:hideMark/>
          </w:tcPr>
          <w:p w14:paraId="72062768" w14:textId="2D8C5FBA" w:rsidR="00565983" w:rsidRPr="005269E6" w:rsidRDefault="00565983"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2 923 </w:t>
            </w:r>
          </w:p>
        </w:tc>
      </w:tr>
      <w:tr w:rsidR="00565983" w:rsidRPr="005269E6" w14:paraId="46478298"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5972A1FC" w14:textId="065EF405" w:rsidR="00565983" w:rsidRPr="005269E6" w:rsidRDefault="00042631" w:rsidP="0056598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احتياطيات أخرى</w:t>
            </w:r>
          </w:p>
        </w:tc>
        <w:tc>
          <w:tcPr>
            <w:tcW w:w="0" w:type="auto"/>
            <w:tcBorders>
              <w:top w:val="nil"/>
              <w:left w:val="nil"/>
              <w:bottom w:val="nil"/>
              <w:right w:val="nil"/>
            </w:tcBorders>
            <w:shd w:val="clear" w:color="auto" w:fill="auto"/>
            <w:noWrap/>
            <w:vAlign w:val="bottom"/>
            <w:hideMark/>
          </w:tcPr>
          <w:p w14:paraId="1DBD2A46" w14:textId="77777777" w:rsidR="00565983" w:rsidRPr="005269E6" w:rsidRDefault="00565983" w:rsidP="00E71850">
            <w:pPr>
              <w:tabs>
                <w:tab w:val="clear" w:pos="794"/>
              </w:tabs>
              <w:spacing w:before="40" w:after="40" w:line="240" w:lineRule="exact"/>
              <w:jc w:val="left"/>
              <w:rPr>
                <w:rFonts w:eastAsia="Times New Roman"/>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7D0B7E37" w14:textId="2C3DDC38" w:rsidR="00565983" w:rsidRPr="005269E6" w:rsidRDefault="00565983"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(916)</w:t>
            </w:r>
          </w:p>
        </w:tc>
        <w:tc>
          <w:tcPr>
            <w:tcW w:w="0" w:type="auto"/>
            <w:tcBorders>
              <w:top w:val="nil"/>
              <w:left w:val="nil"/>
              <w:bottom w:val="nil"/>
              <w:right w:val="nil"/>
            </w:tcBorders>
            <w:shd w:val="clear" w:color="auto" w:fill="auto"/>
            <w:noWrap/>
            <w:vAlign w:val="bottom"/>
            <w:hideMark/>
          </w:tcPr>
          <w:p w14:paraId="3CF60C6D" w14:textId="5C3609AA" w:rsidR="00565983" w:rsidRPr="005269E6" w:rsidRDefault="00565983" w:rsidP="00E71850">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(916)</w:t>
            </w:r>
          </w:p>
        </w:tc>
      </w:tr>
    </w:tbl>
    <w:p w14:paraId="732AA31B" w14:textId="4F7D4DA5" w:rsidR="00C122A3" w:rsidRPr="005269E6" w:rsidRDefault="00C122A3" w:rsidP="0060543C">
      <w:pPr>
        <w:pStyle w:val="Headingb"/>
        <w:rPr>
          <w:b w:val="0"/>
          <w:bCs w:val="0"/>
          <w:rtl/>
        </w:rPr>
      </w:pPr>
      <w:r w:rsidRPr="005269E6">
        <w:t>21</w:t>
      </w:r>
      <w:r w:rsidRPr="005269E6">
        <w:rPr>
          <w:rtl/>
        </w:rPr>
        <w:tab/>
      </w:r>
      <w:r w:rsidR="00042631" w:rsidRPr="005269E6">
        <w:rPr>
          <w:rtl/>
        </w:rPr>
        <w:t>المكاسب</w:t>
      </w:r>
      <w:r w:rsidR="00DD3755" w:rsidRPr="005269E6">
        <w:rPr>
          <w:rFonts w:hint="cs"/>
          <w:rtl/>
        </w:rPr>
        <w:t xml:space="preserve"> و</w:t>
      </w:r>
      <w:r w:rsidR="00042631" w:rsidRPr="005269E6">
        <w:rPr>
          <w:rtl/>
        </w:rPr>
        <w:t xml:space="preserve">الخسائر المحققة </w:t>
      </w:r>
      <w:r w:rsidR="00042631" w:rsidRPr="005269E6">
        <w:rPr>
          <w:rFonts w:hint="cs"/>
          <w:rtl/>
        </w:rPr>
        <w:t>و</w:t>
      </w:r>
      <w:r w:rsidR="00042631" w:rsidRPr="005269E6">
        <w:rPr>
          <w:rtl/>
        </w:rPr>
        <w:t>غير المحققة من صرف العملات الأجنبية</w:t>
      </w:r>
    </w:p>
    <w:p w14:paraId="79BE13F1" w14:textId="7E685F5D" w:rsidR="00C122A3" w:rsidRPr="005269E6" w:rsidRDefault="00042631" w:rsidP="00C122A3">
      <w:pPr>
        <w:spacing w:after="120"/>
        <w:rPr>
          <w:rtl/>
          <w:lang w:bidi="ar-SY"/>
        </w:rPr>
      </w:pPr>
      <w:r w:rsidRPr="005269E6">
        <w:rPr>
          <w:rtl/>
          <w:lang w:bidi="ar-SY"/>
        </w:rPr>
        <w:t xml:space="preserve">في عام 2021، سجل الاتحاد مكاسب وخسائر غير محققة من أسعار صرف العملات الأجنبية نتيجة للمعاملات التي سويت والتي كان ينبغي اعتبارها مكاسب وخسائر محققة من صرف العملات الأجنبية. ونتيجة لذلك، أعيد تصنيف المكاسب والخسائر المحققة </w:t>
      </w:r>
      <w:r w:rsidRPr="005269E6">
        <w:rPr>
          <w:rFonts w:hint="cs"/>
          <w:rtl/>
          <w:lang w:bidi="ar-SY"/>
        </w:rPr>
        <w:t>في</w:t>
      </w:r>
      <w:r w:rsidRPr="005269E6">
        <w:rPr>
          <w:rtl/>
          <w:lang w:bidi="ar-SY"/>
        </w:rPr>
        <w:t xml:space="preserve"> سعر الصرف في بيان الأداء المالي لعام 2021.</w:t>
      </w:r>
    </w:p>
    <w:tbl>
      <w:tblPr>
        <w:bidiVisual/>
        <w:tblW w:w="0" w:type="auto"/>
        <w:jc w:val="center"/>
        <w:tblLook w:val="04A0" w:firstRow="1" w:lastRow="0" w:firstColumn="1" w:lastColumn="0" w:noHBand="0" w:noVBand="1"/>
      </w:tblPr>
      <w:tblGrid>
        <w:gridCol w:w="3383"/>
        <w:gridCol w:w="2081"/>
        <w:gridCol w:w="1095"/>
        <w:gridCol w:w="1359"/>
      </w:tblGrid>
      <w:tr w:rsidR="00335BB9" w:rsidRPr="005269E6" w14:paraId="40F3D1B4" w14:textId="77777777" w:rsidTr="00E71850">
        <w:trPr>
          <w:trHeight w:val="255"/>
          <w:jc w:val="center"/>
        </w:trPr>
        <w:tc>
          <w:tcPr>
            <w:tcW w:w="0" w:type="auto"/>
            <w:tcBorders>
              <w:top w:val="nil"/>
              <w:left w:val="nil"/>
              <w:bottom w:val="nil"/>
              <w:right w:val="nil"/>
            </w:tcBorders>
            <w:shd w:val="clear" w:color="000000" w:fill="0070C0"/>
            <w:noWrap/>
            <w:vAlign w:val="bottom"/>
            <w:hideMark/>
          </w:tcPr>
          <w:p w14:paraId="1F9A6B4F" w14:textId="77777777" w:rsidR="00335BB9" w:rsidRPr="005269E6" w:rsidRDefault="00335BB9" w:rsidP="00335BB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0" w:type="auto"/>
            <w:gridSpan w:val="3"/>
            <w:tcBorders>
              <w:top w:val="nil"/>
              <w:left w:val="nil"/>
              <w:bottom w:val="nil"/>
              <w:right w:val="nil"/>
            </w:tcBorders>
            <w:shd w:val="clear" w:color="000000" w:fill="0070C0"/>
            <w:noWrap/>
            <w:vAlign w:val="bottom"/>
            <w:hideMark/>
          </w:tcPr>
          <w:p w14:paraId="02137ECB" w14:textId="77777777" w:rsidR="00335BB9" w:rsidRPr="005269E6" w:rsidRDefault="00335BB9" w:rsidP="00335BB9">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042631" w:rsidRPr="005269E6" w14:paraId="6809F7CB" w14:textId="77777777" w:rsidTr="00E71850">
        <w:trPr>
          <w:trHeight w:val="300"/>
          <w:jc w:val="center"/>
        </w:trPr>
        <w:tc>
          <w:tcPr>
            <w:tcW w:w="0" w:type="auto"/>
            <w:tcBorders>
              <w:top w:val="nil"/>
              <w:left w:val="nil"/>
              <w:bottom w:val="nil"/>
              <w:right w:val="nil"/>
            </w:tcBorders>
            <w:shd w:val="clear" w:color="000000" w:fill="0070C0"/>
            <w:vAlign w:val="bottom"/>
            <w:hideMark/>
          </w:tcPr>
          <w:p w14:paraId="64C0BF12" w14:textId="10FB3F83" w:rsidR="00042631" w:rsidRPr="005269E6" w:rsidRDefault="00042631" w:rsidP="00042631">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0" w:type="auto"/>
            <w:tcBorders>
              <w:top w:val="nil"/>
              <w:left w:val="nil"/>
              <w:bottom w:val="nil"/>
              <w:right w:val="nil"/>
            </w:tcBorders>
            <w:shd w:val="clear" w:color="000000" w:fill="0070C0"/>
            <w:vAlign w:val="bottom"/>
            <w:hideMark/>
          </w:tcPr>
          <w:p w14:paraId="516EF213" w14:textId="7D5DD29E" w:rsidR="00042631" w:rsidRPr="005269E6" w:rsidRDefault="00042631" w:rsidP="00042631">
            <w:pPr>
              <w:tabs>
                <w:tab w:val="clear" w:pos="794"/>
              </w:tabs>
              <w:spacing w:before="40" w:after="40" w:line="240" w:lineRule="exact"/>
              <w:jc w:val="center"/>
              <w:rPr>
                <w:rFonts w:eastAsia="Times New Roman"/>
                <w:b/>
                <w:bCs/>
                <w:color w:val="000000"/>
                <w:sz w:val="18"/>
                <w:szCs w:val="18"/>
                <w:rtl/>
                <w:lang w:val="en-GB" w:eastAsia="en-GB" w:bidi="ar-EG"/>
              </w:rPr>
            </w:pPr>
            <w:r w:rsidRPr="005269E6">
              <w:rPr>
                <w:rFonts w:eastAsia="Times New Roman"/>
                <w:b/>
                <w:bCs/>
                <w:color w:val="000000"/>
                <w:sz w:val="18"/>
                <w:szCs w:val="18"/>
                <w:rtl/>
                <w:lang w:val="en-GB" w:eastAsia="en-GB"/>
              </w:rPr>
              <w:t xml:space="preserve">الرصيد في 31 ديسمبر </w:t>
            </w:r>
            <w:r w:rsidR="00DD3755" w:rsidRPr="005269E6">
              <w:rPr>
                <w:rFonts w:eastAsia="Times New Roman"/>
                <w:b/>
                <w:bCs/>
                <w:color w:val="000000"/>
                <w:sz w:val="18"/>
                <w:szCs w:val="18"/>
                <w:lang w:val="en-GB" w:eastAsia="en-GB"/>
              </w:rPr>
              <w:t>2021</w:t>
            </w:r>
          </w:p>
        </w:tc>
        <w:tc>
          <w:tcPr>
            <w:tcW w:w="0" w:type="auto"/>
            <w:tcBorders>
              <w:top w:val="nil"/>
              <w:left w:val="nil"/>
              <w:bottom w:val="nil"/>
              <w:right w:val="nil"/>
            </w:tcBorders>
            <w:shd w:val="clear" w:color="000000" w:fill="0070C0"/>
            <w:vAlign w:val="bottom"/>
            <w:hideMark/>
          </w:tcPr>
          <w:p w14:paraId="2849A942" w14:textId="1F29DF3C" w:rsidR="00042631" w:rsidRPr="005269E6" w:rsidRDefault="00042631" w:rsidP="00042631">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0" w:type="auto"/>
            <w:tcBorders>
              <w:top w:val="nil"/>
              <w:left w:val="nil"/>
              <w:bottom w:val="nil"/>
              <w:right w:val="nil"/>
            </w:tcBorders>
            <w:shd w:val="clear" w:color="000000" w:fill="0070C0"/>
            <w:vAlign w:val="bottom"/>
            <w:hideMark/>
          </w:tcPr>
          <w:p w14:paraId="2CEF0119" w14:textId="338ADE42" w:rsidR="00042631" w:rsidRPr="005269E6" w:rsidRDefault="00AE6518" w:rsidP="00042631">
            <w:pPr>
              <w:tabs>
                <w:tab w:val="clear" w:pos="794"/>
              </w:tabs>
              <w:spacing w:before="40" w:after="40" w:line="240" w:lineRule="exact"/>
              <w:jc w:val="center"/>
              <w:rPr>
                <w:rFonts w:eastAsia="Times New Roman"/>
                <w:b/>
                <w:bCs/>
                <w:color w:val="000000"/>
                <w:sz w:val="18"/>
                <w:szCs w:val="18"/>
                <w:lang w:val="en-GB" w:eastAsia="en-GB" w:bidi="ar-SY"/>
              </w:rPr>
            </w:pPr>
            <w:r w:rsidRPr="005269E6">
              <w:rPr>
                <w:rFonts w:eastAsia="Times New Roman"/>
                <w:b/>
                <w:bCs/>
                <w:color w:val="000000"/>
                <w:sz w:val="18"/>
                <w:szCs w:val="18"/>
                <w:lang w:val="en-GB" w:eastAsia="en-GB"/>
              </w:rPr>
              <w:t>2020</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w:t>
            </w:r>
            <w:r w:rsidRPr="005269E6">
              <w:rPr>
                <w:rFonts w:eastAsia="Times New Roman" w:hint="cs"/>
                <w:b/>
                <w:bCs/>
                <w:color w:val="000000"/>
                <w:sz w:val="18"/>
                <w:szCs w:val="18"/>
                <w:rtl/>
                <w:lang w:val="en-GB" w:eastAsia="en-GB" w:bidi="ar-SY"/>
              </w:rPr>
              <w:t>ا</w:t>
            </w:r>
          </w:p>
        </w:tc>
      </w:tr>
      <w:tr w:rsidR="00335BB9" w:rsidRPr="005269E6" w14:paraId="23927927" w14:textId="77777777" w:rsidTr="00E71850">
        <w:trPr>
          <w:trHeight w:val="255"/>
          <w:jc w:val="center"/>
        </w:trPr>
        <w:tc>
          <w:tcPr>
            <w:tcW w:w="0" w:type="auto"/>
            <w:tcBorders>
              <w:top w:val="nil"/>
              <w:left w:val="nil"/>
              <w:bottom w:val="nil"/>
              <w:right w:val="nil"/>
            </w:tcBorders>
            <w:shd w:val="clear" w:color="000000" w:fill="FFFFFF"/>
            <w:noWrap/>
            <w:vAlign w:val="bottom"/>
            <w:hideMark/>
          </w:tcPr>
          <w:p w14:paraId="61740D2C" w14:textId="5A704ECF" w:rsidR="00335BB9" w:rsidRPr="005269E6" w:rsidRDefault="00042631" w:rsidP="00335BB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المكاسب والخسائر غير المحققة في أسعار الصرف</w:t>
            </w:r>
          </w:p>
        </w:tc>
        <w:tc>
          <w:tcPr>
            <w:tcW w:w="0" w:type="auto"/>
            <w:tcBorders>
              <w:top w:val="nil"/>
              <w:left w:val="nil"/>
              <w:bottom w:val="nil"/>
              <w:right w:val="nil"/>
            </w:tcBorders>
            <w:shd w:val="clear" w:color="auto" w:fill="auto"/>
            <w:noWrap/>
            <w:vAlign w:val="bottom"/>
            <w:hideMark/>
          </w:tcPr>
          <w:p w14:paraId="3C2A3670" w14:textId="00794F88" w:rsidR="00335BB9" w:rsidRPr="005269E6" w:rsidRDefault="00335BB9" w:rsidP="00DD375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(333)</w:t>
            </w:r>
          </w:p>
        </w:tc>
        <w:tc>
          <w:tcPr>
            <w:tcW w:w="0" w:type="auto"/>
            <w:tcBorders>
              <w:top w:val="nil"/>
              <w:left w:val="nil"/>
              <w:bottom w:val="nil"/>
              <w:right w:val="nil"/>
            </w:tcBorders>
            <w:shd w:val="clear" w:color="auto" w:fill="auto"/>
            <w:noWrap/>
            <w:vAlign w:val="bottom"/>
            <w:hideMark/>
          </w:tcPr>
          <w:p w14:paraId="3A773E48" w14:textId="48ECCD94" w:rsidR="00335BB9" w:rsidRPr="005269E6" w:rsidRDefault="00335BB9" w:rsidP="00DD375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333 </w:t>
            </w:r>
          </w:p>
        </w:tc>
        <w:tc>
          <w:tcPr>
            <w:tcW w:w="0" w:type="auto"/>
            <w:tcBorders>
              <w:top w:val="nil"/>
              <w:left w:val="nil"/>
              <w:bottom w:val="nil"/>
              <w:right w:val="nil"/>
            </w:tcBorders>
            <w:shd w:val="clear" w:color="auto" w:fill="auto"/>
            <w:noWrap/>
            <w:vAlign w:val="bottom"/>
          </w:tcPr>
          <w:p w14:paraId="0B9D1099" w14:textId="1E0DF097" w:rsidR="00335BB9" w:rsidRPr="005269E6" w:rsidRDefault="00335BB9" w:rsidP="00DD375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r>
      <w:tr w:rsidR="00335BB9" w:rsidRPr="005269E6" w14:paraId="094BDDCA" w14:textId="77777777" w:rsidTr="00E71850">
        <w:trPr>
          <w:trHeight w:val="255"/>
          <w:jc w:val="center"/>
        </w:trPr>
        <w:tc>
          <w:tcPr>
            <w:tcW w:w="0" w:type="auto"/>
            <w:tcBorders>
              <w:top w:val="nil"/>
              <w:left w:val="nil"/>
              <w:bottom w:val="nil"/>
              <w:right w:val="nil"/>
            </w:tcBorders>
            <w:shd w:val="clear" w:color="000000" w:fill="FFFFFF"/>
            <w:noWrap/>
            <w:vAlign w:val="bottom"/>
            <w:hideMark/>
          </w:tcPr>
          <w:p w14:paraId="453E9027" w14:textId="5DA170AB" w:rsidR="00335BB9" w:rsidRPr="005269E6" w:rsidRDefault="00042631" w:rsidP="00335BB9">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المكاسب والخسائر المحققة في أسعار الصرف</w:t>
            </w:r>
          </w:p>
        </w:tc>
        <w:tc>
          <w:tcPr>
            <w:tcW w:w="0" w:type="auto"/>
            <w:tcBorders>
              <w:top w:val="nil"/>
              <w:left w:val="nil"/>
              <w:bottom w:val="nil"/>
              <w:right w:val="nil"/>
            </w:tcBorders>
            <w:shd w:val="clear" w:color="auto" w:fill="auto"/>
            <w:noWrap/>
            <w:vAlign w:val="bottom"/>
            <w:hideMark/>
          </w:tcPr>
          <w:p w14:paraId="0C2D10D9" w14:textId="6B24A585" w:rsidR="00335BB9" w:rsidRPr="005269E6" w:rsidRDefault="00335BB9" w:rsidP="00DD375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0" w:type="auto"/>
            <w:tcBorders>
              <w:top w:val="nil"/>
              <w:left w:val="nil"/>
              <w:bottom w:val="nil"/>
              <w:right w:val="nil"/>
            </w:tcBorders>
            <w:shd w:val="clear" w:color="auto" w:fill="auto"/>
            <w:noWrap/>
            <w:vAlign w:val="bottom"/>
            <w:hideMark/>
          </w:tcPr>
          <w:p w14:paraId="37EBFECB" w14:textId="3F9770F2" w:rsidR="00335BB9" w:rsidRPr="005269E6" w:rsidRDefault="00335BB9" w:rsidP="00DD375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(333)</w:t>
            </w:r>
          </w:p>
        </w:tc>
        <w:tc>
          <w:tcPr>
            <w:tcW w:w="0" w:type="auto"/>
            <w:tcBorders>
              <w:top w:val="nil"/>
              <w:left w:val="nil"/>
              <w:bottom w:val="nil"/>
              <w:right w:val="nil"/>
            </w:tcBorders>
            <w:shd w:val="clear" w:color="auto" w:fill="auto"/>
            <w:noWrap/>
            <w:vAlign w:val="bottom"/>
            <w:hideMark/>
          </w:tcPr>
          <w:p w14:paraId="739A80CB" w14:textId="2FD4D27A" w:rsidR="00335BB9" w:rsidRPr="005269E6" w:rsidRDefault="00335BB9" w:rsidP="00DD3755">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(333)</w:t>
            </w:r>
          </w:p>
        </w:tc>
      </w:tr>
    </w:tbl>
    <w:p w14:paraId="25D1E57D" w14:textId="4FC7FCBE" w:rsidR="00335BB9" w:rsidRPr="005269E6" w:rsidRDefault="00335BB9" w:rsidP="00636547">
      <w:pPr>
        <w:pStyle w:val="Headingb"/>
        <w:rPr>
          <w:b w:val="0"/>
          <w:bCs w:val="0"/>
          <w:rtl/>
        </w:rPr>
      </w:pPr>
      <w:r w:rsidRPr="005269E6">
        <w:t>22</w:t>
      </w:r>
      <w:r w:rsidRPr="005269E6">
        <w:rPr>
          <w:rtl/>
        </w:rPr>
        <w:tab/>
      </w:r>
      <w:r w:rsidR="00DE33F9" w:rsidRPr="005269E6">
        <w:rPr>
          <w:rtl/>
        </w:rPr>
        <w:t>الأموال خارج الميزانية</w:t>
      </w:r>
    </w:p>
    <w:p w14:paraId="7C13A600" w14:textId="6A299FBE" w:rsidR="00DE33F9" w:rsidRPr="005269E6" w:rsidRDefault="00DE33F9" w:rsidP="00DE33F9">
      <w:r w:rsidRPr="005269E6">
        <w:rPr>
          <w:rtl/>
        </w:rPr>
        <w:t>في عام 2020 اكتشف الاتحاد أن بعض الأموال ص</w:t>
      </w:r>
      <w:r w:rsidRPr="005269E6">
        <w:rPr>
          <w:rFonts w:hint="cs"/>
          <w:rtl/>
        </w:rPr>
        <w:t>ُ</w:t>
      </w:r>
      <w:r w:rsidRPr="005269E6">
        <w:rPr>
          <w:rtl/>
        </w:rPr>
        <w:t>نفت خطأ</w:t>
      </w:r>
      <w:r w:rsidRPr="005269E6">
        <w:rPr>
          <w:rFonts w:hint="cs"/>
          <w:rtl/>
        </w:rPr>
        <w:t>ً</w:t>
      </w:r>
      <w:r w:rsidRPr="005269E6">
        <w:rPr>
          <w:rtl/>
        </w:rPr>
        <w:t xml:space="preserve"> على أنها خارج الميزانية بدل</w:t>
      </w:r>
      <w:r w:rsidR="000B7668" w:rsidRPr="005269E6">
        <w:rPr>
          <w:rFonts w:hint="cs"/>
          <w:rtl/>
        </w:rPr>
        <w:t>اً</w:t>
      </w:r>
      <w:r w:rsidRPr="005269E6">
        <w:rPr>
          <w:rtl/>
        </w:rPr>
        <w:t xml:space="preserve"> من تصنيفها كاحتياطات أخرى.</w:t>
      </w:r>
    </w:p>
    <w:p w14:paraId="005DB7A4" w14:textId="1365E65F" w:rsidR="00335BB9" w:rsidRPr="005269E6" w:rsidRDefault="00DE33F9" w:rsidP="00DE33F9">
      <w:pPr>
        <w:spacing w:after="120"/>
        <w:rPr>
          <w:rtl/>
          <w:lang w:bidi="ar-SY"/>
        </w:rPr>
      </w:pPr>
      <w:bookmarkStart w:id="725" w:name="lt_pId1353"/>
      <w:bookmarkEnd w:id="725"/>
      <w:r w:rsidRPr="005269E6">
        <w:rPr>
          <w:rtl/>
        </w:rPr>
        <w:t>ونتيجة</w:t>
      </w:r>
      <w:r w:rsidR="00DD3755" w:rsidRPr="005269E6">
        <w:rPr>
          <w:rFonts w:hint="cs"/>
          <w:rtl/>
        </w:rPr>
        <w:t>ً</w:t>
      </w:r>
      <w:r w:rsidRPr="005269E6">
        <w:rPr>
          <w:rtl/>
        </w:rPr>
        <w:t xml:space="preserve"> لذلك، سجل الاتحاد إعادة تصنيف الأموال خارج</w:t>
      </w:r>
      <w:r w:rsidRPr="005269E6">
        <w:rPr>
          <w:rFonts w:cs="Times New Roman"/>
          <w:szCs w:val="20"/>
          <w:rtl/>
        </w:rPr>
        <w:t xml:space="preserve"> </w:t>
      </w:r>
      <w:r w:rsidRPr="005269E6">
        <w:rPr>
          <w:rtl/>
        </w:rPr>
        <w:t>الميزانية إلى احتياطيات أخرى.</w:t>
      </w:r>
    </w:p>
    <w:tbl>
      <w:tblPr>
        <w:bidiVisual/>
        <w:tblW w:w="0" w:type="auto"/>
        <w:jc w:val="center"/>
        <w:tblLook w:val="04A0" w:firstRow="1" w:lastRow="0" w:firstColumn="1" w:lastColumn="0" w:noHBand="0" w:noVBand="1"/>
      </w:tblPr>
      <w:tblGrid>
        <w:gridCol w:w="1604"/>
        <w:gridCol w:w="2081"/>
        <w:gridCol w:w="1095"/>
        <w:gridCol w:w="1359"/>
      </w:tblGrid>
      <w:tr w:rsidR="00BF1764" w:rsidRPr="005269E6" w14:paraId="6F9BB046" w14:textId="77777777" w:rsidTr="00E71850">
        <w:trPr>
          <w:trHeight w:val="300"/>
          <w:jc w:val="center"/>
        </w:trPr>
        <w:tc>
          <w:tcPr>
            <w:tcW w:w="0" w:type="auto"/>
            <w:tcBorders>
              <w:top w:val="nil"/>
              <w:left w:val="nil"/>
              <w:bottom w:val="nil"/>
              <w:right w:val="nil"/>
            </w:tcBorders>
            <w:shd w:val="clear" w:color="000000" w:fill="0070C0"/>
            <w:noWrap/>
            <w:vAlign w:val="bottom"/>
            <w:hideMark/>
          </w:tcPr>
          <w:p w14:paraId="0CFF4F6E" w14:textId="77777777" w:rsidR="00BF1764" w:rsidRPr="005269E6" w:rsidRDefault="00BF1764" w:rsidP="00BF1764">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0" w:type="auto"/>
            <w:gridSpan w:val="3"/>
            <w:tcBorders>
              <w:top w:val="nil"/>
              <w:left w:val="nil"/>
              <w:bottom w:val="nil"/>
              <w:right w:val="nil"/>
            </w:tcBorders>
            <w:shd w:val="clear" w:color="000000" w:fill="0070C0"/>
            <w:noWrap/>
            <w:vAlign w:val="bottom"/>
            <w:hideMark/>
          </w:tcPr>
          <w:p w14:paraId="3996F758" w14:textId="77777777" w:rsidR="00BF1764" w:rsidRPr="005269E6" w:rsidRDefault="00BF1764" w:rsidP="00BF1764">
            <w:pPr>
              <w:tabs>
                <w:tab w:val="clear" w:pos="794"/>
              </w:tabs>
              <w:spacing w:before="0" w:line="240" w:lineRule="auto"/>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r>
      <w:tr w:rsidR="00DE33F9" w:rsidRPr="005269E6" w14:paraId="6B579046" w14:textId="77777777" w:rsidTr="00E71850">
        <w:trPr>
          <w:trHeight w:val="540"/>
          <w:jc w:val="center"/>
        </w:trPr>
        <w:tc>
          <w:tcPr>
            <w:tcW w:w="0" w:type="auto"/>
            <w:tcBorders>
              <w:top w:val="nil"/>
              <w:left w:val="nil"/>
              <w:bottom w:val="nil"/>
              <w:right w:val="nil"/>
            </w:tcBorders>
            <w:shd w:val="clear" w:color="000000" w:fill="0070C0"/>
            <w:noWrap/>
            <w:vAlign w:val="bottom"/>
            <w:hideMark/>
          </w:tcPr>
          <w:p w14:paraId="42C66E4E" w14:textId="1D644861" w:rsidR="00DE33F9" w:rsidRPr="005269E6" w:rsidRDefault="00DE33F9" w:rsidP="00DE33F9">
            <w:pPr>
              <w:tabs>
                <w:tab w:val="clear" w:pos="794"/>
              </w:tabs>
              <w:spacing w:before="0" w:line="240" w:lineRule="auto"/>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lastRenderedPageBreak/>
              <w:t>الحسابات</w:t>
            </w:r>
          </w:p>
        </w:tc>
        <w:tc>
          <w:tcPr>
            <w:tcW w:w="0" w:type="auto"/>
            <w:tcBorders>
              <w:top w:val="nil"/>
              <w:left w:val="nil"/>
              <w:bottom w:val="nil"/>
              <w:right w:val="nil"/>
            </w:tcBorders>
            <w:shd w:val="clear" w:color="000000" w:fill="0070C0"/>
            <w:vAlign w:val="bottom"/>
            <w:hideMark/>
          </w:tcPr>
          <w:p w14:paraId="5182905C" w14:textId="54552C97" w:rsidR="00DE33F9" w:rsidRPr="005269E6" w:rsidRDefault="00DE33F9" w:rsidP="00DE33F9">
            <w:pPr>
              <w:tabs>
                <w:tab w:val="clear" w:pos="794"/>
              </w:tabs>
              <w:spacing w:before="0" w:line="240" w:lineRule="auto"/>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0" w:type="auto"/>
            <w:tcBorders>
              <w:top w:val="nil"/>
              <w:left w:val="nil"/>
              <w:bottom w:val="nil"/>
              <w:right w:val="nil"/>
            </w:tcBorders>
            <w:shd w:val="clear" w:color="000000" w:fill="0070C0"/>
            <w:vAlign w:val="bottom"/>
            <w:hideMark/>
          </w:tcPr>
          <w:p w14:paraId="18E8F416" w14:textId="29A1A3E5" w:rsidR="00DE33F9" w:rsidRPr="005269E6" w:rsidRDefault="00DE33F9" w:rsidP="00DE33F9">
            <w:pPr>
              <w:tabs>
                <w:tab w:val="clear" w:pos="794"/>
              </w:tabs>
              <w:spacing w:before="0" w:line="240" w:lineRule="auto"/>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0" w:type="auto"/>
            <w:tcBorders>
              <w:top w:val="nil"/>
              <w:left w:val="nil"/>
              <w:bottom w:val="nil"/>
              <w:right w:val="nil"/>
            </w:tcBorders>
            <w:shd w:val="clear" w:color="000000" w:fill="0070C0"/>
            <w:vAlign w:val="bottom"/>
            <w:hideMark/>
          </w:tcPr>
          <w:p w14:paraId="3BE8C197" w14:textId="6F2E3BEA" w:rsidR="00DE33F9" w:rsidRPr="005269E6" w:rsidRDefault="00AE6518" w:rsidP="00DE33F9">
            <w:pPr>
              <w:tabs>
                <w:tab w:val="clear" w:pos="794"/>
              </w:tabs>
              <w:spacing w:before="0" w:line="240" w:lineRule="auto"/>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w:t>
            </w:r>
            <w:r w:rsidRPr="005269E6">
              <w:rPr>
                <w:rFonts w:eastAsia="Times New Roman" w:hint="cs"/>
                <w:b/>
                <w:bCs/>
                <w:color w:val="000000"/>
                <w:sz w:val="18"/>
                <w:szCs w:val="18"/>
                <w:rtl/>
                <w:lang w:val="en-GB" w:eastAsia="en-GB" w:bidi="ar-SY"/>
              </w:rPr>
              <w:t>ا</w:t>
            </w:r>
          </w:p>
        </w:tc>
      </w:tr>
      <w:tr w:rsidR="00BF1764" w:rsidRPr="005269E6" w14:paraId="61968D55"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1946C624" w14:textId="66EAFD0D" w:rsidR="00BF1764" w:rsidRPr="005269E6" w:rsidRDefault="00DE33F9" w:rsidP="00BF1764">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rtl/>
                <w:lang w:val="en-GB" w:eastAsia="en-GB"/>
              </w:rPr>
              <w:t>احتياطيات أخرى</w:t>
            </w:r>
            <w:r w:rsidRPr="005269E6">
              <w:rPr>
                <w:rFonts w:eastAsia="Times New Roman" w:hint="cs"/>
                <w:color w:val="000000"/>
                <w:sz w:val="18"/>
                <w:szCs w:val="18"/>
                <w:rtl/>
                <w:lang w:val="en-GB" w:eastAsia="en-GB"/>
              </w:rPr>
              <w:t xml:space="preserve"> </w:t>
            </w:r>
          </w:p>
        </w:tc>
        <w:tc>
          <w:tcPr>
            <w:tcW w:w="0" w:type="auto"/>
            <w:tcBorders>
              <w:top w:val="nil"/>
              <w:left w:val="nil"/>
              <w:bottom w:val="nil"/>
              <w:right w:val="nil"/>
            </w:tcBorders>
            <w:shd w:val="clear" w:color="auto" w:fill="auto"/>
            <w:noWrap/>
            <w:vAlign w:val="bottom"/>
            <w:hideMark/>
          </w:tcPr>
          <w:p w14:paraId="4B2C1E88" w14:textId="7C4E6E58" w:rsidR="00BF1764" w:rsidRPr="005269E6" w:rsidRDefault="00BF1764" w:rsidP="003833EF">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w:t>
            </w:r>
          </w:p>
        </w:tc>
        <w:tc>
          <w:tcPr>
            <w:tcW w:w="0" w:type="auto"/>
            <w:tcBorders>
              <w:top w:val="nil"/>
              <w:left w:val="nil"/>
              <w:bottom w:val="nil"/>
              <w:right w:val="nil"/>
            </w:tcBorders>
            <w:shd w:val="clear" w:color="auto" w:fill="auto"/>
            <w:noWrap/>
            <w:vAlign w:val="bottom"/>
            <w:hideMark/>
          </w:tcPr>
          <w:p w14:paraId="769C1DDF" w14:textId="69874C25" w:rsidR="00BF1764" w:rsidRPr="005269E6" w:rsidRDefault="00BF1764" w:rsidP="003833EF">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8 008 </w:t>
            </w:r>
          </w:p>
        </w:tc>
        <w:tc>
          <w:tcPr>
            <w:tcW w:w="0" w:type="auto"/>
            <w:tcBorders>
              <w:top w:val="nil"/>
              <w:left w:val="nil"/>
              <w:bottom w:val="nil"/>
              <w:right w:val="nil"/>
            </w:tcBorders>
            <w:shd w:val="clear" w:color="auto" w:fill="auto"/>
            <w:noWrap/>
            <w:vAlign w:val="bottom"/>
            <w:hideMark/>
          </w:tcPr>
          <w:p w14:paraId="5E32E560" w14:textId="1F4BAB1F" w:rsidR="00BF1764" w:rsidRPr="005269E6" w:rsidRDefault="00BF1764" w:rsidP="003833EF">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8 008 </w:t>
            </w:r>
          </w:p>
        </w:tc>
      </w:tr>
      <w:tr w:rsidR="00BF1764" w:rsidRPr="005269E6" w14:paraId="102635F2"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67B8E093" w14:textId="295F9AB1" w:rsidR="00BF1764" w:rsidRPr="005269E6" w:rsidRDefault="00DE33F9" w:rsidP="00BF1764">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rtl/>
                <w:lang w:val="en-GB" w:eastAsia="en-GB"/>
              </w:rPr>
              <w:t>الأموال خارج الميزانية</w:t>
            </w:r>
          </w:p>
        </w:tc>
        <w:tc>
          <w:tcPr>
            <w:tcW w:w="0" w:type="auto"/>
            <w:tcBorders>
              <w:top w:val="nil"/>
              <w:left w:val="nil"/>
              <w:bottom w:val="nil"/>
              <w:right w:val="nil"/>
            </w:tcBorders>
            <w:shd w:val="clear" w:color="auto" w:fill="auto"/>
            <w:noWrap/>
            <w:vAlign w:val="bottom"/>
            <w:hideMark/>
          </w:tcPr>
          <w:p w14:paraId="3A8C5A6B" w14:textId="77777777" w:rsidR="00BF1764" w:rsidRPr="005269E6" w:rsidRDefault="00BF1764" w:rsidP="003833EF">
            <w:pPr>
              <w:tabs>
                <w:tab w:val="clear" w:pos="794"/>
              </w:tabs>
              <w:spacing w:before="0" w:line="240" w:lineRule="auto"/>
              <w:jc w:val="left"/>
              <w:rPr>
                <w:rFonts w:eastAsia="Times New Roman"/>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35758DBE" w14:textId="59E234E2" w:rsidR="00BF1764" w:rsidRPr="005269E6" w:rsidRDefault="00BF1764" w:rsidP="003833EF">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(8 008)</w:t>
            </w:r>
          </w:p>
        </w:tc>
        <w:tc>
          <w:tcPr>
            <w:tcW w:w="0" w:type="auto"/>
            <w:tcBorders>
              <w:top w:val="nil"/>
              <w:left w:val="nil"/>
              <w:bottom w:val="nil"/>
              <w:right w:val="nil"/>
            </w:tcBorders>
            <w:shd w:val="clear" w:color="auto" w:fill="auto"/>
            <w:noWrap/>
            <w:vAlign w:val="bottom"/>
            <w:hideMark/>
          </w:tcPr>
          <w:p w14:paraId="79CB87D0" w14:textId="2A4EB1F2" w:rsidR="00BF1764" w:rsidRPr="005269E6" w:rsidRDefault="00BF1764" w:rsidP="003833EF">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(8 008)</w:t>
            </w:r>
          </w:p>
        </w:tc>
      </w:tr>
    </w:tbl>
    <w:p w14:paraId="4843E5A0" w14:textId="0A286822" w:rsidR="00BF1764" w:rsidRPr="005269E6" w:rsidRDefault="00BF1764" w:rsidP="000B7668">
      <w:pPr>
        <w:pStyle w:val="Headingb"/>
        <w:rPr>
          <w:b w:val="0"/>
          <w:bCs w:val="0"/>
          <w:rtl/>
        </w:rPr>
      </w:pPr>
      <w:r w:rsidRPr="005269E6">
        <w:t>23</w:t>
      </w:r>
      <w:r w:rsidRPr="005269E6">
        <w:rPr>
          <w:rtl/>
        </w:rPr>
        <w:tab/>
      </w:r>
      <w:r w:rsidR="009B0296" w:rsidRPr="005269E6">
        <w:rPr>
          <w:rtl/>
        </w:rPr>
        <w:t>تحويل الأموال الداخلي</w:t>
      </w:r>
    </w:p>
    <w:p w14:paraId="6FCD0902" w14:textId="31F45CCC" w:rsidR="00BF1764" w:rsidRPr="005269E6" w:rsidRDefault="00764F24" w:rsidP="00BF1764">
      <w:pPr>
        <w:spacing w:after="120"/>
        <w:rPr>
          <w:rtl/>
          <w:lang w:bidi="ar-SY"/>
        </w:rPr>
      </w:pPr>
      <w:r w:rsidRPr="005269E6">
        <w:rPr>
          <w:rtl/>
          <w:lang w:bidi="ar-SY"/>
        </w:rPr>
        <w:t xml:space="preserve">في عام 2021، اكتشف الاتحاد أن بعض الإيرادات خصصت بطريقة غير صحيحة للأنشطة خارج الميزانية. ونتيجة لذلك، سجل الاتحاد </w:t>
      </w:r>
      <w:r w:rsidRPr="005269E6">
        <w:rPr>
          <w:rFonts w:hint="cs"/>
          <w:rtl/>
          <w:lang w:bidi="ar-SY"/>
        </w:rPr>
        <w:t>إلغاءً</w:t>
      </w:r>
      <w:r w:rsidRPr="005269E6">
        <w:rPr>
          <w:rtl/>
          <w:lang w:bidi="ar-SY"/>
        </w:rPr>
        <w:t xml:space="preserve"> ل</w:t>
      </w:r>
      <w:r w:rsidRPr="005269E6">
        <w:rPr>
          <w:rFonts w:hint="cs"/>
          <w:rtl/>
          <w:lang w:bidi="ar-SY"/>
        </w:rPr>
        <w:t>ل</w:t>
      </w:r>
      <w:r w:rsidRPr="005269E6">
        <w:rPr>
          <w:rtl/>
          <w:lang w:bidi="ar-SY"/>
        </w:rPr>
        <w:t xml:space="preserve">مدخلات </w:t>
      </w:r>
      <w:r w:rsidRPr="005269E6">
        <w:rPr>
          <w:rFonts w:hint="cs"/>
          <w:rtl/>
          <w:lang w:bidi="ar-SY"/>
        </w:rPr>
        <w:t>الدفترية</w:t>
      </w:r>
      <w:r w:rsidRPr="005269E6">
        <w:rPr>
          <w:rtl/>
          <w:lang w:bidi="ar-SY"/>
        </w:rPr>
        <w:t xml:space="preserve"> الخاطئة السابقة.</w:t>
      </w:r>
    </w:p>
    <w:tbl>
      <w:tblPr>
        <w:bidiVisual/>
        <w:tblW w:w="0" w:type="auto"/>
        <w:jc w:val="center"/>
        <w:tblLook w:val="04A0" w:firstRow="1" w:lastRow="0" w:firstColumn="1" w:lastColumn="0" w:noHBand="0" w:noVBand="1"/>
      </w:tblPr>
      <w:tblGrid>
        <w:gridCol w:w="1427"/>
        <w:gridCol w:w="2081"/>
        <w:gridCol w:w="1095"/>
        <w:gridCol w:w="1359"/>
      </w:tblGrid>
      <w:tr w:rsidR="00D1457F" w:rsidRPr="005269E6" w14:paraId="2AA32590" w14:textId="77777777" w:rsidTr="00E71850">
        <w:trPr>
          <w:trHeight w:val="289"/>
          <w:jc w:val="center"/>
        </w:trPr>
        <w:tc>
          <w:tcPr>
            <w:tcW w:w="0" w:type="auto"/>
            <w:tcBorders>
              <w:top w:val="nil"/>
              <w:left w:val="nil"/>
              <w:bottom w:val="nil"/>
              <w:right w:val="nil"/>
            </w:tcBorders>
            <w:shd w:val="clear" w:color="000000" w:fill="0070C0"/>
            <w:noWrap/>
            <w:vAlign w:val="bottom"/>
            <w:hideMark/>
          </w:tcPr>
          <w:p w14:paraId="51562CB3" w14:textId="77777777" w:rsidR="00D1457F" w:rsidRPr="005269E6" w:rsidRDefault="00D1457F" w:rsidP="00D145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0" w:type="auto"/>
            <w:gridSpan w:val="3"/>
            <w:tcBorders>
              <w:top w:val="nil"/>
              <w:left w:val="nil"/>
              <w:bottom w:val="nil"/>
              <w:right w:val="nil"/>
            </w:tcBorders>
            <w:shd w:val="clear" w:color="000000" w:fill="0070C0"/>
            <w:noWrap/>
            <w:vAlign w:val="bottom"/>
            <w:hideMark/>
          </w:tcPr>
          <w:p w14:paraId="71FDA4AB" w14:textId="77777777" w:rsidR="00D1457F" w:rsidRPr="005269E6" w:rsidRDefault="00D1457F" w:rsidP="00D1457F">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764F24" w:rsidRPr="005269E6" w14:paraId="2ADA8C04" w14:textId="77777777" w:rsidTr="00E71850">
        <w:trPr>
          <w:trHeight w:val="382"/>
          <w:jc w:val="center"/>
        </w:trPr>
        <w:tc>
          <w:tcPr>
            <w:tcW w:w="0" w:type="auto"/>
            <w:tcBorders>
              <w:top w:val="nil"/>
              <w:left w:val="nil"/>
              <w:bottom w:val="nil"/>
              <w:right w:val="nil"/>
            </w:tcBorders>
            <w:shd w:val="clear" w:color="000000" w:fill="0070C0"/>
            <w:noWrap/>
            <w:vAlign w:val="bottom"/>
            <w:hideMark/>
          </w:tcPr>
          <w:p w14:paraId="4FE4DF73" w14:textId="3C3DD66A" w:rsidR="00764F24" w:rsidRPr="005269E6" w:rsidRDefault="00764F24" w:rsidP="00764F24">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0" w:type="auto"/>
            <w:tcBorders>
              <w:top w:val="nil"/>
              <w:left w:val="nil"/>
              <w:bottom w:val="nil"/>
              <w:right w:val="nil"/>
            </w:tcBorders>
            <w:shd w:val="clear" w:color="000000" w:fill="0070C0"/>
            <w:vAlign w:val="bottom"/>
            <w:hideMark/>
          </w:tcPr>
          <w:p w14:paraId="1A5D2C53" w14:textId="2415E340" w:rsidR="00764F24" w:rsidRPr="005269E6" w:rsidRDefault="00764F24" w:rsidP="00764F2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w:t>
            </w:r>
            <w:r w:rsidRPr="005269E6">
              <w:rPr>
                <w:rFonts w:eastAsia="Times New Roman" w:hint="cs"/>
                <w:b/>
                <w:bCs/>
                <w:color w:val="000000"/>
                <w:sz w:val="18"/>
                <w:szCs w:val="18"/>
                <w:rtl/>
                <w:lang w:val="en-GB" w:eastAsia="en-GB"/>
              </w:rPr>
              <w:t>1</w:t>
            </w:r>
          </w:p>
        </w:tc>
        <w:tc>
          <w:tcPr>
            <w:tcW w:w="0" w:type="auto"/>
            <w:tcBorders>
              <w:top w:val="nil"/>
              <w:left w:val="nil"/>
              <w:bottom w:val="nil"/>
              <w:right w:val="nil"/>
            </w:tcBorders>
            <w:shd w:val="clear" w:color="000000" w:fill="0070C0"/>
            <w:vAlign w:val="bottom"/>
            <w:hideMark/>
          </w:tcPr>
          <w:p w14:paraId="037A3510" w14:textId="4AFDFAD2" w:rsidR="00764F24" w:rsidRPr="005269E6" w:rsidRDefault="00764F24" w:rsidP="00764F2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0" w:type="auto"/>
            <w:tcBorders>
              <w:top w:val="nil"/>
              <w:left w:val="nil"/>
              <w:bottom w:val="nil"/>
              <w:right w:val="nil"/>
            </w:tcBorders>
            <w:shd w:val="clear" w:color="000000" w:fill="0070C0"/>
            <w:vAlign w:val="bottom"/>
            <w:hideMark/>
          </w:tcPr>
          <w:p w14:paraId="0252502D" w14:textId="249C8D46" w:rsidR="00764F24" w:rsidRPr="005269E6" w:rsidRDefault="00AE6518" w:rsidP="00764F24">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 xml:space="preserve">2021 </w:t>
            </w:r>
            <w:r w:rsidRPr="005269E6">
              <w:rPr>
                <w:rFonts w:eastAsia="Times New Roman"/>
                <w:b/>
                <w:bCs/>
                <w:color w:val="000000"/>
                <w:sz w:val="18"/>
                <w:szCs w:val="18"/>
                <w:rtl/>
                <w:lang w:val="en-GB" w:eastAsia="en-GB"/>
              </w:rPr>
              <w:t>معاد بيانه</w:t>
            </w:r>
            <w:r w:rsidRPr="005269E6">
              <w:rPr>
                <w:rFonts w:eastAsia="Times New Roman" w:hint="cs"/>
                <w:b/>
                <w:bCs/>
                <w:color w:val="000000"/>
                <w:sz w:val="18"/>
                <w:szCs w:val="18"/>
                <w:rtl/>
                <w:lang w:val="en-GB" w:eastAsia="en-GB" w:bidi="ar-SY"/>
              </w:rPr>
              <w:t>ا</w:t>
            </w:r>
          </w:p>
        </w:tc>
      </w:tr>
      <w:tr w:rsidR="00D1457F" w:rsidRPr="005269E6" w14:paraId="3C3ED2DF"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1D3A3BBE" w14:textId="43D6E071" w:rsidR="00D1457F" w:rsidRPr="005269E6" w:rsidRDefault="003554D3" w:rsidP="00D145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الإيرادات - الطوعية</w:t>
            </w:r>
          </w:p>
        </w:tc>
        <w:tc>
          <w:tcPr>
            <w:tcW w:w="0" w:type="auto"/>
            <w:tcBorders>
              <w:top w:val="nil"/>
              <w:left w:val="nil"/>
              <w:bottom w:val="nil"/>
              <w:right w:val="nil"/>
            </w:tcBorders>
            <w:shd w:val="clear" w:color="auto" w:fill="auto"/>
            <w:noWrap/>
            <w:vAlign w:val="bottom"/>
            <w:hideMark/>
          </w:tcPr>
          <w:p w14:paraId="5E129AAC" w14:textId="77777777" w:rsidR="00D1457F" w:rsidRPr="005269E6" w:rsidRDefault="00D1457F" w:rsidP="003833EF">
            <w:pPr>
              <w:tabs>
                <w:tab w:val="clear" w:pos="794"/>
              </w:tabs>
              <w:spacing w:before="40" w:after="40" w:line="240" w:lineRule="exact"/>
              <w:jc w:val="left"/>
              <w:rPr>
                <w:rFonts w:eastAsia="Times New Roman"/>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0AC4B099" w14:textId="1DFDBBEF" w:rsidR="00D1457F" w:rsidRPr="005269E6" w:rsidRDefault="00D1457F"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(385)</w:t>
            </w:r>
          </w:p>
        </w:tc>
        <w:tc>
          <w:tcPr>
            <w:tcW w:w="0" w:type="auto"/>
            <w:tcBorders>
              <w:top w:val="nil"/>
              <w:left w:val="nil"/>
              <w:bottom w:val="nil"/>
              <w:right w:val="nil"/>
            </w:tcBorders>
            <w:shd w:val="clear" w:color="auto" w:fill="auto"/>
            <w:noWrap/>
            <w:vAlign w:val="bottom"/>
            <w:hideMark/>
          </w:tcPr>
          <w:p w14:paraId="36B79794" w14:textId="2A1F8C8D" w:rsidR="00D1457F" w:rsidRPr="005269E6" w:rsidRDefault="00D1457F"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(385)</w:t>
            </w:r>
          </w:p>
        </w:tc>
      </w:tr>
      <w:tr w:rsidR="00D1457F" w:rsidRPr="005269E6" w14:paraId="4E74B039"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512C8123" w14:textId="55C6E1A7" w:rsidR="00D1457F" w:rsidRPr="005269E6" w:rsidRDefault="003554D3" w:rsidP="00D1457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الفوائض المتراكمة</w:t>
            </w:r>
          </w:p>
        </w:tc>
        <w:tc>
          <w:tcPr>
            <w:tcW w:w="0" w:type="auto"/>
            <w:tcBorders>
              <w:top w:val="nil"/>
              <w:left w:val="nil"/>
              <w:bottom w:val="nil"/>
              <w:right w:val="nil"/>
            </w:tcBorders>
            <w:shd w:val="clear" w:color="auto" w:fill="auto"/>
            <w:noWrap/>
            <w:vAlign w:val="bottom"/>
            <w:hideMark/>
          </w:tcPr>
          <w:p w14:paraId="33630A89" w14:textId="77777777" w:rsidR="00D1457F" w:rsidRPr="005269E6" w:rsidRDefault="00D1457F" w:rsidP="003833EF">
            <w:pPr>
              <w:tabs>
                <w:tab w:val="clear" w:pos="794"/>
              </w:tabs>
              <w:spacing w:before="40" w:after="40" w:line="240" w:lineRule="exact"/>
              <w:jc w:val="left"/>
              <w:rPr>
                <w:rFonts w:eastAsia="Times New Roman"/>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7997F60B" w14:textId="4FDFA3E3" w:rsidR="00D1457F" w:rsidRPr="005269E6" w:rsidRDefault="00D1457F"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385 </w:t>
            </w:r>
          </w:p>
        </w:tc>
        <w:tc>
          <w:tcPr>
            <w:tcW w:w="0" w:type="auto"/>
            <w:tcBorders>
              <w:top w:val="nil"/>
              <w:left w:val="nil"/>
              <w:bottom w:val="nil"/>
              <w:right w:val="nil"/>
            </w:tcBorders>
            <w:shd w:val="clear" w:color="auto" w:fill="auto"/>
            <w:noWrap/>
            <w:vAlign w:val="bottom"/>
            <w:hideMark/>
          </w:tcPr>
          <w:p w14:paraId="55C700C0" w14:textId="519F2231" w:rsidR="00D1457F" w:rsidRPr="005269E6" w:rsidRDefault="00D1457F"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385 </w:t>
            </w:r>
          </w:p>
        </w:tc>
      </w:tr>
    </w:tbl>
    <w:p w14:paraId="1E5F3DF0" w14:textId="50E109DE" w:rsidR="00D131C0" w:rsidRPr="005269E6" w:rsidRDefault="00D131C0" w:rsidP="000B7668">
      <w:pPr>
        <w:pStyle w:val="Headingb"/>
        <w:rPr>
          <w:b w:val="0"/>
          <w:bCs w:val="0"/>
          <w:rtl/>
        </w:rPr>
      </w:pPr>
      <w:r w:rsidRPr="005269E6">
        <w:t>24</w:t>
      </w:r>
      <w:r w:rsidRPr="005269E6">
        <w:rPr>
          <w:rtl/>
        </w:rPr>
        <w:tab/>
      </w:r>
      <w:r w:rsidR="003554D3" w:rsidRPr="005269E6">
        <w:rPr>
          <w:rtl/>
        </w:rPr>
        <w:t>برنامج الإنهاء الطوعي للخدمة</w:t>
      </w:r>
    </w:p>
    <w:p w14:paraId="46D7D89C" w14:textId="146DE7DF" w:rsidR="00D131C0" w:rsidRPr="005269E6" w:rsidRDefault="003554D3" w:rsidP="00D131C0">
      <w:pPr>
        <w:spacing w:after="120"/>
        <w:rPr>
          <w:rtl/>
          <w:lang w:bidi="ar-SY"/>
        </w:rPr>
      </w:pPr>
      <w:r w:rsidRPr="005269E6">
        <w:rPr>
          <w:rtl/>
          <w:lang w:bidi="ar-SY"/>
        </w:rPr>
        <w:t>في عامي 2019 و2020، نفذ الاتحاد برنامجا</w:t>
      </w:r>
      <w:r w:rsidR="000B7668" w:rsidRPr="005269E6">
        <w:rPr>
          <w:rFonts w:hint="cs"/>
          <w:rtl/>
          <w:lang w:bidi="ar-SY"/>
        </w:rPr>
        <w:t>ً</w:t>
      </w:r>
      <w:r w:rsidRPr="005269E6">
        <w:rPr>
          <w:rtl/>
          <w:lang w:bidi="ar-SY"/>
        </w:rPr>
        <w:t xml:space="preserve"> للإنهاء الطوعي للخدمة ودفع لبعض الموظفين. وكانت المدفوعات الإجمالية أقل من المبلغ المتراكم أصلا</w:t>
      </w:r>
      <w:r w:rsidR="000B7668" w:rsidRPr="005269E6">
        <w:rPr>
          <w:rFonts w:hint="cs"/>
          <w:rtl/>
          <w:lang w:bidi="ar-SY"/>
        </w:rPr>
        <w:t>ً</w:t>
      </w:r>
      <w:r w:rsidRPr="005269E6">
        <w:rPr>
          <w:rtl/>
          <w:lang w:bidi="ar-SY"/>
        </w:rPr>
        <w:t>، ولكن الاتحاد لم يثبِّت هذه الاستحقاقات إلا في عام 2021. ونتيجة لذلك، ثُبِّتت هذه الاستحقاقات في الفترة المناسبة.</w:t>
      </w:r>
    </w:p>
    <w:tbl>
      <w:tblPr>
        <w:bidiVisual/>
        <w:tblW w:w="3898" w:type="pct"/>
        <w:jc w:val="center"/>
        <w:tblLook w:val="04A0" w:firstRow="1" w:lastRow="0" w:firstColumn="1" w:lastColumn="0" w:noHBand="0" w:noVBand="1"/>
      </w:tblPr>
      <w:tblGrid>
        <w:gridCol w:w="2696"/>
        <w:gridCol w:w="2268"/>
        <w:gridCol w:w="2551"/>
      </w:tblGrid>
      <w:tr w:rsidR="000B7668" w:rsidRPr="005269E6" w14:paraId="4BA4790E" w14:textId="77777777" w:rsidTr="003833EF">
        <w:trPr>
          <w:trHeight w:val="589"/>
          <w:jc w:val="center"/>
        </w:trPr>
        <w:tc>
          <w:tcPr>
            <w:tcW w:w="1794" w:type="pct"/>
            <w:tcBorders>
              <w:top w:val="nil"/>
              <w:left w:val="nil"/>
              <w:bottom w:val="nil"/>
              <w:right w:val="nil"/>
            </w:tcBorders>
            <w:shd w:val="clear" w:color="000000" w:fill="0070C0"/>
            <w:noWrap/>
            <w:vAlign w:val="bottom"/>
            <w:hideMark/>
          </w:tcPr>
          <w:p w14:paraId="6D342ED0" w14:textId="3427AD10" w:rsidR="000B7668" w:rsidRPr="005269E6" w:rsidRDefault="000B7668" w:rsidP="00E25FFC">
            <w:pPr>
              <w:tabs>
                <w:tab w:val="clear" w:pos="794"/>
              </w:tabs>
              <w:spacing w:before="0" w:line="240" w:lineRule="auto"/>
              <w:jc w:val="left"/>
              <w:rPr>
                <w:rFonts w:eastAsia="Times New Roman"/>
                <w:b/>
                <w:bCs/>
                <w:color w:val="000000"/>
                <w:sz w:val="18"/>
                <w:szCs w:val="18"/>
                <w:lang w:val="en-GB" w:eastAsia="en-GB"/>
              </w:rPr>
            </w:pPr>
            <w:r w:rsidRPr="005269E6">
              <w:rPr>
                <w:rFonts w:eastAsia="Times New Roman" w:hint="cs"/>
                <w:b/>
                <w:bCs/>
                <w:color w:val="000000"/>
                <w:sz w:val="18"/>
                <w:szCs w:val="18"/>
                <w:rtl/>
                <w:lang w:val="en-GB" w:eastAsia="en-GB"/>
              </w:rPr>
              <w:t>الحساب</w:t>
            </w:r>
          </w:p>
        </w:tc>
        <w:tc>
          <w:tcPr>
            <w:tcW w:w="1509" w:type="pct"/>
            <w:tcBorders>
              <w:top w:val="nil"/>
              <w:left w:val="nil"/>
              <w:bottom w:val="nil"/>
              <w:right w:val="nil"/>
            </w:tcBorders>
            <w:shd w:val="clear" w:color="000000" w:fill="0070C0"/>
            <w:vAlign w:val="bottom"/>
            <w:hideMark/>
          </w:tcPr>
          <w:p w14:paraId="1D01DF56" w14:textId="6DFFF99E" w:rsidR="000B7668" w:rsidRPr="005269E6" w:rsidRDefault="000B7668" w:rsidP="003554D3">
            <w:pPr>
              <w:tabs>
                <w:tab w:val="clear" w:pos="794"/>
              </w:tabs>
              <w:spacing w:before="0" w:line="240" w:lineRule="auto"/>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w:t>
            </w:r>
          </w:p>
        </w:tc>
        <w:tc>
          <w:tcPr>
            <w:tcW w:w="1697" w:type="pct"/>
            <w:tcBorders>
              <w:top w:val="nil"/>
              <w:left w:val="nil"/>
              <w:bottom w:val="nil"/>
              <w:right w:val="nil"/>
            </w:tcBorders>
            <w:shd w:val="clear" w:color="000000" w:fill="0070C0"/>
            <w:vAlign w:val="bottom"/>
            <w:hideMark/>
          </w:tcPr>
          <w:p w14:paraId="6BE1AC86" w14:textId="250681D4" w:rsidR="000B7668" w:rsidRPr="005269E6" w:rsidRDefault="000B7668" w:rsidP="003554D3">
            <w:pPr>
              <w:tabs>
                <w:tab w:val="clear" w:pos="794"/>
              </w:tabs>
              <w:spacing w:before="0" w:line="240" w:lineRule="auto"/>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w:t>
            </w:r>
          </w:p>
        </w:tc>
      </w:tr>
      <w:tr w:rsidR="000B7668" w:rsidRPr="005269E6" w14:paraId="3251C95A" w14:textId="77777777" w:rsidTr="003833EF">
        <w:trPr>
          <w:trHeight w:val="255"/>
          <w:jc w:val="center"/>
        </w:trPr>
        <w:tc>
          <w:tcPr>
            <w:tcW w:w="1794" w:type="pct"/>
            <w:tcBorders>
              <w:top w:val="nil"/>
              <w:left w:val="nil"/>
              <w:bottom w:val="nil"/>
              <w:right w:val="nil"/>
            </w:tcBorders>
            <w:shd w:val="clear" w:color="auto" w:fill="auto"/>
            <w:noWrap/>
            <w:vAlign w:val="bottom"/>
            <w:hideMark/>
          </w:tcPr>
          <w:p w14:paraId="7FC4E8F8" w14:textId="6B9BD879" w:rsidR="000B7668" w:rsidRPr="005269E6" w:rsidRDefault="000B7668" w:rsidP="00E25FFC">
            <w:pPr>
              <w:tabs>
                <w:tab w:val="clear" w:pos="794"/>
              </w:tabs>
              <w:spacing w:before="0" w:line="240" w:lineRule="auto"/>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الذمم المدينة الأخرى</w:t>
            </w:r>
          </w:p>
        </w:tc>
        <w:tc>
          <w:tcPr>
            <w:tcW w:w="1509" w:type="pct"/>
            <w:tcBorders>
              <w:top w:val="nil"/>
              <w:left w:val="nil"/>
              <w:bottom w:val="nil"/>
              <w:right w:val="nil"/>
            </w:tcBorders>
            <w:shd w:val="clear" w:color="auto" w:fill="auto"/>
            <w:noWrap/>
            <w:vAlign w:val="bottom"/>
            <w:hideMark/>
          </w:tcPr>
          <w:p w14:paraId="3955696D" w14:textId="2902EBFC" w:rsidR="000B7668" w:rsidRPr="005269E6" w:rsidRDefault="000B7668" w:rsidP="003833EF">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81 </w:t>
            </w:r>
          </w:p>
        </w:tc>
        <w:tc>
          <w:tcPr>
            <w:tcW w:w="1697" w:type="pct"/>
            <w:tcBorders>
              <w:top w:val="nil"/>
              <w:left w:val="nil"/>
              <w:bottom w:val="nil"/>
              <w:right w:val="nil"/>
            </w:tcBorders>
            <w:shd w:val="clear" w:color="auto" w:fill="auto"/>
            <w:noWrap/>
            <w:vAlign w:val="bottom"/>
            <w:hideMark/>
          </w:tcPr>
          <w:p w14:paraId="1CBA4E12" w14:textId="31493AD3" w:rsidR="000B7668" w:rsidRPr="005269E6" w:rsidRDefault="000B7668" w:rsidP="003833EF">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(81)</w:t>
            </w:r>
          </w:p>
        </w:tc>
      </w:tr>
      <w:tr w:rsidR="000B7668" w:rsidRPr="005269E6" w14:paraId="1EEC7A0E" w14:textId="77777777" w:rsidTr="003833EF">
        <w:trPr>
          <w:trHeight w:val="255"/>
          <w:jc w:val="center"/>
        </w:trPr>
        <w:tc>
          <w:tcPr>
            <w:tcW w:w="1794" w:type="pct"/>
            <w:tcBorders>
              <w:top w:val="nil"/>
              <w:left w:val="nil"/>
              <w:bottom w:val="nil"/>
              <w:right w:val="nil"/>
            </w:tcBorders>
            <w:shd w:val="clear" w:color="auto" w:fill="auto"/>
            <w:noWrap/>
            <w:vAlign w:val="bottom"/>
            <w:hideMark/>
          </w:tcPr>
          <w:p w14:paraId="06A6601C" w14:textId="1AB97FCD" w:rsidR="000B7668" w:rsidRPr="005269E6" w:rsidRDefault="000B7668" w:rsidP="00E25FFC">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rtl/>
                <w:lang w:val="en-GB" w:eastAsia="en-GB"/>
              </w:rPr>
              <w:t>حساب الاحتياطي</w:t>
            </w:r>
          </w:p>
        </w:tc>
        <w:tc>
          <w:tcPr>
            <w:tcW w:w="1509" w:type="pct"/>
            <w:tcBorders>
              <w:top w:val="nil"/>
              <w:left w:val="nil"/>
              <w:bottom w:val="nil"/>
              <w:right w:val="nil"/>
            </w:tcBorders>
            <w:shd w:val="clear" w:color="auto" w:fill="auto"/>
            <w:noWrap/>
            <w:vAlign w:val="bottom"/>
            <w:hideMark/>
          </w:tcPr>
          <w:p w14:paraId="1F04CBC6" w14:textId="616285C5" w:rsidR="000B7668" w:rsidRPr="005269E6" w:rsidRDefault="000B7668" w:rsidP="003833EF">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(81)</w:t>
            </w:r>
          </w:p>
        </w:tc>
        <w:tc>
          <w:tcPr>
            <w:tcW w:w="1697" w:type="pct"/>
            <w:tcBorders>
              <w:top w:val="nil"/>
              <w:left w:val="nil"/>
              <w:bottom w:val="nil"/>
              <w:right w:val="nil"/>
            </w:tcBorders>
            <w:shd w:val="clear" w:color="auto" w:fill="auto"/>
            <w:noWrap/>
            <w:vAlign w:val="bottom"/>
            <w:hideMark/>
          </w:tcPr>
          <w:p w14:paraId="160A29A6" w14:textId="2D1AF038" w:rsidR="000B7668" w:rsidRPr="005269E6" w:rsidRDefault="000B7668" w:rsidP="003833EF">
            <w:pPr>
              <w:tabs>
                <w:tab w:val="clear" w:pos="794"/>
              </w:tabs>
              <w:spacing w:before="0" w:line="240" w:lineRule="auto"/>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81 </w:t>
            </w:r>
          </w:p>
        </w:tc>
      </w:tr>
    </w:tbl>
    <w:p w14:paraId="57FD583E" w14:textId="557DD0D8" w:rsidR="00E25FFC" w:rsidRPr="005269E6" w:rsidRDefault="00E25FFC" w:rsidP="000B7668">
      <w:pPr>
        <w:pStyle w:val="Headingb"/>
        <w:rPr>
          <w:b w:val="0"/>
          <w:bCs w:val="0"/>
          <w:rtl/>
        </w:rPr>
      </w:pPr>
      <w:r w:rsidRPr="005269E6">
        <w:t>25</w:t>
      </w:r>
      <w:r w:rsidRPr="005269E6">
        <w:rPr>
          <w:rtl/>
        </w:rPr>
        <w:tab/>
      </w:r>
      <w:r w:rsidR="00732DB7" w:rsidRPr="005269E6">
        <w:rPr>
          <w:rtl/>
        </w:rPr>
        <w:t>احتياطي صندوق المبنى الجديد</w:t>
      </w:r>
    </w:p>
    <w:p w14:paraId="390E57BE" w14:textId="6CDFA563" w:rsidR="00732DB7" w:rsidRPr="005269E6" w:rsidRDefault="00732DB7" w:rsidP="00732DB7">
      <w:pPr>
        <w:spacing w:after="120"/>
        <w:rPr>
          <w:rtl/>
          <w:lang w:val="en"/>
        </w:rPr>
      </w:pPr>
      <w:r w:rsidRPr="005269E6">
        <w:rPr>
          <w:rtl/>
          <w:lang w:bidi="ar"/>
        </w:rPr>
        <w:t>اعتاد</w:t>
      </w:r>
      <w:r w:rsidRPr="005269E6">
        <w:rPr>
          <w:lang w:val="en"/>
        </w:rPr>
        <w:t xml:space="preserve"> </w:t>
      </w:r>
      <w:r w:rsidRPr="005269E6">
        <w:rPr>
          <w:rtl/>
          <w:lang w:bidi="ar"/>
        </w:rPr>
        <w:t>الاتحاد</w:t>
      </w:r>
      <w:r w:rsidRPr="005269E6">
        <w:rPr>
          <w:lang w:val="en"/>
        </w:rPr>
        <w:t xml:space="preserve"> </w:t>
      </w:r>
      <w:r w:rsidRPr="005269E6">
        <w:rPr>
          <w:rtl/>
          <w:lang w:bidi="ar"/>
        </w:rPr>
        <w:t>على</w:t>
      </w:r>
      <w:r w:rsidRPr="005269E6">
        <w:rPr>
          <w:lang w:val="en"/>
        </w:rPr>
        <w:t xml:space="preserve"> </w:t>
      </w:r>
      <w:r w:rsidRPr="005269E6">
        <w:rPr>
          <w:rFonts w:hint="cs"/>
          <w:rtl/>
          <w:lang w:bidi="ar"/>
        </w:rPr>
        <w:t>عرض</w:t>
      </w:r>
      <w:r w:rsidRPr="005269E6">
        <w:rPr>
          <w:lang w:val="en"/>
        </w:rPr>
        <w:t xml:space="preserve"> </w:t>
      </w:r>
      <w:r w:rsidRPr="005269E6">
        <w:rPr>
          <w:rtl/>
          <w:lang w:bidi="ar"/>
        </w:rPr>
        <w:t>رصيد</w:t>
      </w:r>
      <w:r w:rsidRPr="005269E6">
        <w:rPr>
          <w:lang w:val="en"/>
        </w:rPr>
        <w:t xml:space="preserve"> </w:t>
      </w:r>
      <w:r w:rsidRPr="005269E6">
        <w:rPr>
          <w:rtl/>
          <w:lang w:bidi="ar"/>
        </w:rPr>
        <w:t>احتياطي</w:t>
      </w:r>
      <w:r w:rsidRPr="005269E6">
        <w:rPr>
          <w:lang w:val="en"/>
        </w:rPr>
        <w:t xml:space="preserve"> </w:t>
      </w:r>
      <w:r w:rsidRPr="005269E6">
        <w:rPr>
          <w:rtl/>
          <w:lang w:bidi="ar"/>
        </w:rPr>
        <w:t>س</w:t>
      </w:r>
      <w:r w:rsidRPr="005269E6">
        <w:rPr>
          <w:rFonts w:hint="cs"/>
          <w:rtl/>
          <w:lang w:bidi="ar"/>
        </w:rPr>
        <w:t>ا</w:t>
      </w:r>
      <w:r w:rsidRPr="005269E6">
        <w:rPr>
          <w:rtl/>
          <w:lang w:bidi="ar"/>
        </w:rPr>
        <w:t>لب</w:t>
      </w:r>
      <w:r w:rsidRPr="005269E6">
        <w:rPr>
          <w:lang w:val="en"/>
        </w:rPr>
        <w:t xml:space="preserve"> </w:t>
      </w:r>
      <w:r w:rsidRPr="005269E6">
        <w:rPr>
          <w:rtl/>
          <w:lang w:bidi="ar"/>
        </w:rPr>
        <w:t>تحت</w:t>
      </w:r>
      <w:r w:rsidRPr="005269E6">
        <w:rPr>
          <w:lang w:val="en"/>
        </w:rPr>
        <w:t xml:space="preserve"> </w:t>
      </w:r>
      <w:r w:rsidRPr="005269E6">
        <w:rPr>
          <w:rtl/>
          <w:lang w:bidi="ar"/>
        </w:rPr>
        <w:t>عنوان</w:t>
      </w:r>
      <w:r w:rsidRPr="005269E6">
        <w:rPr>
          <w:rFonts w:hint="cs"/>
          <w:rtl/>
          <w:lang w:bidi="ar"/>
        </w:rPr>
        <w:t xml:space="preserve"> </w:t>
      </w:r>
      <w:r w:rsidRPr="005269E6">
        <w:rPr>
          <w:lang w:val="en"/>
        </w:rPr>
        <w:t>"</w:t>
      </w:r>
      <w:r w:rsidRPr="005269E6">
        <w:rPr>
          <w:rtl/>
          <w:lang w:bidi="ar"/>
        </w:rPr>
        <w:t>صندوق</w:t>
      </w:r>
      <w:r w:rsidRPr="005269E6">
        <w:rPr>
          <w:lang w:val="en"/>
        </w:rPr>
        <w:t xml:space="preserve"> </w:t>
      </w:r>
      <w:r w:rsidRPr="005269E6">
        <w:rPr>
          <w:rtl/>
          <w:lang w:bidi="ar"/>
        </w:rPr>
        <w:t>المبنى الجديد</w:t>
      </w:r>
      <w:r w:rsidRPr="005269E6">
        <w:rPr>
          <w:rFonts w:hint="cs"/>
          <w:rtl/>
          <w:lang w:bidi="ar"/>
        </w:rPr>
        <w:t>"</w:t>
      </w:r>
      <w:r w:rsidRPr="005269E6">
        <w:rPr>
          <w:rFonts w:hint="cs"/>
          <w:rtl/>
          <w:lang w:val="en" w:bidi="ar"/>
        </w:rPr>
        <w:t xml:space="preserve"> ل</w:t>
      </w:r>
      <w:r w:rsidRPr="005269E6">
        <w:rPr>
          <w:rtl/>
          <w:lang w:bidi="ar"/>
        </w:rPr>
        <w:t>فصل</w:t>
      </w:r>
      <w:r w:rsidRPr="005269E6">
        <w:rPr>
          <w:lang w:val="en"/>
        </w:rPr>
        <w:t xml:space="preserve"> </w:t>
      </w:r>
      <w:r w:rsidRPr="005269E6">
        <w:rPr>
          <w:rtl/>
          <w:lang w:bidi="ar"/>
        </w:rPr>
        <w:t>هذا</w:t>
      </w:r>
      <w:r w:rsidRPr="005269E6">
        <w:rPr>
          <w:lang w:val="en"/>
        </w:rPr>
        <w:t xml:space="preserve"> </w:t>
      </w:r>
      <w:r w:rsidRPr="005269E6">
        <w:rPr>
          <w:rtl/>
          <w:lang w:bidi="ar"/>
        </w:rPr>
        <w:t>البند</w:t>
      </w:r>
      <w:r w:rsidRPr="005269E6">
        <w:rPr>
          <w:lang w:val="en"/>
        </w:rPr>
        <w:t xml:space="preserve"> </w:t>
      </w:r>
      <w:r w:rsidRPr="005269E6">
        <w:rPr>
          <w:rtl/>
          <w:lang w:bidi="ar"/>
        </w:rPr>
        <w:t>عن</w:t>
      </w:r>
      <w:r w:rsidRPr="005269E6">
        <w:rPr>
          <w:lang w:val="en"/>
        </w:rPr>
        <w:t xml:space="preserve"> </w:t>
      </w:r>
      <w:r w:rsidRPr="005269E6">
        <w:rPr>
          <w:rtl/>
          <w:lang w:bidi="ar"/>
        </w:rPr>
        <w:t>الاحتياطيات</w:t>
      </w:r>
      <w:r w:rsidRPr="005269E6">
        <w:rPr>
          <w:lang w:val="en"/>
        </w:rPr>
        <w:t xml:space="preserve"> </w:t>
      </w:r>
      <w:r w:rsidRPr="005269E6">
        <w:rPr>
          <w:rtl/>
          <w:lang w:bidi="ar"/>
        </w:rPr>
        <w:t>الأخرى</w:t>
      </w:r>
      <w:r w:rsidRPr="005269E6">
        <w:rPr>
          <w:lang w:val="en"/>
        </w:rPr>
        <w:t xml:space="preserve"> </w:t>
      </w:r>
      <w:r w:rsidRPr="005269E6">
        <w:rPr>
          <w:rtl/>
          <w:lang w:bidi="ar"/>
        </w:rPr>
        <w:t>والعجز</w:t>
      </w:r>
      <w:r w:rsidRPr="005269E6">
        <w:rPr>
          <w:lang w:val="en"/>
        </w:rPr>
        <w:t xml:space="preserve"> </w:t>
      </w:r>
      <w:r w:rsidRPr="005269E6">
        <w:rPr>
          <w:rtl/>
          <w:lang w:bidi="ar"/>
        </w:rPr>
        <w:t>المتراكم</w:t>
      </w:r>
      <w:r w:rsidRPr="005269E6">
        <w:rPr>
          <w:lang w:val="en"/>
        </w:rPr>
        <w:t>.</w:t>
      </w:r>
    </w:p>
    <w:p w14:paraId="0323A72E" w14:textId="45CE5770" w:rsidR="00E25FFC" w:rsidRPr="005269E6" w:rsidRDefault="00732DB7" w:rsidP="00732DB7">
      <w:pPr>
        <w:spacing w:after="120"/>
        <w:rPr>
          <w:rtl/>
          <w:lang w:val="en"/>
        </w:rPr>
      </w:pPr>
      <w:r w:rsidRPr="005269E6">
        <w:rPr>
          <w:rtl/>
          <w:lang w:bidi="ar"/>
        </w:rPr>
        <w:t>وفي</w:t>
      </w:r>
      <w:r w:rsidRPr="005269E6">
        <w:rPr>
          <w:lang w:val="en"/>
        </w:rPr>
        <w:t xml:space="preserve"> </w:t>
      </w:r>
      <w:r w:rsidRPr="005269E6">
        <w:rPr>
          <w:rtl/>
          <w:lang w:bidi="ar"/>
        </w:rPr>
        <w:t>عام</w:t>
      </w:r>
      <w:r w:rsidR="00DA544E" w:rsidRPr="005269E6">
        <w:rPr>
          <w:rFonts w:hint="cs"/>
          <w:rtl/>
          <w:lang w:bidi="ar"/>
        </w:rPr>
        <w:t xml:space="preserve"> </w:t>
      </w:r>
      <w:r w:rsidRPr="005269E6">
        <w:rPr>
          <w:lang w:val="en"/>
        </w:rPr>
        <w:t>2022</w:t>
      </w:r>
      <w:r w:rsidRPr="005269E6">
        <w:rPr>
          <w:rtl/>
          <w:lang w:bidi="ar"/>
        </w:rPr>
        <w:t>،</w:t>
      </w:r>
      <w:r w:rsidRPr="005269E6">
        <w:rPr>
          <w:lang w:val="en"/>
        </w:rPr>
        <w:t xml:space="preserve"> </w:t>
      </w:r>
      <w:r w:rsidRPr="005269E6">
        <w:rPr>
          <w:rtl/>
          <w:lang w:bidi="ar"/>
        </w:rPr>
        <w:t>قرر</w:t>
      </w:r>
      <w:r w:rsidRPr="005269E6">
        <w:rPr>
          <w:lang w:val="en"/>
        </w:rPr>
        <w:t xml:space="preserve"> </w:t>
      </w:r>
      <w:r w:rsidRPr="005269E6">
        <w:rPr>
          <w:rtl/>
          <w:lang w:bidi="ar"/>
        </w:rPr>
        <w:t>الاتحاد</w:t>
      </w:r>
      <w:r w:rsidRPr="005269E6">
        <w:rPr>
          <w:lang w:val="en"/>
        </w:rPr>
        <w:t xml:space="preserve"> </w:t>
      </w:r>
      <w:r w:rsidRPr="005269E6">
        <w:rPr>
          <w:rFonts w:hint="cs"/>
          <w:rtl/>
          <w:lang w:bidi="ar"/>
        </w:rPr>
        <w:t>إلغاء</w:t>
      </w:r>
      <w:r w:rsidRPr="005269E6">
        <w:rPr>
          <w:lang w:val="en"/>
        </w:rPr>
        <w:t xml:space="preserve"> </w:t>
      </w:r>
      <w:r w:rsidRPr="005269E6">
        <w:rPr>
          <w:rtl/>
          <w:lang w:bidi="ar"/>
        </w:rPr>
        <w:t>هذا</w:t>
      </w:r>
      <w:r w:rsidRPr="005269E6">
        <w:rPr>
          <w:lang w:val="en"/>
        </w:rPr>
        <w:t xml:space="preserve"> </w:t>
      </w:r>
      <w:r w:rsidRPr="005269E6">
        <w:rPr>
          <w:rtl/>
          <w:lang w:bidi="ar"/>
        </w:rPr>
        <w:t>العرض</w:t>
      </w:r>
      <w:r w:rsidRPr="005269E6">
        <w:rPr>
          <w:lang w:val="en"/>
        </w:rPr>
        <w:t xml:space="preserve"> </w:t>
      </w:r>
      <w:r w:rsidRPr="005269E6">
        <w:rPr>
          <w:rtl/>
          <w:lang w:bidi="ar"/>
        </w:rPr>
        <w:t>وإعادة</w:t>
      </w:r>
      <w:r w:rsidRPr="005269E6">
        <w:rPr>
          <w:lang w:val="en"/>
        </w:rPr>
        <w:t xml:space="preserve"> </w:t>
      </w:r>
      <w:r w:rsidRPr="005269E6">
        <w:rPr>
          <w:rtl/>
          <w:lang w:bidi="ar"/>
        </w:rPr>
        <w:t>تصنيف</w:t>
      </w:r>
      <w:r w:rsidRPr="005269E6">
        <w:rPr>
          <w:lang w:val="en"/>
        </w:rPr>
        <w:t xml:space="preserve"> </w:t>
      </w:r>
      <w:r w:rsidRPr="005269E6">
        <w:rPr>
          <w:rtl/>
          <w:lang w:bidi="ar"/>
        </w:rPr>
        <w:t>الرصيد</w:t>
      </w:r>
      <w:r w:rsidRPr="005269E6">
        <w:rPr>
          <w:lang w:val="en"/>
        </w:rPr>
        <w:t xml:space="preserve"> </w:t>
      </w:r>
      <w:r w:rsidRPr="005269E6">
        <w:rPr>
          <w:rtl/>
          <w:lang w:bidi="ar"/>
        </w:rPr>
        <w:t>غير</w:t>
      </w:r>
      <w:r w:rsidRPr="005269E6">
        <w:rPr>
          <w:lang w:val="en"/>
        </w:rPr>
        <w:t xml:space="preserve"> </w:t>
      </w:r>
      <w:r w:rsidRPr="005269E6">
        <w:rPr>
          <w:rtl/>
          <w:lang w:bidi="ar"/>
        </w:rPr>
        <w:t>المسدد</w:t>
      </w:r>
      <w:r w:rsidRPr="005269E6">
        <w:rPr>
          <w:lang w:val="en"/>
        </w:rPr>
        <w:t xml:space="preserve"> </w:t>
      </w:r>
      <w:r w:rsidRPr="005269E6">
        <w:rPr>
          <w:rtl/>
          <w:lang w:bidi="ar"/>
        </w:rPr>
        <w:t>في</w:t>
      </w:r>
      <w:r w:rsidRPr="005269E6">
        <w:rPr>
          <w:lang w:val="en"/>
        </w:rPr>
        <w:t xml:space="preserve"> </w:t>
      </w:r>
      <w:r w:rsidRPr="005269E6">
        <w:rPr>
          <w:rtl/>
          <w:lang w:bidi="ar"/>
        </w:rPr>
        <w:t>العجز</w:t>
      </w:r>
      <w:r w:rsidRPr="005269E6">
        <w:rPr>
          <w:lang w:val="en"/>
        </w:rPr>
        <w:t xml:space="preserve"> </w:t>
      </w:r>
      <w:r w:rsidRPr="005269E6">
        <w:rPr>
          <w:rtl/>
          <w:lang w:bidi="ar"/>
        </w:rPr>
        <w:t>المتراكم</w:t>
      </w:r>
      <w:r w:rsidRPr="005269E6">
        <w:rPr>
          <w:lang w:val="en"/>
        </w:rPr>
        <w:t>.</w:t>
      </w:r>
    </w:p>
    <w:tbl>
      <w:tblPr>
        <w:bidiVisual/>
        <w:tblW w:w="0" w:type="auto"/>
        <w:jc w:val="center"/>
        <w:tblLook w:val="04A0" w:firstRow="1" w:lastRow="0" w:firstColumn="1" w:lastColumn="0" w:noHBand="0" w:noVBand="1"/>
      </w:tblPr>
      <w:tblGrid>
        <w:gridCol w:w="1639"/>
        <w:gridCol w:w="2081"/>
        <w:gridCol w:w="1095"/>
        <w:gridCol w:w="1359"/>
      </w:tblGrid>
      <w:tr w:rsidR="00067723" w:rsidRPr="005269E6" w14:paraId="76D5F570" w14:textId="77777777" w:rsidTr="00E71850">
        <w:trPr>
          <w:trHeight w:val="300"/>
          <w:jc w:val="center"/>
        </w:trPr>
        <w:tc>
          <w:tcPr>
            <w:tcW w:w="0" w:type="auto"/>
            <w:tcBorders>
              <w:top w:val="nil"/>
              <w:left w:val="nil"/>
              <w:bottom w:val="nil"/>
              <w:right w:val="nil"/>
            </w:tcBorders>
            <w:shd w:val="clear" w:color="000000" w:fill="0070C0"/>
            <w:noWrap/>
            <w:vAlign w:val="bottom"/>
            <w:hideMark/>
          </w:tcPr>
          <w:p w14:paraId="5C3B2313" w14:textId="77777777" w:rsidR="00067723" w:rsidRPr="005269E6" w:rsidRDefault="00067723" w:rsidP="0006772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0" w:type="auto"/>
            <w:gridSpan w:val="3"/>
            <w:tcBorders>
              <w:top w:val="nil"/>
              <w:left w:val="nil"/>
              <w:bottom w:val="nil"/>
              <w:right w:val="nil"/>
            </w:tcBorders>
            <w:shd w:val="clear" w:color="000000" w:fill="0070C0"/>
            <w:noWrap/>
            <w:vAlign w:val="bottom"/>
            <w:hideMark/>
          </w:tcPr>
          <w:p w14:paraId="63BD78F3" w14:textId="77777777" w:rsidR="00067723" w:rsidRPr="005269E6" w:rsidRDefault="00067723" w:rsidP="0006772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732DB7" w:rsidRPr="005269E6" w14:paraId="406CDAF9" w14:textId="77777777" w:rsidTr="00E71850">
        <w:trPr>
          <w:trHeight w:val="300"/>
          <w:jc w:val="center"/>
        </w:trPr>
        <w:tc>
          <w:tcPr>
            <w:tcW w:w="0" w:type="auto"/>
            <w:tcBorders>
              <w:top w:val="nil"/>
              <w:left w:val="nil"/>
              <w:bottom w:val="nil"/>
              <w:right w:val="nil"/>
            </w:tcBorders>
            <w:shd w:val="clear" w:color="000000" w:fill="0070C0"/>
            <w:noWrap/>
            <w:vAlign w:val="bottom"/>
            <w:hideMark/>
          </w:tcPr>
          <w:p w14:paraId="0935D0DD" w14:textId="6337169E" w:rsidR="00732DB7" w:rsidRPr="005269E6" w:rsidRDefault="00732DB7" w:rsidP="00732DB7">
            <w:pPr>
              <w:tabs>
                <w:tab w:val="clear" w:pos="794"/>
              </w:tabs>
              <w:spacing w:before="40" w:after="40" w:line="240" w:lineRule="exact"/>
              <w:jc w:val="left"/>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0" w:type="auto"/>
            <w:tcBorders>
              <w:top w:val="nil"/>
              <w:left w:val="nil"/>
              <w:bottom w:val="nil"/>
              <w:right w:val="nil"/>
            </w:tcBorders>
            <w:shd w:val="clear" w:color="000000" w:fill="0070C0"/>
            <w:vAlign w:val="bottom"/>
            <w:hideMark/>
          </w:tcPr>
          <w:p w14:paraId="709A5578" w14:textId="5FB7FD43" w:rsidR="00732DB7" w:rsidRPr="005269E6" w:rsidRDefault="00732DB7" w:rsidP="00732DB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w:t>
            </w:r>
            <w:r w:rsidRPr="005269E6">
              <w:rPr>
                <w:rFonts w:eastAsia="Times New Roman" w:hint="cs"/>
                <w:b/>
                <w:bCs/>
                <w:color w:val="000000"/>
                <w:sz w:val="18"/>
                <w:szCs w:val="18"/>
                <w:rtl/>
                <w:lang w:val="en-GB" w:eastAsia="en-GB"/>
              </w:rPr>
              <w:t>1</w:t>
            </w:r>
          </w:p>
        </w:tc>
        <w:tc>
          <w:tcPr>
            <w:tcW w:w="0" w:type="auto"/>
            <w:tcBorders>
              <w:top w:val="nil"/>
              <w:left w:val="nil"/>
              <w:bottom w:val="nil"/>
              <w:right w:val="nil"/>
            </w:tcBorders>
            <w:shd w:val="clear" w:color="000000" w:fill="0070C0"/>
            <w:vAlign w:val="bottom"/>
            <w:hideMark/>
          </w:tcPr>
          <w:p w14:paraId="6BCDDCB8" w14:textId="18B4ACCD" w:rsidR="00732DB7" w:rsidRPr="005269E6" w:rsidRDefault="00732DB7" w:rsidP="00732DB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0" w:type="auto"/>
            <w:tcBorders>
              <w:top w:val="nil"/>
              <w:left w:val="nil"/>
              <w:bottom w:val="nil"/>
              <w:right w:val="nil"/>
            </w:tcBorders>
            <w:shd w:val="clear" w:color="000000" w:fill="0070C0"/>
            <w:vAlign w:val="bottom"/>
            <w:hideMark/>
          </w:tcPr>
          <w:p w14:paraId="5399700F" w14:textId="20D0152E" w:rsidR="00732DB7" w:rsidRPr="005269E6" w:rsidRDefault="00AE6518" w:rsidP="00732DB7">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w:t>
            </w:r>
            <w:r w:rsidRPr="005269E6">
              <w:rPr>
                <w:rFonts w:eastAsia="Times New Roman" w:hint="cs"/>
                <w:b/>
                <w:bCs/>
                <w:color w:val="000000"/>
                <w:sz w:val="18"/>
                <w:szCs w:val="18"/>
                <w:rtl/>
                <w:lang w:val="en-GB" w:eastAsia="en-GB" w:bidi="ar-SY"/>
              </w:rPr>
              <w:t>ا</w:t>
            </w:r>
          </w:p>
        </w:tc>
      </w:tr>
      <w:tr w:rsidR="00067723" w:rsidRPr="005269E6" w14:paraId="3E765482"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2B194F09" w14:textId="20AF669D" w:rsidR="00067723" w:rsidRPr="005269E6" w:rsidRDefault="00732DB7" w:rsidP="0006772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صندوق المبنى الجديد</w:t>
            </w:r>
          </w:p>
        </w:tc>
        <w:tc>
          <w:tcPr>
            <w:tcW w:w="0" w:type="auto"/>
            <w:tcBorders>
              <w:top w:val="nil"/>
              <w:left w:val="nil"/>
              <w:bottom w:val="nil"/>
              <w:right w:val="nil"/>
            </w:tcBorders>
            <w:shd w:val="clear" w:color="auto" w:fill="auto"/>
            <w:noWrap/>
            <w:vAlign w:val="bottom"/>
            <w:hideMark/>
          </w:tcPr>
          <w:p w14:paraId="04F9D82D" w14:textId="17FD4D0A" w:rsidR="00067723" w:rsidRPr="005269E6" w:rsidRDefault="0006772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(14 278)</w:t>
            </w:r>
          </w:p>
        </w:tc>
        <w:tc>
          <w:tcPr>
            <w:tcW w:w="0" w:type="auto"/>
            <w:tcBorders>
              <w:top w:val="nil"/>
              <w:left w:val="nil"/>
              <w:bottom w:val="nil"/>
              <w:right w:val="nil"/>
            </w:tcBorders>
            <w:shd w:val="clear" w:color="auto" w:fill="auto"/>
            <w:noWrap/>
            <w:vAlign w:val="bottom"/>
            <w:hideMark/>
          </w:tcPr>
          <w:p w14:paraId="7FE6E9E5" w14:textId="362D1AD7" w:rsidR="00067723" w:rsidRPr="005269E6" w:rsidRDefault="0006772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14 278 </w:t>
            </w:r>
          </w:p>
        </w:tc>
        <w:tc>
          <w:tcPr>
            <w:tcW w:w="0" w:type="auto"/>
            <w:tcBorders>
              <w:top w:val="nil"/>
              <w:left w:val="nil"/>
              <w:bottom w:val="nil"/>
              <w:right w:val="nil"/>
            </w:tcBorders>
            <w:shd w:val="clear" w:color="auto" w:fill="auto"/>
            <w:noWrap/>
            <w:vAlign w:val="bottom"/>
            <w:hideMark/>
          </w:tcPr>
          <w:p w14:paraId="58A7F532" w14:textId="67EC29EA" w:rsidR="00067723" w:rsidRPr="005269E6" w:rsidRDefault="0006772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r>
      <w:tr w:rsidR="00067723" w:rsidRPr="005269E6" w14:paraId="61FF688B"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5C94D4CB" w14:textId="1DC3705D" w:rsidR="00067723" w:rsidRPr="005269E6" w:rsidRDefault="00732DB7" w:rsidP="0006772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العجز المتراكم</w:t>
            </w:r>
          </w:p>
        </w:tc>
        <w:tc>
          <w:tcPr>
            <w:tcW w:w="0" w:type="auto"/>
            <w:tcBorders>
              <w:top w:val="nil"/>
              <w:left w:val="nil"/>
              <w:bottom w:val="nil"/>
              <w:right w:val="nil"/>
            </w:tcBorders>
            <w:shd w:val="clear" w:color="auto" w:fill="auto"/>
            <w:noWrap/>
            <w:vAlign w:val="bottom"/>
            <w:hideMark/>
          </w:tcPr>
          <w:p w14:paraId="54B45A38" w14:textId="6A10F143" w:rsidR="00067723" w:rsidRPr="005269E6" w:rsidRDefault="0006772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noWrap/>
            <w:vAlign w:val="bottom"/>
            <w:hideMark/>
          </w:tcPr>
          <w:p w14:paraId="25F5F475" w14:textId="6B813AF1" w:rsidR="00067723" w:rsidRPr="005269E6" w:rsidRDefault="0006772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(14 278)</w:t>
            </w:r>
          </w:p>
        </w:tc>
        <w:tc>
          <w:tcPr>
            <w:tcW w:w="0" w:type="auto"/>
            <w:tcBorders>
              <w:top w:val="nil"/>
              <w:left w:val="nil"/>
              <w:bottom w:val="nil"/>
              <w:right w:val="nil"/>
            </w:tcBorders>
            <w:shd w:val="clear" w:color="auto" w:fill="auto"/>
            <w:noWrap/>
            <w:vAlign w:val="bottom"/>
            <w:hideMark/>
          </w:tcPr>
          <w:p w14:paraId="67AFE55F" w14:textId="60E4E878" w:rsidR="00067723" w:rsidRPr="005269E6" w:rsidRDefault="0006772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14 278 </w:t>
            </w:r>
          </w:p>
        </w:tc>
      </w:tr>
    </w:tbl>
    <w:p w14:paraId="13A01F66" w14:textId="6172FD29" w:rsidR="00706714" w:rsidRPr="005269E6" w:rsidRDefault="00706714" w:rsidP="0030049A">
      <w:pPr>
        <w:pStyle w:val="Headingb"/>
        <w:ind w:left="794" w:hanging="794"/>
        <w:rPr>
          <w:b w:val="0"/>
          <w:bCs w:val="0"/>
          <w:rtl/>
        </w:rPr>
      </w:pPr>
      <w:r w:rsidRPr="005269E6">
        <w:t>26</w:t>
      </w:r>
      <w:r w:rsidRPr="005269E6">
        <w:rPr>
          <w:rtl/>
        </w:rPr>
        <w:tab/>
      </w:r>
      <w:r w:rsidR="00F5258C" w:rsidRPr="005269E6">
        <w:rPr>
          <w:rtl/>
        </w:rPr>
        <w:t>تصويب احتياطي التأمين الصحي بعد انتهاء الخدمة (</w:t>
      </w:r>
      <w:r w:rsidR="00F5258C" w:rsidRPr="005269E6">
        <w:t>ASHI</w:t>
      </w:r>
      <w:r w:rsidR="00F5258C" w:rsidRPr="005269E6">
        <w:rPr>
          <w:rtl/>
        </w:rPr>
        <w:t>) وإلغاء النفقات المالية للتأمين الصحي بعد انتهاء الخدمة</w:t>
      </w:r>
    </w:p>
    <w:p w14:paraId="00E14B39" w14:textId="4C756946" w:rsidR="00706714" w:rsidRPr="005269E6" w:rsidRDefault="00F5258C" w:rsidP="00706714">
      <w:pPr>
        <w:rPr>
          <w:rtl/>
          <w:lang w:bidi="ar-EG"/>
        </w:rPr>
      </w:pPr>
      <w:r w:rsidRPr="005269E6">
        <w:rPr>
          <w:rtl/>
        </w:rPr>
        <w:t>سجل الاتحاد خطأً</w:t>
      </w:r>
      <w:r w:rsidRPr="005269E6">
        <w:rPr>
          <w:rFonts w:hint="cs"/>
          <w:rtl/>
        </w:rPr>
        <w:t xml:space="preserve"> تحويل تثبيت</w:t>
      </w:r>
      <w:r w:rsidRPr="005269E6">
        <w:rPr>
          <w:rtl/>
        </w:rPr>
        <w:t xml:space="preserve"> الإيرادات المالية لعام 2021 المتعلقة بخصوم التأمين الصحي بعد انتهاء الخدمة مباشرة إلى الفائض المتراكم، بدلا</w:t>
      </w:r>
      <w:r w:rsidR="0030049A" w:rsidRPr="005269E6">
        <w:rPr>
          <w:rFonts w:hint="cs"/>
          <w:rtl/>
        </w:rPr>
        <w:t>ً</w:t>
      </w:r>
      <w:r w:rsidRPr="005269E6">
        <w:rPr>
          <w:rtl/>
        </w:rPr>
        <w:t xml:space="preserve"> من إلغائه من خلال بيان الأداء المالي. وبالإضافة إلى ذلك، سجل الاتحاد خطأ احتياطي التأمين الصحي بعد انتهاء الخدمة مقارنة</w:t>
      </w:r>
      <w:r w:rsidRPr="005269E6">
        <w:rPr>
          <w:rFonts w:hint="cs"/>
          <w:rtl/>
        </w:rPr>
        <w:t>ً</w:t>
      </w:r>
      <w:r w:rsidRPr="005269E6">
        <w:rPr>
          <w:rtl/>
        </w:rPr>
        <w:t xml:space="preserve"> بالتقييم المستقل الذي تلقاه من الخبير المستقل.</w:t>
      </w:r>
    </w:p>
    <w:p w14:paraId="5E0F81E7" w14:textId="11C2DFE9" w:rsidR="00706714" w:rsidRPr="005269E6" w:rsidRDefault="00F5258C" w:rsidP="00706714">
      <w:pPr>
        <w:spacing w:after="120"/>
        <w:rPr>
          <w:rtl/>
          <w:lang w:bidi="ar-SY"/>
        </w:rPr>
      </w:pPr>
      <w:r w:rsidRPr="005269E6">
        <w:rPr>
          <w:rtl/>
          <w:lang w:bidi="ar-SY"/>
        </w:rPr>
        <w:t>وتمثل المدخلات الدفترية أدناه التصويبات المسجلة لتبين بشكل صحيح الرصيد الاحتياطي للتأمين الصحي بعد انتهاء الخدمة والآثار المالية والعجز المتراكم.</w:t>
      </w:r>
    </w:p>
    <w:tbl>
      <w:tblPr>
        <w:bidiVisual/>
        <w:tblW w:w="0" w:type="auto"/>
        <w:jc w:val="center"/>
        <w:tblLook w:val="04A0" w:firstRow="1" w:lastRow="0" w:firstColumn="1" w:lastColumn="0" w:noHBand="0" w:noVBand="1"/>
      </w:tblPr>
      <w:tblGrid>
        <w:gridCol w:w="1199"/>
        <w:gridCol w:w="1357"/>
        <w:gridCol w:w="1095"/>
        <w:gridCol w:w="1073"/>
        <w:gridCol w:w="222"/>
        <w:gridCol w:w="1167"/>
        <w:gridCol w:w="1358"/>
        <w:gridCol w:w="1095"/>
        <w:gridCol w:w="1073"/>
      </w:tblGrid>
      <w:tr w:rsidR="000C4D13" w:rsidRPr="005269E6" w14:paraId="2D116CB2" w14:textId="77777777" w:rsidTr="00E71850">
        <w:trPr>
          <w:trHeight w:val="300"/>
          <w:jc w:val="center"/>
        </w:trPr>
        <w:tc>
          <w:tcPr>
            <w:tcW w:w="0" w:type="auto"/>
            <w:tcBorders>
              <w:top w:val="nil"/>
              <w:left w:val="nil"/>
              <w:bottom w:val="nil"/>
              <w:right w:val="nil"/>
            </w:tcBorders>
            <w:shd w:val="clear" w:color="000000" w:fill="0070C0"/>
            <w:noWrap/>
            <w:vAlign w:val="bottom"/>
            <w:hideMark/>
          </w:tcPr>
          <w:p w14:paraId="65001E31" w14:textId="77777777" w:rsidR="000C4D13" w:rsidRPr="005269E6" w:rsidRDefault="000C4D13" w:rsidP="000C4D1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0" w:type="auto"/>
            <w:gridSpan w:val="3"/>
            <w:tcBorders>
              <w:top w:val="nil"/>
              <w:left w:val="nil"/>
              <w:bottom w:val="nil"/>
              <w:right w:val="nil"/>
            </w:tcBorders>
            <w:shd w:val="clear" w:color="000000" w:fill="0070C0"/>
            <w:noWrap/>
            <w:vAlign w:val="bottom"/>
            <w:hideMark/>
          </w:tcPr>
          <w:p w14:paraId="50933A2E" w14:textId="77777777" w:rsidR="000C4D13" w:rsidRPr="005269E6" w:rsidRDefault="000C4D13" w:rsidP="000C4D1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p>
        </w:tc>
        <w:tc>
          <w:tcPr>
            <w:tcW w:w="0" w:type="auto"/>
            <w:tcBorders>
              <w:top w:val="nil"/>
              <w:left w:val="nil"/>
              <w:bottom w:val="nil"/>
              <w:right w:val="nil"/>
            </w:tcBorders>
            <w:shd w:val="clear" w:color="auto" w:fill="auto"/>
            <w:noWrap/>
            <w:vAlign w:val="bottom"/>
            <w:hideMark/>
          </w:tcPr>
          <w:p w14:paraId="3B2BE4A2" w14:textId="77777777" w:rsidR="000C4D13" w:rsidRPr="005269E6" w:rsidRDefault="000C4D13" w:rsidP="000C4D13">
            <w:pPr>
              <w:tabs>
                <w:tab w:val="clear" w:pos="794"/>
              </w:tabs>
              <w:spacing w:before="40" w:after="40" w:line="240" w:lineRule="exact"/>
              <w:jc w:val="center"/>
              <w:rPr>
                <w:rFonts w:eastAsia="Times New Roman"/>
                <w:b/>
                <w:bCs/>
                <w:color w:val="000000"/>
                <w:sz w:val="18"/>
                <w:szCs w:val="18"/>
                <w:lang w:val="en-GB" w:eastAsia="en-GB"/>
              </w:rPr>
            </w:pPr>
          </w:p>
        </w:tc>
        <w:tc>
          <w:tcPr>
            <w:tcW w:w="0" w:type="auto"/>
            <w:tcBorders>
              <w:top w:val="nil"/>
              <w:left w:val="nil"/>
              <w:bottom w:val="nil"/>
              <w:right w:val="nil"/>
            </w:tcBorders>
            <w:shd w:val="clear" w:color="000000" w:fill="0070C0"/>
            <w:noWrap/>
            <w:vAlign w:val="bottom"/>
            <w:hideMark/>
          </w:tcPr>
          <w:p w14:paraId="1DEEE03D" w14:textId="77777777" w:rsidR="000C4D13" w:rsidRPr="005269E6" w:rsidRDefault="000C4D13" w:rsidP="000C4D1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w:t>
            </w:r>
          </w:p>
        </w:tc>
        <w:tc>
          <w:tcPr>
            <w:tcW w:w="0" w:type="auto"/>
            <w:gridSpan w:val="3"/>
            <w:tcBorders>
              <w:top w:val="nil"/>
              <w:left w:val="nil"/>
              <w:bottom w:val="nil"/>
              <w:right w:val="nil"/>
            </w:tcBorders>
            <w:shd w:val="clear" w:color="000000" w:fill="0070C0"/>
            <w:noWrap/>
            <w:vAlign w:val="bottom"/>
            <w:hideMark/>
          </w:tcPr>
          <w:p w14:paraId="701D3F47" w14:textId="77777777" w:rsidR="000C4D13" w:rsidRPr="005269E6" w:rsidRDefault="000C4D13" w:rsidP="000C4D13">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p>
        </w:tc>
      </w:tr>
      <w:tr w:rsidR="00F35E2C" w:rsidRPr="005269E6" w14:paraId="2CF8AD59" w14:textId="77777777" w:rsidTr="00E71850">
        <w:trPr>
          <w:trHeight w:val="300"/>
          <w:jc w:val="center"/>
        </w:trPr>
        <w:tc>
          <w:tcPr>
            <w:tcW w:w="0" w:type="auto"/>
            <w:tcBorders>
              <w:top w:val="nil"/>
              <w:left w:val="nil"/>
              <w:bottom w:val="nil"/>
              <w:right w:val="nil"/>
            </w:tcBorders>
            <w:shd w:val="clear" w:color="000000" w:fill="0070C0"/>
            <w:noWrap/>
            <w:vAlign w:val="bottom"/>
            <w:hideMark/>
          </w:tcPr>
          <w:p w14:paraId="1083C3B5" w14:textId="6C3F333D" w:rsidR="00F35E2C" w:rsidRPr="005269E6" w:rsidRDefault="00F35E2C" w:rsidP="00F35E2C">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0" w:type="auto"/>
            <w:tcBorders>
              <w:top w:val="nil"/>
              <w:left w:val="nil"/>
              <w:bottom w:val="nil"/>
              <w:right w:val="nil"/>
            </w:tcBorders>
            <w:shd w:val="clear" w:color="000000" w:fill="0070C0"/>
            <w:vAlign w:val="bottom"/>
            <w:hideMark/>
          </w:tcPr>
          <w:p w14:paraId="29F79E78" w14:textId="69E46432" w:rsidR="00F35E2C" w:rsidRPr="005269E6" w:rsidRDefault="00F35E2C" w:rsidP="00F35E2C">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2020</w:t>
            </w:r>
          </w:p>
        </w:tc>
        <w:tc>
          <w:tcPr>
            <w:tcW w:w="0" w:type="auto"/>
            <w:tcBorders>
              <w:top w:val="nil"/>
              <w:left w:val="nil"/>
              <w:bottom w:val="nil"/>
              <w:right w:val="nil"/>
            </w:tcBorders>
            <w:shd w:val="clear" w:color="000000" w:fill="0070C0"/>
            <w:vAlign w:val="bottom"/>
            <w:hideMark/>
          </w:tcPr>
          <w:p w14:paraId="1B871F6A" w14:textId="590B6178" w:rsidR="00F35E2C" w:rsidRPr="005269E6" w:rsidRDefault="00F35E2C" w:rsidP="00F35E2C">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0" w:type="auto"/>
            <w:tcBorders>
              <w:top w:val="nil"/>
              <w:left w:val="nil"/>
              <w:bottom w:val="nil"/>
              <w:right w:val="nil"/>
            </w:tcBorders>
            <w:shd w:val="clear" w:color="000000" w:fill="0070C0"/>
            <w:vAlign w:val="bottom"/>
            <w:hideMark/>
          </w:tcPr>
          <w:p w14:paraId="29CCD35E" w14:textId="6E447DB7" w:rsidR="00F35E2C" w:rsidRPr="005269E6" w:rsidRDefault="00AE6518" w:rsidP="00F35E2C">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2020</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w:t>
            </w:r>
            <w:r w:rsidRPr="005269E6">
              <w:rPr>
                <w:rFonts w:eastAsia="Times New Roman" w:hint="cs"/>
                <w:b/>
                <w:bCs/>
                <w:color w:val="000000"/>
                <w:sz w:val="18"/>
                <w:szCs w:val="18"/>
                <w:rtl/>
                <w:lang w:val="en-GB" w:eastAsia="en-GB" w:bidi="ar-SY"/>
              </w:rPr>
              <w:t>ا</w:t>
            </w:r>
          </w:p>
        </w:tc>
        <w:tc>
          <w:tcPr>
            <w:tcW w:w="0" w:type="auto"/>
            <w:tcBorders>
              <w:top w:val="nil"/>
              <w:left w:val="nil"/>
              <w:bottom w:val="nil"/>
              <w:right w:val="nil"/>
            </w:tcBorders>
            <w:shd w:val="clear" w:color="auto" w:fill="auto"/>
            <w:noWrap/>
            <w:vAlign w:val="bottom"/>
            <w:hideMark/>
          </w:tcPr>
          <w:p w14:paraId="31D576EB" w14:textId="77777777" w:rsidR="00F35E2C" w:rsidRPr="005269E6" w:rsidRDefault="00F35E2C" w:rsidP="00F35E2C">
            <w:pPr>
              <w:tabs>
                <w:tab w:val="clear" w:pos="794"/>
              </w:tabs>
              <w:spacing w:before="40" w:after="40" w:line="240" w:lineRule="exact"/>
              <w:jc w:val="center"/>
              <w:rPr>
                <w:rFonts w:eastAsia="Times New Roman"/>
                <w:b/>
                <w:bCs/>
                <w:color w:val="000000"/>
                <w:sz w:val="18"/>
                <w:szCs w:val="18"/>
                <w:lang w:val="en-GB" w:eastAsia="en-GB"/>
              </w:rPr>
            </w:pPr>
          </w:p>
        </w:tc>
        <w:tc>
          <w:tcPr>
            <w:tcW w:w="0" w:type="auto"/>
            <w:tcBorders>
              <w:top w:val="nil"/>
              <w:left w:val="nil"/>
              <w:bottom w:val="nil"/>
              <w:right w:val="nil"/>
            </w:tcBorders>
            <w:shd w:val="clear" w:color="000000" w:fill="0070C0"/>
            <w:noWrap/>
            <w:vAlign w:val="bottom"/>
            <w:hideMark/>
          </w:tcPr>
          <w:p w14:paraId="653FF0EE" w14:textId="6F0B7415" w:rsidR="00F35E2C" w:rsidRPr="005269E6" w:rsidRDefault="00F35E2C" w:rsidP="00F35E2C">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الحسابات</w:t>
            </w:r>
          </w:p>
        </w:tc>
        <w:tc>
          <w:tcPr>
            <w:tcW w:w="0" w:type="auto"/>
            <w:tcBorders>
              <w:top w:val="nil"/>
              <w:left w:val="nil"/>
              <w:bottom w:val="nil"/>
              <w:right w:val="nil"/>
            </w:tcBorders>
            <w:shd w:val="clear" w:color="000000" w:fill="0070C0"/>
            <w:vAlign w:val="bottom"/>
            <w:hideMark/>
          </w:tcPr>
          <w:p w14:paraId="610AD950" w14:textId="04869503" w:rsidR="00F35E2C" w:rsidRPr="005269E6" w:rsidRDefault="00F35E2C" w:rsidP="00F35E2C">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الرصيد في 31 ديسمبر 202</w:t>
            </w:r>
            <w:r w:rsidRPr="005269E6">
              <w:rPr>
                <w:rFonts w:eastAsia="Times New Roman" w:hint="cs"/>
                <w:b/>
                <w:bCs/>
                <w:color w:val="000000"/>
                <w:sz w:val="18"/>
                <w:szCs w:val="18"/>
                <w:rtl/>
                <w:lang w:val="en-GB" w:eastAsia="en-GB"/>
              </w:rPr>
              <w:t>1</w:t>
            </w:r>
          </w:p>
        </w:tc>
        <w:tc>
          <w:tcPr>
            <w:tcW w:w="0" w:type="auto"/>
            <w:tcBorders>
              <w:top w:val="nil"/>
              <w:left w:val="nil"/>
              <w:bottom w:val="nil"/>
              <w:right w:val="nil"/>
            </w:tcBorders>
            <w:shd w:val="clear" w:color="000000" w:fill="0070C0"/>
            <w:vAlign w:val="bottom"/>
            <w:hideMark/>
          </w:tcPr>
          <w:p w14:paraId="783FBFC1" w14:textId="7661C10B" w:rsidR="00F35E2C" w:rsidRPr="005269E6" w:rsidRDefault="00F35E2C" w:rsidP="00F35E2C">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rtl/>
                <w:lang w:val="en-GB" w:eastAsia="en-GB"/>
              </w:rPr>
              <w:t>زيادة/نقصان</w:t>
            </w:r>
          </w:p>
        </w:tc>
        <w:tc>
          <w:tcPr>
            <w:tcW w:w="0" w:type="auto"/>
            <w:tcBorders>
              <w:top w:val="nil"/>
              <w:left w:val="nil"/>
              <w:bottom w:val="nil"/>
              <w:right w:val="nil"/>
            </w:tcBorders>
            <w:shd w:val="clear" w:color="000000" w:fill="0070C0"/>
            <w:vAlign w:val="bottom"/>
            <w:hideMark/>
          </w:tcPr>
          <w:p w14:paraId="40AC4C52" w14:textId="4089EFFE" w:rsidR="00F35E2C" w:rsidRPr="005269E6" w:rsidRDefault="00AE6518" w:rsidP="00F35E2C">
            <w:pPr>
              <w:tabs>
                <w:tab w:val="clear" w:pos="794"/>
              </w:tabs>
              <w:spacing w:before="40" w:after="40" w:line="240" w:lineRule="exact"/>
              <w:jc w:val="center"/>
              <w:rPr>
                <w:rFonts w:eastAsia="Times New Roman"/>
                <w:b/>
                <w:bCs/>
                <w:color w:val="000000"/>
                <w:sz w:val="18"/>
                <w:szCs w:val="18"/>
                <w:lang w:val="en-GB" w:eastAsia="en-GB"/>
              </w:rPr>
            </w:pPr>
            <w:r w:rsidRPr="005269E6">
              <w:rPr>
                <w:rFonts w:eastAsia="Times New Roman"/>
                <w:b/>
                <w:bCs/>
                <w:color w:val="000000"/>
                <w:sz w:val="18"/>
                <w:szCs w:val="18"/>
                <w:lang w:val="en-GB" w:eastAsia="en-GB"/>
              </w:rPr>
              <w:t>2021</w:t>
            </w:r>
            <w:r w:rsidRPr="005269E6">
              <w:rPr>
                <w:rFonts w:eastAsia="Times New Roman" w:hint="cs"/>
                <w:b/>
                <w:bCs/>
                <w:color w:val="000000"/>
                <w:sz w:val="18"/>
                <w:szCs w:val="18"/>
                <w:rtl/>
                <w:lang w:val="en-GB" w:eastAsia="en-GB"/>
              </w:rPr>
              <w:t xml:space="preserve"> </w:t>
            </w:r>
            <w:r w:rsidRPr="005269E6">
              <w:rPr>
                <w:rFonts w:eastAsia="Times New Roman"/>
                <w:b/>
                <w:bCs/>
                <w:color w:val="000000"/>
                <w:sz w:val="18"/>
                <w:szCs w:val="18"/>
                <w:rtl/>
                <w:lang w:val="en-GB" w:eastAsia="en-GB"/>
              </w:rPr>
              <w:t>معاد بيانه</w:t>
            </w:r>
            <w:r w:rsidRPr="005269E6">
              <w:rPr>
                <w:rFonts w:eastAsia="Times New Roman" w:hint="cs"/>
                <w:b/>
                <w:bCs/>
                <w:color w:val="000000"/>
                <w:sz w:val="18"/>
                <w:szCs w:val="18"/>
                <w:rtl/>
                <w:lang w:val="en-GB" w:eastAsia="en-GB" w:bidi="ar-SY"/>
              </w:rPr>
              <w:t>ا</w:t>
            </w:r>
          </w:p>
        </w:tc>
      </w:tr>
      <w:tr w:rsidR="000C4D13" w:rsidRPr="005269E6" w14:paraId="7B78901C"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5B1EF4B7" w14:textId="23FEA5F1" w:rsidR="000C4D13" w:rsidRPr="005269E6" w:rsidRDefault="00F35E2C" w:rsidP="000C4D1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lastRenderedPageBreak/>
              <w:t>النفقات المالية</w:t>
            </w:r>
          </w:p>
        </w:tc>
        <w:tc>
          <w:tcPr>
            <w:tcW w:w="0" w:type="auto"/>
            <w:tcBorders>
              <w:top w:val="nil"/>
              <w:left w:val="nil"/>
              <w:bottom w:val="nil"/>
              <w:right w:val="nil"/>
            </w:tcBorders>
            <w:shd w:val="clear" w:color="auto" w:fill="auto"/>
            <w:noWrap/>
            <w:vAlign w:val="bottom"/>
            <w:hideMark/>
          </w:tcPr>
          <w:p w14:paraId="4D9EF1F6" w14:textId="77777777"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65B55045" w14:textId="77777777" w:rsidR="000C4D13" w:rsidRPr="005269E6" w:rsidRDefault="000C4D13" w:rsidP="003833EF">
            <w:pPr>
              <w:tabs>
                <w:tab w:val="clear" w:pos="794"/>
              </w:tabs>
              <w:spacing w:before="40" w:after="40" w:line="240" w:lineRule="exact"/>
              <w:jc w:val="left"/>
              <w:rPr>
                <w:rFonts w:eastAsia="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77D5421A" w14:textId="77777777" w:rsidR="000C4D13" w:rsidRPr="005269E6" w:rsidRDefault="000C4D13" w:rsidP="003833EF">
            <w:pPr>
              <w:tabs>
                <w:tab w:val="clear" w:pos="794"/>
              </w:tabs>
              <w:spacing w:before="40" w:after="40" w:line="240" w:lineRule="exact"/>
              <w:jc w:val="left"/>
              <w:rPr>
                <w:rFonts w:eastAsia="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4B55D3E2" w14:textId="77777777" w:rsidR="000C4D13" w:rsidRPr="005269E6" w:rsidRDefault="000C4D13" w:rsidP="003833EF">
            <w:pPr>
              <w:tabs>
                <w:tab w:val="clear" w:pos="794"/>
              </w:tabs>
              <w:spacing w:before="40" w:after="40" w:line="240" w:lineRule="exact"/>
              <w:jc w:val="left"/>
              <w:rPr>
                <w:rFonts w:eastAsia="Times New Roman"/>
                <w:sz w:val="18"/>
                <w:szCs w:val="18"/>
                <w:lang w:val="en-GB" w:eastAsia="en-GB"/>
              </w:rPr>
            </w:pPr>
          </w:p>
        </w:tc>
        <w:tc>
          <w:tcPr>
            <w:tcW w:w="0" w:type="auto"/>
            <w:tcBorders>
              <w:top w:val="nil"/>
              <w:left w:val="nil"/>
              <w:bottom w:val="nil"/>
              <w:right w:val="nil"/>
            </w:tcBorders>
            <w:shd w:val="clear" w:color="auto" w:fill="auto"/>
            <w:noWrap/>
            <w:vAlign w:val="bottom"/>
            <w:hideMark/>
          </w:tcPr>
          <w:p w14:paraId="36AE696E" w14:textId="7E17211D" w:rsidR="000C4D13" w:rsidRPr="005269E6" w:rsidRDefault="00F35E2C"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النفقات المالية</w:t>
            </w:r>
          </w:p>
        </w:tc>
        <w:tc>
          <w:tcPr>
            <w:tcW w:w="0" w:type="auto"/>
            <w:tcBorders>
              <w:top w:val="nil"/>
              <w:left w:val="nil"/>
              <w:bottom w:val="nil"/>
              <w:right w:val="nil"/>
            </w:tcBorders>
            <w:shd w:val="clear" w:color="auto" w:fill="auto"/>
            <w:noWrap/>
            <w:vAlign w:val="bottom"/>
            <w:hideMark/>
          </w:tcPr>
          <w:p w14:paraId="5C0F831E" w14:textId="796C3B00"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(2 533)</w:t>
            </w:r>
          </w:p>
        </w:tc>
        <w:tc>
          <w:tcPr>
            <w:tcW w:w="0" w:type="auto"/>
            <w:tcBorders>
              <w:top w:val="nil"/>
              <w:left w:val="nil"/>
              <w:bottom w:val="nil"/>
              <w:right w:val="nil"/>
            </w:tcBorders>
            <w:shd w:val="clear" w:color="auto" w:fill="auto"/>
            <w:noWrap/>
            <w:vAlign w:val="bottom"/>
            <w:hideMark/>
          </w:tcPr>
          <w:p w14:paraId="5A25EDCA" w14:textId="0ABAEA7C"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2 533 </w:t>
            </w:r>
          </w:p>
        </w:tc>
        <w:tc>
          <w:tcPr>
            <w:tcW w:w="0" w:type="auto"/>
            <w:tcBorders>
              <w:top w:val="nil"/>
              <w:left w:val="nil"/>
              <w:bottom w:val="nil"/>
              <w:right w:val="nil"/>
            </w:tcBorders>
            <w:shd w:val="clear" w:color="auto" w:fill="auto"/>
            <w:noWrap/>
            <w:vAlign w:val="bottom"/>
            <w:hideMark/>
          </w:tcPr>
          <w:p w14:paraId="7C203AB1" w14:textId="27048FD4"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r>
      <w:tr w:rsidR="000C4D13" w:rsidRPr="005269E6" w14:paraId="11A708C5"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5B3D6D18" w14:textId="4C0C442A" w:rsidR="000C4D13" w:rsidRPr="005269E6" w:rsidRDefault="00F35E2C" w:rsidP="000C4D1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hint="cs"/>
                <w:color w:val="000000"/>
                <w:sz w:val="18"/>
                <w:szCs w:val="18"/>
                <w:rtl/>
                <w:lang w:val="en-GB" w:eastAsia="en-GB"/>
              </w:rPr>
              <w:t>احتياطي</w:t>
            </w:r>
            <w:r w:rsidR="000C4D13" w:rsidRPr="005269E6">
              <w:rPr>
                <w:rFonts w:eastAsia="Times New Roman"/>
                <w:color w:val="000000"/>
                <w:sz w:val="18"/>
                <w:szCs w:val="18"/>
                <w:lang w:val="en-GB" w:eastAsia="en-GB"/>
              </w:rPr>
              <w:t xml:space="preserve">ASHI </w:t>
            </w:r>
          </w:p>
        </w:tc>
        <w:tc>
          <w:tcPr>
            <w:tcW w:w="0" w:type="auto"/>
            <w:tcBorders>
              <w:top w:val="nil"/>
              <w:left w:val="nil"/>
              <w:bottom w:val="nil"/>
              <w:right w:val="nil"/>
            </w:tcBorders>
            <w:shd w:val="clear" w:color="auto" w:fill="auto"/>
            <w:noWrap/>
            <w:vAlign w:val="bottom"/>
            <w:hideMark/>
          </w:tcPr>
          <w:p w14:paraId="5E8F1359" w14:textId="1A759694"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263 101 </w:t>
            </w:r>
          </w:p>
        </w:tc>
        <w:tc>
          <w:tcPr>
            <w:tcW w:w="0" w:type="auto"/>
            <w:tcBorders>
              <w:top w:val="nil"/>
              <w:left w:val="nil"/>
              <w:bottom w:val="nil"/>
              <w:right w:val="nil"/>
            </w:tcBorders>
            <w:shd w:val="clear" w:color="auto" w:fill="auto"/>
            <w:noWrap/>
            <w:vAlign w:val="bottom"/>
            <w:hideMark/>
          </w:tcPr>
          <w:p w14:paraId="31E6312C" w14:textId="28D8E9EA"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4 473 </w:t>
            </w:r>
          </w:p>
        </w:tc>
        <w:tc>
          <w:tcPr>
            <w:tcW w:w="0" w:type="auto"/>
            <w:tcBorders>
              <w:top w:val="nil"/>
              <w:left w:val="nil"/>
              <w:bottom w:val="nil"/>
              <w:right w:val="nil"/>
            </w:tcBorders>
            <w:shd w:val="clear" w:color="auto" w:fill="auto"/>
            <w:noWrap/>
            <w:vAlign w:val="bottom"/>
            <w:hideMark/>
          </w:tcPr>
          <w:p w14:paraId="66F937C7" w14:textId="24189B5A"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267 574 </w:t>
            </w:r>
          </w:p>
        </w:tc>
        <w:tc>
          <w:tcPr>
            <w:tcW w:w="0" w:type="auto"/>
            <w:tcBorders>
              <w:top w:val="nil"/>
              <w:left w:val="nil"/>
              <w:bottom w:val="nil"/>
              <w:right w:val="nil"/>
            </w:tcBorders>
            <w:shd w:val="clear" w:color="auto" w:fill="auto"/>
            <w:noWrap/>
            <w:vAlign w:val="bottom"/>
            <w:hideMark/>
          </w:tcPr>
          <w:p w14:paraId="01DDC27C" w14:textId="77777777"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337AC5D2" w14:textId="5CD8F172" w:rsidR="000C4D13" w:rsidRPr="005269E6" w:rsidRDefault="00F35E2C"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احتياطي</w:t>
            </w:r>
            <w:r w:rsidRPr="005269E6">
              <w:rPr>
                <w:rFonts w:eastAsia="Times New Roman"/>
                <w:color w:val="000000"/>
                <w:sz w:val="18"/>
                <w:szCs w:val="18"/>
                <w:lang w:val="en-GB" w:eastAsia="en-GB"/>
              </w:rPr>
              <w:t>ASHI</w:t>
            </w:r>
          </w:p>
        </w:tc>
        <w:tc>
          <w:tcPr>
            <w:tcW w:w="0" w:type="auto"/>
            <w:tcBorders>
              <w:top w:val="nil"/>
              <w:left w:val="nil"/>
              <w:bottom w:val="nil"/>
              <w:right w:val="nil"/>
            </w:tcBorders>
            <w:shd w:val="clear" w:color="auto" w:fill="auto"/>
            <w:noWrap/>
            <w:vAlign w:val="bottom"/>
            <w:hideMark/>
          </w:tcPr>
          <w:p w14:paraId="0803DAAB" w14:textId="022356DC"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162 135 </w:t>
            </w:r>
          </w:p>
        </w:tc>
        <w:tc>
          <w:tcPr>
            <w:tcW w:w="0" w:type="auto"/>
            <w:tcBorders>
              <w:top w:val="nil"/>
              <w:left w:val="nil"/>
              <w:bottom w:val="nil"/>
              <w:right w:val="nil"/>
            </w:tcBorders>
            <w:shd w:val="clear" w:color="auto" w:fill="auto"/>
            <w:noWrap/>
            <w:vAlign w:val="bottom"/>
            <w:hideMark/>
          </w:tcPr>
          <w:p w14:paraId="16E88048" w14:textId="320C6BD0"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1 940 </w:t>
            </w:r>
          </w:p>
        </w:tc>
        <w:tc>
          <w:tcPr>
            <w:tcW w:w="0" w:type="auto"/>
            <w:tcBorders>
              <w:top w:val="nil"/>
              <w:left w:val="nil"/>
              <w:bottom w:val="nil"/>
              <w:right w:val="nil"/>
            </w:tcBorders>
            <w:shd w:val="clear" w:color="auto" w:fill="auto"/>
            <w:noWrap/>
            <w:vAlign w:val="bottom"/>
            <w:hideMark/>
          </w:tcPr>
          <w:p w14:paraId="708DF96F" w14:textId="4ED9321D"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164 075 </w:t>
            </w:r>
          </w:p>
        </w:tc>
      </w:tr>
      <w:tr w:rsidR="000C4D13" w:rsidRPr="005269E6" w14:paraId="4BDD30F3" w14:textId="77777777" w:rsidTr="00E71850">
        <w:trPr>
          <w:trHeight w:val="255"/>
          <w:jc w:val="center"/>
        </w:trPr>
        <w:tc>
          <w:tcPr>
            <w:tcW w:w="0" w:type="auto"/>
            <w:tcBorders>
              <w:top w:val="nil"/>
              <w:left w:val="nil"/>
              <w:bottom w:val="nil"/>
              <w:right w:val="nil"/>
            </w:tcBorders>
            <w:shd w:val="clear" w:color="auto" w:fill="auto"/>
            <w:noWrap/>
            <w:vAlign w:val="bottom"/>
            <w:hideMark/>
          </w:tcPr>
          <w:p w14:paraId="50082157" w14:textId="13FCE212" w:rsidR="000C4D13" w:rsidRPr="005269E6" w:rsidRDefault="00F35E2C" w:rsidP="000C4D13">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العجز المتراكم</w:t>
            </w:r>
          </w:p>
        </w:tc>
        <w:tc>
          <w:tcPr>
            <w:tcW w:w="0" w:type="auto"/>
            <w:tcBorders>
              <w:top w:val="nil"/>
              <w:left w:val="nil"/>
              <w:bottom w:val="nil"/>
              <w:right w:val="nil"/>
            </w:tcBorders>
            <w:shd w:val="clear" w:color="auto" w:fill="auto"/>
            <w:noWrap/>
            <w:vAlign w:val="bottom"/>
            <w:hideMark/>
          </w:tcPr>
          <w:p w14:paraId="62F3F426" w14:textId="750E6E7C"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noWrap/>
            <w:vAlign w:val="bottom"/>
            <w:hideMark/>
          </w:tcPr>
          <w:p w14:paraId="43EA4513" w14:textId="4F548B2E"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(4 473)</w:t>
            </w:r>
          </w:p>
        </w:tc>
        <w:tc>
          <w:tcPr>
            <w:tcW w:w="0" w:type="auto"/>
            <w:tcBorders>
              <w:top w:val="nil"/>
              <w:left w:val="nil"/>
              <w:bottom w:val="nil"/>
              <w:right w:val="nil"/>
            </w:tcBorders>
            <w:shd w:val="clear" w:color="auto" w:fill="auto"/>
            <w:noWrap/>
            <w:vAlign w:val="bottom"/>
            <w:hideMark/>
          </w:tcPr>
          <w:p w14:paraId="0D68B9A1" w14:textId="3E6FEF14"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4 473 </w:t>
            </w:r>
          </w:p>
        </w:tc>
        <w:tc>
          <w:tcPr>
            <w:tcW w:w="0" w:type="auto"/>
            <w:tcBorders>
              <w:top w:val="nil"/>
              <w:left w:val="nil"/>
              <w:bottom w:val="nil"/>
              <w:right w:val="nil"/>
            </w:tcBorders>
            <w:shd w:val="clear" w:color="auto" w:fill="auto"/>
            <w:noWrap/>
            <w:vAlign w:val="bottom"/>
            <w:hideMark/>
          </w:tcPr>
          <w:p w14:paraId="05A61328" w14:textId="77777777"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p>
        </w:tc>
        <w:tc>
          <w:tcPr>
            <w:tcW w:w="0" w:type="auto"/>
            <w:tcBorders>
              <w:top w:val="nil"/>
              <w:left w:val="nil"/>
              <w:bottom w:val="nil"/>
              <w:right w:val="nil"/>
            </w:tcBorders>
            <w:shd w:val="clear" w:color="auto" w:fill="auto"/>
            <w:noWrap/>
            <w:vAlign w:val="bottom"/>
            <w:hideMark/>
          </w:tcPr>
          <w:p w14:paraId="4F39ABD0" w14:textId="256781C1" w:rsidR="000C4D13" w:rsidRPr="005269E6" w:rsidRDefault="00F35E2C"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rtl/>
                <w:lang w:val="en-GB" w:eastAsia="en-GB"/>
              </w:rPr>
              <w:t>العجز المتراكم</w:t>
            </w:r>
          </w:p>
        </w:tc>
        <w:tc>
          <w:tcPr>
            <w:tcW w:w="0" w:type="auto"/>
            <w:tcBorders>
              <w:top w:val="nil"/>
              <w:left w:val="nil"/>
              <w:bottom w:val="nil"/>
              <w:right w:val="nil"/>
            </w:tcBorders>
            <w:shd w:val="clear" w:color="auto" w:fill="auto"/>
            <w:noWrap/>
            <w:vAlign w:val="bottom"/>
            <w:hideMark/>
          </w:tcPr>
          <w:p w14:paraId="728132EF" w14:textId="45B18D46"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noWrap/>
            <w:vAlign w:val="bottom"/>
            <w:hideMark/>
          </w:tcPr>
          <w:p w14:paraId="618BFC00" w14:textId="4820604B"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(4 473)</w:t>
            </w:r>
          </w:p>
        </w:tc>
        <w:tc>
          <w:tcPr>
            <w:tcW w:w="0" w:type="auto"/>
            <w:tcBorders>
              <w:top w:val="nil"/>
              <w:left w:val="nil"/>
              <w:bottom w:val="nil"/>
              <w:right w:val="nil"/>
            </w:tcBorders>
            <w:shd w:val="clear" w:color="auto" w:fill="auto"/>
            <w:noWrap/>
            <w:vAlign w:val="bottom"/>
            <w:hideMark/>
          </w:tcPr>
          <w:p w14:paraId="524F6B88" w14:textId="274DA4D0" w:rsidR="000C4D13" w:rsidRPr="005269E6" w:rsidRDefault="000C4D13" w:rsidP="003833EF">
            <w:pPr>
              <w:tabs>
                <w:tab w:val="clear" w:pos="794"/>
              </w:tabs>
              <w:spacing w:before="40" w:after="40" w:line="240" w:lineRule="exact"/>
              <w:jc w:val="left"/>
              <w:rPr>
                <w:rFonts w:eastAsia="Times New Roman"/>
                <w:color w:val="000000"/>
                <w:sz w:val="18"/>
                <w:szCs w:val="18"/>
                <w:lang w:val="en-GB" w:eastAsia="en-GB"/>
              </w:rPr>
            </w:pPr>
            <w:r w:rsidRPr="005269E6">
              <w:rPr>
                <w:rFonts w:eastAsia="Times New Roman"/>
                <w:color w:val="000000"/>
                <w:sz w:val="18"/>
                <w:szCs w:val="18"/>
                <w:lang w:val="en-GB" w:eastAsia="en-GB"/>
              </w:rPr>
              <w:t xml:space="preserve">4 473 </w:t>
            </w:r>
          </w:p>
        </w:tc>
      </w:tr>
    </w:tbl>
    <w:p w14:paraId="431E2B6F" w14:textId="4AC20471" w:rsidR="00A845E7" w:rsidRPr="005269E6" w:rsidRDefault="00A845E7" w:rsidP="00A845E7">
      <w:pPr>
        <w:rPr>
          <w:rtl/>
          <w:lang w:bidi="ar-SY"/>
        </w:rPr>
      </w:pPr>
      <w:r w:rsidRPr="005269E6">
        <w:rPr>
          <w:rtl/>
          <w:lang w:bidi="ar-SY"/>
        </w:rPr>
        <w:br w:type="page"/>
      </w:r>
    </w:p>
    <w:p w14:paraId="1CF34831" w14:textId="77777777" w:rsidR="00C543C6" w:rsidRPr="005269E6" w:rsidRDefault="00C543C6" w:rsidP="00C543C6">
      <w:pPr>
        <w:pStyle w:val="AnnexNo"/>
        <w:rPr>
          <w:rtl/>
        </w:rPr>
      </w:pPr>
      <w:bookmarkStart w:id="726" w:name="_Toc520370557"/>
      <w:bookmarkStart w:id="727" w:name="_Toc9614694"/>
      <w:bookmarkStart w:id="728" w:name="_Toc74061171"/>
      <w:bookmarkStart w:id="729" w:name="_Toc162520653"/>
      <w:bookmarkStart w:id="730" w:name="_Toc42013359"/>
      <w:bookmarkStart w:id="731" w:name="_Toc42013574"/>
      <w:bookmarkStart w:id="732" w:name="_Toc42013961"/>
      <w:bookmarkStart w:id="733" w:name="_Toc42014577"/>
      <w:bookmarkStart w:id="734" w:name="_Toc452156151"/>
      <w:bookmarkStart w:id="735" w:name="_Toc419483245"/>
      <w:bookmarkStart w:id="736" w:name="_Toc397499906"/>
      <w:bookmarkStart w:id="737" w:name="_Toc358647286"/>
      <w:bookmarkStart w:id="738" w:name="_Toc358647171"/>
      <w:bookmarkStart w:id="739" w:name="_Toc358647101"/>
      <w:bookmarkStart w:id="740" w:name="_Toc329303660"/>
      <w:bookmarkStart w:id="741" w:name="_Toc482792245"/>
      <w:bookmarkStart w:id="742" w:name="_Toc511402267"/>
      <w:r w:rsidRPr="005269E6">
        <w:rPr>
          <w:rFonts w:hint="cs"/>
          <w:rtl/>
        </w:rPr>
        <w:lastRenderedPageBreak/>
        <w:t>الملحق أل</w:t>
      </w:r>
      <w:bookmarkStart w:id="743" w:name="_Toc520367988"/>
      <w:bookmarkStart w:id="744" w:name="_Toc9614695"/>
      <w:bookmarkStart w:id="745" w:name="_Toc42012340"/>
      <w:bookmarkEnd w:id="726"/>
      <w:bookmarkEnd w:id="727"/>
      <w:r w:rsidRPr="005269E6">
        <w:rPr>
          <w:rFonts w:hint="cs"/>
          <w:rtl/>
        </w:rPr>
        <w:t>ف</w:t>
      </w:r>
      <w:bookmarkEnd w:id="728"/>
      <w:bookmarkEnd w:id="729"/>
    </w:p>
    <w:p w14:paraId="3C2540FD" w14:textId="77777777" w:rsidR="00C543C6" w:rsidRPr="005269E6" w:rsidRDefault="00C543C6" w:rsidP="00C543C6">
      <w:pPr>
        <w:pStyle w:val="ResNo"/>
        <w:rPr>
          <w:rtl/>
        </w:rPr>
      </w:pPr>
      <w:r w:rsidRPr="005269E6">
        <w:rPr>
          <w:rFonts w:hint="cs"/>
          <w:rtl/>
        </w:rPr>
        <w:t>مشروع قرار</w:t>
      </w:r>
      <w:bookmarkEnd w:id="730"/>
      <w:bookmarkEnd w:id="731"/>
      <w:bookmarkEnd w:id="732"/>
      <w:bookmarkEnd w:id="733"/>
      <w:bookmarkEnd w:id="743"/>
      <w:bookmarkEnd w:id="744"/>
      <w:bookmarkEnd w:id="745"/>
    </w:p>
    <w:p w14:paraId="7C3B04CB" w14:textId="5817E3E5" w:rsidR="00C543C6" w:rsidRPr="005269E6" w:rsidRDefault="00C543C6" w:rsidP="00C543C6">
      <w:pPr>
        <w:pStyle w:val="Restitle"/>
        <w:rPr>
          <w:rtl/>
        </w:rPr>
      </w:pPr>
      <w:bookmarkStart w:id="746" w:name="_Toc364435673"/>
      <w:bookmarkStart w:id="747" w:name="_Toc423445842"/>
      <w:bookmarkStart w:id="748" w:name="_Toc490216592"/>
      <w:bookmarkStart w:id="749" w:name="_Toc42012341"/>
      <w:r w:rsidRPr="005269E6">
        <w:rPr>
          <w:rtl/>
        </w:rPr>
        <w:t>تقرير الإدارة المالية لل</w:t>
      </w:r>
      <w:r w:rsidRPr="005269E6">
        <w:rPr>
          <w:rFonts w:hint="cs"/>
          <w:rtl/>
        </w:rPr>
        <w:t>سنة</w:t>
      </w:r>
      <w:r w:rsidRPr="005269E6">
        <w:rPr>
          <w:rtl/>
        </w:rPr>
        <w:t xml:space="preserve"> المالية </w:t>
      </w:r>
      <w:bookmarkEnd w:id="746"/>
      <w:bookmarkEnd w:id="747"/>
      <w:bookmarkEnd w:id="748"/>
      <w:bookmarkEnd w:id="749"/>
      <w:r w:rsidR="00416F34" w:rsidRPr="005269E6">
        <w:t>2022</w:t>
      </w:r>
    </w:p>
    <w:p w14:paraId="7F33EC9C" w14:textId="77777777" w:rsidR="00C543C6" w:rsidRPr="005269E6" w:rsidRDefault="00C543C6" w:rsidP="00C543C6">
      <w:pPr>
        <w:pStyle w:val="Normalaftertitle"/>
        <w:rPr>
          <w:rtl/>
          <w:lang w:bidi="ar-EG"/>
        </w:rPr>
      </w:pPr>
      <w:r w:rsidRPr="005269E6">
        <w:rPr>
          <w:rtl/>
        </w:rPr>
        <w:t>إن مجلس</w:t>
      </w:r>
      <w:r w:rsidRPr="005269E6">
        <w:rPr>
          <w:rFonts w:hint="cs"/>
          <w:rtl/>
        </w:rPr>
        <w:t xml:space="preserve"> الاتحاد</w:t>
      </w:r>
      <w:r w:rsidRPr="005269E6">
        <w:rPr>
          <w:rtl/>
        </w:rPr>
        <w:t>،</w:t>
      </w:r>
    </w:p>
    <w:p w14:paraId="06090919" w14:textId="77777777" w:rsidR="00C543C6" w:rsidRPr="005269E6" w:rsidRDefault="00C543C6" w:rsidP="00C543C6">
      <w:pPr>
        <w:pStyle w:val="Call"/>
        <w:ind w:left="1928"/>
        <w:rPr>
          <w:rtl/>
        </w:rPr>
      </w:pPr>
      <w:r w:rsidRPr="005269E6">
        <w:rPr>
          <w:rFonts w:hint="cs"/>
          <w:rtl/>
        </w:rPr>
        <w:t>إذ يأخذ بعين الاعتبار</w:t>
      </w:r>
    </w:p>
    <w:p w14:paraId="23AEB144" w14:textId="3EAB620F" w:rsidR="00C543C6" w:rsidRPr="005269E6" w:rsidRDefault="00C543C6" w:rsidP="00C543C6">
      <w:pPr>
        <w:rPr>
          <w:rtl/>
        </w:rPr>
      </w:pPr>
      <w:r w:rsidRPr="005269E6">
        <w:rPr>
          <w:rtl/>
        </w:rPr>
        <w:t xml:space="preserve">أحكام </w:t>
      </w:r>
      <w:hyperlink r:id="rId35" w:history="1">
        <w:r w:rsidRPr="005269E6">
          <w:rPr>
            <w:rStyle w:val="Hyperlink"/>
            <w:rtl/>
          </w:rPr>
          <w:t>الرقم </w:t>
        </w:r>
        <w:r w:rsidRPr="005269E6">
          <w:rPr>
            <w:rStyle w:val="Hyperlink"/>
          </w:rPr>
          <w:t>101</w:t>
        </w:r>
      </w:hyperlink>
      <w:r w:rsidRPr="005269E6">
        <w:rPr>
          <w:rtl/>
        </w:rPr>
        <w:t xml:space="preserve"> من اتفاقية </w:t>
      </w:r>
      <w:r w:rsidRPr="005269E6">
        <w:rPr>
          <w:rFonts w:hint="cs"/>
          <w:rtl/>
        </w:rPr>
        <w:t>الاتحاد</w:t>
      </w:r>
      <w:r w:rsidRPr="005269E6">
        <w:rPr>
          <w:rtl/>
        </w:rPr>
        <w:t xml:space="preserve"> الدولي للاتصالات و</w:t>
      </w:r>
      <w:hyperlink r:id="rId36" w:history="1">
        <w:r w:rsidRPr="005269E6">
          <w:rPr>
            <w:rStyle w:val="Hyperlink"/>
            <w:rtl/>
          </w:rPr>
          <w:t>ال</w:t>
        </w:r>
        <w:r w:rsidRPr="005269E6">
          <w:rPr>
            <w:rStyle w:val="Hyperlink"/>
            <w:rFonts w:hint="cs"/>
            <w:rtl/>
          </w:rPr>
          <w:t>م</w:t>
        </w:r>
        <w:r w:rsidRPr="005269E6">
          <w:rPr>
            <w:rStyle w:val="Hyperlink"/>
            <w:rtl/>
          </w:rPr>
          <w:t xml:space="preserve">ادة </w:t>
        </w:r>
        <w:r w:rsidRPr="005269E6">
          <w:rPr>
            <w:rStyle w:val="Hyperlink"/>
            <w:lang w:bidi="ar-SY"/>
          </w:rPr>
          <w:t>30</w:t>
        </w:r>
      </w:hyperlink>
      <w:r w:rsidRPr="005269E6">
        <w:rPr>
          <w:rtl/>
        </w:rPr>
        <w:t xml:space="preserve"> من اللوائح </w:t>
      </w:r>
      <w:r w:rsidRPr="005269E6">
        <w:rPr>
          <w:rFonts w:hint="cs"/>
          <w:rtl/>
        </w:rPr>
        <w:t>المالية</w:t>
      </w:r>
      <w:r w:rsidRPr="005269E6">
        <w:rPr>
          <w:rtl/>
        </w:rPr>
        <w:t xml:space="preserve"> </w:t>
      </w:r>
      <w:r w:rsidRPr="005269E6">
        <w:rPr>
          <w:rFonts w:hint="cs"/>
          <w:rtl/>
        </w:rPr>
        <w:t>للاتحاد</w:t>
      </w:r>
      <w:r w:rsidRPr="005269E6">
        <w:rPr>
          <w:rtl/>
        </w:rPr>
        <w:t>،</w:t>
      </w:r>
    </w:p>
    <w:p w14:paraId="7FD3457B" w14:textId="77777777" w:rsidR="00C543C6" w:rsidRPr="005269E6" w:rsidRDefault="00C543C6" w:rsidP="00C543C6">
      <w:pPr>
        <w:pStyle w:val="Call"/>
        <w:ind w:left="1928"/>
        <w:rPr>
          <w:rtl/>
        </w:rPr>
      </w:pPr>
      <w:r w:rsidRPr="005269E6">
        <w:rPr>
          <w:rFonts w:hint="cs"/>
          <w:rtl/>
        </w:rPr>
        <w:t>وقد</w:t>
      </w:r>
      <w:r w:rsidRPr="005269E6">
        <w:rPr>
          <w:rtl/>
        </w:rPr>
        <w:t xml:space="preserve"> اط</w:t>
      </w:r>
      <w:r w:rsidRPr="005269E6">
        <w:rPr>
          <w:rFonts w:hint="cs"/>
          <w:rtl/>
        </w:rPr>
        <w:t>ّ</w:t>
      </w:r>
      <w:r w:rsidRPr="005269E6">
        <w:rPr>
          <w:rtl/>
        </w:rPr>
        <w:t>لع على</w:t>
      </w:r>
    </w:p>
    <w:p w14:paraId="671D8055" w14:textId="4FDDAFFE" w:rsidR="00C543C6" w:rsidRPr="005269E6" w:rsidRDefault="00C543C6" w:rsidP="00C543C6">
      <w:pPr>
        <w:rPr>
          <w:rtl/>
        </w:rPr>
      </w:pPr>
      <w:r w:rsidRPr="005269E6">
        <w:rPr>
          <w:rtl/>
        </w:rPr>
        <w:t xml:space="preserve">تقرير الإدارة </w:t>
      </w:r>
      <w:r w:rsidRPr="005269E6">
        <w:rPr>
          <w:rFonts w:hint="cs"/>
          <w:rtl/>
        </w:rPr>
        <w:t>المالية</w:t>
      </w:r>
      <w:r w:rsidRPr="005269E6">
        <w:rPr>
          <w:rtl/>
        </w:rPr>
        <w:t xml:space="preserve"> </w:t>
      </w:r>
      <w:r w:rsidRPr="005269E6">
        <w:rPr>
          <w:rFonts w:hint="cs"/>
          <w:rtl/>
        </w:rPr>
        <w:t>للسنة</w:t>
      </w:r>
      <w:r w:rsidRPr="005269E6">
        <w:rPr>
          <w:rtl/>
        </w:rPr>
        <w:t xml:space="preserve"> </w:t>
      </w:r>
      <w:r w:rsidRPr="005269E6">
        <w:rPr>
          <w:rFonts w:hint="cs"/>
          <w:rtl/>
        </w:rPr>
        <w:t>المالية</w:t>
      </w:r>
      <w:r w:rsidRPr="005269E6">
        <w:rPr>
          <w:rtl/>
        </w:rPr>
        <w:t xml:space="preserve"> </w:t>
      </w:r>
      <w:r w:rsidR="00416F34" w:rsidRPr="005269E6">
        <w:rPr>
          <w:lang w:bidi="ar-SY"/>
        </w:rPr>
        <w:t>2022</w:t>
      </w:r>
      <w:r w:rsidRPr="005269E6">
        <w:rPr>
          <w:rFonts w:hint="cs"/>
          <w:rtl/>
          <w:lang w:bidi="ar-SY"/>
        </w:rPr>
        <w:t xml:space="preserve"> </w:t>
      </w:r>
      <w:r w:rsidRPr="005269E6">
        <w:rPr>
          <w:rtl/>
        </w:rPr>
        <w:t xml:space="preserve">التي تتضمن </w:t>
      </w:r>
      <w:r w:rsidRPr="005269E6">
        <w:rPr>
          <w:rFonts w:hint="cs"/>
          <w:rtl/>
        </w:rPr>
        <w:t>الحسابات</w:t>
      </w:r>
      <w:r w:rsidRPr="005269E6">
        <w:rPr>
          <w:rtl/>
        </w:rPr>
        <w:t xml:space="preserve"> </w:t>
      </w:r>
      <w:r w:rsidRPr="005269E6">
        <w:rPr>
          <w:rFonts w:hint="cs"/>
          <w:rtl/>
        </w:rPr>
        <w:t>المراجعة</w:t>
      </w:r>
      <w:r w:rsidRPr="005269E6">
        <w:rPr>
          <w:rtl/>
        </w:rPr>
        <w:t xml:space="preserve"> لل</w:t>
      </w:r>
      <w:r w:rsidRPr="005269E6">
        <w:rPr>
          <w:rFonts w:hint="cs"/>
          <w:rtl/>
        </w:rPr>
        <w:t>سنة</w:t>
      </w:r>
      <w:r w:rsidRPr="005269E6">
        <w:rPr>
          <w:rtl/>
        </w:rPr>
        <w:t xml:space="preserve"> </w:t>
      </w:r>
      <w:r w:rsidRPr="005269E6">
        <w:rPr>
          <w:rFonts w:hint="cs"/>
          <w:rtl/>
        </w:rPr>
        <w:t>المالية </w:t>
      </w:r>
      <w:r w:rsidR="00D1787B" w:rsidRPr="005269E6">
        <w:rPr>
          <w:lang w:bidi="ar-SY"/>
        </w:rPr>
        <w:t>2022</w:t>
      </w:r>
      <w:r w:rsidRPr="005269E6">
        <w:rPr>
          <w:rFonts w:hint="cs"/>
          <w:rtl/>
          <w:lang w:bidi="ar-SY"/>
        </w:rPr>
        <w:t xml:space="preserve"> </w:t>
      </w:r>
      <w:r w:rsidRPr="005269E6">
        <w:rPr>
          <w:rFonts w:hint="cs"/>
          <w:rtl/>
        </w:rPr>
        <w:t>لميزانية</w:t>
      </w:r>
      <w:r w:rsidRPr="005269E6">
        <w:rPr>
          <w:rtl/>
        </w:rPr>
        <w:t xml:space="preserve"> الا</w:t>
      </w:r>
      <w:r w:rsidRPr="005269E6">
        <w:rPr>
          <w:rFonts w:hint="cs"/>
          <w:rtl/>
        </w:rPr>
        <w:t>تح</w:t>
      </w:r>
      <w:r w:rsidRPr="005269E6">
        <w:rPr>
          <w:rtl/>
        </w:rPr>
        <w:t>اد</w:t>
      </w:r>
      <w:r w:rsidR="00D1787B" w:rsidRPr="005269E6">
        <w:rPr>
          <w:rFonts w:hint="cs"/>
          <w:rtl/>
          <w:lang w:bidi="ar-SY"/>
        </w:rPr>
        <w:t xml:space="preserve">، </w:t>
      </w:r>
      <w:r w:rsidRPr="005269E6">
        <w:rPr>
          <w:rFonts w:hint="cs"/>
          <w:rtl/>
        </w:rPr>
        <w:t>والحسابات</w:t>
      </w:r>
      <w:r w:rsidRPr="005269E6">
        <w:rPr>
          <w:rtl/>
        </w:rPr>
        <w:t xml:space="preserve"> </w:t>
      </w:r>
      <w:r w:rsidRPr="005269E6">
        <w:rPr>
          <w:rFonts w:hint="cs"/>
          <w:rtl/>
        </w:rPr>
        <w:t>المراجعة</w:t>
      </w:r>
      <w:r w:rsidRPr="005269E6">
        <w:rPr>
          <w:rtl/>
        </w:rPr>
        <w:t xml:space="preserve"> لعام </w:t>
      </w:r>
      <w:r w:rsidR="00D1787B" w:rsidRPr="005269E6">
        <w:rPr>
          <w:lang w:bidi="ar-SY"/>
        </w:rPr>
        <w:t>2021</w:t>
      </w:r>
      <w:r w:rsidR="0030049A" w:rsidRPr="005269E6">
        <w:rPr>
          <w:rFonts w:hint="cs"/>
          <w:rtl/>
          <w:lang w:bidi="ar-SY"/>
        </w:rPr>
        <w:t xml:space="preserve"> </w:t>
      </w:r>
      <w:r w:rsidRPr="005269E6">
        <w:rPr>
          <w:rFonts w:hint="cs"/>
          <w:rtl/>
        </w:rPr>
        <w:t>لمشاريع</w:t>
      </w:r>
      <w:r w:rsidRPr="005269E6">
        <w:rPr>
          <w:rtl/>
        </w:rPr>
        <w:t xml:space="preserve"> التعاون التقني و</w:t>
      </w:r>
      <w:r w:rsidRPr="005269E6">
        <w:rPr>
          <w:rFonts w:hint="cs"/>
          <w:rtl/>
          <w:lang w:bidi="ar-EG"/>
        </w:rPr>
        <w:t>ال</w:t>
      </w:r>
      <w:r w:rsidRPr="005269E6">
        <w:rPr>
          <w:rFonts w:hint="cs"/>
          <w:rtl/>
        </w:rPr>
        <w:t>مساهمات</w:t>
      </w:r>
      <w:r w:rsidRPr="005269E6">
        <w:rPr>
          <w:rtl/>
        </w:rPr>
        <w:t xml:space="preserve"> الطوعية وصندوق التأمينات </w:t>
      </w:r>
      <w:r w:rsidRPr="005269E6">
        <w:rPr>
          <w:rFonts w:hint="cs"/>
          <w:rtl/>
        </w:rPr>
        <w:t>لموظفي</w:t>
      </w:r>
      <w:r w:rsidRPr="005269E6">
        <w:rPr>
          <w:rtl/>
        </w:rPr>
        <w:t xml:space="preserve"> </w:t>
      </w:r>
      <w:r w:rsidRPr="005269E6">
        <w:rPr>
          <w:rFonts w:hint="cs"/>
          <w:rtl/>
        </w:rPr>
        <w:t>الاتحاد</w:t>
      </w:r>
      <w:r w:rsidRPr="005269E6">
        <w:rPr>
          <w:rtl/>
        </w:rPr>
        <w:t>،</w:t>
      </w:r>
    </w:p>
    <w:p w14:paraId="71D1386F" w14:textId="77777777" w:rsidR="00C543C6" w:rsidRPr="005269E6" w:rsidRDefault="00C543C6" w:rsidP="00C543C6">
      <w:pPr>
        <w:pStyle w:val="Call"/>
        <w:ind w:left="1928"/>
        <w:rPr>
          <w:rtl/>
        </w:rPr>
      </w:pPr>
      <w:r w:rsidRPr="005269E6">
        <w:rPr>
          <w:rFonts w:hint="cs"/>
          <w:rtl/>
        </w:rPr>
        <w:t>وقد أخذ علماً</w:t>
      </w:r>
    </w:p>
    <w:p w14:paraId="026EE853" w14:textId="38E3BB96" w:rsidR="00C543C6" w:rsidRPr="005269E6" w:rsidRDefault="00C543C6" w:rsidP="00C543C6">
      <w:pPr>
        <w:rPr>
          <w:rtl/>
          <w:lang w:bidi="ar-EG"/>
        </w:rPr>
      </w:pPr>
      <w:r w:rsidRPr="005269E6">
        <w:rPr>
          <w:rFonts w:hint="cs"/>
          <w:rtl/>
        </w:rPr>
        <w:t>ب</w:t>
      </w:r>
      <w:r w:rsidRPr="005269E6">
        <w:rPr>
          <w:rtl/>
        </w:rPr>
        <w:t xml:space="preserve">تقارير المراجع الخارجي </w:t>
      </w:r>
      <w:r w:rsidRPr="005269E6">
        <w:rPr>
          <w:rFonts w:hint="cs"/>
          <w:rtl/>
        </w:rPr>
        <w:t>ال</w:t>
      </w:r>
      <w:r w:rsidRPr="005269E6">
        <w:rPr>
          <w:rtl/>
        </w:rPr>
        <w:t xml:space="preserve">معروضة في </w:t>
      </w:r>
      <w:r w:rsidRPr="005269E6">
        <w:rPr>
          <w:rFonts w:hint="cs"/>
          <w:rtl/>
        </w:rPr>
        <w:t xml:space="preserve">الوثيقة </w:t>
      </w:r>
      <w:hyperlink r:id="rId37" w:history="1">
        <w:r w:rsidRPr="00F95576">
          <w:rPr>
            <w:rStyle w:val="Hyperlink"/>
          </w:rPr>
          <w:t>C2</w:t>
        </w:r>
        <w:r w:rsidR="0030049A" w:rsidRPr="00F95576">
          <w:rPr>
            <w:rStyle w:val="Hyperlink"/>
          </w:rPr>
          <w:t>4/</w:t>
        </w:r>
        <w:r w:rsidR="00F95576" w:rsidRPr="00F95576">
          <w:rPr>
            <w:rStyle w:val="Hyperlink"/>
          </w:rPr>
          <w:t>41</w:t>
        </w:r>
      </w:hyperlink>
      <w:r w:rsidRPr="005269E6">
        <w:rPr>
          <w:rFonts w:hint="cs"/>
          <w:rtl/>
          <w:lang w:bidi="ar-EG"/>
        </w:rPr>
        <w:t>،</w:t>
      </w:r>
    </w:p>
    <w:p w14:paraId="73D35E23" w14:textId="77777777" w:rsidR="00C543C6" w:rsidRPr="005269E6" w:rsidRDefault="00C543C6" w:rsidP="00C543C6">
      <w:pPr>
        <w:pStyle w:val="Call"/>
        <w:ind w:left="1928"/>
        <w:rPr>
          <w:rtl/>
        </w:rPr>
      </w:pPr>
      <w:r w:rsidRPr="005269E6">
        <w:rPr>
          <w:rtl/>
        </w:rPr>
        <w:t>يقـرر</w:t>
      </w:r>
    </w:p>
    <w:p w14:paraId="5209C408" w14:textId="6C999FAD" w:rsidR="004A6CCE" w:rsidRPr="005269E6" w:rsidRDefault="004A6CCE" w:rsidP="004A6CCE">
      <w:pPr>
        <w:rPr>
          <w:rtl/>
        </w:rPr>
      </w:pPr>
      <w:r w:rsidRPr="005269E6">
        <w:rPr>
          <w:rtl/>
        </w:rPr>
        <w:t>أن يوافق على تقرير الإدارة ا</w:t>
      </w:r>
      <w:r w:rsidRPr="005269E6">
        <w:rPr>
          <w:rFonts w:hint="cs"/>
          <w:rtl/>
        </w:rPr>
        <w:t>ل</w:t>
      </w:r>
      <w:r w:rsidRPr="005269E6">
        <w:rPr>
          <w:rtl/>
        </w:rPr>
        <w:t>مالية لل</w:t>
      </w:r>
      <w:r w:rsidRPr="005269E6">
        <w:rPr>
          <w:rFonts w:hint="cs"/>
          <w:rtl/>
        </w:rPr>
        <w:t>سنة</w:t>
      </w:r>
      <w:r w:rsidRPr="005269E6">
        <w:rPr>
          <w:rtl/>
        </w:rPr>
        <w:t xml:space="preserve"> المالية </w:t>
      </w:r>
      <w:r w:rsidRPr="005269E6">
        <w:rPr>
          <w:rFonts w:hint="cs"/>
          <w:rtl/>
          <w:lang w:bidi="ar-SY"/>
        </w:rPr>
        <w:t>2022</w:t>
      </w:r>
      <w:r w:rsidRPr="005269E6">
        <w:rPr>
          <w:rtl/>
        </w:rPr>
        <w:t xml:space="preserve"> </w:t>
      </w:r>
      <w:r w:rsidRPr="005269E6">
        <w:rPr>
          <w:rFonts w:hint="cs"/>
          <w:rtl/>
        </w:rPr>
        <w:t xml:space="preserve">(الوثيقة </w:t>
      </w:r>
      <w:hyperlink r:id="rId38" w:history="1">
        <w:r w:rsidRPr="00F95576">
          <w:rPr>
            <w:rStyle w:val="Hyperlink"/>
          </w:rPr>
          <w:t>C2</w:t>
        </w:r>
        <w:r w:rsidR="0030049A" w:rsidRPr="00F95576">
          <w:rPr>
            <w:rStyle w:val="Hyperlink"/>
          </w:rPr>
          <w:t>4</w:t>
        </w:r>
        <w:r w:rsidRPr="00F95576">
          <w:rPr>
            <w:rStyle w:val="Hyperlink"/>
          </w:rPr>
          <w:t>/</w:t>
        </w:r>
        <w:r w:rsidR="00F95576" w:rsidRPr="00F95576">
          <w:rPr>
            <w:rStyle w:val="Hyperlink"/>
          </w:rPr>
          <w:t>40</w:t>
        </w:r>
      </w:hyperlink>
      <w:hyperlink r:id="rId39" w:history="1"/>
      <w:r w:rsidRPr="005269E6">
        <w:rPr>
          <w:rtl/>
        </w:rPr>
        <w:t>) الذي يغطي الحسابات المراجعة للاتحاد</w:t>
      </w:r>
      <w:r w:rsidRPr="005269E6">
        <w:rPr>
          <w:rFonts w:hint="cs"/>
          <w:rtl/>
        </w:rPr>
        <w:t>،</w:t>
      </w:r>
      <w:r w:rsidRPr="005269E6">
        <w:rPr>
          <w:rtl/>
        </w:rPr>
        <w:t xml:space="preserve"> </w:t>
      </w:r>
      <w:r w:rsidRPr="005269E6">
        <w:rPr>
          <w:rFonts w:hint="cs"/>
          <w:rtl/>
        </w:rPr>
        <w:t>والحسابات</w:t>
      </w:r>
      <w:r w:rsidRPr="005269E6">
        <w:rPr>
          <w:rtl/>
        </w:rPr>
        <w:t xml:space="preserve"> المراجعة للأموال من خارج الميزانية،</w:t>
      </w:r>
      <w:r w:rsidRPr="005269E6">
        <w:rPr>
          <w:rFonts w:hint="cs"/>
          <w:rtl/>
        </w:rPr>
        <w:t xml:space="preserve"> </w:t>
      </w:r>
      <w:r w:rsidRPr="005269E6">
        <w:rPr>
          <w:rtl/>
        </w:rPr>
        <w:t>وصندوق التأمينات لموظفي</w:t>
      </w:r>
      <w:r w:rsidRPr="005269E6">
        <w:rPr>
          <w:rFonts w:hint="eastAsia"/>
          <w:rtl/>
          <w:lang w:bidi="ar-SY"/>
        </w:rPr>
        <w:t> </w:t>
      </w:r>
      <w:r w:rsidRPr="005269E6">
        <w:rPr>
          <w:rFonts w:hint="cs"/>
          <w:rtl/>
        </w:rPr>
        <w:t>الاتحاد</w:t>
      </w:r>
      <w:r w:rsidRPr="005269E6">
        <w:rPr>
          <w:rtl/>
        </w:rPr>
        <w:t xml:space="preserve"> لعام 2022.</w:t>
      </w:r>
    </w:p>
    <w:bookmarkEnd w:id="734"/>
    <w:bookmarkEnd w:id="735"/>
    <w:bookmarkEnd w:id="736"/>
    <w:bookmarkEnd w:id="737"/>
    <w:bookmarkEnd w:id="738"/>
    <w:bookmarkEnd w:id="739"/>
    <w:bookmarkEnd w:id="740"/>
    <w:bookmarkEnd w:id="741"/>
    <w:bookmarkEnd w:id="742"/>
    <w:p w14:paraId="664A52FC" w14:textId="234834FA" w:rsidR="00F50E3F" w:rsidRDefault="00283B72" w:rsidP="00283B72">
      <w:pPr>
        <w:spacing w:before="600"/>
        <w:jc w:val="center"/>
        <w:rPr>
          <w:lang w:bidi="ar-SY"/>
        </w:rPr>
      </w:pPr>
      <w:r w:rsidRPr="005269E6">
        <w:rPr>
          <w:rFonts w:hint="cs"/>
          <w:rtl/>
          <w:lang w:bidi="ar-SY"/>
        </w:rPr>
        <w:t>ــــــــــــــــــــــــــــــــــــــــــــــــــــــــــــــــــــــــــــــــــــــــــــــ</w:t>
      </w:r>
    </w:p>
    <w:sectPr w:rsidR="00F50E3F" w:rsidSect="00DF0C9F">
      <w:headerReference w:type="even" r:id="rId40"/>
      <w:headerReference w:type="default" r:id="rId41"/>
      <w:footerReference w:type="even" r:id="rId42"/>
      <w:footerReference w:type="default" r:id="rId43"/>
      <w:headerReference w:type="first" r:id="rId44"/>
      <w:footerReference w:type="first" r:id="rId4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A852" w14:textId="77777777" w:rsidR="00C472F2" w:rsidRDefault="00C472F2" w:rsidP="006C3242">
      <w:pPr>
        <w:spacing w:before="0" w:line="240" w:lineRule="auto"/>
      </w:pPr>
      <w:r>
        <w:separator/>
      </w:r>
    </w:p>
  </w:endnote>
  <w:endnote w:type="continuationSeparator" w:id="0">
    <w:p w14:paraId="21EC18CF" w14:textId="77777777" w:rsidR="00C472F2" w:rsidRDefault="00C472F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95576" w:rsidRPr="00F95576" w14:paraId="3260C56A" w14:textId="77777777" w:rsidTr="006B1849">
      <w:trPr>
        <w:jc w:val="center"/>
      </w:trPr>
      <w:tc>
        <w:tcPr>
          <w:tcW w:w="868" w:type="pct"/>
          <w:vAlign w:val="center"/>
        </w:tcPr>
        <w:p w14:paraId="52C7F28E" w14:textId="62607C8B" w:rsidR="00F95576" w:rsidRPr="00F95576" w:rsidRDefault="00F95576" w:rsidP="00F95576">
          <w:pPr>
            <w:pStyle w:val="Footer"/>
            <w:tabs>
              <w:tab w:val="center" w:pos="5103"/>
              <w:tab w:val="right" w:pos="9639"/>
            </w:tabs>
            <w:rPr>
              <w:sz w:val="16"/>
              <w:szCs w:val="16"/>
            </w:rPr>
          </w:pPr>
        </w:p>
      </w:tc>
      <w:tc>
        <w:tcPr>
          <w:tcW w:w="3912" w:type="pct"/>
        </w:tcPr>
        <w:p w14:paraId="5BB112FE" w14:textId="1FE6553B" w:rsidR="00F95576" w:rsidRPr="00F95576" w:rsidRDefault="00F95576" w:rsidP="00F95576">
          <w:pPr>
            <w:pStyle w:val="Footer"/>
            <w:tabs>
              <w:tab w:val="center" w:pos="5103"/>
            </w:tabs>
            <w:rPr>
              <w:b/>
              <w:bCs/>
              <w:color w:val="808080" w:themeColor="background1" w:themeShade="80"/>
              <w:sz w:val="16"/>
              <w:szCs w:val="16"/>
            </w:rPr>
          </w:pPr>
          <w:r w:rsidRPr="00F95576">
            <w:rPr>
              <w:bCs/>
              <w:color w:val="808080" w:themeColor="background1" w:themeShade="80"/>
              <w:sz w:val="16"/>
              <w:szCs w:val="16"/>
            </w:rPr>
            <w:t>C24/</w:t>
          </w:r>
          <w:r w:rsidRPr="00F95576">
            <w:rPr>
              <w:bCs/>
              <w:color w:val="808080" w:themeColor="background1" w:themeShade="80"/>
              <w:sz w:val="16"/>
              <w:szCs w:val="16"/>
            </w:rPr>
            <w:t>40</w:t>
          </w:r>
          <w:r w:rsidRPr="00F95576">
            <w:rPr>
              <w:bCs/>
              <w:color w:val="808080" w:themeColor="background1" w:themeShade="80"/>
              <w:sz w:val="16"/>
              <w:szCs w:val="16"/>
            </w:rPr>
            <w:t>-A</w:t>
          </w:r>
        </w:p>
      </w:tc>
      <w:tc>
        <w:tcPr>
          <w:tcW w:w="220" w:type="pct"/>
        </w:tcPr>
        <w:p w14:paraId="33327935" w14:textId="77777777" w:rsidR="00F95576" w:rsidRPr="00F95576" w:rsidRDefault="00F95576" w:rsidP="00F95576">
          <w:pPr>
            <w:pStyle w:val="Footer"/>
            <w:tabs>
              <w:tab w:val="center" w:pos="5103"/>
            </w:tabs>
            <w:rPr>
              <w:bCs/>
              <w:color w:val="808080" w:themeColor="background1" w:themeShade="80"/>
              <w:sz w:val="16"/>
              <w:szCs w:val="16"/>
            </w:rPr>
          </w:pPr>
          <w:r w:rsidRPr="00F95576">
            <w:rPr>
              <w:color w:val="808080" w:themeColor="background1" w:themeShade="80"/>
              <w:sz w:val="16"/>
              <w:szCs w:val="16"/>
            </w:rPr>
            <w:fldChar w:fldCharType="begin"/>
          </w:r>
          <w:r w:rsidRPr="00F95576">
            <w:rPr>
              <w:color w:val="808080" w:themeColor="background1" w:themeShade="80"/>
              <w:sz w:val="16"/>
              <w:szCs w:val="16"/>
            </w:rPr>
            <w:instrText>PAGE</w:instrText>
          </w:r>
          <w:r w:rsidRPr="00F95576">
            <w:rPr>
              <w:color w:val="808080" w:themeColor="background1" w:themeShade="80"/>
              <w:sz w:val="16"/>
              <w:szCs w:val="16"/>
            </w:rPr>
            <w:fldChar w:fldCharType="separate"/>
          </w:r>
          <w:r w:rsidRPr="00F95576">
            <w:rPr>
              <w:color w:val="808080" w:themeColor="background1" w:themeShade="80"/>
              <w:sz w:val="16"/>
              <w:szCs w:val="16"/>
            </w:rPr>
            <w:t>1</w:t>
          </w:r>
          <w:r w:rsidRPr="00F95576">
            <w:rPr>
              <w:color w:val="808080" w:themeColor="background1" w:themeShade="80"/>
              <w:sz w:val="16"/>
              <w:szCs w:val="16"/>
              <w:lang w:val="fr-FR"/>
            </w:rPr>
            <w:fldChar w:fldCharType="end"/>
          </w:r>
        </w:p>
      </w:tc>
    </w:tr>
  </w:tbl>
  <w:p w14:paraId="5C1EE2AB" w14:textId="16CE5BF4" w:rsidR="00A30219" w:rsidRPr="0026373E" w:rsidRDefault="00A30219" w:rsidP="00F95576">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95576" w:rsidRPr="00F95576" w14:paraId="7C3A7E56" w14:textId="77777777" w:rsidTr="006B1849">
      <w:trPr>
        <w:jc w:val="center"/>
      </w:trPr>
      <w:tc>
        <w:tcPr>
          <w:tcW w:w="868" w:type="pct"/>
          <w:vAlign w:val="center"/>
        </w:tcPr>
        <w:p w14:paraId="2F611020" w14:textId="0AB72F58" w:rsidR="00F95576" w:rsidRPr="00F95576" w:rsidRDefault="00F95576" w:rsidP="00F95576">
          <w:pPr>
            <w:pStyle w:val="Footer"/>
            <w:tabs>
              <w:tab w:val="center" w:pos="5103"/>
              <w:tab w:val="right" w:pos="9639"/>
            </w:tabs>
            <w:rPr>
              <w:color w:val="0563C1"/>
              <w:sz w:val="16"/>
              <w:szCs w:val="16"/>
            </w:rPr>
          </w:pPr>
          <w:r w:rsidRPr="00F95576">
            <w:rPr>
              <w:color w:val="0563C1"/>
              <w:sz w:val="16"/>
              <w:szCs w:val="16"/>
            </w:rPr>
            <w:t>www.itu.int/council</w:t>
          </w:r>
        </w:p>
      </w:tc>
      <w:tc>
        <w:tcPr>
          <w:tcW w:w="3912" w:type="pct"/>
        </w:tcPr>
        <w:p w14:paraId="39B455EC" w14:textId="7658E5DF" w:rsidR="00F95576" w:rsidRPr="00F95576" w:rsidRDefault="00F95576" w:rsidP="00F95576">
          <w:pPr>
            <w:pStyle w:val="Footer"/>
            <w:tabs>
              <w:tab w:val="center" w:pos="5103"/>
            </w:tabs>
            <w:rPr>
              <w:b/>
              <w:bCs/>
              <w:color w:val="808080" w:themeColor="background1" w:themeShade="80"/>
              <w:sz w:val="16"/>
              <w:szCs w:val="16"/>
            </w:rPr>
          </w:pPr>
          <w:r w:rsidRPr="00F95576">
            <w:rPr>
              <w:bCs/>
              <w:color w:val="808080" w:themeColor="background1" w:themeShade="80"/>
              <w:sz w:val="16"/>
              <w:szCs w:val="16"/>
            </w:rPr>
            <w:t>C24/</w:t>
          </w:r>
          <w:r w:rsidRPr="00F95576">
            <w:rPr>
              <w:bCs/>
              <w:color w:val="808080" w:themeColor="background1" w:themeShade="80"/>
              <w:sz w:val="16"/>
              <w:szCs w:val="16"/>
            </w:rPr>
            <w:t>40</w:t>
          </w:r>
          <w:r w:rsidRPr="00F95576">
            <w:rPr>
              <w:bCs/>
              <w:color w:val="808080" w:themeColor="background1" w:themeShade="80"/>
              <w:sz w:val="16"/>
              <w:szCs w:val="16"/>
            </w:rPr>
            <w:t>-A</w:t>
          </w:r>
        </w:p>
      </w:tc>
      <w:tc>
        <w:tcPr>
          <w:tcW w:w="220" w:type="pct"/>
        </w:tcPr>
        <w:p w14:paraId="5650FE59" w14:textId="77777777" w:rsidR="00F95576" w:rsidRPr="00F95576" w:rsidRDefault="00F95576" w:rsidP="00F95576">
          <w:pPr>
            <w:pStyle w:val="Footer"/>
            <w:tabs>
              <w:tab w:val="center" w:pos="5103"/>
            </w:tabs>
            <w:rPr>
              <w:bCs/>
              <w:color w:val="808080" w:themeColor="background1" w:themeShade="80"/>
              <w:sz w:val="16"/>
              <w:szCs w:val="16"/>
            </w:rPr>
          </w:pPr>
          <w:r w:rsidRPr="00F95576">
            <w:rPr>
              <w:color w:val="808080" w:themeColor="background1" w:themeShade="80"/>
              <w:sz w:val="16"/>
              <w:szCs w:val="16"/>
            </w:rPr>
            <w:fldChar w:fldCharType="begin"/>
          </w:r>
          <w:r w:rsidRPr="00F95576">
            <w:rPr>
              <w:color w:val="808080" w:themeColor="background1" w:themeShade="80"/>
              <w:sz w:val="16"/>
              <w:szCs w:val="16"/>
            </w:rPr>
            <w:instrText>PAGE</w:instrText>
          </w:r>
          <w:r w:rsidRPr="00F95576">
            <w:rPr>
              <w:color w:val="808080" w:themeColor="background1" w:themeShade="80"/>
              <w:sz w:val="16"/>
              <w:szCs w:val="16"/>
            </w:rPr>
            <w:fldChar w:fldCharType="separate"/>
          </w:r>
          <w:r w:rsidRPr="00F95576">
            <w:rPr>
              <w:color w:val="808080" w:themeColor="background1" w:themeShade="80"/>
              <w:sz w:val="16"/>
              <w:szCs w:val="16"/>
            </w:rPr>
            <w:t>1</w:t>
          </w:r>
          <w:r w:rsidRPr="00F95576">
            <w:rPr>
              <w:color w:val="808080" w:themeColor="background1" w:themeShade="80"/>
              <w:sz w:val="16"/>
              <w:szCs w:val="16"/>
              <w:lang w:val="fr-FR"/>
            </w:rPr>
            <w:fldChar w:fldCharType="end"/>
          </w:r>
        </w:p>
      </w:tc>
    </w:tr>
  </w:tbl>
  <w:p w14:paraId="20C487E9" w14:textId="2AAD0342" w:rsidR="00C543C6" w:rsidRPr="00F95576" w:rsidRDefault="00C543C6" w:rsidP="00F95576">
    <w:pPr>
      <w:pStyle w:val="Footer"/>
      <w:tabs>
        <w:tab w:val="clear" w:pos="4153"/>
        <w:tab w:val="clear" w:pos="8306"/>
        <w:tab w:val="center" w:pos="5103"/>
        <w:tab w:val="right" w:pos="9639"/>
      </w:tabs>
      <w:rPr>
        <w:sz w:val="14"/>
        <w:szCs w:val="14"/>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1396" w14:textId="77777777" w:rsidR="00387876" w:rsidRDefault="003878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3F88203C" w14:textId="77777777" w:rsidTr="00357086">
      <w:trPr>
        <w:jc w:val="center"/>
      </w:trPr>
      <w:tc>
        <w:tcPr>
          <w:tcW w:w="868" w:type="pct"/>
          <w:vAlign w:val="center"/>
        </w:tcPr>
        <w:p w14:paraId="5A18F412" w14:textId="35031F0A"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r w:rsidRPr="00F95576">
            <w:rPr>
              <w:rFonts w:ascii="Calibri" w:hAnsi="Calibri" w:cs="Arial"/>
              <w:color w:val="808080" w:themeColor="background1" w:themeShade="80"/>
              <w:sz w:val="18"/>
              <w:szCs w:val="14"/>
            </w:rPr>
            <w:t xml:space="preserve">DPS </w:t>
          </w:r>
          <w:r w:rsidR="00A30219" w:rsidRPr="00F95576">
            <w:rPr>
              <w:color w:val="808080" w:themeColor="background1" w:themeShade="80"/>
              <w:sz w:val="16"/>
              <w:szCs w:val="16"/>
              <w:lang w:val="fr-FR"/>
            </w:rPr>
            <w:t>534335</w:t>
          </w:r>
        </w:p>
      </w:tc>
      <w:tc>
        <w:tcPr>
          <w:tcW w:w="3912" w:type="pct"/>
        </w:tcPr>
        <w:p w14:paraId="0A582AC3" w14:textId="4621CB11" w:rsidR="00F50E3F" w:rsidRPr="007B0AA0" w:rsidRDefault="00A30219"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Pr>
              <w:rFonts w:ascii="Calibri" w:hAnsi="Calibri" w:cs="Arial"/>
              <w:bCs/>
              <w:color w:val="7F7F7F"/>
              <w:sz w:val="18"/>
            </w:rPr>
            <w:t>C24</w:t>
          </w:r>
          <w:r w:rsidR="00F50E3F" w:rsidRPr="007B0AA0">
            <w:rPr>
              <w:rFonts w:ascii="Calibri" w:hAnsi="Calibri" w:cs="Arial"/>
              <w:bCs/>
              <w:color w:val="7F7F7F"/>
              <w:sz w:val="18"/>
            </w:rPr>
            <w:t>/</w:t>
          </w:r>
          <w:r>
            <w:rPr>
              <w:rFonts w:ascii="Calibri" w:hAnsi="Calibri" w:cs="Arial"/>
              <w:bCs/>
              <w:color w:val="7F7F7F"/>
              <w:sz w:val="18"/>
            </w:rPr>
            <w:t>40</w:t>
          </w:r>
          <w:r w:rsidR="00F50E3F" w:rsidRPr="007B0AA0">
            <w:rPr>
              <w:rFonts w:ascii="Calibri" w:hAnsi="Calibri" w:cs="Arial"/>
              <w:bCs/>
              <w:color w:val="7F7F7F"/>
              <w:sz w:val="18"/>
            </w:rPr>
            <w:t>-</w:t>
          </w:r>
          <w:r w:rsidR="00F50E3F">
            <w:rPr>
              <w:rFonts w:ascii="Calibri" w:hAnsi="Calibri" w:cs="Arial"/>
              <w:bCs/>
              <w:color w:val="7F7F7F"/>
              <w:sz w:val="18"/>
            </w:rPr>
            <w:t>A</w:t>
          </w:r>
        </w:p>
      </w:tc>
      <w:tc>
        <w:tcPr>
          <w:tcW w:w="220" w:type="pct"/>
        </w:tcPr>
        <w:p w14:paraId="736D349B"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449766F" w14:textId="09F0BCB0" w:rsidR="00387876" w:rsidRPr="0026373E" w:rsidRDefault="00387876" w:rsidP="00F95576">
    <w:pPr>
      <w:pStyle w:val="Footer"/>
      <w:tabs>
        <w:tab w:val="clear" w:pos="4153"/>
        <w:tab w:val="clear" w:pos="8306"/>
        <w:tab w:val="center" w:pos="5103"/>
        <w:tab w:val="right" w:pos="9639"/>
      </w:tabs>
      <w:rPr>
        <w:sz w:val="16"/>
        <w:szCs w:val="16"/>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02085361" w14:textId="77777777" w:rsidTr="00F50E3F">
      <w:trPr>
        <w:jc w:val="center"/>
      </w:trPr>
      <w:tc>
        <w:tcPr>
          <w:tcW w:w="868" w:type="pct"/>
          <w:vAlign w:val="center"/>
        </w:tcPr>
        <w:p w14:paraId="3346F9BD" w14:textId="77777777" w:rsidR="007B0AA0" w:rsidRPr="007B0AA0" w:rsidRDefault="00F95576"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44E7A64B" w14:textId="77777777"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09186A">
            <w:rPr>
              <w:rFonts w:ascii="Calibri" w:hAnsi="Calibri" w:cs="Arial"/>
              <w:bCs/>
              <w:color w:val="7F7F7F"/>
              <w:sz w:val="18"/>
            </w:rPr>
            <w:t>-ADD</w:t>
          </w:r>
          <w:r w:rsidRPr="007B0AA0">
            <w:rPr>
              <w:rFonts w:ascii="Calibri" w:hAnsi="Calibri" w:cs="Arial"/>
              <w:bCs/>
              <w:color w:val="7F7F7F"/>
              <w:sz w:val="18"/>
            </w:rPr>
            <w:t>/xx-</w:t>
          </w:r>
          <w:r>
            <w:rPr>
              <w:rFonts w:ascii="Calibri" w:hAnsi="Calibri" w:cs="Arial"/>
              <w:bCs/>
              <w:color w:val="7F7F7F"/>
              <w:sz w:val="18"/>
            </w:rPr>
            <w:t>A</w:t>
          </w:r>
        </w:p>
      </w:tc>
      <w:tc>
        <w:tcPr>
          <w:tcW w:w="220" w:type="pct"/>
        </w:tcPr>
        <w:p w14:paraId="05E374E6"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4737015" w14:textId="67203404" w:rsidR="00387876" w:rsidRPr="0026373E" w:rsidRDefault="00387876" w:rsidP="00387876">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676A1">
      <w:rPr>
        <w:noProof/>
        <w:sz w:val="16"/>
        <w:szCs w:val="16"/>
        <w:lang w:val="fr-FR"/>
      </w:rPr>
      <w:t>https://ituint-my.sharepoint.com/personal/ahmad-alaa_almidani_itu_int/Documents/Desktop/C24-40/040A-Part 2 (Montage).docx</w:t>
    </w:r>
    <w:r w:rsidRPr="0026373E">
      <w:rPr>
        <w:sz w:val="16"/>
        <w:szCs w:val="16"/>
      </w:rPr>
      <w:fldChar w:fldCharType="end"/>
    </w:r>
    <w:r w:rsidRPr="00F0167C">
      <w:rPr>
        <w:sz w:val="16"/>
        <w:szCs w:val="16"/>
        <w:lang w:val="fr-CH"/>
      </w:rPr>
      <w:t xml:space="preserve">  </w:t>
    </w:r>
    <w:r w:rsidRPr="0026373E">
      <w:rPr>
        <w:sz w:val="16"/>
        <w:szCs w:val="16"/>
        <w:lang w:val="fr-FR"/>
      </w:rPr>
      <w:t xml:space="preserve"> (xxxxxx)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926C" w14:textId="77777777" w:rsidR="00C472F2" w:rsidRDefault="00C472F2" w:rsidP="006C3242">
      <w:pPr>
        <w:spacing w:before="0" w:line="240" w:lineRule="auto"/>
      </w:pPr>
      <w:r>
        <w:separator/>
      </w:r>
    </w:p>
  </w:footnote>
  <w:footnote w:type="continuationSeparator" w:id="0">
    <w:p w14:paraId="37B0959A" w14:textId="77777777" w:rsidR="00C472F2" w:rsidRDefault="00C472F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C257" w14:textId="77777777" w:rsidR="00834B83" w:rsidRPr="00601400" w:rsidRDefault="00834B83" w:rsidP="00A4465F">
    <w:pPr>
      <w:pStyle w:val="Header"/>
      <w:spacing w:line="192" w:lineRule="auto"/>
      <w:jc w:val="center"/>
      <w:rPr>
        <w:sz w:val="20"/>
        <w:szCs w:val="20"/>
      </w:rPr>
    </w:pPr>
    <w:r w:rsidRPr="00601400">
      <w:rPr>
        <w:sz w:val="20"/>
        <w:szCs w:val="20"/>
      </w:rPr>
      <w:t>- </w:t>
    </w:r>
    <w:sdt>
      <w:sdtPr>
        <w:rPr>
          <w:color w:val="2B579A"/>
          <w:sz w:val="20"/>
          <w:szCs w:val="20"/>
          <w:shd w:val="clear" w:color="auto" w:fill="E6E6E6"/>
          <w:rtl/>
        </w:rPr>
        <w:id w:val="440650193"/>
        <w:docPartObj>
          <w:docPartGallery w:val="Page Numbers (Top of Page)"/>
          <w:docPartUnique/>
        </w:docPartObj>
      </w:sdtPr>
      <w:sdtEndPr>
        <w:rPr>
          <w:noProof/>
        </w:rPr>
      </w:sdtEndPr>
      <w:sdtContent>
        <w:r w:rsidRPr="00601400">
          <w:rPr>
            <w:color w:val="2B579A"/>
            <w:sz w:val="20"/>
            <w:szCs w:val="20"/>
            <w:shd w:val="clear" w:color="auto" w:fill="E6E6E6"/>
          </w:rPr>
          <w:fldChar w:fldCharType="begin"/>
        </w:r>
        <w:r w:rsidRPr="00601400">
          <w:rPr>
            <w:sz w:val="20"/>
            <w:szCs w:val="20"/>
          </w:rPr>
          <w:instrText xml:space="preserve"> PAGE   \* MERGEFORMAT </w:instrText>
        </w:r>
        <w:r w:rsidRPr="00601400">
          <w:rPr>
            <w:color w:val="2B579A"/>
            <w:sz w:val="20"/>
            <w:szCs w:val="20"/>
            <w:shd w:val="clear" w:color="auto" w:fill="E6E6E6"/>
          </w:rPr>
          <w:fldChar w:fldCharType="separate"/>
        </w:r>
        <w:r>
          <w:rPr>
            <w:color w:val="2B579A"/>
            <w:sz w:val="20"/>
            <w:szCs w:val="20"/>
            <w:shd w:val="clear" w:color="auto" w:fill="E6E6E6"/>
          </w:rPr>
          <w:t>2</w:t>
        </w:r>
        <w:r w:rsidRPr="00601400">
          <w:rPr>
            <w:noProof/>
            <w:color w:val="2B579A"/>
            <w:sz w:val="20"/>
            <w:szCs w:val="20"/>
            <w:shd w:val="clear" w:color="auto" w:fill="E6E6E6"/>
          </w:rPr>
          <w:fldChar w:fldCharType="end"/>
        </w:r>
        <w:r w:rsidRPr="00601400">
          <w:rPr>
            <w:noProof/>
            <w:sz w:val="20"/>
            <w:szCs w:val="20"/>
          </w:rPr>
          <w:t> -</w:t>
        </w:r>
      </w:sdtContent>
    </w:sdt>
  </w:p>
  <w:p w14:paraId="34343AD4" w14:textId="4A7C64E8" w:rsidR="00834B83" w:rsidRPr="00601400" w:rsidRDefault="00A00F80" w:rsidP="00A4465F">
    <w:pPr>
      <w:spacing w:after="240"/>
      <w:jc w:val="center"/>
      <w:rPr>
        <w:sz w:val="20"/>
        <w:szCs w:val="20"/>
      </w:rPr>
    </w:pPr>
    <w:r w:rsidRPr="00A00F80">
      <w:rPr>
        <w:sz w:val="20"/>
        <w:szCs w:val="20"/>
        <w:rtl/>
        <w:lang w:bidi="ar-SY"/>
      </w:rPr>
      <w:t>تقرير التشغيل المالي السنوي والبيانات المالية</w:t>
    </w:r>
    <w:r w:rsidRPr="00A00F80">
      <w:rPr>
        <w:sz w:val="20"/>
        <w:szCs w:val="20"/>
        <w:rtl/>
      </w:rPr>
      <w:t xml:space="preserve"> </w:t>
    </w:r>
    <w:r w:rsidRPr="00A00F80">
      <w:rPr>
        <w:sz w:val="20"/>
        <w:szCs w:val="20"/>
        <w:rtl/>
        <w:lang w:bidi="ar-SY"/>
      </w:rPr>
      <w:t>للاتحاد لعام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CA81" w14:textId="77777777" w:rsidR="00834B83" w:rsidRDefault="00834B83" w:rsidP="00834B83">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28779AE5" wp14:editId="0F7E097A">
              <wp:simplePos x="0" y="0"/>
              <wp:positionH relativeFrom="page">
                <wp:posOffset>7450455</wp:posOffset>
              </wp:positionH>
              <wp:positionV relativeFrom="topMargin">
                <wp:posOffset>596949</wp:posOffset>
              </wp:positionV>
              <wp:extent cx="93600" cy="396000"/>
              <wp:effectExtent l="0" t="0" r="1905" b="4445"/>
              <wp:wrapNone/>
              <wp:docPr id="488923372" name="Rectangle 48892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029FF" id="Rectangle 488923372" o:spid="_x0000_s1026" style="position:absolute;margin-left:586.65pt;margin-top:47pt;width:7.35pt;height:3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Pr>
        <w:noProof/>
      </w:rPr>
      <w:drawing>
        <wp:inline distT="0" distB="0" distL="0" distR="0" wp14:anchorId="713E4F54" wp14:editId="7E764AB0">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9893" w14:textId="77777777" w:rsidR="00C543C6" w:rsidRDefault="00C543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5FB2" w14:textId="77777777" w:rsidR="00387876" w:rsidRDefault="003878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F374" w14:textId="77777777" w:rsidR="00834B83" w:rsidRPr="00601400" w:rsidRDefault="00834B83" w:rsidP="00834B83">
    <w:pPr>
      <w:pStyle w:val="Header"/>
      <w:spacing w:before="120" w:line="192" w:lineRule="auto"/>
      <w:jc w:val="center"/>
      <w:rPr>
        <w:sz w:val="20"/>
        <w:szCs w:val="20"/>
      </w:rPr>
    </w:pPr>
    <w:r w:rsidRPr="00601400">
      <w:rPr>
        <w:sz w:val="20"/>
        <w:szCs w:val="20"/>
      </w:rPr>
      <w:t>- </w:t>
    </w:r>
    <w:sdt>
      <w:sdtPr>
        <w:rPr>
          <w:color w:val="2B579A"/>
          <w:sz w:val="20"/>
          <w:szCs w:val="20"/>
          <w:shd w:val="clear" w:color="auto" w:fill="E6E6E6"/>
          <w:rtl/>
        </w:rPr>
        <w:id w:val="1891760982"/>
        <w:docPartObj>
          <w:docPartGallery w:val="Page Numbers (Top of Page)"/>
          <w:docPartUnique/>
        </w:docPartObj>
      </w:sdtPr>
      <w:sdtEndPr>
        <w:rPr>
          <w:noProof/>
        </w:rPr>
      </w:sdtEndPr>
      <w:sdtContent>
        <w:r w:rsidRPr="00601400">
          <w:rPr>
            <w:color w:val="2B579A"/>
            <w:sz w:val="20"/>
            <w:szCs w:val="20"/>
            <w:shd w:val="clear" w:color="auto" w:fill="E6E6E6"/>
          </w:rPr>
          <w:fldChar w:fldCharType="begin"/>
        </w:r>
        <w:r w:rsidRPr="00601400">
          <w:rPr>
            <w:sz w:val="20"/>
            <w:szCs w:val="20"/>
          </w:rPr>
          <w:instrText xml:space="preserve"> PAGE   \* MERGEFORMAT </w:instrText>
        </w:r>
        <w:r w:rsidRPr="00601400">
          <w:rPr>
            <w:color w:val="2B579A"/>
            <w:sz w:val="20"/>
            <w:szCs w:val="20"/>
            <w:shd w:val="clear" w:color="auto" w:fill="E6E6E6"/>
          </w:rPr>
          <w:fldChar w:fldCharType="separate"/>
        </w:r>
        <w:r>
          <w:rPr>
            <w:color w:val="2B579A"/>
            <w:sz w:val="20"/>
            <w:szCs w:val="20"/>
            <w:shd w:val="clear" w:color="auto" w:fill="E6E6E6"/>
          </w:rPr>
          <w:t>2</w:t>
        </w:r>
        <w:r w:rsidRPr="00601400">
          <w:rPr>
            <w:noProof/>
            <w:color w:val="2B579A"/>
            <w:sz w:val="20"/>
            <w:szCs w:val="20"/>
            <w:shd w:val="clear" w:color="auto" w:fill="E6E6E6"/>
          </w:rPr>
          <w:fldChar w:fldCharType="end"/>
        </w:r>
        <w:r w:rsidRPr="00601400">
          <w:rPr>
            <w:noProof/>
            <w:sz w:val="20"/>
            <w:szCs w:val="20"/>
          </w:rPr>
          <w:t> -</w:t>
        </w:r>
      </w:sdtContent>
    </w:sdt>
  </w:p>
  <w:p w14:paraId="25A17F43" w14:textId="77777777" w:rsidR="001826A7" w:rsidRPr="00601400" w:rsidRDefault="001826A7" w:rsidP="001826A7">
    <w:pPr>
      <w:spacing w:after="240"/>
      <w:jc w:val="center"/>
      <w:rPr>
        <w:sz w:val="20"/>
        <w:szCs w:val="20"/>
      </w:rPr>
    </w:pPr>
    <w:r w:rsidRPr="00A00F80">
      <w:rPr>
        <w:sz w:val="20"/>
        <w:szCs w:val="20"/>
        <w:rtl/>
        <w:lang w:bidi="ar-SY"/>
      </w:rPr>
      <w:t>تقرير التشغيل المالي السنوي والبيانات المالية</w:t>
    </w:r>
    <w:r w:rsidRPr="00A00F80">
      <w:rPr>
        <w:sz w:val="20"/>
        <w:szCs w:val="20"/>
        <w:rtl/>
      </w:rPr>
      <w:t xml:space="preserve"> </w:t>
    </w:r>
    <w:r w:rsidRPr="00A00F80">
      <w:rPr>
        <w:sz w:val="20"/>
        <w:szCs w:val="20"/>
        <w:rtl/>
        <w:lang w:bidi="ar-SY"/>
      </w:rPr>
      <w:t>للاتحاد لعام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349A"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CC4FED" wp14:editId="3E23246B">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6BB19"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D13941">
      <w:rPr>
        <w:noProof/>
      </w:rPr>
      <w:drawing>
        <wp:inline distT="0" distB="0" distL="0" distR="0" wp14:anchorId="6538F73C" wp14:editId="557194E2">
          <wp:extent cx="1907998" cy="5355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7998" cy="5355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6" w15:restartNumberingAfterBreak="0">
    <w:nsid w:val="205C1FC3"/>
    <w:multiLevelType w:val="hybridMultilevel"/>
    <w:tmpl w:val="9FCE5402"/>
    <w:lvl w:ilvl="0" w:tplc="A914E284">
      <w:start w:val="2"/>
      <w:numFmt w:val="bullet"/>
      <w:lvlText w:val="-"/>
      <w:lvlJc w:val="left"/>
      <w:pPr>
        <w:ind w:left="1152" w:hanging="360"/>
      </w:pPr>
      <w:rPr>
        <w:rFonts w:ascii="Dubai" w:eastAsiaTheme="minorEastAsia" w:hAnsi="Dubai" w:cs="Dubai" w:hint="default"/>
        <w:b/>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36E06285"/>
    <w:multiLevelType w:val="hybridMultilevel"/>
    <w:tmpl w:val="8C005E16"/>
    <w:lvl w:ilvl="0" w:tplc="D1F8BD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F44EDD"/>
    <w:multiLevelType w:val="hybridMultilevel"/>
    <w:tmpl w:val="C5F8663A"/>
    <w:lvl w:ilvl="0" w:tplc="B212F00C">
      <w:start w:val="1"/>
      <w:numFmt w:val="decimal"/>
      <w:lvlText w:val="%1."/>
      <w:lvlJc w:val="left"/>
      <w:pPr>
        <w:ind w:left="720" w:hanging="360"/>
      </w:pPr>
      <w:rPr>
        <w:rFonts w:hint="default"/>
      </w:rPr>
    </w:lvl>
    <w:lvl w:ilvl="1" w:tplc="977CF9C8" w:tentative="1">
      <w:start w:val="1"/>
      <w:numFmt w:val="lowerLetter"/>
      <w:lvlText w:val="%2."/>
      <w:lvlJc w:val="left"/>
      <w:pPr>
        <w:ind w:left="1440" w:hanging="360"/>
      </w:pPr>
    </w:lvl>
    <w:lvl w:ilvl="2" w:tplc="0480E49E" w:tentative="1">
      <w:start w:val="1"/>
      <w:numFmt w:val="lowerRoman"/>
      <w:lvlText w:val="%3."/>
      <w:lvlJc w:val="right"/>
      <w:pPr>
        <w:ind w:left="2160" w:hanging="180"/>
      </w:pPr>
    </w:lvl>
    <w:lvl w:ilvl="3" w:tplc="2820AFF6" w:tentative="1">
      <w:start w:val="1"/>
      <w:numFmt w:val="decimal"/>
      <w:lvlText w:val="%4."/>
      <w:lvlJc w:val="left"/>
      <w:pPr>
        <w:ind w:left="2880" w:hanging="360"/>
      </w:pPr>
    </w:lvl>
    <w:lvl w:ilvl="4" w:tplc="1B0848DA" w:tentative="1">
      <w:start w:val="1"/>
      <w:numFmt w:val="lowerLetter"/>
      <w:lvlText w:val="%5."/>
      <w:lvlJc w:val="left"/>
      <w:pPr>
        <w:ind w:left="3600" w:hanging="360"/>
      </w:pPr>
    </w:lvl>
    <w:lvl w:ilvl="5" w:tplc="69DCAEAC" w:tentative="1">
      <w:start w:val="1"/>
      <w:numFmt w:val="lowerRoman"/>
      <w:lvlText w:val="%6."/>
      <w:lvlJc w:val="right"/>
      <w:pPr>
        <w:ind w:left="4320" w:hanging="180"/>
      </w:pPr>
    </w:lvl>
    <w:lvl w:ilvl="6" w:tplc="75A25A48" w:tentative="1">
      <w:start w:val="1"/>
      <w:numFmt w:val="decimal"/>
      <w:lvlText w:val="%7."/>
      <w:lvlJc w:val="left"/>
      <w:pPr>
        <w:ind w:left="5040" w:hanging="360"/>
      </w:pPr>
    </w:lvl>
    <w:lvl w:ilvl="7" w:tplc="D2664226" w:tentative="1">
      <w:start w:val="1"/>
      <w:numFmt w:val="lowerLetter"/>
      <w:lvlText w:val="%8."/>
      <w:lvlJc w:val="left"/>
      <w:pPr>
        <w:ind w:left="5760" w:hanging="360"/>
      </w:pPr>
    </w:lvl>
    <w:lvl w:ilvl="8" w:tplc="F6B66C62" w:tentative="1">
      <w:start w:val="1"/>
      <w:numFmt w:val="lowerRoman"/>
      <w:lvlText w:val="%9."/>
      <w:lvlJc w:val="right"/>
      <w:pPr>
        <w:ind w:left="6480" w:hanging="180"/>
      </w:pPr>
    </w:lvl>
  </w:abstractNum>
  <w:abstractNum w:abstractNumId="21" w15:restartNumberingAfterBreak="0">
    <w:nsid w:val="5B4A679F"/>
    <w:multiLevelType w:val="hybridMultilevel"/>
    <w:tmpl w:val="354625E0"/>
    <w:lvl w:ilvl="0" w:tplc="07209748">
      <w:start w:val="11"/>
      <w:numFmt w:val="bullet"/>
      <w:lvlText w:val="-"/>
      <w:lvlJc w:val="left"/>
      <w:pPr>
        <w:ind w:left="408" w:hanging="360"/>
      </w:pPr>
      <w:rPr>
        <w:rFonts w:ascii="Dubai" w:eastAsia="Times New Roman" w:hAnsi="Dubai" w:cs="Duba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2"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6" w15:restartNumberingAfterBreak="0">
    <w:nsid w:val="7CAC2785"/>
    <w:multiLevelType w:val="hybridMultilevel"/>
    <w:tmpl w:val="11E4A8C4"/>
    <w:lvl w:ilvl="0" w:tplc="E9642C60">
      <w:start w:val="1"/>
      <w:numFmt w:val="decimal"/>
      <w:lvlText w:val="%1"/>
      <w:lvlJc w:val="left"/>
      <w:pPr>
        <w:ind w:left="570" w:hanging="570"/>
      </w:pPr>
      <w:rPr>
        <w:rFonts w:asciiTheme="minorHAnsi" w:hAnsiTheme="minorHAnsi" w:cstheme="minorHAnsi" w:hint="default"/>
        <w:b w:val="0"/>
        <w:bCs w:val="0"/>
        <w:strike w:val="0"/>
        <w:color w:val="auto"/>
        <w:sz w:val="24"/>
        <w:szCs w:val="24"/>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4"/>
  </w:num>
  <w:num w:numId="12" w16cid:durableId="1595356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6955373">
    <w:abstractNumId w:val="24"/>
  </w:num>
  <w:num w:numId="14" w16cid:durableId="232006311">
    <w:abstractNumId w:val="19"/>
  </w:num>
  <w:num w:numId="15" w16cid:durableId="789737732">
    <w:abstractNumId w:val="12"/>
  </w:num>
  <w:num w:numId="16" w16cid:durableId="1374770074">
    <w:abstractNumId w:val="11"/>
  </w:num>
  <w:num w:numId="17" w16cid:durableId="1126923285">
    <w:abstractNumId w:val="13"/>
  </w:num>
  <w:num w:numId="18" w16cid:durableId="1896894700">
    <w:abstractNumId w:val="22"/>
  </w:num>
  <w:num w:numId="19" w16cid:durableId="1704206629">
    <w:abstractNumId w:val="27"/>
  </w:num>
  <w:num w:numId="20" w16cid:durableId="1429472484">
    <w:abstractNumId w:val="10"/>
  </w:num>
  <w:num w:numId="21" w16cid:durableId="1033456487">
    <w:abstractNumId w:val="25"/>
  </w:num>
  <w:num w:numId="22" w16cid:durableId="308822879">
    <w:abstractNumId w:val="28"/>
  </w:num>
  <w:num w:numId="23" w16cid:durableId="553127604">
    <w:abstractNumId w:val="17"/>
  </w:num>
  <w:num w:numId="24" w16cid:durableId="1699425834">
    <w:abstractNumId w:val="23"/>
  </w:num>
  <w:num w:numId="25" w16cid:durableId="322587964">
    <w:abstractNumId w:val="15"/>
  </w:num>
  <w:num w:numId="26" w16cid:durableId="612055423">
    <w:abstractNumId w:val="21"/>
  </w:num>
  <w:num w:numId="27" w16cid:durableId="1490440885">
    <w:abstractNumId w:val="20"/>
  </w:num>
  <w:num w:numId="28" w16cid:durableId="815031297">
    <w:abstractNumId w:val="18"/>
  </w:num>
  <w:num w:numId="29" w16cid:durableId="748580913">
    <w:abstractNumId w:val="26"/>
  </w:num>
  <w:num w:numId="30" w16cid:durableId="18742230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A6"/>
    <w:rsid w:val="00006E7A"/>
    <w:rsid w:val="00010362"/>
    <w:rsid w:val="00011EFB"/>
    <w:rsid w:val="00022249"/>
    <w:rsid w:val="00022648"/>
    <w:rsid w:val="00026B13"/>
    <w:rsid w:val="00027E2C"/>
    <w:rsid w:val="000314A1"/>
    <w:rsid w:val="000351CC"/>
    <w:rsid w:val="000360B7"/>
    <w:rsid w:val="00037EE5"/>
    <w:rsid w:val="0004141E"/>
    <w:rsid w:val="00042631"/>
    <w:rsid w:val="00052D2C"/>
    <w:rsid w:val="0005421C"/>
    <w:rsid w:val="00054D14"/>
    <w:rsid w:val="00056A9A"/>
    <w:rsid w:val="000600D0"/>
    <w:rsid w:val="0006468A"/>
    <w:rsid w:val="000676A1"/>
    <w:rsid w:val="00067723"/>
    <w:rsid w:val="0007093E"/>
    <w:rsid w:val="000738A7"/>
    <w:rsid w:val="0007630E"/>
    <w:rsid w:val="00077573"/>
    <w:rsid w:val="00081F43"/>
    <w:rsid w:val="000834CC"/>
    <w:rsid w:val="00083523"/>
    <w:rsid w:val="00086B63"/>
    <w:rsid w:val="000875E6"/>
    <w:rsid w:val="00090574"/>
    <w:rsid w:val="0009186A"/>
    <w:rsid w:val="00095987"/>
    <w:rsid w:val="000A4EA3"/>
    <w:rsid w:val="000A530B"/>
    <w:rsid w:val="000A71B2"/>
    <w:rsid w:val="000A7345"/>
    <w:rsid w:val="000A7DF9"/>
    <w:rsid w:val="000B0544"/>
    <w:rsid w:val="000B128A"/>
    <w:rsid w:val="000B729B"/>
    <w:rsid w:val="000B7668"/>
    <w:rsid w:val="000C1C0E"/>
    <w:rsid w:val="000C1EA1"/>
    <w:rsid w:val="000C2A44"/>
    <w:rsid w:val="000C434E"/>
    <w:rsid w:val="000C4D13"/>
    <w:rsid w:val="000C548A"/>
    <w:rsid w:val="000C7DFF"/>
    <w:rsid w:val="000D1BA3"/>
    <w:rsid w:val="000E131C"/>
    <w:rsid w:val="000E1452"/>
    <w:rsid w:val="000E461F"/>
    <w:rsid w:val="000E7839"/>
    <w:rsid w:val="000F38E9"/>
    <w:rsid w:val="000F403D"/>
    <w:rsid w:val="000F6DE0"/>
    <w:rsid w:val="00100E4D"/>
    <w:rsid w:val="0010240D"/>
    <w:rsid w:val="001043E8"/>
    <w:rsid w:val="001133CF"/>
    <w:rsid w:val="001266AE"/>
    <w:rsid w:val="00126F28"/>
    <w:rsid w:val="00127342"/>
    <w:rsid w:val="00130E20"/>
    <w:rsid w:val="001316B7"/>
    <w:rsid w:val="00131977"/>
    <w:rsid w:val="00147D46"/>
    <w:rsid w:val="0015086C"/>
    <w:rsid w:val="0015467B"/>
    <w:rsid w:val="001621A1"/>
    <w:rsid w:val="0016333C"/>
    <w:rsid w:val="0016425F"/>
    <w:rsid w:val="001657BD"/>
    <w:rsid w:val="00171206"/>
    <w:rsid w:val="00181DE7"/>
    <w:rsid w:val="001826A7"/>
    <w:rsid w:val="001929A3"/>
    <w:rsid w:val="0019534F"/>
    <w:rsid w:val="00195953"/>
    <w:rsid w:val="00195B5F"/>
    <w:rsid w:val="001A1215"/>
    <w:rsid w:val="001A2740"/>
    <w:rsid w:val="001A4B2A"/>
    <w:rsid w:val="001A6A44"/>
    <w:rsid w:val="001B69C8"/>
    <w:rsid w:val="001B776E"/>
    <w:rsid w:val="001B7FCE"/>
    <w:rsid w:val="001C0169"/>
    <w:rsid w:val="001C337E"/>
    <w:rsid w:val="001C3E2B"/>
    <w:rsid w:val="001C53D7"/>
    <w:rsid w:val="001C6290"/>
    <w:rsid w:val="001C69B0"/>
    <w:rsid w:val="001D1D50"/>
    <w:rsid w:val="001D5F10"/>
    <w:rsid w:val="001D6745"/>
    <w:rsid w:val="001D7135"/>
    <w:rsid w:val="001E1979"/>
    <w:rsid w:val="001E446E"/>
    <w:rsid w:val="001E4C9C"/>
    <w:rsid w:val="00202B1D"/>
    <w:rsid w:val="002045ED"/>
    <w:rsid w:val="002059B3"/>
    <w:rsid w:val="002154EE"/>
    <w:rsid w:val="002156EB"/>
    <w:rsid w:val="0021598E"/>
    <w:rsid w:val="002259C7"/>
    <w:rsid w:val="00226233"/>
    <w:rsid w:val="002276D2"/>
    <w:rsid w:val="00230DD1"/>
    <w:rsid w:val="0023283D"/>
    <w:rsid w:val="0024279C"/>
    <w:rsid w:val="00245FE1"/>
    <w:rsid w:val="0024641A"/>
    <w:rsid w:val="002502C8"/>
    <w:rsid w:val="00257658"/>
    <w:rsid w:val="00257FD2"/>
    <w:rsid w:val="002623CB"/>
    <w:rsid w:val="0026323B"/>
    <w:rsid w:val="0026373E"/>
    <w:rsid w:val="002642D3"/>
    <w:rsid w:val="002647FB"/>
    <w:rsid w:val="0026688F"/>
    <w:rsid w:val="00270564"/>
    <w:rsid w:val="00270619"/>
    <w:rsid w:val="00271C43"/>
    <w:rsid w:val="0027252F"/>
    <w:rsid w:val="0027752E"/>
    <w:rsid w:val="0028011C"/>
    <w:rsid w:val="0028021E"/>
    <w:rsid w:val="00283B72"/>
    <w:rsid w:val="00285865"/>
    <w:rsid w:val="00290728"/>
    <w:rsid w:val="00291272"/>
    <w:rsid w:val="00293840"/>
    <w:rsid w:val="002978F4"/>
    <w:rsid w:val="00297A34"/>
    <w:rsid w:val="002A196C"/>
    <w:rsid w:val="002A2E6C"/>
    <w:rsid w:val="002A4724"/>
    <w:rsid w:val="002A5A09"/>
    <w:rsid w:val="002B028D"/>
    <w:rsid w:val="002C0CD4"/>
    <w:rsid w:val="002C4E1E"/>
    <w:rsid w:val="002C7F47"/>
    <w:rsid w:val="002D03CD"/>
    <w:rsid w:val="002D09F8"/>
    <w:rsid w:val="002D0A2B"/>
    <w:rsid w:val="002D48E5"/>
    <w:rsid w:val="002E117D"/>
    <w:rsid w:val="002E4917"/>
    <w:rsid w:val="002E61A9"/>
    <w:rsid w:val="002E6541"/>
    <w:rsid w:val="002F0AC2"/>
    <w:rsid w:val="002F1ACD"/>
    <w:rsid w:val="002F4F03"/>
    <w:rsid w:val="002F52CF"/>
    <w:rsid w:val="002F56EF"/>
    <w:rsid w:val="002F6C30"/>
    <w:rsid w:val="0030049A"/>
    <w:rsid w:val="00304F35"/>
    <w:rsid w:val="00310F1E"/>
    <w:rsid w:val="00314F82"/>
    <w:rsid w:val="0031505F"/>
    <w:rsid w:val="003159D1"/>
    <w:rsid w:val="00317F84"/>
    <w:rsid w:val="0032155C"/>
    <w:rsid w:val="00321EB1"/>
    <w:rsid w:val="0032505C"/>
    <w:rsid w:val="00330996"/>
    <w:rsid w:val="00333DA3"/>
    <w:rsid w:val="00333F6A"/>
    <w:rsid w:val="00334924"/>
    <w:rsid w:val="00335BB9"/>
    <w:rsid w:val="0033642E"/>
    <w:rsid w:val="003409BC"/>
    <w:rsid w:val="00343DDF"/>
    <w:rsid w:val="00344E0F"/>
    <w:rsid w:val="00352422"/>
    <w:rsid w:val="00353FAC"/>
    <w:rsid w:val="003552C2"/>
    <w:rsid w:val="003554D3"/>
    <w:rsid w:val="00355757"/>
    <w:rsid w:val="00357185"/>
    <w:rsid w:val="00361213"/>
    <w:rsid w:val="00363B6B"/>
    <w:rsid w:val="00364D3C"/>
    <w:rsid w:val="00365C56"/>
    <w:rsid w:val="00366CA7"/>
    <w:rsid w:val="00377FF1"/>
    <w:rsid w:val="003804C0"/>
    <w:rsid w:val="003833EF"/>
    <w:rsid w:val="00383829"/>
    <w:rsid w:val="00384FA3"/>
    <w:rsid w:val="00386D96"/>
    <w:rsid w:val="003871F6"/>
    <w:rsid w:val="0038757D"/>
    <w:rsid w:val="00387876"/>
    <w:rsid w:val="003A5EB3"/>
    <w:rsid w:val="003A606A"/>
    <w:rsid w:val="003B6B44"/>
    <w:rsid w:val="003C3E04"/>
    <w:rsid w:val="003C470D"/>
    <w:rsid w:val="003C52E8"/>
    <w:rsid w:val="003D15DA"/>
    <w:rsid w:val="003D16E0"/>
    <w:rsid w:val="003D7167"/>
    <w:rsid w:val="003E2AC1"/>
    <w:rsid w:val="003E6E9A"/>
    <w:rsid w:val="003E7EBF"/>
    <w:rsid w:val="003F067A"/>
    <w:rsid w:val="003F4B29"/>
    <w:rsid w:val="003F6260"/>
    <w:rsid w:val="0040010E"/>
    <w:rsid w:val="00403FB2"/>
    <w:rsid w:val="00404978"/>
    <w:rsid w:val="0041011F"/>
    <w:rsid w:val="00410386"/>
    <w:rsid w:val="00411AE9"/>
    <w:rsid w:val="00415128"/>
    <w:rsid w:val="00416F34"/>
    <w:rsid w:val="0042686F"/>
    <w:rsid w:val="00430696"/>
    <w:rsid w:val="0043123D"/>
    <w:rsid w:val="004317D8"/>
    <w:rsid w:val="00432E2B"/>
    <w:rsid w:val="00434183"/>
    <w:rsid w:val="0044330A"/>
    <w:rsid w:val="00443869"/>
    <w:rsid w:val="00447F32"/>
    <w:rsid w:val="00447FDA"/>
    <w:rsid w:val="0045431E"/>
    <w:rsid w:val="00460D35"/>
    <w:rsid w:val="004618B4"/>
    <w:rsid w:val="0046565F"/>
    <w:rsid w:val="004719AC"/>
    <w:rsid w:val="00475CA6"/>
    <w:rsid w:val="00483D33"/>
    <w:rsid w:val="00484378"/>
    <w:rsid w:val="0049002A"/>
    <w:rsid w:val="00490142"/>
    <w:rsid w:val="00491396"/>
    <w:rsid w:val="00492504"/>
    <w:rsid w:val="00496233"/>
    <w:rsid w:val="004A2C87"/>
    <w:rsid w:val="004A39C9"/>
    <w:rsid w:val="004A4905"/>
    <w:rsid w:val="004A6820"/>
    <w:rsid w:val="004A6CCE"/>
    <w:rsid w:val="004A6F5F"/>
    <w:rsid w:val="004B06FA"/>
    <w:rsid w:val="004B27E0"/>
    <w:rsid w:val="004B7334"/>
    <w:rsid w:val="004B73CC"/>
    <w:rsid w:val="004C39BB"/>
    <w:rsid w:val="004C522C"/>
    <w:rsid w:val="004C5743"/>
    <w:rsid w:val="004D0359"/>
    <w:rsid w:val="004D3355"/>
    <w:rsid w:val="004E11DC"/>
    <w:rsid w:val="004E76B0"/>
    <w:rsid w:val="004F21A9"/>
    <w:rsid w:val="004F44A4"/>
    <w:rsid w:val="004F665D"/>
    <w:rsid w:val="005000B6"/>
    <w:rsid w:val="0050263E"/>
    <w:rsid w:val="00504366"/>
    <w:rsid w:val="00504D23"/>
    <w:rsid w:val="00514CC2"/>
    <w:rsid w:val="00515AA9"/>
    <w:rsid w:val="00515C99"/>
    <w:rsid w:val="00515ED9"/>
    <w:rsid w:val="0052117E"/>
    <w:rsid w:val="00523B00"/>
    <w:rsid w:val="00525DDD"/>
    <w:rsid w:val="005269E6"/>
    <w:rsid w:val="00527B07"/>
    <w:rsid w:val="005307BA"/>
    <w:rsid w:val="0053660E"/>
    <w:rsid w:val="005409AC"/>
    <w:rsid w:val="005446BC"/>
    <w:rsid w:val="005472D7"/>
    <w:rsid w:val="0055516A"/>
    <w:rsid w:val="00562A38"/>
    <w:rsid w:val="00564530"/>
    <w:rsid w:val="0056595F"/>
    <w:rsid w:val="00565983"/>
    <w:rsid w:val="005716EC"/>
    <w:rsid w:val="005730EF"/>
    <w:rsid w:val="0057487F"/>
    <w:rsid w:val="00575E09"/>
    <w:rsid w:val="00576A55"/>
    <w:rsid w:val="00580D08"/>
    <w:rsid w:val="00582F27"/>
    <w:rsid w:val="0058491B"/>
    <w:rsid w:val="00592EA5"/>
    <w:rsid w:val="0059394B"/>
    <w:rsid w:val="00595A36"/>
    <w:rsid w:val="005969D7"/>
    <w:rsid w:val="005A2F14"/>
    <w:rsid w:val="005A3170"/>
    <w:rsid w:val="005A5EDA"/>
    <w:rsid w:val="005B24FD"/>
    <w:rsid w:val="005B3DDD"/>
    <w:rsid w:val="005C56F4"/>
    <w:rsid w:val="005C6A19"/>
    <w:rsid w:val="005C6CE2"/>
    <w:rsid w:val="005D26CA"/>
    <w:rsid w:val="005D4DBF"/>
    <w:rsid w:val="005D62AC"/>
    <w:rsid w:val="005E020D"/>
    <w:rsid w:val="005E506E"/>
    <w:rsid w:val="005E5B47"/>
    <w:rsid w:val="005E7F70"/>
    <w:rsid w:val="005F565D"/>
    <w:rsid w:val="005F77E2"/>
    <w:rsid w:val="0060543C"/>
    <w:rsid w:val="006137DE"/>
    <w:rsid w:val="006154A9"/>
    <w:rsid w:val="00616856"/>
    <w:rsid w:val="00620B89"/>
    <w:rsid w:val="00625C85"/>
    <w:rsid w:val="0063609D"/>
    <w:rsid w:val="00636547"/>
    <w:rsid w:val="006426BF"/>
    <w:rsid w:val="00646A8B"/>
    <w:rsid w:val="00651C6C"/>
    <w:rsid w:val="00660E03"/>
    <w:rsid w:val="00667792"/>
    <w:rsid w:val="006703FD"/>
    <w:rsid w:val="00671803"/>
    <w:rsid w:val="006735E3"/>
    <w:rsid w:val="00677396"/>
    <w:rsid w:val="00681522"/>
    <w:rsid w:val="00681FA3"/>
    <w:rsid w:val="006849FC"/>
    <w:rsid w:val="00685883"/>
    <w:rsid w:val="00686666"/>
    <w:rsid w:val="00691020"/>
    <w:rsid w:val="0069200F"/>
    <w:rsid w:val="00692313"/>
    <w:rsid w:val="00692BA8"/>
    <w:rsid w:val="006955BE"/>
    <w:rsid w:val="00696AA6"/>
    <w:rsid w:val="006973B8"/>
    <w:rsid w:val="006A4ABF"/>
    <w:rsid w:val="006A65CB"/>
    <w:rsid w:val="006B32D8"/>
    <w:rsid w:val="006B4265"/>
    <w:rsid w:val="006B5F24"/>
    <w:rsid w:val="006C1283"/>
    <w:rsid w:val="006C1809"/>
    <w:rsid w:val="006C3242"/>
    <w:rsid w:val="006C56AA"/>
    <w:rsid w:val="006C63A6"/>
    <w:rsid w:val="006C7B22"/>
    <w:rsid w:val="006C7CC0"/>
    <w:rsid w:val="006D19CD"/>
    <w:rsid w:val="006D1E8B"/>
    <w:rsid w:val="006D2478"/>
    <w:rsid w:val="006E2F90"/>
    <w:rsid w:val="006F1A61"/>
    <w:rsid w:val="006F63F7"/>
    <w:rsid w:val="00701A14"/>
    <w:rsid w:val="00701BC0"/>
    <w:rsid w:val="007025C7"/>
    <w:rsid w:val="00703AD5"/>
    <w:rsid w:val="00706714"/>
    <w:rsid w:val="00706D7A"/>
    <w:rsid w:val="00710B7B"/>
    <w:rsid w:val="00710D07"/>
    <w:rsid w:val="00722F0D"/>
    <w:rsid w:val="00726CB4"/>
    <w:rsid w:val="007318F2"/>
    <w:rsid w:val="00732C73"/>
    <w:rsid w:val="00732DB7"/>
    <w:rsid w:val="00734473"/>
    <w:rsid w:val="00741F97"/>
    <w:rsid w:val="0074420E"/>
    <w:rsid w:val="0075084A"/>
    <w:rsid w:val="00756B5A"/>
    <w:rsid w:val="00760F90"/>
    <w:rsid w:val="0076342B"/>
    <w:rsid w:val="00764F24"/>
    <w:rsid w:val="0076527E"/>
    <w:rsid w:val="00767925"/>
    <w:rsid w:val="00774823"/>
    <w:rsid w:val="00775832"/>
    <w:rsid w:val="00777275"/>
    <w:rsid w:val="00783E26"/>
    <w:rsid w:val="00784B2E"/>
    <w:rsid w:val="00785D49"/>
    <w:rsid w:val="00786BE0"/>
    <w:rsid w:val="00787B57"/>
    <w:rsid w:val="00793102"/>
    <w:rsid w:val="007950C1"/>
    <w:rsid w:val="00796FC2"/>
    <w:rsid w:val="007A0104"/>
    <w:rsid w:val="007A2FEA"/>
    <w:rsid w:val="007B0AA0"/>
    <w:rsid w:val="007B232B"/>
    <w:rsid w:val="007B400F"/>
    <w:rsid w:val="007B53A0"/>
    <w:rsid w:val="007C3BC7"/>
    <w:rsid w:val="007C3BCD"/>
    <w:rsid w:val="007C5053"/>
    <w:rsid w:val="007D4ACF"/>
    <w:rsid w:val="007E0CC3"/>
    <w:rsid w:val="007E1374"/>
    <w:rsid w:val="007E4E81"/>
    <w:rsid w:val="007E5EA2"/>
    <w:rsid w:val="007E626F"/>
    <w:rsid w:val="007E6643"/>
    <w:rsid w:val="007F0787"/>
    <w:rsid w:val="007F7792"/>
    <w:rsid w:val="007F7997"/>
    <w:rsid w:val="00800DD6"/>
    <w:rsid w:val="00810B7B"/>
    <w:rsid w:val="00820223"/>
    <w:rsid w:val="0082336A"/>
    <w:rsid w:val="0082358A"/>
    <w:rsid w:val="008235CD"/>
    <w:rsid w:val="008247DE"/>
    <w:rsid w:val="008339C0"/>
    <w:rsid w:val="008340F5"/>
    <w:rsid w:val="00834A20"/>
    <w:rsid w:val="00834B83"/>
    <w:rsid w:val="00840992"/>
    <w:rsid w:val="00840B10"/>
    <w:rsid w:val="008433BD"/>
    <w:rsid w:val="00846FDC"/>
    <w:rsid w:val="008513CB"/>
    <w:rsid w:val="00853EAD"/>
    <w:rsid w:val="00855FE4"/>
    <w:rsid w:val="00856145"/>
    <w:rsid w:val="00857349"/>
    <w:rsid w:val="00870A43"/>
    <w:rsid w:val="008732AD"/>
    <w:rsid w:val="0087422D"/>
    <w:rsid w:val="0087780A"/>
    <w:rsid w:val="00880BC9"/>
    <w:rsid w:val="00881B12"/>
    <w:rsid w:val="00883F15"/>
    <w:rsid w:val="00884B2B"/>
    <w:rsid w:val="0089224F"/>
    <w:rsid w:val="00892B5B"/>
    <w:rsid w:val="00894183"/>
    <w:rsid w:val="00896D45"/>
    <w:rsid w:val="008A3ECC"/>
    <w:rsid w:val="008A7F84"/>
    <w:rsid w:val="008B21B2"/>
    <w:rsid w:val="008B48C6"/>
    <w:rsid w:val="008B521A"/>
    <w:rsid w:val="008B71AE"/>
    <w:rsid w:val="008C18A4"/>
    <w:rsid w:val="008C5DFB"/>
    <w:rsid w:val="008D28FB"/>
    <w:rsid w:val="008D2DFC"/>
    <w:rsid w:val="008D6841"/>
    <w:rsid w:val="008E346B"/>
    <w:rsid w:val="008E3623"/>
    <w:rsid w:val="008F22D1"/>
    <w:rsid w:val="008F35E4"/>
    <w:rsid w:val="009040A4"/>
    <w:rsid w:val="00905274"/>
    <w:rsid w:val="009060F3"/>
    <w:rsid w:val="00912410"/>
    <w:rsid w:val="00912A15"/>
    <w:rsid w:val="00913944"/>
    <w:rsid w:val="00915167"/>
    <w:rsid w:val="00916F06"/>
    <w:rsid w:val="0091702E"/>
    <w:rsid w:val="00917A0B"/>
    <w:rsid w:val="00920133"/>
    <w:rsid w:val="00923B0C"/>
    <w:rsid w:val="00924DC6"/>
    <w:rsid w:val="00934E5F"/>
    <w:rsid w:val="009367F2"/>
    <w:rsid w:val="0094021C"/>
    <w:rsid w:val="00947BF8"/>
    <w:rsid w:val="00952B1C"/>
    <w:rsid w:val="00952F86"/>
    <w:rsid w:val="009532DC"/>
    <w:rsid w:val="00954475"/>
    <w:rsid w:val="00957626"/>
    <w:rsid w:val="009604B6"/>
    <w:rsid w:val="0096180D"/>
    <w:rsid w:val="00962629"/>
    <w:rsid w:val="009635F3"/>
    <w:rsid w:val="00964B5B"/>
    <w:rsid w:val="00971B80"/>
    <w:rsid w:val="00972C3D"/>
    <w:rsid w:val="00973C0C"/>
    <w:rsid w:val="00974B51"/>
    <w:rsid w:val="009811A7"/>
    <w:rsid w:val="009826D2"/>
    <w:rsid w:val="00982B28"/>
    <w:rsid w:val="009915D8"/>
    <w:rsid w:val="00997E63"/>
    <w:rsid w:val="009A0995"/>
    <w:rsid w:val="009A3A5C"/>
    <w:rsid w:val="009A4551"/>
    <w:rsid w:val="009A605B"/>
    <w:rsid w:val="009A7EC1"/>
    <w:rsid w:val="009B0296"/>
    <w:rsid w:val="009B20BA"/>
    <w:rsid w:val="009B3A01"/>
    <w:rsid w:val="009B46C1"/>
    <w:rsid w:val="009B50A4"/>
    <w:rsid w:val="009B5ECA"/>
    <w:rsid w:val="009B7BA2"/>
    <w:rsid w:val="009C169E"/>
    <w:rsid w:val="009C7051"/>
    <w:rsid w:val="009C7E20"/>
    <w:rsid w:val="009D313F"/>
    <w:rsid w:val="009E04F0"/>
    <w:rsid w:val="009E0BC7"/>
    <w:rsid w:val="009E4187"/>
    <w:rsid w:val="009F14F8"/>
    <w:rsid w:val="009F2273"/>
    <w:rsid w:val="00A00F80"/>
    <w:rsid w:val="00A04406"/>
    <w:rsid w:val="00A066B6"/>
    <w:rsid w:val="00A07B6F"/>
    <w:rsid w:val="00A1421C"/>
    <w:rsid w:val="00A1443F"/>
    <w:rsid w:val="00A21703"/>
    <w:rsid w:val="00A25650"/>
    <w:rsid w:val="00A26886"/>
    <w:rsid w:val="00A27F69"/>
    <w:rsid w:val="00A30219"/>
    <w:rsid w:val="00A337CF"/>
    <w:rsid w:val="00A4446E"/>
    <w:rsid w:val="00A4465F"/>
    <w:rsid w:val="00A45F46"/>
    <w:rsid w:val="00A46EFD"/>
    <w:rsid w:val="00A47A5A"/>
    <w:rsid w:val="00A51DA6"/>
    <w:rsid w:val="00A54C88"/>
    <w:rsid w:val="00A562E6"/>
    <w:rsid w:val="00A6125C"/>
    <w:rsid w:val="00A624A9"/>
    <w:rsid w:val="00A62E6F"/>
    <w:rsid w:val="00A6683B"/>
    <w:rsid w:val="00A66850"/>
    <w:rsid w:val="00A71067"/>
    <w:rsid w:val="00A7158D"/>
    <w:rsid w:val="00A7423D"/>
    <w:rsid w:val="00A770A4"/>
    <w:rsid w:val="00A845E7"/>
    <w:rsid w:val="00A84C27"/>
    <w:rsid w:val="00A94EE5"/>
    <w:rsid w:val="00A979E3"/>
    <w:rsid w:val="00A97F94"/>
    <w:rsid w:val="00AA059C"/>
    <w:rsid w:val="00AA1574"/>
    <w:rsid w:val="00AA3D07"/>
    <w:rsid w:val="00AA5C03"/>
    <w:rsid w:val="00AA7EA2"/>
    <w:rsid w:val="00AB3B16"/>
    <w:rsid w:val="00AB6381"/>
    <w:rsid w:val="00AC1EF8"/>
    <w:rsid w:val="00AC2AAE"/>
    <w:rsid w:val="00AD3B51"/>
    <w:rsid w:val="00AD44D6"/>
    <w:rsid w:val="00AD594B"/>
    <w:rsid w:val="00AE6518"/>
    <w:rsid w:val="00AF61A6"/>
    <w:rsid w:val="00B015BF"/>
    <w:rsid w:val="00B02462"/>
    <w:rsid w:val="00B03099"/>
    <w:rsid w:val="00B0585D"/>
    <w:rsid w:val="00B05BC8"/>
    <w:rsid w:val="00B1238D"/>
    <w:rsid w:val="00B1513C"/>
    <w:rsid w:val="00B153CF"/>
    <w:rsid w:val="00B211A0"/>
    <w:rsid w:val="00B22B01"/>
    <w:rsid w:val="00B24029"/>
    <w:rsid w:val="00B245A4"/>
    <w:rsid w:val="00B40F62"/>
    <w:rsid w:val="00B412F5"/>
    <w:rsid w:val="00B44434"/>
    <w:rsid w:val="00B448E3"/>
    <w:rsid w:val="00B46410"/>
    <w:rsid w:val="00B5298B"/>
    <w:rsid w:val="00B52FB7"/>
    <w:rsid w:val="00B538EE"/>
    <w:rsid w:val="00B539DE"/>
    <w:rsid w:val="00B63D98"/>
    <w:rsid w:val="00B64B47"/>
    <w:rsid w:val="00B725E9"/>
    <w:rsid w:val="00B74486"/>
    <w:rsid w:val="00B76500"/>
    <w:rsid w:val="00B77987"/>
    <w:rsid w:val="00B77BFC"/>
    <w:rsid w:val="00B819B7"/>
    <w:rsid w:val="00B85A88"/>
    <w:rsid w:val="00B91B14"/>
    <w:rsid w:val="00B92654"/>
    <w:rsid w:val="00B95654"/>
    <w:rsid w:val="00B96255"/>
    <w:rsid w:val="00B96ED2"/>
    <w:rsid w:val="00BA3B59"/>
    <w:rsid w:val="00BB0BBD"/>
    <w:rsid w:val="00BC007A"/>
    <w:rsid w:val="00BC2146"/>
    <w:rsid w:val="00BC2C83"/>
    <w:rsid w:val="00BC3DF8"/>
    <w:rsid w:val="00BC5C33"/>
    <w:rsid w:val="00BC5D14"/>
    <w:rsid w:val="00BD4BF1"/>
    <w:rsid w:val="00BD75D4"/>
    <w:rsid w:val="00BE7323"/>
    <w:rsid w:val="00BF02C8"/>
    <w:rsid w:val="00BF1764"/>
    <w:rsid w:val="00C002DE"/>
    <w:rsid w:val="00C017A9"/>
    <w:rsid w:val="00C05C08"/>
    <w:rsid w:val="00C06D64"/>
    <w:rsid w:val="00C10695"/>
    <w:rsid w:val="00C122A3"/>
    <w:rsid w:val="00C14356"/>
    <w:rsid w:val="00C1447F"/>
    <w:rsid w:val="00C1521F"/>
    <w:rsid w:val="00C16016"/>
    <w:rsid w:val="00C16B0A"/>
    <w:rsid w:val="00C26188"/>
    <w:rsid w:val="00C270CE"/>
    <w:rsid w:val="00C2721A"/>
    <w:rsid w:val="00C32565"/>
    <w:rsid w:val="00C36AEB"/>
    <w:rsid w:val="00C3792E"/>
    <w:rsid w:val="00C472F2"/>
    <w:rsid w:val="00C50ECA"/>
    <w:rsid w:val="00C528CF"/>
    <w:rsid w:val="00C53BF8"/>
    <w:rsid w:val="00C543C6"/>
    <w:rsid w:val="00C54ACA"/>
    <w:rsid w:val="00C61248"/>
    <w:rsid w:val="00C62027"/>
    <w:rsid w:val="00C65DC8"/>
    <w:rsid w:val="00C66157"/>
    <w:rsid w:val="00C674FE"/>
    <w:rsid w:val="00C67501"/>
    <w:rsid w:val="00C72878"/>
    <w:rsid w:val="00C75633"/>
    <w:rsid w:val="00C7693D"/>
    <w:rsid w:val="00C93017"/>
    <w:rsid w:val="00C95226"/>
    <w:rsid w:val="00C97DE4"/>
    <w:rsid w:val="00CA0E69"/>
    <w:rsid w:val="00CA29BC"/>
    <w:rsid w:val="00CA5E6F"/>
    <w:rsid w:val="00CB00D5"/>
    <w:rsid w:val="00CB36F7"/>
    <w:rsid w:val="00CB3F97"/>
    <w:rsid w:val="00CB5C96"/>
    <w:rsid w:val="00CC1B64"/>
    <w:rsid w:val="00CC3169"/>
    <w:rsid w:val="00CC6378"/>
    <w:rsid w:val="00CD73BD"/>
    <w:rsid w:val="00CE2EE1"/>
    <w:rsid w:val="00CE3349"/>
    <w:rsid w:val="00CE36E5"/>
    <w:rsid w:val="00CE64F2"/>
    <w:rsid w:val="00CF02A6"/>
    <w:rsid w:val="00CF0ABF"/>
    <w:rsid w:val="00CF268E"/>
    <w:rsid w:val="00CF27F5"/>
    <w:rsid w:val="00CF2ED1"/>
    <w:rsid w:val="00CF3FFD"/>
    <w:rsid w:val="00CF6D39"/>
    <w:rsid w:val="00CF7764"/>
    <w:rsid w:val="00CF7F73"/>
    <w:rsid w:val="00D025A6"/>
    <w:rsid w:val="00D043CA"/>
    <w:rsid w:val="00D10CCF"/>
    <w:rsid w:val="00D131C0"/>
    <w:rsid w:val="00D13941"/>
    <w:rsid w:val="00D14201"/>
    <w:rsid w:val="00D1457F"/>
    <w:rsid w:val="00D1787B"/>
    <w:rsid w:val="00D27D80"/>
    <w:rsid w:val="00D31143"/>
    <w:rsid w:val="00D35168"/>
    <w:rsid w:val="00D402F2"/>
    <w:rsid w:val="00D404CF"/>
    <w:rsid w:val="00D40884"/>
    <w:rsid w:val="00D42A8D"/>
    <w:rsid w:val="00D479F8"/>
    <w:rsid w:val="00D51740"/>
    <w:rsid w:val="00D51861"/>
    <w:rsid w:val="00D518AF"/>
    <w:rsid w:val="00D53AB8"/>
    <w:rsid w:val="00D555DE"/>
    <w:rsid w:val="00D63735"/>
    <w:rsid w:val="00D715A6"/>
    <w:rsid w:val="00D7435A"/>
    <w:rsid w:val="00D77D0F"/>
    <w:rsid w:val="00D81074"/>
    <w:rsid w:val="00D854CD"/>
    <w:rsid w:val="00D94006"/>
    <w:rsid w:val="00D946F3"/>
    <w:rsid w:val="00DA1CF0"/>
    <w:rsid w:val="00DA1EA5"/>
    <w:rsid w:val="00DA2E94"/>
    <w:rsid w:val="00DA3B4A"/>
    <w:rsid w:val="00DA544E"/>
    <w:rsid w:val="00DA5808"/>
    <w:rsid w:val="00DA5ED5"/>
    <w:rsid w:val="00DC115B"/>
    <w:rsid w:val="00DC1E02"/>
    <w:rsid w:val="00DC235C"/>
    <w:rsid w:val="00DC24B4"/>
    <w:rsid w:val="00DC5FB0"/>
    <w:rsid w:val="00DD3755"/>
    <w:rsid w:val="00DE2FF1"/>
    <w:rsid w:val="00DE33F9"/>
    <w:rsid w:val="00DF0C9F"/>
    <w:rsid w:val="00DF16B8"/>
    <w:rsid w:val="00DF16DC"/>
    <w:rsid w:val="00E062C2"/>
    <w:rsid w:val="00E074AD"/>
    <w:rsid w:val="00E07EC8"/>
    <w:rsid w:val="00E10371"/>
    <w:rsid w:val="00E10422"/>
    <w:rsid w:val="00E1414A"/>
    <w:rsid w:val="00E170C8"/>
    <w:rsid w:val="00E20476"/>
    <w:rsid w:val="00E25FFC"/>
    <w:rsid w:val="00E26647"/>
    <w:rsid w:val="00E26C0C"/>
    <w:rsid w:val="00E26CA2"/>
    <w:rsid w:val="00E349AC"/>
    <w:rsid w:val="00E35611"/>
    <w:rsid w:val="00E413B6"/>
    <w:rsid w:val="00E41F86"/>
    <w:rsid w:val="00E422FC"/>
    <w:rsid w:val="00E42324"/>
    <w:rsid w:val="00E44902"/>
    <w:rsid w:val="00E45211"/>
    <w:rsid w:val="00E46AE6"/>
    <w:rsid w:val="00E473C5"/>
    <w:rsid w:val="00E5487E"/>
    <w:rsid w:val="00E61BE8"/>
    <w:rsid w:val="00E62EB8"/>
    <w:rsid w:val="00E702A3"/>
    <w:rsid w:val="00E7058A"/>
    <w:rsid w:val="00E71850"/>
    <w:rsid w:val="00E765CD"/>
    <w:rsid w:val="00E76A0B"/>
    <w:rsid w:val="00E77567"/>
    <w:rsid w:val="00E86D20"/>
    <w:rsid w:val="00E92863"/>
    <w:rsid w:val="00E93FF2"/>
    <w:rsid w:val="00E95327"/>
    <w:rsid w:val="00EA1B65"/>
    <w:rsid w:val="00EA3E1D"/>
    <w:rsid w:val="00EA6962"/>
    <w:rsid w:val="00EA6F85"/>
    <w:rsid w:val="00EB147B"/>
    <w:rsid w:val="00EB1EE5"/>
    <w:rsid w:val="00EB5487"/>
    <w:rsid w:val="00EB796D"/>
    <w:rsid w:val="00EB7D91"/>
    <w:rsid w:val="00EC7880"/>
    <w:rsid w:val="00EC7983"/>
    <w:rsid w:val="00ED26F2"/>
    <w:rsid w:val="00ED5A54"/>
    <w:rsid w:val="00ED73E1"/>
    <w:rsid w:val="00EE151F"/>
    <w:rsid w:val="00EE3219"/>
    <w:rsid w:val="00EE3BA4"/>
    <w:rsid w:val="00EE4643"/>
    <w:rsid w:val="00EF3A84"/>
    <w:rsid w:val="00EF7DF3"/>
    <w:rsid w:val="00F00EFD"/>
    <w:rsid w:val="00F0167C"/>
    <w:rsid w:val="00F0503A"/>
    <w:rsid w:val="00F058DC"/>
    <w:rsid w:val="00F130A0"/>
    <w:rsid w:val="00F1409C"/>
    <w:rsid w:val="00F2063A"/>
    <w:rsid w:val="00F20736"/>
    <w:rsid w:val="00F226F7"/>
    <w:rsid w:val="00F2422D"/>
    <w:rsid w:val="00F24FC4"/>
    <w:rsid w:val="00F2676C"/>
    <w:rsid w:val="00F26814"/>
    <w:rsid w:val="00F33E87"/>
    <w:rsid w:val="00F35E2C"/>
    <w:rsid w:val="00F363FE"/>
    <w:rsid w:val="00F409F6"/>
    <w:rsid w:val="00F426EA"/>
    <w:rsid w:val="00F44B28"/>
    <w:rsid w:val="00F50E3F"/>
    <w:rsid w:val="00F5258C"/>
    <w:rsid w:val="00F553F1"/>
    <w:rsid w:val="00F572CC"/>
    <w:rsid w:val="00F57D93"/>
    <w:rsid w:val="00F6241C"/>
    <w:rsid w:val="00F70508"/>
    <w:rsid w:val="00F75FE4"/>
    <w:rsid w:val="00F83871"/>
    <w:rsid w:val="00F84359"/>
    <w:rsid w:val="00F84366"/>
    <w:rsid w:val="00F85089"/>
    <w:rsid w:val="00F901F1"/>
    <w:rsid w:val="00F90636"/>
    <w:rsid w:val="00F95576"/>
    <w:rsid w:val="00F96079"/>
    <w:rsid w:val="00F974C5"/>
    <w:rsid w:val="00FA376E"/>
    <w:rsid w:val="00FA6F46"/>
    <w:rsid w:val="00FB01E3"/>
    <w:rsid w:val="00FC38D4"/>
    <w:rsid w:val="00FC4592"/>
    <w:rsid w:val="00FD4770"/>
    <w:rsid w:val="00FD527F"/>
    <w:rsid w:val="00FE51D3"/>
    <w:rsid w:val="00FE5872"/>
    <w:rsid w:val="00FE7FCA"/>
    <w:rsid w:val="00FF09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06E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autoRedefine/>
    <w:unhideWhenUsed/>
    <w:qFormat/>
    <w:rsid w:val="00696AA6"/>
    <w:pPr>
      <w:keepNext/>
      <w:keepLines/>
      <w:tabs>
        <w:tab w:val="clear" w:pos="794"/>
      </w:tabs>
      <w:spacing w:before="240" w:after="120"/>
      <w:ind w:left="1417" w:hanging="1417"/>
      <w:outlineLvl w:val="4"/>
    </w:pPr>
    <w:rPr>
      <w:rFonts w:eastAsiaTheme="majorEastAsia"/>
      <w:b/>
      <w:bCs/>
      <w:color w:val="4F81BD"/>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rsid w:val="00696AA6"/>
    <w:rPr>
      <w:rFonts w:ascii="Dubai" w:eastAsiaTheme="majorEastAsia" w:hAnsi="Dubai" w:cs="Dubai"/>
      <w:b/>
      <w:bCs/>
      <w:color w:val="4F81BD"/>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1A1215"/>
    <w:pPr>
      <w:keepNext/>
      <w:spacing w:before="240" w:after="12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784B2E"/>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6C56AA"/>
    <w:pPr>
      <w:tabs>
        <w:tab w:val="clear" w:pos="794"/>
        <w:tab w:val="left" w:pos="567"/>
        <w:tab w:val="center" w:leader="dot" w:pos="9072"/>
        <w:tab w:val="right" w:pos="9639"/>
      </w:tabs>
      <w:ind w:left="567" w:hanging="567"/>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aliases w:val="List Paragraph1,Recommendation,List Paragraph11,Bullet 1,Bullet List,Bullet Points,Bulletr List Paragraph,Dot pt,FooterText,Indicator Text,List Paragraph Char Char Char,No Spacing1,Numbered Para 1,Paragraphe de liste1,numbered,titre"/>
    <w:basedOn w:val="Normal"/>
    <w:link w:val="ListParagraphChar"/>
    <w:uiPriority w:val="1"/>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customStyle="1" w:styleId="Tablehead0">
    <w:name w:val="Table_head"/>
    <w:basedOn w:val="Normal"/>
    <w:link w:val="TableheadChar"/>
    <w:qFormat/>
    <w:rsid w:val="00C543C6"/>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C543C6"/>
    <w:rPr>
      <w:color w:val="605E5C"/>
      <w:shd w:val="clear" w:color="auto" w:fill="E1DFDD"/>
    </w:rPr>
  </w:style>
  <w:style w:type="paragraph" w:styleId="NormalWeb">
    <w:name w:val="Normal (Web)"/>
    <w:basedOn w:val="Normal"/>
    <w:uiPriority w:val="99"/>
    <w:unhideWhenUsed/>
    <w:rsid w:val="00C543C6"/>
    <w:pPr>
      <w:tabs>
        <w:tab w:val="clear" w:pos="794"/>
      </w:tabs>
      <w:bidi w:val="0"/>
      <w:spacing w:before="100" w:beforeAutospacing="1" w:after="100" w:afterAutospacing="1" w:line="240" w:lineRule="auto"/>
      <w:jc w:val="left"/>
    </w:pPr>
    <w:rPr>
      <w:rFonts w:ascii="Times New Roman" w:hAnsi="Times New Roman" w:cs="Times New Roman"/>
      <w:sz w:val="24"/>
      <w:szCs w:val="24"/>
    </w:rPr>
  </w:style>
  <w:style w:type="paragraph" w:customStyle="1" w:styleId="DecisionNo">
    <w:name w:val="Decision No"/>
    <w:basedOn w:val="Normal"/>
    <w:uiPriority w:val="99"/>
    <w:qFormat/>
    <w:rsid w:val="00C543C6"/>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Decisiontitle">
    <w:name w:val="Decision title"/>
    <w:basedOn w:val="DecisionNo"/>
    <w:uiPriority w:val="99"/>
    <w:qFormat/>
    <w:rsid w:val="00C543C6"/>
    <w:pPr>
      <w:spacing w:before="120" w:after="360"/>
    </w:pPr>
    <w:rPr>
      <w:b/>
      <w:bCs/>
      <w:sz w:val="28"/>
      <w:szCs w:val="40"/>
    </w:rPr>
  </w:style>
  <w:style w:type="paragraph" w:customStyle="1" w:styleId="ResolutionNo">
    <w:name w:val="Resolution No"/>
    <w:basedOn w:val="Normal"/>
    <w:uiPriority w:val="99"/>
    <w:qFormat/>
    <w:rsid w:val="00C543C6"/>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Resolutiontitle">
    <w:name w:val="Resolution title"/>
    <w:basedOn w:val="Normal"/>
    <w:uiPriority w:val="99"/>
    <w:qFormat/>
    <w:rsid w:val="00C543C6"/>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hAnsi="Calibri" w:cs="Traditional Arabic"/>
      <w:b/>
      <w:bCs/>
      <w:sz w:val="28"/>
      <w:szCs w:val="40"/>
      <w:lang w:bidi="ar-SY"/>
    </w:rPr>
  </w:style>
  <w:style w:type="character" w:customStyle="1" w:styleId="ts-alignment-element">
    <w:name w:val="ts-alignment-element"/>
    <w:basedOn w:val="DefaultParagraphFont"/>
    <w:rsid w:val="00CE64F2"/>
  </w:style>
  <w:style w:type="paragraph" w:customStyle="1" w:styleId="Sectiontitle0">
    <w:name w:val="Section_title"/>
    <w:basedOn w:val="Annextitle0"/>
    <w:next w:val="Normalaftertitle"/>
    <w:rsid w:val="00C543C6"/>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C543C6"/>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ascii="Calibri" w:eastAsia="Times New Roman" w:hAnsi="Calibri" w:cs="Traditional Arabic"/>
      <w:i/>
      <w:iCs/>
      <w:szCs w:val="30"/>
      <w:lang w:val="en-GB" w:eastAsia="en-US" w:bidi="ar-EG"/>
    </w:rPr>
  </w:style>
  <w:style w:type="paragraph" w:customStyle="1" w:styleId="AnnexNo0">
    <w:name w:val="Annex_No"/>
    <w:basedOn w:val="Normal"/>
    <w:qFormat/>
    <w:rsid w:val="00C543C6"/>
    <w:pPr>
      <w:keepNext/>
      <w:keepLines/>
      <w:tabs>
        <w:tab w:val="clear" w:pos="794"/>
        <w:tab w:val="left" w:pos="567"/>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OpinionNo0">
    <w:name w:val="Opinion_No"/>
    <w:basedOn w:val="ResNo"/>
    <w:next w:val="Opiniontitle0"/>
    <w:rsid w:val="00C543C6"/>
    <w:pPr>
      <w:tabs>
        <w:tab w:val="clear" w:pos="794"/>
      </w:tabs>
      <w:overflowPunct w:val="0"/>
      <w:autoSpaceDE w:val="0"/>
      <w:autoSpaceDN w:val="0"/>
      <w:adjustRightInd w:val="0"/>
      <w:spacing w:after="120"/>
      <w:textAlignment w:val="baseline"/>
    </w:pPr>
    <w:rPr>
      <w:rFonts w:ascii="Calibri" w:eastAsia="Times New Roman" w:hAnsi="Calibri" w:cs="Traditional Arabic"/>
      <w:caps/>
      <w:sz w:val="28"/>
      <w:szCs w:val="40"/>
      <w:lang w:val="en-GB" w:eastAsia="en-US" w:bidi="ar-EG"/>
    </w:rPr>
  </w:style>
  <w:style w:type="paragraph" w:customStyle="1" w:styleId="Annexref">
    <w:name w:val="Annex_ref"/>
    <w:qFormat/>
    <w:rsid w:val="00C543C6"/>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C543C6"/>
    <w:pPr>
      <w:keepNext/>
      <w:keepLines/>
      <w:tabs>
        <w:tab w:val="clear" w:pos="794"/>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C543C6"/>
    <w:rPr>
      <w:rFonts w:ascii="Calibri" w:eastAsia="Times New Roman" w:hAnsi="Calibri" w:cs="Traditional Arabic"/>
      <w:b/>
      <w:bCs/>
      <w:sz w:val="28"/>
      <w:szCs w:val="40"/>
      <w:lang w:eastAsia="en-US"/>
    </w:rPr>
  </w:style>
  <w:style w:type="paragraph" w:customStyle="1" w:styleId="AppendixNo0">
    <w:name w:val="Appendix_No"/>
    <w:basedOn w:val="AnnexNo0"/>
    <w:qFormat/>
    <w:rsid w:val="00C543C6"/>
  </w:style>
  <w:style w:type="paragraph" w:customStyle="1" w:styleId="Appendixtitle0">
    <w:name w:val="Appendix_title"/>
    <w:basedOn w:val="Annextitle0"/>
    <w:next w:val="Normal"/>
    <w:rsid w:val="00C543C6"/>
  </w:style>
  <w:style w:type="paragraph" w:customStyle="1" w:styleId="Headingbnot2">
    <w:name w:val="Heading_b not2"/>
    <w:basedOn w:val="Heading2"/>
    <w:rsid w:val="00C543C6"/>
    <w:pPr>
      <w:spacing w:before="180"/>
      <w:ind w:left="0" w:firstLine="0"/>
    </w:pPr>
    <w:rPr>
      <w:rFonts w:ascii="Calibri" w:eastAsia="Times New Roman" w:hAnsi="Calibri" w:cs="Traditional Arabic"/>
      <w:kern w:val="14"/>
      <w:szCs w:val="32"/>
      <w:u w:val="single"/>
      <w:lang w:eastAsia="en-US" w:bidi="ar-EG"/>
    </w:rPr>
  </w:style>
  <w:style w:type="character" w:customStyle="1" w:styleId="TableheadChar">
    <w:name w:val="Table_head Char"/>
    <w:basedOn w:val="DefaultParagraphFont"/>
    <w:link w:val="Tablehead0"/>
    <w:rsid w:val="00C543C6"/>
    <w:rPr>
      <w:rFonts w:ascii="Dubai" w:eastAsia="Times New Roman" w:hAnsi="Dubai" w:cs="Dubai"/>
      <w:b/>
      <w:bCs/>
      <w:lang w:val="en-GB" w:eastAsia="en-US"/>
    </w:rPr>
  </w:style>
  <w:style w:type="paragraph" w:customStyle="1" w:styleId="Tabletitle0">
    <w:name w:val="Table_title"/>
    <w:basedOn w:val="Normal"/>
    <w:next w:val="Normal"/>
    <w:link w:val="TabletitleChar"/>
    <w:rsid w:val="00C543C6"/>
    <w:pPr>
      <w:keepNext/>
      <w:keepLines/>
      <w:tabs>
        <w:tab w:val="clear" w:pos="794"/>
        <w:tab w:val="left" w:pos="2948"/>
        <w:tab w:val="left" w:pos="4082"/>
      </w:tabs>
      <w:spacing w:after="120"/>
      <w:jc w:val="center"/>
    </w:pPr>
    <w:rPr>
      <w:rFonts w:ascii="Calibri" w:eastAsia="Times New Roman" w:hAnsi="Calibri" w:cs="Traditional Arabic"/>
      <w:b/>
      <w:bCs/>
      <w:szCs w:val="30"/>
      <w:lang w:eastAsia="en-US"/>
    </w:rPr>
  </w:style>
  <w:style w:type="paragraph" w:customStyle="1" w:styleId="TableNo0">
    <w:name w:val="Table_No"/>
    <w:basedOn w:val="Normal"/>
    <w:next w:val="Normal"/>
    <w:link w:val="TableNoChar"/>
    <w:qFormat/>
    <w:rsid w:val="00C543C6"/>
    <w:pPr>
      <w:keepNext/>
      <w:keepLines/>
      <w:tabs>
        <w:tab w:val="clear" w:pos="794"/>
      </w:tabs>
      <w:spacing w:before="240" w:after="120"/>
      <w:jc w:val="center"/>
    </w:pPr>
    <w:rPr>
      <w:rFonts w:ascii="Calibri" w:eastAsia="Times New Roman" w:hAnsi="Calibri" w:cs="Traditional Arabic"/>
      <w:szCs w:val="30"/>
      <w:lang w:eastAsia="en-US"/>
    </w:rPr>
  </w:style>
  <w:style w:type="character" w:customStyle="1" w:styleId="TableNoChar">
    <w:name w:val="Table_No Char"/>
    <w:basedOn w:val="DefaultParagraphFont"/>
    <w:link w:val="TableNo0"/>
    <w:locked/>
    <w:rsid w:val="00C543C6"/>
    <w:rPr>
      <w:rFonts w:ascii="Calibri" w:eastAsia="Times New Roman" w:hAnsi="Calibri" w:cs="Traditional Arabic"/>
      <w:szCs w:val="30"/>
      <w:lang w:eastAsia="en-US"/>
    </w:rPr>
  </w:style>
  <w:style w:type="paragraph" w:customStyle="1" w:styleId="Tabletext">
    <w:name w:val="Table_text"/>
    <w:basedOn w:val="Normal"/>
    <w:link w:val="TabletextChar"/>
    <w:qFormat/>
    <w:rsid w:val="00C543C6"/>
    <w:pPr>
      <w:tabs>
        <w:tab w:val="clear" w:pos="79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C543C6"/>
    <w:rPr>
      <w:rFonts w:ascii="Calibri" w:eastAsia="Times New Roman" w:hAnsi="Calibri" w:cs="Traditional Arabic"/>
      <w:sz w:val="20"/>
      <w:szCs w:val="26"/>
      <w:lang w:val="fr-FR" w:eastAsia="en-US" w:bidi="ar-EG"/>
    </w:rPr>
  </w:style>
  <w:style w:type="character" w:customStyle="1" w:styleId="CallChar">
    <w:name w:val="Call Char"/>
    <w:basedOn w:val="DefaultParagraphFont"/>
    <w:link w:val="Call"/>
    <w:locked/>
    <w:rsid w:val="00C543C6"/>
    <w:rPr>
      <w:rFonts w:ascii="Dubai" w:hAnsi="Dubai" w:cs="Dubai"/>
      <w:i/>
      <w:iCs/>
    </w:rPr>
  </w:style>
  <w:style w:type="paragraph" w:customStyle="1" w:styleId="Questiontitle">
    <w:name w:val="Question_title"/>
    <w:basedOn w:val="Normal"/>
    <w:next w:val="Normal"/>
    <w:qFormat/>
    <w:rsid w:val="00C543C6"/>
    <w:pPr>
      <w:keepNext/>
      <w:keepLines/>
      <w:tabs>
        <w:tab w:val="clear" w:pos="794"/>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C543C6"/>
    <w:pPr>
      <w:keepNext/>
      <w:keepLines/>
      <w:tabs>
        <w:tab w:val="clear" w:pos="79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rsid w:val="00C543C6"/>
    <w:pPr>
      <w:keepLines/>
      <w:tabs>
        <w:tab w:val="clear" w:pos="794"/>
        <w:tab w:val="left" w:pos="567"/>
        <w:tab w:val="left" w:pos="1701"/>
        <w:tab w:val="left" w:pos="2268"/>
        <w:tab w:val="left" w:pos="2835"/>
      </w:tabs>
      <w:spacing w:after="120"/>
      <w:jc w:val="both"/>
    </w:pPr>
    <w:rPr>
      <w:rFonts w:ascii="Calibri" w:eastAsia="Times New Roman" w:hAnsi="Calibri" w:cs="Traditional Arabic"/>
      <w:b/>
      <w:bCs/>
      <w:sz w:val="28"/>
      <w:szCs w:val="36"/>
      <w:lang w:eastAsia="en-US" w:bidi="ar-EG"/>
    </w:rPr>
  </w:style>
  <w:style w:type="paragraph" w:customStyle="1" w:styleId="Committee">
    <w:name w:val="Committee"/>
    <w:basedOn w:val="Normal"/>
    <w:qFormat/>
    <w:rsid w:val="00C543C6"/>
    <w:pPr>
      <w:framePr w:hSpace="180" w:wrap="around" w:hAnchor="margin" w:y="-675"/>
      <w:tabs>
        <w:tab w:val="clear" w:pos="794"/>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cs="Traditional Arabic"/>
      <w:b/>
      <w:bCs/>
      <w:sz w:val="19"/>
      <w:szCs w:val="30"/>
      <w:lang w:val="en-GB" w:eastAsia="en-US"/>
    </w:rPr>
  </w:style>
  <w:style w:type="paragraph" w:customStyle="1" w:styleId="Adress">
    <w:name w:val="Adress"/>
    <w:qFormat/>
    <w:rsid w:val="00C543C6"/>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C543C6"/>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C543C6"/>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C543C6"/>
    <w:pPr>
      <w:keepNext/>
      <w:keepLines/>
      <w:tabs>
        <w:tab w:val="clear" w:pos="794"/>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Opiniontitle0">
    <w:name w:val="Opinion_title"/>
    <w:next w:val="Normal"/>
    <w:qFormat/>
    <w:rsid w:val="00C543C6"/>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C543C6"/>
    <w:pPr>
      <w:keepNext/>
      <w:tabs>
        <w:tab w:val="clear" w:pos="79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qFormat/>
    <w:rsid w:val="00C543C6"/>
    <w:pPr>
      <w:spacing w:after="360"/>
    </w:pPr>
    <w:rPr>
      <w:b/>
      <w:bCs/>
    </w:rPr>
  </w:style>
  <w:style w:type="character" w:styleId="EndnoteReference">
    <w:name w:val="endnote reference"/>
    <w:basedOn w:val="DefaultParagraphFont"/>
    <w:rsid w:val="00C543C6"/>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Normal"/>
    <w:next w:val="Normal"/>
    <w:link w:val="enumlev3Char"/>
    <w:qFormat/>
    <w:rsid w:val="00C543C6"/>
    <w:pPr>
      <w:tabs>
        <w:tab w:val="clear" w:pos="794"/>
        <w:tab w:val="left" w:pos="2500"/>
      </w:tabs>
      <w:spacing w:before="80"/>
      <w:ind w:left="2494" w:hanging="680"/>
    </w:pPr>
    <w:rPr>
      <w:rFonts w:ascii="Calibri" w:eastAsia="Times New Roman" w:hAnsi="Calibri" w:cs="Traditional Arabic"/>
      <w:szCs w:val="30"/>
      <w:lang w:eastAsia="en-US"/>
    </w:rPr>
  </w:style>
  <w:style w:type="character" w:customStyle="1" w:styleId="enumlev3Char">
    <w:name w:val="enumlev3 Char"/>
    <w:basedOn w:val="DefaultParagraphFont"/>
    <w:link w:val="enumlev30"/>
    <w:rsid w:val="00C543C6"/>
    <w:rPr>
      <w:rFonts w:ascii="Calibri" w:eastAsia="Times New Roman" w:hAnsi="Calibri" w:cs="Traditional Arabic"/>
      <w:szCs w:val="30"/>
      <w:lang w:eastAsia="en-US"/>
    </w:rPr>
  </w:style>
  <w:style w:type="paragraph" w:customStyle="1" w:styleId="FigureNo0">
    <w:name w:val="Figure_No"/>
    <w:basedOn w:val="Normal"/>
    <w:qFormat/>
    <w:rsid w:val="00C543C6"/>
    <w:pPr>
      <w:keepNext/>
      <w:keepLines/>
      <w:tabs>
        <w:tab w:val="clear"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Traditional Arabic"/>
      <w:szCs w:val="30"/>
      <w:lang w:eastAsia="en-US"/>
    </w:rPr>
  </w:style>
  <w:style w:type="paragraph" w:customStyle="1" w:styleId="Figuretitle0">
    <w:name w:val="Figure_title"/>
    <w:qFormat/>
    <w:rsid w:val="00C543C6"/>
    <w:pPr>
      <w:keepNext/>
      <w:keepLines/>
      <w:bidi/>
      <w:spacing w:before="240" w:after="120" w:line="192" w:lineRule="auto"/>
    </w:pPr>
    <w:rPr>
      <w:rFonts w:ascii="Calibri" w:eastAsia="Times New Roman" w:hAnsi="Calibri" w:cs="Traditional Arabic"/>
      <w:b/>
      <w:bCs/>
      <w:szCs w:val="30"/>
      <w:lang w:eastAsia="en-US" w:bidi="ar-EG"/>
    </w:rPr>
  </w:style>
  <w:style w:type="paragraph" w:customStyle="1" w:styleId="LOGO">
    <w:name w:val="LOGO"/>
    <w:qFormat/>
    <w:rsid w:val="00C543C6"/>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C543C6"/>
    <w:rPr>
      <w:rFonts w:ascii="Dubai" w:hAnsi="Dubai" w:cs="Dubai"/>
      <w:lang w:bidi="ar-SY"/>
    </w:rPr>
  </w:style>
  <w:style w:type="paragraph" w:customStyle="1" w:styleId="Normalend">
    <w:name w:val="Normal_end"/>
    <w:basedOn w:val="Normal"/>
    <w:qFormat/>
    <w:rsid w:val="00C543C6"/>
    <w:pPr>
      <w:tabs>
        <w:tab w:val="clear" w:pos="79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qFormat/>
    <w:rsid w:val="00C543C6"/>
    <w:pPr>
      <w:keepNext/>
      <w:keepLines/>
      <w:tabs>
        <w:tab w:val="clear" w:pos="794"/>
        <w:tab w:val="left" w:pos="1191"/>
        <w:tab w:val="left" w:pos="1588"/>
        <w:tab w:val="left" w:pos="198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val="en-GB" w:eastAsia="en-US" w:bidi="ar-EG"/>
    </w:rPr>
  </w:style>
  <w:style w:type="paragraph" w:customStyle="1" w:styleId="Part1">
    <w:name w:val="Part_1"/>
    <w:basedOn w:val="Parttitle0"/>
    <w:qFormat/>
    <w:rsid w:val="00C543C6"/>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C543C6"/>
    <w:pPr>
      <w:keepNext/>
      <w:keepLines/>
      <w:tabs>
        <w:tab w:val="clear" w:pos="794"/>
      </w:tabs>
      <w:spacing w:before="360" w:after="120"/>
      <w:jc w:val="center"/>
    </w:pPr>
    <w:rPr>
      <w:rFonts w:ascii="Calibri" w:eastAsia="Times New Roman" w:hAnsi="Calibri" w:cs="Traditional Arabic"/>
      <w:sz w:val="28"/>
      <w:szCs w:val="40"/>
      <w:lang w:eastAsia="en-US" w:bidi="ar-EG"/>
    </w:rPr>
  </w:style>
  <w:style w:type="character" w:customStyle="1" w:styleId="ReasonsChar">
    <w:name w:val="Reasons Char"/>
    <w:basedOn w:val="DefaultParagraphFont"/>
    <w:link w:val="Reasons"/>
    <w:rsid w:val="00C543C6"/>
    <w:rPr>
      <w:rFonts w:ascii="Dubai" w:hAnsi="Dubai" w:cs="Dubai"/>
      <w:b/>
      <w:bCs/>
    </w:rPr>
  </w:style>
  <w:style w:type="paragraph" w:customStyle="1" w:styleId="Reftext">
    <w:name w:val="Ref_text"/>
    <w:basedOn w:val="Normal"/>
    <w:rsid w:val="00C543C6"/>
    <w:pPr>
      <w:tabs>
        <w:tab w:val="clear" w:pos="794"/>
      </w:tabs>
      <w:ind w:left="794" w:right="794" w:hanging="794"/>
    </w:pPr>
    <w:rPr>
      <w:rFonts w:ascii="Calibri" w:eastAsia="Times New Roman" w:hAnsi="Calibri" w:cs="Traditional Arabic"/>
      <w:szCs w:val="30"/>
      <w:lang w:eastAsia="en-US"/>
    </w:rPr>
  </w:style>
  <w:style w:type="character" w:customStyle="1" w:styleId="ResNoChar">
    <w:name w:val="Res_No Char"/>
    <w:basedOn w:val="DefaultParagraphFont"/>
    <w:link w:val="ResNo"/>
    <w:rsid w:val="00C543C6"/>
    <w:rPr>
      <w:rFonts w:ascii="Dubai" w:hAnsi="Dubai" w:cs="Dubai"/>
      <w:sz w:val="26"/>
      <w:szCs w:val="26"/>
    </w:rPr>
  </w:style>
  <w:style w:type="character" w:customStyle="1" w:styleId="RestitleChar">
    <w:name w:val="Res_title Char"/>
    <w:basedOn w:val="AnnextitleChar"/>
    <w:link w:val="Restitle"/>
    <w:rsid w:val="00C543C6"/>
    <w:rPr>
      <w:rFonts w:ascii="Dubai" w:eastAsia="Times New Roman" w:hAnsi="Dubai" w:cs="Dubai"/>
      <w:b/>
      <w:bCs/>
      <w:sz w:val="28"/>
      <w:szCs w:val="28"/>
      <w:lang w:eastAsia="en-US" w:bidi="ar-SY"/>
    </w:rPr>
  </w:style>
  <w:style w:type="paragraph" w:customStyle="1" w:styleId="Section10">
    <w:name w:val="Section_1"/>
    <w:basedOn w:val="Normal"/>
    <w:link w:val="Section1Char"/>
    <w:qFormat/>
    <w:rsid w:val="00C543C6"/>
    <w:pPr>
      <w:keepNext/>
      <w:keepLines/>
      <w:tabs>
        <w:tab w:val="clear" w:pos="794"/>
      </w:tabs>
      <w:spacing w:before="240" w:after="120"/>
      <w:jc w:val="center"/>
    </w:pPr>
    <w:rPr>
      <w:rFonts w:ascii="Calibri" w:eastAsia="Times New Roman" w:hAnsi="Calibri" w:cs="Traditional Arabic"/>
      <w:b/>
      <w:bCs/>
      <w:sz w:val="24"/>
      <w:szCs w:val="32"/>
      <w:lang w:eastAsia="en-US" w:bidi="ar-EG"/>
    </w:rPr>
  </w:style>
  <w:style w:type="character" w:customStyle="1" w:styleId="Section1Char">
    <w:name w:val="Section_1 Char"/>
    <w:link w:val="Section10"/>
    <w:rsid w:val="00C543C6"/>
    <w:rPr>
      <w:rFonts w:ascii="Calibri" w:eastAsia="Times New Roman" w:hAnsi="Calibri" w:cs="Traditional Arabic"/>
      <w:b/>
      <w:bCs/>
      <w:sz w:val="24"/>
      <w:szCs w:val="32"/>
      <w:lang w:eastAsia="en-US" w:bidi="ar-EG"/>
    </w:rPr>
  </w:style>
  <w:style w:type="paragraph" w:customStyle="1" w:styleId="Section20">
    <w:name w:val="Section_2"/>
    <w:basedOn w:val="Section10"/>
    <w:rsid w:val="00C543C6"/>
    <w:pPr>
      <w:tabs>
        <w:tab w:val="center" w:pos="4820"/>
      </w:tabs>
      <w:bidi w:val="0"/>
      <w:spacing w:before="360"/>
    </w:pPr>
    <w:rPr>
      <w:b w:val="0"/>
      <w:bCs w:val="0"/>
      <w:i/>
      <w:iCs/>
      <w:lang w:val="en-GB" w:bidi="ar-SA"/>
    </w:rPr>
  </w:style>
  <w:style w:type="paragraph" w:customStyle="1" w:styleId="Section3">
    <w:name w:val="Section_3‎"/>
    <w:qFormat/>
    <w:rsid w:val="00C543C6"/>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C543C6"/>
    <w:pPr>
      <w:keepNext/>
      <w:keepLines/>
      <w:tabs>
        <w:tab w:val="clear" w:pos="794"/>
        <w:tab w:val="left" w:pos="567"/>
        <w:tab w:val="left" w:pos="1701"/>
        <w:tab w:val="left" w:pos="2268"/>
        <w:tab w:val="left" w:pos="2835"/>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SpecialFooter">
    <w:name w:val="Special Footer"/>
    <w:basedOn w:val="Normal"/>
    <w:rsid w:val="00C543C6"/>
    <w:pPr>
      <w:tabs>
        <w:tab w:val="clear" w:pos="794"/>
        <w:tab w:val="left" w:pos="567"/>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Styletoc0LinespacingExactly14pt">
    <w:name w:val="Style toc 0 + Line spacing:  Exactly 14 pt"/>
    <w:basedOn w:val="Normal"/>
    <w:semiHidden/>
    <w:rsid w:val="00C543C6"/>
    <w:pPr>
      <w:tabs>
        <w:tab w:val="clear" w:pos="79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rsid w:val="00C543C6"/>
    <w:pPr>
      <w:tabs>
        <w:tab w:val="clear" w:pos="794"/>
        <w:tab w:val="left" w:pos="1871"/>
        <w:tab w:val="left" w:pos="2268"/>
      </w:tabs>
      <w:overflowPunct w:val="0"/>
      <w:autoSpaceDE w:val="0"/>
      <w:autoSpaceDN w:val="0"/>
      <w:bidi w:val="0"/>
      <w:adjustRightInd w:val="0"/>
      <w:spacing w:before="0" w:line="240" w:lineRule="auto"/>
      <w:textAlignment w:val="baseline"/>
    </w:pPr>
    <w:rPr>
      <w:rFonts w:ascii="Calibri" w:eastAsia="Times New Roman" w:hAnsi="Calibri" w:cs="Times New Roman"/>
      <w:sz w:val="12"/>
      <w:szCs w:val="20"/>
      <w:lang w:val="fr-FR" w:eastAsia="en-US"/>
    </w:rPr>
  </w:style>
  <w:style w:type="character" w:customStyle="1" w:styleId="Tablefreq">
    <w:name w:val="Table_freq"/>
    <w:rsid w:val="00C543C6"/>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C543C6"/>
    <w:pPr>
      <w:tabs>
        <w:tab w:val="clear" w:pos="794"/>
        <w:tab w:val="left" w:pos="283"/>
        <w:tab w:val="left" w:pos="1531"/>
        <w:tab w:val="left" w:pos="2041"/>
      </w:tabs>
      <w:overflowPunct w:val="0"/>
      <w:autoSpaceDE w:val="0"/>
      <w:autoSpaceDN w:val="0"/>
      <w:adjustRightInd w:val="0"/>
      <w:spacing w:before="60" w:after="60"/>
      <w:ind w:left="567" w:hanging="567"/>
      <w:textAlignment w:val="baseline"/>
    </w:pPr>
    <w:rPr>
      <w:rFonts w:ascii="Calibri" w:eastAsia="Times New Roman" w:hAnsi="Calibri" w:cs="Traditional Arabic"/>
      <w:i/>
      <w:iCs/>
      <w:szCs w:val="30"/>
      <w:lang w:bidi="ar-EG"/>
    </w:rPr>
  </w:style>
  <w:style w:type="character" w:customStyle="1" w:styleId="TablelegendChar">
    <w:name w:val="Table_legend Char"/>
    <w:link w:val="Tablelegend0"/>
    <w:rsid w:val="00C543C6"/>
    <w:rPr>
      <w:rFonts w:ascii="Calibri" w:eastAsia="Times New Roman" w:hAnsi="Calibri" w:cs="Traditional Arabic"/>
      <w:i/>
      <w:iCs/>
      <w:szCs w:val="30"/>
      <w:lang w:bidi="ar-EG"/>
    </w:rPr>
  </w:style>
  <w:style w:type="paragraph" w:customStyle="1" w:styleId="Title10">
    <w:name w:val="Title1"/>
    <w:basedOn w:val="Normal"/>
    <w:semiHidden/>
    <w:rsid w:val="00C543C6"/>
    <w:pPr>
      <w:tabs>
        <w:tab w:val="clear" w:pos="79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C543C6"/>
    <w:pPr>
      <w:tabs>
        <w:tab w:val="clear" w:pos="794"/>
      </w:tabs>
      <w:spacing w:line="240" w:lineRule="auto"/>
      <w:ind w:right="-142"/>
      <w:jc w:val="right"/>
    </w:pPr>
    <w:rPr>
      <w:rFonts w:ascii="Times New Roman Bold" w:eastAsia="Times New Roman" w:hAnsi="Times New Roman Bold" w:cs="Traditional Arabic"/>
      <w:b/>
      <w:bCs/>
      <w:szCs w:val="30"/>
      <w:lang w:eastAsia="en-US"/>
    </w:rPr>
  </w:style>
  <w:style w:type="paragraph" w:customStyle="1" w:styleId="Volumetitle0">
    <w:name w:val="Volume_title"/>
    <w:basedOn w:val="Normal"/>
    <w:qFormat/>
    <w:rsid w:val="00C543C6"/>
    <w:pPr>
      <w:keepNext/>
      <w:keepLines/>
      <w:tabs>
        <w:tab w:val="clear" w:pos="79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not2"/>
    <w:qFormat/>
    <w:rsid w:val="00C543C6"/>
    <w:rPr>
      <w:sz w:val="22"/>
      <w:szCs w:val="30"/>
    </w:rPr>
  </w:style>
  <w:style w:type="paragraph" w:customStyle="1" w:styleId="Recref">
    <w:name w:val="Rec_ref"/>
    <w:basedOn w:val="Normal"/>
    <w:qFormat/>
    <w:rsid w:val="00C543C6"/>
    <w:pPr>
      <w:keepNext/>
      <w:tabs>
        <w:tab w:val="clear" w:pos="794"/>
      </w:tabs>
      <w:spacing w:after="120"/>
      <w:jc w:val="center"/>
    </w:pPr>
    <w:rPr>
      <w:rFonts w:ascii="Calibri" w:eastAsia="Times New Roman" w:hAnsi="Calibri" w:cs="Traditional Arabic"/>
      <w:i/>
      <w:iCs/>
      <w:szCs w:val="30"/>
      <w:lang w:eastAsia="en-US"/>
    </w:rPr>
  </w:style>
  <w:style w:type="paragraph" w:customStyle="1" w:styleId="Resref">
    <w:name w:val="Res_ref"/>
    <w:basedOn w:val="Recref"/>
    <w:qFormat/>
    <w:rsid w:val="00C543C6"/>
    <w:pPr>
      <w:keepLines/>
    </w:pPr>
  </w:style>
  <w:style w:type="paragraph" w:styleId="BalloonText">
    <w:name w:val="Balloon Text"/>
    <w:basedOn w:val="Normal"/>
    <w:link w:val="BalloonTextChar"/>
    <w:uiPriority w:val="99"/>
    <w:unhideWhenUsed/>
    <w:rsid w:val="00C543C6"/>
    <w:pPr>
      <w:tabs>
        <w:tab w:val="clear" w:pos="79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rsid w:val="00C543C6"/>
    <w:rPr>
      <w:rFonts w:ascii="Segoe UI" w:eastAsia="Times New Roman" w:hAnsi="Segoe UI" w:cs="Segoe UI"/>
      <w:sz w:val="18"/>
      <w:szCs w:val="18"/>
      <w:lang w:eastAsia="en-US"/>
    </w:rPr>
  </w:style>
  <w:style w:type="paragraph" w:customStyle="1" w:styleId="TableText0">
    <w:name w:val="Table_Text"/>
    <w:basedOn w:val="Normal"/>
    <w:rsid w:val="00C543C6"/>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ascii="Times New Roman" w:eastAsia="Times New Roman" w:hAnsi="Times New Roman" w:cs="Times New Roman"/>
      <w:szCs w:val="20"/>
      <w:lang w:val="fr-FR" w:eastAsia="en-US"/>
    </w:rPr>
  </w:style>
  <w:style w:type="table" w:customStyle="1" w:styleId="TableGrid11">
    <w:name w:val="Table Grid11"/>
    <w:basedOn w:val="TableNormal"/>
    <w:rsid w:val="00C543C6"/>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1">
    <w:name w:val="Table_head 11"/>
    <w:basedOn w:val="Tablehead0"/>
    <w:qFormat/>
    <w:rsid w:val="00C543C6"/>
    <w:pPr>
      <w:keepNext/>
      <w:overflowPunct/>
      <w:autoSpaceDE/>
      <w:autoSpaceDN/>
      <w:bidi/>
      <w:adjustRightInd/>
      <w:spacing w:before="40" w:after="40" w:line="220" w:lineRule="exact"/>
      <w:textAlignment w:val="auto"/>
    </w:pPr>
    <w:rPr>
      <w:rFonts w:ascii="Calibri" w:hAnsi="Calibri" w:cs="Traditional Arabic"/>
      <w:sz w:val="16"/>
      <w:lang w:val="en-US" w:bidi="ar-EG"/>
    </w:rPr>
  </w:style>
  <w:style w:type="paragraph" w:customStyle="1" w:styleId="Tabletext11">
    <w:name w:val="Table_text 11"/>
    <w:basedOn w:val="Tabletext"/>
    <w:qFormat/>
    <w:rsid w:val="00C543C6"/>
    <w:pPr>
      <w:spacing w:before="20" w:after="40" w:line="220" w:lineRule="exact"/>
      <w:jc w:val="left"/>
    </w:pPr>
    <w:rPr>
      <w:sz w:val="16"/>
      <w:szCs w:val="22"/>
    </w:rPr>
  </w:style>
  <w:style w:type="paragraph" w:customStyle="1" w:styleId="TableheadP2">
    <w:name w:val="Table_head P2"/>
    <w:basedOn w:val="Normal"/>
    <w:link w:val="TableheadP2Char"/>
    <w:qFormat/>
    <w:rsid w:val="00C543C6"/>
    <w:pPr>
      <w:keepNext/>
      <w:tabs>
        <w:tab w:val="clear" w:pos="794"/>
      </w:tabs>
      <w:spacing w:before="60" w:after="60" w:line="260" w:lineRule="exact"/>
      <w:jc w:val="center"/>
    </w:pPr>
    <w:rPr>
      <w:rFonts w:ascii="Calibri" w:eastAsia="Times New Roman" w:hAnsi="Calibri" w:cs="Traditional Arabic"/>
      <w:b/>
      <w:bCs/>
      <w:sz w:val="20"/>
      <w:szCs w:val="26"/>
      <w:lang w:eastAsia="en-US" w:bidi="ar-EG"/>
    </w:rPr>
  </w:style>
  <w:style w:type="character" w:customStyle="1" w:styleId="TableheadP2Char">
    <w:name w:val="Table_head P2 Char"/>
    <w:basedOn w:val="DefaultParagraphFont"/>
    <w:link w:val="TableheadP2"/>
    <w:rsid w:val="00C543C6"/>
    <w:rPr>
      <w:rFonts w:ascii="Calibri" w:eastAsia="Times New Roman" w:hAnsi="Calibri" w:cs="Traditional Arabic"/>
      <w:b/>
      <w:bCs/>
      <w:sz w:val="20"/>
      <w:szCs w:val="26"/>
      <w:lang w:eastAsia="en-US" w:bidi="ar-EG"/>
    </w:rPr>
  </w:style>
  <w:style w:type="paragraph" w:customStyle="1" w:styleId="TabletextP2">
    <w:name w:val="Table_text P2"/>
    <w:basedOn w:val="Normal"/>
    <w:link w:val="TabletextP2Char"/>
    <w:qFormat/>
    <w:rsid w:val="00C543C6"/>
    <w:pPr>
      <w:tabs>
        <w:tab w:val="clear" w:pos="794"/>
      </w:tabs>
      <w:spacing w:before="60" w:after="60" w:line="260" w:lineRule="exact"/>
      <w:jc w:val="left"/>
    </w:pPr>
    <w:rPr>
      <w:rFonts w:ascii="Calibri" w:eastAsia="Times New Roman" w:hAnsi="Calibri" w:cs="Traditional Arabic"/>
      <w:sz w:val="20"/>
      <w:szCs w:val="26"/>
      <w:lang w:val="fr-FR" w:eastAsia="en-US" w:bidi="ar-EG"/>
    </w:rPr>
  </w:style>
  <w:style w:type="character" w:customStyle="1" w:styleId="TabletextP2Char">
    <w:name w:val="Table_text P2 Char"/>
    <w:basedOn w:val="DefaultParagraphFont"/>
    <w:link w:val="TabletextP2"/>
    <w:locked/>
    <w:rsid w:val="00C543C6"/>
    <w:rPr>
      <w:rFonts w:ascii="Calibri" w:eastAsia="Times New Roman" w:hAnsi="Calibri" w:cs="Traditional Arabic"/>
      <w:sz w:val="20"/>
      <w:szCs w:val="26"/>
      <w:lang w:val="fr-FR" w:eastAsia="en-US" w:bidi="ar-EG"/>
    </w:rPr>
  </w:style>
  <w:style w:type="paragraph" w:customStyle="1" w:styleId="TabletitleP2">
    <w:name w:val="Table title P2"/>
    <w:basedOn w:val="Normal"/>
    <w:qFormat/>
    <w:rsid w:val="00C543C6"/>
    <w:pPr>
      <w:keepNext/>
      <w:tabs>
        <w:tab w:val="clear" w:pos="794"/>
      </w:tabs>
      <w:spacing w:before="240" w:after="120"/>
      <w:jc w:val="center"/>
    </w:pPr>
    <w:rPr>
      <w:rFonts w:ascii="Calibri" w:hAnsi="Calibri" w:cs="Traditional Arabic"/>
      <w:b/>
      <w:bCs/>
      <w:szCs w:val="30"/>
      <w:lang w:bidi="ar-SY"/>
    </w:rPr>
  </w:style>
  <w:style w:type="paragraph" w:customStyle="1" w:styleId="Tabletext11P2">
    <w:name w:val="Table_text 11 P2"/>
    <w:basedOn w:val="TabletextP2"/>
    <w:qFormat/>
    <w:rsid w:val="00C543C6"/>
    <w:pPr>
      <w:spacing w:before="20" w:after="40" w:line="220" w:lineRule="exact"/>
    </w:pPr>
    <w:rPr>
      <w:sz w:val="16"/>
      <w:szCs w:val="22"/>
    </w:rPr>
  </w:style>
  <w:style w:type="paragraph" w:customStyle="1" w:styleId="TableheadP3">
    <w:name w:val="Table_head P3"/>
    <w:basedOn w:val="Normal"/>
    <w:link w:val="TableheadP3Char"/>
    <w:qFormat/>
    <w:rsid w:val="00C543C6"/>
    <w:pPr>
      <w:keepNext/>
      <w:tabs>
        <w:tab w:val="clear" w:pos="794"/>
      </w:tabs>
      <w:spacing w:before="60" w:after="60" w:line="260" w:lineRule="exact"/>
      <w:jc w:val="center"/>
    </w:pPr>
    <w:rPr>
      <w:rFonts w:ascii="Calibri" w:eastAsia="Times New Roman" w:hAnsi="Calibri" w:cs="Traditional Arabic"/>
      <w:b/>
      <w:bCs/>
      <w:sz w:val="20"/>
      <w:szCs w:val="26"/>
      <w:lang w:eastAsia="en-US" w:bidi="ar-EG"/>
    </w:rPr>
  </w:style>
  <w:style w:type="character" w:customStyle="1" w:styleId="TableheadP3Char">
    <w:name w:val="Table_head P3 Char"/>
    <w:basedOn w:val="DefaultParagraphFont"/>
    <w:link w:val="TableheadP3"/>
    <w:rsid w:val="00C543C6"/>
    <w:rPr>
      <w:rFonts w:ascii="Calibri" w:eastAsia="Times New Roman" w:hAnsi="Calibri" w:cs="Traditional Arabic"/>
      <w:b/>
      <w:bCs/>
      <w:sz w:val="20"/>
      <w:szCs w:val="26"/>
      <w:lang w:eastAsia="en-US" w:bidi="ar-EG"/>
    </w:rPr>
  </w:style>
  <w:style w:type="paragraph" w:customStyle="1" w:styleId="TabletextP3">
    <w:name w:val="Table_text P3"/>
    <w:basedOn w:val="Normal"/>
    <w:link w:val="TabletextP3Char"/>
    <w:qFormat/>
    <w:rsid w:val="00C543C6"/>
    <w:pPr>
      <w:tabs>
        <w:tab w:val="clear" w:pos="79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P3Char">
    <w:name w:val="Table_text P3 Char"/>
    <w:basedOn w:val="DefaultParagraphFont"/>
    <w:link w:val="TabletextP3"/>
    <w:locked/>
    <w:rsid w:val="00C543C6"/>
    <w:rPr>
      <w:rFonts w:ascii="Calibri" w:eastAsia="Times New Roman" w:hAnsi="Calibri" w:cs="Traditional Arabic"/>
      <w:sz w:val="20"/>
      <w:szCs w:val="26"/>
      <w:lang w:val="fr-FR" w:eastAsia="en-US" w:bidi="ar-EG"/>
    </w:rPr>
  </w:style>
  <w:style w:type="paragraph" w:customStyle="1" w:styleId="TabletitleP3">
    <w:name w:val="Table title P3"/>
    <w:basedOn w:val="Normal"/>
    <w:uiPriority w:val="99"/>
    <w:qFormat/>
    <w:rsid w:val="00C543C6"/>
    <w:pPr>
      <w:keepNext/>
      <w:tabs>
        <w:tab w:val="clear" w:pos="794"/>
      </w:tabs>
      <w:spacing w:after="240"/>
      <w:jc w:val="center"/>
    </w:pPr>
    <w:rPr>
      <w:rFonts w:ascii="Calibri" w:hAnsi="Calibri" w:cs="Traditional Arabic"/>
      <w:b/>
      <w:bCs/>
      <w:szCs w:val="30"/>
      <w:lang w:bidi="ar-SY"/>
    </w:rPr>
  </w:style>
  <w:style w:type="paragraph" w:customStyle="1" w:styleId="TableHeadP30">
    <w:name w:val="Table Head P3"/>
    <w:basedOn w:val="Normal"/>
    <w:uiPriority w:val="99"/>
    <w:qFormat/>
    <w:rsid w:val="00C543C6"/>
    <w:pPr>
      <w:keepNext/>
      <w:tabs>
        <w:tab w:val="clear" w:pos="794"/>
      </w:tabs>
      <w:spacing w:before="60" w:after="60" w:line="260" w:lineRule="exact"/>
      <w:jc w:val="center"/>
    </w:pPr>
    <w:rPr>
      <w:rFonts w:ascii="Calibri" w:hAnsi="Calibri" w:cs="Traditional Arabic"/>
      <w:b/>
      <w:bCs/>
      <w:sz w:val="20"/>
      <w:szCs w:val="26"/>
    </w:rPr>
  </w:style>
  <w:style w:type="character" w:styleId="FollowedHyperlink">
    <w:name w:val="FollowedHyperlink"/>
    <w:basedOn w:val="DefaultParagraphFont"/>
    <w:uiPriority w:val="99"/>
    <w:unhideWhenUsed/>
    <w:rsid w:val="00C543C6"/>
    <w:rPr>
      <w:color w:val="800080"/>
      <w:u w:val="single"/>
    </w:rPr>
  </w:style>
  <w:style w:type="paragraph" w:styleId="Index1">
    <w:name w:val="index 1"/>
    <w:basedOn w:val="Normal"/>
    <w:next w:val="Normal"/>
    <w:autoRedefine/>
    <w:unhideWhenUsed/>
    <w:rsid w:val="00C543C6"/>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styleId="Index2">
    <w:name w:val="index 2"/>
    <w:basedOn w:val="Normal"/>
    <w:next w:val="Normal"/>
    <w:autoRedefine/>
    <w:unhideWhenUsed/>
    <w:rsid w:val="00C543C6"/>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283"/>
      <w:jc w:val="left"/>
    </w:pPr>
    <w:rPr>
      <w:rFonts w:ascii="Calibri" w:eastAsia="Times New Roman" w:hAnsi="Calibri" w:cs="Times New Roman"/>
      <w:sz w:val="24"/>
      <w:szCs w:val="20"/>
      <w:lang w:val="en-GB" w:eastAsia="en-US"/>
    </w:rPr>
  </w:style>
  <w:style w:type="paragraph" w:styleId="Index3">
    <w:name w:val="index 3"/>
    <w:basedOn w:val="Normal"/>
    <w:next w:val="Normal"/>
    <w:autoRedefine/>
    <w:unhideWhenUsed/>
    <w:rsid w:val="00C543C6"/>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6"/>
      <w:jc w:val="left"/>
    </w:pPr>
    <w:rPr>
      <w:rFonts w:ascii="Calibri" w:eastAsia="Times New Roman" w:hAnsi="Calibri" w:cs="Times New Roman"/>
      <w:sz w:val="24"/>
      <w:szCs w:val="20"/>
      <w:lang w:val="en-GB" w:eastAsia="en-US"/>
    </w:rPr>
  </w:style>
  <w:style w:type="paragraph" w:styleId="Index4">
    <w:name w:val="index 4"/>
    <w:basedOn w:val="Normal"/>
    <w:next w:val="Normal"/>
    <w:autoRedefine/>
    <w:unhideWhenUsed/>
    <w:rsid w:val="00C543C6"/>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849"/>
      <w:jc w:val="left"/>
    </w:pPr>
    <w:rPr>
      <w:rFonts w:ascii="Calibri" w:eastAsia="Times New Roman" w:hAnsi="Calibri" w:cs="Times New Roman"/>
      <w:sz w:val="24"/>
      <w:szCs w:val="20"/>
      <w:lang w:val="en-GB" w:eastAsia="en-US"/>
    </w:rPr>
  </w:style>
  <w:style w:type="paragraph" w:styleId="Index5">
    <w:name w:val="index 5"/>
    <w:basedOn w:val="Normal"/>
    <w:next w:val="Normal"/>
    <w:autoRedefine/>
    <w:unhideWhenUsed/>
    <w:rsid w:val="00C543C6"/>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132"/>
      <w:jc w:val="left"/>
    </w:pPr>
    <w:rPr>
      <w:rFonts w:ascii="Calibri" w:eastAsia="Times New Roman" w:hAnsi="Calibri" w:cs="Times New Roman"/>
      <w:sz w:val="24"/>
      <w:szCs w:val="20"/>
      <w:lang w:val="en-GB" w:eastAsia="en-US"/>
    </w:rPr>
  </w:style>
  <w:style w:type="paragraph" w:styleId="Index6">
    <w:name w:val="index 6"/>
    <w:basedOn w:val="Normal"/>
    <w:next w:val="Normal"/>
    <w:autoRedefine/>
    <w:unhideWhenUsed/>
    <w:rsid w:val="00C543C6"/>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415"/>
      <w:jc w:val="left"/>
    </w:pPr>
    <w:rPr>
      <w:rFonts w:ascii="Calibri" w:eastAsia="Times New Roman" w:hAnsi="Calibri" w:cs="Times New Roman"/>
      <w:sz w:val="24"/>
      <w:szCs w:val="20"/>
      <w:lang w:val="en-GB" w:eastAsia="en-US"/>
    </w:rPr>
  </w:style>
  <w:style w:type="paragraph" w:styleId="Index7">
    <w:name w:val="index 7"/>
    <w:basedOn w:val="Normal"/>
    <w:next w:val="Normal"/>
    <w:autoRedefine/>
    <w:unhideWhenUsed/>
    <w:rsid w:val="00C543C6"/>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698"/>
      <w:jc w:val="left"/>
    </w:pPr>
    <w:rPr>
      <w:rFonts w:ascii="Calibri" w:eastAsia="Times New Roman" w:hAnsi="Calibri" w:cs="Times New Roman"/>
      <w:sz w:val="24"/>
      <w:szCs w:val="20"/>
      <w:lang w:val="en-GB" w:eastAsia="en-US"/>
    </w:rPr>
  </w:style>
  <w:style w:type="paragraph" w:styleId="NormalIndent">
    <w:name w:val="Normal Indent"/>
    <w:basedOn w:val="Normal"/>
    <w:unhideWhenUsed/>
    <w:rsid w:val="00C543C6"/>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jc w:val="left"/>
    </w:pPr>
    <w:rPr>
      <w:rFonts w:ascii="Calibri" w:eastAsia="Times New Roman" w:hAnsi="Calibri" w:cs="Times New Roman"/>
      <w:sz w:val="24"/>
      <w:szCs w:val="20"/>
      <w:lang w:val="en-GB" w:eastAsia="en-US"/>
    </w:rPr>
  </w:style>
  <w:style w:type="paragraph" w:styleId="CommentText">
    <w:name w:val="annotation text"/>
    <w:basedOn w:val="Normal"/>
    <w:link w:val="CommentTextChar"/>
    <w:uiPriority w:val="99"/>
    <w:unhideWhenUsed/>
    <w:rsid w:val="00C543C6"/>
    <w:pPr>
      <w:tabs>
        <w:tab w:val="clear" w:pos="794"/>
      </w:tabs>
      <w:bidi w:val="0"/>
      <w:spacing w:before="0" w:line="240" w:lineRule="auto"/>
      <w:jc w:val="left"/>
    </w:pPr>
    <w:rPr>
      <w:rFonts w:ascii="Times New Roman" w:eastAsia="Times New Roman" w:hAnsi="Times New Roman" w:cs="Arial"/>
      <w:b/>
      <w:sz w:val="20"/>
      <w:szCs w:val="20"/>
      <w:lang w:val="fr-FR" w:eastAsia="fr-FR"/>
    </w:rPr>
  </w:style>
  <w:style w:type="character" w:customStyle="1" w:styleId="CommentTextChar">
    <w:name w:val="Comment Text Char"/>
    <w:basedOn w:val="DefaultParagraphFont"/>
    <w:link w:val="CommentText"/>
    <w:uiPriority w:val="99"/>
    <w:rsid w:val="00C543C6"/>
    <w:rPr>
      <w:rFonts w:ascii="Times New Roman" w:eastAsia="Times New Roman" w:hAnsi="Times New Roman" w:cs="Arial"/>
      <w:b/>
      <w:sz w:val="20"/>
      <w:szCs w:val="20"/>
      <w:lang w:val="fr-FR" w:eastAsia="fr-FR"/>
    </w:rPr>
  </w:style>
  <w:style w:type="paragraph" w:styleId="IndexHeading">
    <w:name w:val="index heading"/>
    <w:basedOn w:val="Normal"/>
    <w:next w:val="Index1"/>
    <w:unhideWhenUsed/>
    <w:rsid w:val="00C543C6"/>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styleId="Caption">
    <w:name w:val="caption"/>
    <w:basedOn w:val="Normal"/>
    <w:next w:val="Normal"/>
    <w:uiPriority w:val="35"/>
    <w:unhideWhenUsed/>
    <w:qFormat/>
    <w:rsid w:val="00C543C6"/>
    <w:pPr>
      <w:widowControl w:val="0"/>
      <w:tabs>
        <w:tab w:val="clear" w:pos="794"/>
      </w:tabs>
      <w:kinsoku w:val="0"/>
      <w:bidi w:val="0"/>
      <w:spacing w:before="0" w:after="200" w:line="240" w:lineRule="auto"/>
      <w:jc w:val="left"/>
    </w:pPr>
    <w:rPr>
      <w:rFonts w:ascii="Times New Roman" w:eastAsia="SimSun" w:hAnsi="Times New Roman" w:cs="Times New Roman"/>
      <w:b/>
      <w:bCs/>
      <w:color w:val="4F81BD"/>
      <w:sz w:val="18"/>
      <w:szCs w:val="18"/>
    </w:rPr>
  </w:style>
  <w:style w:type="paragraph" w:styleId="List">
    <w:name w:val="List"/>
    <w:basedOn w:val="Normal"/>
    <w:unhideWhenUsed/>
    <w:rsid w:val="00C543C6"/>
    <w:pPr>
      <w:tabs>
        <w:tab w:val="clear" w:pos="794"/>
        <w:tab w:val="left" w:pos="567"/>
        <w:tab w:val="left" w:pos="1134"/>
        <w:tab w:val="left" w:pos="1701"/>
        <w:tab w:val="left" w:pos="2127"/>
        <w:tab w:val="left" w:pos="2268"/>
        <w:tab w:val="left" w:pos="2835"/>
      </w:tabs>
      <w:overflowPunct w:val="0"/>
      <w:autoSpaceDE w:val="0"/>
      <w:autoSpaceDN w:val="0"/>
      <w:bidi w:val="0"/>
      <w:adjustRightInd w:val="0"/>
      <w:spacing w:line="240" w:lineRule="auto"/>
      <w:ind w:left="2127" w:hanging="2127"/>
      <w:jc w:val="left"/>
    </w:pPr>
    <w:rPr>
      <w:rFonts w:ascii="Calibri" w:eastAsia="Times New Roman" w:hAnsi="Calibri" w:cs="Times New Roman"/>
      <w:sz w:val="24"/>
      <w:szCs w:val="20"/>
      <w:lang w:val="en-GB" w:eastAsia="en-US"/>
    </w:rPr>
  </w:style>
  <w:style w:type="character" w:customStyle="1" w:styleId="TitleChar1">
    <w:name w:val="Title Char1"/>
    <w:aliases w:val="Title right Char1"/>
    <w:basedOn w:val="DefaultParagraphFont"/>
    <w:rsid w:val="00C543C6"/>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C543C6"/>
    <w:pPr>
      <w:tabs>
        <w:tab w:val="clear" w:pos="794"/>
        <w:tab w:val="left" w:pos="0"/>
        <w:tab w:val="left" w:pos="851"/>
        <w:tab w:val="left" w:pos="1134"/>
      </w:tabs>
      <w:overflowPunct w:val="0"/>
      <w:autoSpaceDE w:val="0"/>
      <w:autoSpaceDN w:val="0"/>
      <w:bidi w:val="0"/>
      <w:adjustRightInd w:val="0"/>
      <w:spacing w:before="80" w:line="0" w:lineRule="atLeast"/>
      <w:ind w:left="1134" w:hanging="283"/>
      <w:jc w:val="left"/>
    </w:pPr>
    <w:rPr>
      <w:rFonts w:ascii="Times New Roman" w:eastAsia="Times New Roman" w:hAnsi="Times New Roman" w:cs="Times New Roman"/>
      <w:sz w:val="24"/>
      <w:szCs w:val="20"/>
      <w:lang w:val="fr-FR" w:eastAsia="en-US"/>
    </w:rPr>
  </w:style>
  <w:style w:type="character" w:customStyle="1" w:styleId="BodyTextIndentChar">
    <w:name w:val="Body Text Indent Char"/>
    <w:basedOn w:val="DefaultParagraphFont"/>
    <w:link w:val="BodyTextIndent"/>
    <w:rsid w:val="00C543C6"/>
    <w:rPr>
      <w:rFonts w:ascii="Times New Roman" w:eastAsia="Times New Roman" w:hAnsi="Times New Roman" w:cs="Times New Roman"/>
      <w:sz w:val="24"/>
      <w:szCs w:val="20"/>
      <w:lang w:val="fr-FR" w:eastAsia="en-US"/>
    </w:rPr>
  </w:style>
  <w:style w:type="paragraph" w:styleId="BodyText3">
    <w:name w:val="Body Text 3"/>
    <w:basedOn w:val="Normal"/>
    <w:link w:val="BodyText3Char"/>
    <w:uiPriority w:val="99"/>
    <w:unhideWhenUsed/>
    <w:rsid w:val="00C543C6"/>
    <w:pPr>
      <w:widowControl w:val="0"/>
      <w:tabs>
        <w:tab w:val="clear" w:pos="794"/>
      </w:tabs>
      <w:kinsoku w:val="0"/>
      <w:bidi w:val="0"/>
      <w:spacing w:before="0" w:after="120" w:line="240" w:lineRule="auto"/>
      <w:jc w:val="left"/>
    </w:pPr>
    <w:rPr>
      <w:rFonts w:ascii="Times New Roman" w:eastAsia="SimSun" w:hAnsi="Times New Roman" w:cs="Times New Roman"/>
      <w:sz w:val="16"/>
      <w:szCs w:val="16"/>
    </w:rPr>
  </w:style>
  <w:style w:type="character" w:customStyle="1" w:styleId="BodyText3Char">
    <w:name w:val="Body Text 3 Char"/>
    <w:basedOn w:val="DefaultParagraphFont"/>
    <w:link w:val="BodyText3"/>
    <w:uiPriority w:val="99"/>
    <w:rsid w:val="00C543C6"/>
    <w:rPr>
      <w:rFonts w:ascii="Times New Roman" w:eastAsia="SimSun" w:hAnsi="Times New Roman" w:cs="Times New Roman"/>
      <w:sz w:val="16"/>
      <w:szCs w:val="16"/>
    </w:rPr>
  </w:style>
  <w:style w:type="paragraph" w:styleId="BodyTextIndent3">
    <w:name w:val="Body Text Indent 3"/>
    <w:basedOn w:val="Normal"/>
    <w:link w:val="BodyTextIndent3Char"/>
    <w:unhideWhenUsed/>
    <w:rsid w:val="00C543C6"/>
    <w:pPr>
      <w:tabs>
        <w:tab w:val="clear" w:pos="794"/>
        <w:tab w:val="left" w:pos="567"/>
        <w:tab w:val="left" w:pos="851"/>
        <w:tab w:val="left" w:pos="1134"/>
        <w:tab w:val="left" w:pos="1418"/>
      </w:tabs>
      <w:overflowPunct w:val="0"/>
      <w:autoSpaceDE w:val="0"/>
      <w:autoSpaceDN w:val="0"/>
      <w:bidi w:val="0"/>
      <w:adjustRightInd w:val="0"/>
      <w:spacing w:line="240" w:lineRule="atLeast"/>
      <w:ind w:left="34"/>
      <w:jc w:val="left"/>
    </w:pPr>
    <w:rPr>
      <w:rFonts w:ascii="Times New Roman" w:eastAsia="Times New Roman" w:hAnsi="Times New Roman" w:cs="Times New Roman"/>
      <w:sz w:val="24"/>
      <w:szCs w:val="20"/>
      <w:lang w:val="fr-FR" w:eastAsia="en-US"/>
    </w:rPr>
  </w:style>
  <w:style w:type="character" w:customStyle="1" w:styleId="BodyTextIndent3Char">
    <w:name w:val="Body Text Indent 3 Char"/>
    <w:basedOn w:val="DefaultParagraphFont"/>
    <w:link w:val="BodyTextIndent3"/>
    <w:rsid w:val="00C543C6"/>
    <w:rPr>
      <w:rFonts w:ascii="Times New Roman" w:eastAsia="Times New Roman" w:hAnsi="Times New Roman" w:cs="Times New Roman"/>
      <w:sz w:val="24"/>
      <w:szCs w:val="20"/>
      <w:lang w:val="fr-FR" w:eastAsia="en-US"/>
    </w:rPr>
  </w:style>
  <w:style w:type="paragraph" w:styleId="BlockText">
    <w:name w:val="Block Text"/>
    <w:basedOn w:val="Normal"/>
    <w:unhideWhenUsed/>
    <w:rsid w:val="00C543C6"/>
    <w:pPr>
      <w:tabs>
        <w:tab w:val="clear" w:pos="794"/>
      </w:tabs>
      <w:bidi w:val="0"/>
      <w:spacing w:before="0" w:line="240" w:lineRule="auto"/>
      <w:ind w:left="567" w:right="566"/>
      <w:jc w:val="left"/>
    </w:pPr>
    <w:rPr>
      <w:rFonts w:ascii="Univers" w:eastAsia="Times New Roman" w:hAnsi="Univers" w:cs="Times New Roman"/>
      <w:sz w:val="21"/>
      <w:szCs w:val="21"/>
      <w:lang w:val="en-GB" w:eastAsia="en-US"/>
    </w:rPr>
  </w:style>
  <w:style w:type="paragraph" w:styleId="CommentSubject">
    <w:name w:val="annotation subject"/>
    <w:basedOn w:val="CommentText"/>
    <w:next w:val="CommentText"/>
    <w:link w:val="CommentSubjectChar"/>
    <w:uiPriority w:val="99"/>
    <w:unhideWhenUsed/>
    <w:rsid w:val="00C543C6"/>
    <w:rPr>
      <w:bCs/>
    </w:rPr>
  </w:style>
  <w:style w:type="character" w:customStyle="1" w:styleId="CommentSubjectChar">
    <w:name w:val="Comment Subject Char"/>
    <w:basedOn w:val="CommentTextChar"/>
    <w:link w:val="CommentSubject"/>
    <w:uiPriority w:val="99"/>
    <w:rsid w:val="00C543C6"/>
    <w:rPr>
      <w:rFonts w:ascii="Times New Roman" w:eastAsia="Times New Roman" w:hAnsi="Times New Roman" w:cs="Arial"/>
      <w:b/>
      <w:bCs/>
      <w:sz w:val="20"/>
      <w:szCs w:val="20"/>
      <w:lang w:val="fr-FR" w:eastAsia="fr-FR"/>
    </w:rPr>
  </w:style>
  <w:style w:type="paragraph" w:customStyle="1" w:styleId="xl75">
    <w:name w:val="xl75"/>
    <w:basedOn w:val="Normal"/>
    <w:rsid w:val="00C543C6"/>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76">
    <w:name w:val="xl76"/>
    <w:basedOn w:val="Normal"/>
    <w:rsid w:val="00C543C6"/>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77">
    <w:name w:val="xl77"/>
    <w:basedOn w:val="Normal"/>
    <w:rsid w:val="00C543C6"/>
    <w:pPr>
      <w:pBdr>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rPr>
  </w:style>
  <w:style w:type="paragraph" w:customStyle="1" w:styleId="xl78">
    <w:name w:val="xl78"/>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rPr>
  </w:style>
  <w:style w:type="paragraph" w:customStyle="1" w:styleId="xl79">
    <w:name w:val="xl79"/>
    <w:basedOn w:val="Normal"/>
    <w:rsid w:val="00C543C6"/>
    <w:pP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0">
    <w:name w:val="xl80"/>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1">
    <w:name w:val="xl81"/>
    <w:basedOn w:val="Normal"/>
    <w:rsid w:val="00C543C6"/>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2">
    <w:name w:val="xl82"/>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3">
    <w:name w:val="xl83"/>
    <w:basedOn w:val="Normal"/>
    <w:rsid w:val="00C543C6"/>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4">
    <w:name w:val="xl84"/>
    <w:basedOn w:val="Normal"/>
    <w:rsid w:val="00C543C6"/>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5">
    <w:name w:val="xl85"/>
    <w:basedOn w:val="Normal"/>
    <w:rsid w:val="00C543C6"/>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6">
    <w:name w:val="xl86"/>
    <w:basedOn w:val="Normal"/>
    <w:rsid w:val="00C543C6"/>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7">
    <w:name w:val="xl87"/>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8">
    <w:name w:val="xl88"/>
    <w:basedOn w:val="Normal"/>
    <w:rsid w:val="00C543C6"/>
    <w:pPr>
      <w:pBdr>
        <w:top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9">
    <w:name w:val="xl89"/>
    <w:basedOn w:val="Normal"/>
    <w:rsid w:val="00C543C6"/>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0">
    <w:name w:val="xl90"/>
    <w:basedOn w:val="Normal"/>
    <w:rsid w:val="00C543C6"/>
    <w:pPr>
      <w:pBdr>
        <w:top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1">
    <w:name w:val="xl91"/>
    <w:basedOn w:val="Normal"/>
    <w:rsid w:val="00C543C6"/>
    <w:pPr>
      <w:pBdr>
        <w:top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2">
    <w:name w:val="xl92"/>
    <w:basedOn w:val="Normal"/>
    <w:rsid w:val="00C543C6"/>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3">
    <w:name w:val="xl93"/>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4">
    <w:name w:val="xl94"/>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5">
    <w:name w:val="xl95"/>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6">
    <w:name w:val="xl96"/>
    <w:basedOn w:val="Normal"/>
    <w:rsid w:val="00C543C6"/>
    <w:pPr>
      <w:pBdr>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7">
    <w:name w:val="xl97"/>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8">
    <w:name w:val="xl98"/>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9">
    <w:name w:val="xl99"/>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Equation">
    <w:name w:val="Equation"/>
    <w:basedOn w:val="Normal"/>
    <w:rsid w:val="00C543C6"/>
    <w:pPr>
      <w:tabs>
        <w:tab w:val="clear" w:pos="794"/>
        <w:tab w:val="left" w:pos="567"/>
        <w:tab w:val="left" w:pos="1134"/>
        <w:tab w:val="left" w:pos="1701"/>
        <w:tab w:val="left" w:pos="2268"/>
        <w:tab w:val="left" w:pos="2835"/>
        <w:tab w:val="center" w:pos="4820"/>
        <w:tab w:val="right" w:pos="9639"/>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customStyle="1" w:styleId="Head">
    <w:name w:val="Head"/>
    <w:basedOn w:val="Normal"/>
    <w:rsid w:val="00C543C6"/>
    <w:pPr>
      <w:tabs>
        <w:tab w:val="clear" w:pos="794"/>
        <w:tab w:val="left" w:pos="567"/>
        <w:tab w:val="left" w:pos="1134"/>
        <w:tab w:val="left" w:pos="1701"/>
        <w:tab w:val="left" w:pos="2268"/>
        <w:tab w:val="left" w:pos="2835"/>
        <w:tab w:val="left" w:pos="6663"/>
      </w:tabs>
      <w:bidi w:val="0"/>
      <w:spacing w:before="0" w:line="240" w:lineRule="auto"/>
      <w:jc w:val="left"/>
    </w:pPr>
    <w:rPr>
      <w:rFonts w:ascii="Calibri" w:eastAsia="Times New Roman" w:hAnsi="Calibri" w:cs="Times New Roman"/>
      <w:sz w:val="24"/>
      <w:szCs w:val="20"/>
      <w:lang w:val="en-GB" w:eastAsia="en-US"/>
    </w:rPr>
  </w:style>
  <w:style w:type="paragraph" w:customStyle="1" w:styleId="Part">
    <w:name w:val="Part"/>
    <w:basedOn w:val="Normal"/>
    <w:next w:val="Normal"/>
    <w:rsid w:val="00C543C6"/>
    <w:pPr>
      <w:tabs>
        <w:tab w:val="clear" w:pos="794"/>
      </w:tabs>
      <w:overflowPunct w:val="0"/>
      <w:autoSpaceDE w:val="0"/>
      <w:autoSpaceDN w:val="0"/>
      <w:bidi w:val="0"/>
      <w:adjustRightInd w:val="0"/>
      <w:spacing w:before="600" w:line="240" w:lineRule="auto"/>
      <w:jc w:val="center"/>
    </w:pPr>
    <w:rPr>
      <w:rFonts w:ascii="Calibri" w:eastAsia="Times New Roman" w:hAnsi="Calibri" w:cs="Times New Roman"/>
      <w:caps/>
      <w:sz w:val="28"/>
      <w:szCs w:val="20"/>
      <w:lang w:val="en-GB" w:eastAsia="en-US"/>
    </w:rPr>
  </w:style>
  <w:style w:type="paragraph" w:customStyle="1" w:styleId="docnoted">
    <w:name w:val="docnoted"/>
    <w:basedOn w:val="Normal"/>
    <w:next w:val="Head"/>
    <w:rsid w:val="00C543C6"/>
    <w:pPr>
      <w:pBdr>
        <w:top w:val="single" w:sz="6" w:space="0" w:color="auto"/>
        <w:left w:val="single" w:sz="6" w:space="0" w:color="auto"/>
        <w:bottom w:val="single" w:sz="6" w:space="0" w:color="auto"/>
        <w:right w:val="single" w:sz="6" w:space="0" w:color="auto"/>
      </w:pBdr>
      <w:shd w:val="pct10" w:color="auto" w:fill="auto"/>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right="91"/>
      <w:jc w:val="left"/>
    </w:pPr>
    <w:rPr>
      <w:rFonts w:ascii="Calibri" w:eastAsia="Times New Roman" w:hAnsi="Calibri" w:cs="Times New Roman"/>
      <w:sz w:val="20"/>
      <w:szCs w:val="20"/>
      <w:lang w:val="en-GB" w:eastAsia="en-US"/>
    </w:rPr>
  </w:style>
  <w:style w:type="paragraph" w:customStyle="1" w:styleId="meeting">
    <w:name w:val="meeting"/>
    <w:basedOn w:val="Head"/>
    <w:next w:val="Head"/>
    <w:rsid w:val="00C543C6"/>
    <w:pPr>
      <w:tabs>
        <w:tab w:val="left" w:pos="7371"/>
      </w:tabs>
      <w:spacing w:after="567"/>
    </w:pPr>
  </w:style>
  <w:style w:type="paragraph" w:customStyle="1" w:styleId="Subject">
    <w:name w:val="Subject"/>
    <w:basedOn w:val="Normal"/>
    <w:next w:val="Source"/>
    <w:rsid w:val="00C543C6"/>
    <w:pPr>
      <w:tabs>
        <w:tab w:val="clear" w:pos="794"/>
        <w:tab w:val="left" w:pos="567"/>
        <w:tab w:val="left" w:pos="1134"/>
        <w:tab w:val="left" w:pos="1701"/>
        <w:tab w:val="left" w:pos="2268"/>
        <w:tab w:val="left" w:pos="2835"/>
      </w:tabs>
      <w:overflowPunct w:val="0"/>
      <w:autoSpaceDE w:val="0"/>
      <w:autoSpaceDN w:val="0"/>
      <w:bidi w:val="0"/>
      <w:adjustRightInd w:val="0"/>
      <w:spacing w:before="0" w:line="240" w:lineRule="auto"/>
      <w:ind w:left="1134" w:hanging="1134"/>
      <w:jc w:val="left"/>
    </w:pPr>
    <w:rPr>
      <w:rFonts w:ascii="Calibri" w:eastAsia="Times New Roman" w:hAnsi="Calibri" w:cs="Times New Roman"/>
      <w:sz w:val="24"/>
      <w:szCs w:val="20"/>
      <w:lang w:val="en-GB" w:eastAsia="en-US"/>
    </w:rPr>
  </w:style>
  <w:style w:type="paragraph" w:customStyle="1" w:styleId="Object">
    <w:name w:val="Object"/>
    <w:basedOn w:val="Subject"/>
    <w:next w:val="Subject"/>
    <w:rsid w:val="00C543C6"/>
  </w:style>
  <w:style w:type="paragraph" w:customStyle="1" w:styleId="Data">
    <w:name w:val="Data"/>
    <w:basedOn w:val="Subject"/>
    <w:next w:val="Subject"/>
    <w:rsid w:val="00C543C6"/>
  </w:style>
  <w:style w:type="paragraph" w:customStyle="1" w:styleId="FirstFooter">
    <w:name w:val="FirstFooter"/>
    <w:basedOn w:val="Footer"/>
    <w:rsid w:val="00C543C6"/>
    <w:pPr>
      <w:tabs>
        <w:tab w:val="clear" w:pos="794"/>
        <w:tab w:val="clear" w:pos="4153"/>
        <w:tab w:val="clear" w:pos="8306"/>
        <w:tab w:val="left" w:pos="5954"/>
        <w:tab w:val="right" w:pos="9639"/>
      </w:tabs>
      <w:overflowPunct w:val="0"/>
      <w:autoSpaceDE w:val="0"/>
      <w:autoSpaceDN w:val="0"/>
      <w:adjustRightInd w:val="0"/>
    </w:pPr>
    <w:rPr>
      <w:rFonts w:ascii="Calibri" w:hAnsi="Calibri" w:cs="Times New Roman"/>
      <w:noProof/>
      <w:sz w:val="16"/>
      <w:lang w:val="en-GB"/>
    </w:rPr>
  </w:style>
  <w:style w:type="paragraph" w:customStyle="1" w:styleId="dnum">
    <w:name w:val="dnum"/>
    <w:basedOn w:val="Normal"/>
    <w:rsid w:val="00C543C6"/>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line="240" w:lineRule="auto"/>
      <w:jc w:val="left"/>
    </w:pPr>
    <w:rPr>
      <w:rFonts w:ascii="Calibri" w:eastAsia="Times New Roman" w:hAnsi="Calibri" w:cs="Times New Roman"/>
      <w:b/>
      <w:bCs/>
      <w:sz w:val="24"/>
      <w:szCs w:val="20"/>
      <w:lang w:val="en-GB" w:eastAsia="en-US"/>
    </w:rPr>
  </w:style>
  <w:style w:type="paragraph" w:customStyle="1" w:styleId="ddate">
    <w:name w:val="ddate"/>
    <w:basedOn w:val="Normal"/>
    <w:rsid w:val="00C543C6"/>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pPr>
    <w:rPr>
      <w:rFonts w:ascii="Calibri" w:eastAsia="Times New Roman" w:hAnsi="Calibri" w:cs="Times New Roman"/>
      <w:b/>
      <w:bCs/>
      <w:sz w:val="24"/>
      <w:szCs w:val="20"/>
      <w:lang w:val="en-GB" w:eastAsia="en-US"/>
    </w:rPr>
  </w:style>
  <w:style w:type="paragraph" w:customStyle="1" w:styleId="dorlang">
    <w:name w:val="dorlang"/>
    <w:basedOn w:val="Normal"/>
    <w:rsid w:val="00C543C6"/>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pPr>
    <w:rPr>
      <w:rFonts w:ascii="Calibri" w:eastAsia="Times New Roman" w:hAnsi="Calibri" w:cs="Times New Roman"/>
      <w:b/>
      <w:bCs/>
      <w:sz w:val="24"/>
      <w:szCs w:val="20"/>
      <w:lang w:val="en-GB" w:eastAsia="en-US"/>
    </w:rPr>
  </w:style>
  <w:style w:type="paragraph" w:customStyle="1" w:styleId="Appendixref">
    <w:name w:val="Appendix_ref"/>
    <w:basedOn w:val="Annexref"/>
    <w:next w:val="Appendixtitle0"/>
    <w:rsid w:val="00C543C6"/>
    <w:pPr>
      <w:keepLines w:val="0"/>
      <w:tabs>
        <w:tab w:val="left" w:pos="567"/>
        <w:tab w:val="left" w:pos="1134"/>
        <w:tab w:val="left" w:pos="1701"/>
        <w:tab w:val="left" w:pos="2268"/>
        <w:tab w:val="left" w:pos="2835"/>
      </w:tabs>
      <w:overflowPunct w:val="0"/>
      <w:autoSpaceDE w:val="0"/>
      <w:autoSpaceDN w:val="0"/>
      <w:bidi w:val="0"/>
      <w:adjustRightInd w:val="0"/>
      <w:spacing w:after="0" w:line="240" w:lineRule="auto"/>
      <w:jc w:val="center"/>
    </w:pPr>
    <w:rPr>
      <w:rFonts w:cs="Times New Roman"/>
      <w:b w:val="0"/>
      <w:bCs w:val="0"/>
      <w:sz w:val="24"/>
      <w:szCs w:val="20"/>
      <w:lang w:val="en-GB" w:bidi="ar-SA"/>
    </w:rPr>
  </w:style>
  <w:style w:type="paragraph" w:customStyle="1" w:styleId="Equationlegend">
    <w:name w:val="Equation_legend"/>
    <w:basedOn w:val="Normal"/>
    <w:rsid w:val="00C543C6"/>
    <w:pPr>
      <w:tabs>
        <w:tab w:val="clear" w:pos="794"/>
        <w:tab w:val="left" w:pos="567"/>
        <w:tab w:val="left" w:pos="1134"/>
        <w:tab w:val="right" w:pos="1531"/>
        <w:tab w:val="left" w:pos="1701"/>
        <w:tab w:val="left" w:pos="2268"/>
        <w:tab w:val="left" w:pos="2835"/>
      </w:tabs>
      <w:bidi w:val="0"/>
      <w:spacing w:before="80" w:line="240" w:lineRule="auto"/>
      <w:ind w:left="1701" w:hanging="1701"/>
      <w:jc w:val="left"/>
    </w:pPr>
    <w:rPr>
      <w:rFonts w:ascii="Calibri" w:eastAsia="Times New Roman" w:hAnsi="Calibri" w:cs="Times New Roman"/>
      <w:sz w:val="24"/>
      <w:szCs w:val="20"/>
      <w:lang w:val="en-GB" w:eastAsia="en-US"/>
    </w:rPr>
  </w:style>
  <w:style w:type="paragraph" w:customStyle="1" w:styleId="Figure">
    <w:name w:val="Figure"/>
    <w:basedOn w:val="Normal"/>
    <w:next w:val="Figuretitle0"/>
    <w:qFormat/>
    <w:rsid w:val="00C543C6"/>
    <w:pPr>
      <w:keepNext/>
      <w:keepLines/>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center"/>
    </w:pPr>
    <w:rPr>
      <w:rFonts w:ascii="Calibri" w:eastAsia="Times New Roman" w:hAnsi="Calibri" w:cs="Times New Roman"/>
      <w:sz w:val="24"/>
      <w:szCs w:val="20"/>
      <w:lang w:val="en-GB" w:eastAsia="en-US"/>
    </w:rPr>
  </w:style>
  <w:style w:type="paragraph" w:customStyle="1" w:styleId="Figurelegend0">
    <w:name w:val="Figure_legend"/>
    <w:basedOn w:val="Normal"/>
    <w:rsid w:val="00C543C6"/>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0" w:after="20" w:line="240" w:lineRule="auto"/>
      <w:jc w:val="left"/>
    </w:pPr>
    <w:rPr>
      <w:rFonts w:ascii="Calibri" w:eastAsia="Times New Roman" w:hAnsi="Calibri" w:cs="Times New Roman"/>
      <w:sz w:val="18"/>
      <w:szCs w:val="20"/>
      <w:lang w:val="en-GB" w:eastAsia="en-US"/>
    </w:rPr>
  </w:style>
  <w:style w:type="paragraph" w:customStyle="1" w:styleId="Figurewithouttitle">
    <w:name w:val="Figure_without_title"/>
    <w:basedOn w:val="Figure"/>
    <w:next w:val="Normalaftertitle"/>
    <w:rsid w:val="00C543C6"/>
    <w:pPr>
      <w:keepNext w:val="0"/>
      <w:spacing w:after="240"/>
    </w:pPr>
  </w:style>
  <w:style w:type="paragraph" w:customStyle="1" w:styleId="Partref">
    <w:name w:val="Part_ref"/>
    <w:basedOn w:val="Annexref"/>
    <w:next w:val="Normalaftertitle"/>
    <w:rsid w:val="00C543C6"/>
    <w:pPr>
      <w:keepLines w:val="0"/>
      <w:tabs>
        <w:tab w:val="left" w:pos="567"/>
        <w:tab w:val="left" w:pos="1134"/>
        <w:tab w:val="left" w:pos="1701"/>
        <w:tab w:val="left" w:pos="2268"/>
        <w:tab w:val="left" w:pos="2835"/>
      </w:tabs>
      <w:overflowPunct w:val="0"/>
      <w:autoSpaceDE w:val="0"/>
      <w:autoSpaceDN w:val="0"/>
      <w:bidi w:val="0"/>
      <w:adjustRightInd w:val="0"/>
      <w:spacing w:after="0" w:line="240" w:lineRule="auto"/>
      <w:jc w:val="center"/>
    </w:pPr>
    <w:rPr>
      <w:rFonts w:cs="Times New Roman"/>
      <w:b w:val="0"/>
      <w:bCs w:val="0"/>
      <w:sz w:val="24"/>
      <w:szCs w:val="20"/>
      <w:lang w:val="en-GB" w:bidi="ar-SA"/>
    </w:rPr>
  </w:style>
  <w:style w:type="paragraph" w:customStyle="1" w:styleId="Recdate">
    <w:name w:val="Rec_date"/>
    <w:basedOn w:val="Recref"/>
    <w:next w:val="Normalaftertitle"/>
    <w:rsid w:val="00C543C6"/>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jc w:val="right"/>
    </w:pPr>
    <w:rPr>
      <w:rFonts w:ascii="Times New Roman" w:hAnsi="Times New Roman" w:cs="Times New Roman"/>
      <w:i w:val="0"/>
      <w:iCs w:val="0"/>
      <w:szCs w:val="20"/>
      <w:lang w:val="en-GB"/>
    </w:rPr>
  </w:style>
  <w:style w:type="paragraph" w:customStyle="1" w:styleId="Questiondate">
    <w:name w:val="Question_date"/>
    <w:basedOn w:val="Recdate"/>
    <w:next w:val="Normalaftertitle"/>
    <w:rsid w:val="00C543C6"/>
  </w:style>
  <w:style w:type="paragraph" w:customStyle="1" w:styleId="Questionref">
    <w:name w:val="Question_ref"/>
    <w:basedOn w:val="Recref"/>
    <w:next w:val="Questiondate"/>
    <w:rsid w:val="00C543C6"/>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hAnsi="Times New Roman" w:cs="Times New Roman"/>
      <w:i w:val="0"/>
      <w:iCs w:val="0"/>
      <w:sz w:val="24"/>
      <w:szCs w:val="20"/>
      <w:lang w:val="en-GB"/>
    </w:rPr>
  </w:style>
  <w:style w:type="paragraph" w:customStyle="1" w:styleId="Repdate">
    <w:name w:val="Rep_date"/>
    <w:basedOn w:val="Recdate"/>
    <w:next w:val="Normalaftertitle"/>
    <w:rsid w:val="00C543C6"/>
  </w:style>
  <w:style w:type="paragraph" w:customStyle="1" w:styleId="Reptitle">
    <w:name w:val="Rep_title"/>
    <w:basedOn w:val="Rectitle"/>
    <w:next w:val="Repref"/>
    <w:rsid w:val="00C543C6"/>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pPr>
    <w:rPr>
      <w:rFonts w:ascii="Calibri" w:eastAsia="Times New Roman" w:hAnsi="Calibri" w:cs="Times New Roman"/>
      <w:bCs w:val="0"/>
      <w:szCs w:val="20"/>
      <w:lang w:val="en-GB" w:eastAsia="en-US"/>
    </w:rPr>
  </w:style>
  <w:style w:type="paragraph" w:customStyle="1" w:styleId="RepNo">
    <w:name w:val="Rep_No"/>
    <w:basedOn w:val="RecNo"/>
    <w:next w:val="Reptitle"/>
    <w:rsid w:val="00C543C6"/>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pPr>
    <w:rPr>
      <w:rFonts w:ascii="Calibri" w:eastAsia="Times New Roman" w:hAnsi="Calibri" w:cs="Times New Roman"/>
      <w:caps/>
      <w:sz w:val="28"/>
      <w:szCs w:val="20"/>
      <w:lang w:val="en-GB" w:eastAsia="en-US"/>
    </w:rPr>
  </w:style>
  <w:style w:type="paragraph" w:customStyle="1" w:styleId="Repref">
    <w:name w:val="Rep_ref"/>
    <w:basedOn w:val="Recref"/>
    <w:next w:val="Repdate"/>
    <w:rsid w:val="00C543C6"/>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hAnsi="Times New Roman" w:cs="Times New Roman"/>
      <w:i w:val="0"/>
      <w:iCs w:val="0"/>
      <w:sz w:val="24"/>
      <w:szCs w:val="20"/>
      <w:lang w:val="en-GB"/>
    </w:rPr>
  </w:style>
  <w:style w:type="paragraph" w:customStyle="1" w:styleId="Resdate">
    <w:name w:val="Res_date"/>
    <w:basedOn w:val="Recdate"/>
    <w:next w:val="Normalaftertitle"/>
    <w:rsid w:val="00C543C6"/>
  </w:style>
  <w:style w:type="paragraph" w:customStyle="1" w:styleId="Tableref">
    <w:name w:val="Table_ref"/>
    <w:basedOn w:val="Normal"/>
    <w:next w:val="Tabletitle0"/>
    <w:rsid w:val="00C543C6"/>
    <w:pPr>
      <w:keepNext/>
      <w:tabs>
        <w:tab w:val="clear" w:pos="794"/>
        <w:tab w:val="left" w:pos="567"/>
        <w:tab w:val="left" w:pos="1134"/>
        <w:tab w:val="left" w:pos="1701"/>
        <w:tab w:val="left" w:pos="2268"/>
        <w:tab w:val="left" w:pos="2835"/>
      </w:tabs>
      <w:overflowPunct w:val="0"/>
      <w:autoSpaceDE w:val="0"/>
      <w:autoSpaceDN w:val="0"/>
      <w:bidi w:val="0"/>
      <w:adjustRightInd w:val="0"/>
      <w:spacing w:before="567" w:line="240" w:lineRule="auto"/>
      <w:jc w:val="center"/>
    </w:pPr>
    <w:rPr>
      <w:rFonts w:ascii="Calibri" w:eastAsia="Times New Roman" w:hAnsi="Calibri" w:cs="Times New Roman"/>
      <w:sz w:val="24"/>
      <w:szCs w:val="20"/>
      <w:lang w:val="en-GB" w:eastAsia="en-US"/>
    </w:rPr>
  </w:style>
  <w:style w:type="paragraph" w:customStyle="1" w:styleId="Artheading">
    <w:name w:val="Art_heading"/>
    <w:basedOn w:val="Normal"/>
    <w:next w:val="Normalaftertitle"/>
    <w:rsid w:val="00C543C6"/>
    <w:pPr>
      <w:tabs>
        <w:tab w:val="clear" w:pos="794"/>
      </w:tabs>
      <w:overflowPunct w:val="0"/>
      <w:autoSpaceDE w:val="0"/>
      <w:autoSpaceDN w:val="0"/>
      <w:bidi w:val="0"/>
      <w:adjustRightInd w:val="0"/>
      <w:spacing w:before="480" w:line="240" w:lineRule="auto"/>
      <w:jc w:val="center"/>
    </w:pPr>
    <w:rPr>
      <w:rFonts w:ascii="Calibri" w:eastAsia="Times New Roman" w:hAnsi="Calibri" w:cs="Times New Roman"/>
      <w:b/>
      <w:sz w:val="24"/>
      <w:szCs w:val="20"/>
      <w:lang w:val="en-GB" w:eastAsia="en-US"/>
    </w:rPr>
  </w:style>
  <w:style w:type="paragraph" w:customStyle="1" w:styleId="Arttitle">
    <w:name w:val="Art_title"/>
    <w:basedOn w:val="Normal"/>
    <w:next w:val="Normal"/>
    <w:rsid w:val="00C543C6"/>
    <w:pPr>
      <w:tabs>
        <w:tab w:val="clear" w:pos="794"/>
      </w:tabs>
      <w:overflowPunct w:val="0"/>
      <w:autoSpaceDE w:val="0"/>
      <w:autoSpaceDN w:val="0"/>
      <w:bidi w:val="0"/>
      <w:adjustRightInd w:val="0"/>
      <w:spacing w:before="240" w:after="240" w:line="240" w:lineRule="auto"/>
      <w:jc w:val="center"/>
    </w:pPr>
    <w:rPr>
      <w:rFonts w:ascii="Calibri" w:eastAsia="Times New Roman" w:hAnsi="Calibri" w:cs="Times New Roman"/>
      <w:b/>
      <w:sz w:val="28"/>
      <w:szCs w:val="20"/>
      <w:lang w:val="en-GB" w:eastAsia="en-US"/>
    </w:rPr>
  </w:style>
  <w:style w:type="paragraph" w:customStyle="1" w:styleId="ArtNo">
    <w:name w:val="Art_No"/>
    <w:basedOn w:val="Normal"/>
    <w:next w:val="Arttitle"/>
    <w:rsid w:val="00C543C6"/>
    <w:pPr>
      <w:tabs>
        <w:tab w:val="clear" w:pos="794"/>
      </w:tabs>
      <w:overflowPunct w:val="0"/>
      <w:autoSpaceDE w:val="0"/>
      <w:autoSpaceDN w:val="0"/>
      <w:bidi w:val="0"/>
      <w:adjustRightInd w:val="0"/>
      <w:spacing w:before="600" w:line="240" w:lineRule="auto"/>
      <w:jc w:val="center"/>
    </w:pPr>
    <w:rPr>
      <w:rFonts w:ascii="Calibri" w:eastAsia="Times New Roman" w:hAnsi="Calibri" w:cs="Times New Roman"/>
      <w:caps/>
      <w:sz w:val="28"/>
      <w:szCs w:val="20"/>
      <w:lang w:val="en-GB" w:eastAsia="en-US"/>
    </w:rPr>
  </w:style>
  <w:style w:type="paragraph" w:customStyle="1" w:styleId="firstfooter0">
    <w:name w:val="firstfooter"/>
    <w:basedOn w:val="Normal"/>
    <w:rsid w:val="00C543C6"/>
    <w:pPr>
      <w:tabs>
        <w:tab w:val="clear" w:pos="794"/>
      </w:tabs>
      <w:bidi w:val="0"/>
      <w:spacing w:before="100" w:beforeAutospacing="1" w:after="100" w:afterAutospacing="1" w:line="240" w:lineRule="auto"/>
      <w:jc w:val="left"/>
    </w:pPr>
    <w:rPr>
      <w:rFonts w:ascii="Calibri" w:eastAsia="SimSun" w:hAnsi="Calibri" w:cs="Times New Roman"/>
      <w:sz w:val="24"/>
      <w:szCs w:val="24"/>
    </w:rPr>
  </w:style>
  <w:style w:type="paragraph" w:customStyle="1" w:styleId="Table">
    <w:name w:val="Table_#"/>
    <w:basedOn w:val="Normal"/>
    <w:next w:val="Normal"/>
    <w:rsid w:val="00C543C6"/>
    <w:pPr>
      <w:keepNext/>
      <w:tabs>
        <w:tab w:val="clear" w:pos="794"/>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TableHead1">
    <w:name w:val="Table_Head"/>
    <w:basedOn w:val="TableText0"/>
    <w:rsid w:val="00C543C6"/>
    <w:pPr>
      <w:keepNext/>
      <w:spacing w:before="480" w:after="0"/>
      <w:jc w:val="center"/>
    </w:pPr>
    <w:rPr>
      <w:b/>
    </w:rPr>
  </w:style>
  <w:style w:type="paragraph" w:customStyle="1" w:styleId="headingb0">
    <w:name w:val="heading_b"/>
    <w:basedOn w:val="Heading3"/>
    <w:next w:val="Normal"/>
    <w:link w:val="headingbChar"/>
    <w:uiPriority w:val="99"/>
    <w:rsid w:val="00C543C6"/>
    <w:pPr>
      <w:tabs>
        <w:tab w:val="left" w:pos="2127"/>
        <w:tab w:val="left" w:pos="2410"/>
        <w:tab w:val="left" w:pos="2921"/>
        <w:tab w:val="left" w:pos="3261"/>
      </w:tabs>
      <w:overflowPunct w:val="0"/>
      <w:autoSpaceDE w:val="0"/>
      <w:autoSpaceDN w:val="0"/>
      <w:bidi w:val="0"/>
      <w:adjustRightInd w:val="0"/>
      <w:spacing w:before="160" w:line="240" w:lineRule="auto"/>
      <w:ind w:left="0" w:firstLine="0"/>
      <w:jc w:val="left"/>
      <w:outlineLvl w:val="9"/>
    </w:pPr>
    <w:rPr>
      <w:rFonts w:ascii="Times New Roman" w:eastAsia="Times New Roman" w:hAnsi="Times New Roman" w:cs="Times New Roman"/>
      <w:bCs w:val="0"/>
      <w:sz w:val="24"/>
      <w:szCs w:val="20"/>
      <w:lang w:val="fr-FR" w:eastAsia="en-US"/>
    </w:rPr>
  </w:style>
  <w:style w:type="paragraph" w:customStyle="1" w:styleId="font5">
    <w:name w:val="font5"/>
    <w:basedOn w:val="Normal"/>
    <w:rsid w:val="00C543C6"/>
    <w:pPr>
      <w:tabs>
        <w:tab w:val="clear" w:pos="794"/>
      </w:tabs>
      <w:bidi w:val="0"/>
      <w:spacing w:before="100" w:beforeAutospacing="1" w:after="100" w:afterAutospacing="1" w:line="240" w:lineRule="auto"/>
      <w:jc w:val="left"/>
    </w:pPr>
    <w:rPr>
      <w:rFonts w:ascii="Calibri" w:eastAsia="Times New Roman" w:hAnsi="Calibri" w:cs="Calibri"/>
      <w:color w:val="000000"/>
    </w:rPr>
  </w:style>
  <w:style w:type="paragraph" w:customStyle="1" w:styleId="xl65">
    <w:name w:val="xl65"/>
    <w:basedOn w:val="Normal"/>
    <w:rsid w:val="00C543C6"/>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6">
    <w:name w:val="xl66"/>
    <w:basedOn w:val="Normal"/>
    <w:rsid w:val="00C543C6"/>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67">
    <w:name w:val="xl67"/>
    <w:basedOn w:val="Normal"/>
    <w:rsid w:val="00C543C6"/>
    <w:pPr>
      <w:tabs>
        <w:tab w:val="clear" w:pos="794"/>
      </w:tabs>
      <w:bidi w:val="0"/>
      <w:spacing w:before="100" w:beforeAutospacing="1" w:after="100" w:afterAutospacing="1" w:line="240" w:lineRule="auto"/>
      <w:jc w:val="left"/>
    </w:pPr>
    <w:rPr>
      <w:rFonts w:ascii="Calibri" w:eastAsia="Times New Roman" w:hAnsi="Calibri" w:cs="Calibri"/>
      <w:b/>
      <w:bCs/>
    </w:rPr>
  </w:style>
  <w:style w:type="paragraph" w:customStyle="1" w:styleId="xl68">
    <w:name w:val="xl68"/>
    <w:basedOn w:val="Normal"/>
    <w:rsid w:val="00C543C6"/>
    <w:pPr>
      <w:tabs>
        <w:tab w:val="clear" w:pos="794"/>
      </w:tabs>
      <w:bidi w:val="0"/>
      <w:spacing w:before="100" w:beforeAutospacing="1" w:after="100" w:afterAutospacing="1" w:line="240" w:lineRule="auto"/>
      <w:jc w:val="center"/>
    </w:pPr>
    <w:rPr>
      <w:rFonts w:ascii="Calibri" w:eastAsia="Times New Roman" w:hAnsi="Calibri" w:cs="Calibri"/>
    </w:rPr>
  </w:style>
  <w:style w:type="paragraph" w:customStyle="1" w:styleId="xl69">
    <w:name w:val="xl69"/>
    <w:basedOn w:val="Normal"/>
    <w:rsid w:val="00C543C6"/>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0">
    <w:name w:val="xl70"/>
    <w:basedOn w:val="Normal"/>
    <w:rsid w:val="00C543C6"/>
    <w:pPr>
      <w:tabs>
        <w:tab w:val="clear" w:pos="794"/>
      </w:tabs>
      <w:bidi w:val="0"/>
      <w:spacing w:before="100" w:beforeAutospacing="1" w:after="100" w:afterAutospacing="1" w:line="240" w:lineRule="auto"/>
      <w:jc w:val="center"/>
    </w:pPr>
    <w:rPr>
      <w:rFonts w:ascii="Calibri" w:eastAsia="Times New Roman" w:hAnsi="Calibri" w:cs="Calibri"/>
      <w:b/>
      <w:bCs/>
    </w:rPr>
  </w:style>
  <w:style w:type="paragraph" w:customStyle="1" w:styleId="xl71">
    <w:name w:val="xl71"/>
    <w:basedOn w:val="Normal"/>
    <w:rsid w:val="00C543C6"/>
    <w:pPr>
      <w:tabs>
        <w:tab w:val="clear" w:pos="794"/>
      </w:tabs>
      <w:bidi w:val="0"/>
      <w:spacing w:before="100" w:beforeAutospacing="1" w:after="100" w:afterAutospacing="1" w:line="240" w:lineRule="auto"/>
      <w:jc w:val="right"/>
    </w:pPr>
    <w:rPr>
      <w:rFonts w:ascii="Calibri" w:eastAsia="Times New Roman" w:hAnsi="Calibri" w:cs="Calibri"/>
    </w:rPr>
  </w:style>
  <w:style w:type="paragraph" w:customStyle="1" w:styleId="xl72">
    <w:name w:val="xl72"/>
    <w:basedOn w:val="Normal"/>
    <w:rsid w:val="00C543C6"/>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3">
    <w:name w:val="xl73"/>
    <w:basedOn w:val="Normal"/>
    <w:rsid w:val="00C543C6"/>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4">
    <w:name w:val="xl74"/>
    <w:basedOn w:val="Normal"/>
    <w:rsid w:val="00C543C6"/>
    <w:pPr>
      <w:tabs>
        <w:tab w:val="clear" w:pos="794"/>
      </w:tabs>
      <w:bidi w:val="0"/>
      <w:spacing w:before="100" w:beforeAutospacing="1" w:after="100" w:afterAutospacing="1" w:line="240" w:lineRule="auto"/>
      <w:jc w:val="left"/>
    </w:pPr>
    <w:rPr>
      <w:rFonts w:ascii="Calibri" w:eastAsia="Times New Roman" w:hAnsi="Calibri" w:cs="Calibri"/>
      <w:b/>
      <w:bCs/>
    </w:rPr>
  </w:style>
  <w:style w:type="paragraph" w:customStyle="1" w:styleId="Default">
    <w:name w:val="Default"/>
    <w:rsid w:val="00C543C6"/>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uiPriority w:val="99"/>
    <w:unhideWhenUsed/>
    <w:rsid w:val="00C543C6"/>
    <w:rPr>
      <w:sz w:val="16"/>
      <w:szCs w:val="16"/>
    </w:rPr>
  </w:style>
  <w:style w:type="character" w:customStyle="1" w:styleId="intro">
    <w:name w:val="intro"/>
    <w:basedOn w:val="DefaultParagraphFont"/>
    <w:rsid w:val="00C543C6"/>
  </w:style>
  <w:style w:type="character" w:customStyle="1" w:styleId="ts-alignment-element-highlighted">
    <w:name w:val="ts-alignment-element-highlighted"/>
    <w:basedOn w:val="DefaultParagraphFont"/>
    <w:rsid w:val="00CE64F2"/>
  </w:style>
  <w:style w:type="character" w:styleId="LineNumber">
    <w:name w:val="line number"/>
    <w:basedOn w:val="DefaultParagraphFont"/>
    <w:rsid w:val="00C543C6"/>
  </w:style>
  <w:style w:type="table" w:customStyle="1" w:styleId="TableGrid2">
    <w:name w:val="Table Grid2"/>
    <w:basedOn w:val="TableNormal"/>
    <w:next w:val="TableGrid"/>
    <w:rsid w:val="00C543C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C543C6"/>
  </w:style>
  <w:style w:type="paragraph" w:customStyle="1" w:styleId="HeadingA">
    <w:name w:val="Heading_A"/>
    <w:basedOn w:val="Headingbnot2"/>
    <w:qFormat/>
    <w:rsid w:val="00C543C6"/>
    <w:pPr>
      <w:tabs>
        <w:tab w:val="left" w:pos="2127"/>
        <w:tab w:val="left" w:pos="2410"/>
        <w:tab w:val="left" w:pos="2921"/>
        <w:tab w:val="left" w:pos="3261"/>
      </w:tabs>
      <w:bidi w:val="0"/>
      <w:spacing w:before="200" w:line="240" w:lineRule="auto"/>
      <w:ind w:left="794" w:hanging="794"/>
      <w:jc w:val="left"/>
      <w:outlineLvl w:val="9"/>
    </w:pPr>
    <w:rPr>
      <w:rFonts w:cs="Times New Roman"/>
      <w:bCs w:val="0"/>
      <w:kern w:val="0"/>
      <w:sz w:val="26"/>
      <w:szCs w:val="26"/>
      <w:lang w:val="en-GB" w:bidi="ar-SA"/>
    </w:rPr>
  </w:style>
  <w:style w:type="character" w:customStyle="1" w:styleId="TabletitleChar">
    <w:name w:val="Table_title Char"/>
    <w:basedOn w:val="DefaultParagraphFont"/>
    <w:link w:val="Tabletitle0"/>
    <w:rsid w:val="00C543C6"/>
    <w:rPr>
      <w:rFonts w:ascii="Calibri" w:eastAsia="Times New Roman" w:hAnsi="Calibri" w:cs="Traditional Arabic"/>
      <w:b/>
      <w:bCs/>
      <w:szCs w:val="30"/>
      <w:lang w:eastAsia="en-US"/>
    </w:rPr>
  </w:style>
  <w:style w:type="character" w:customStyle="1" w:styleId="headingbChar">
    <w:name w:val="heading_b Char"/>
    <w:basedOn w:val="DefaultParagraphFont"/>
    <w:link w:val="headingb0"/>
    <w:uiPriority w:val="99"/>
    <w:rsid w:val="00C543C6"/>
    <w:rPr>
      <w:rFonts w:ascii="Times New Roman" w:eastAsia="Times New Roman" w:hAnsi="Times New Roman" w:cs="Times New Roman"/>
      <w:b/>
      <w:sz w:val="24"/>
      <w:szCs w:val="20"/>
      <w:lang w:val="fr-FR" w:eastAsia="en-US"/>
    </w:rPr>
  </w:style>
  <w:style w:type="paragraph" w:customStyle="1" w:styleId="xl63">
    <w:name w:val="xl63"/>
    <w:basedOn w:val="Normal"/>
    <w:uiPriority w:val="99"/>
    <w:rsid w:val="00C543C6"/>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pPr>
    <w:rPr>
      <w:rFonts w:ascii="Times New Roman" w:eastAsia="Times New Roman" w:hAnsi="Times New Roman" w:cs="Times New Roman"/>
      <w:sz w:val="24"/>
      <w:szCs w:val="24"/>
    </w:rPr>
  </w:style>
  <w:style w:type="paragraph" w:customStyle="1" w:styleId="xl64">
    <w:name w:val="xl64"/>
    <w:basedOn w:val="Normal"/>
    <w:uiPriority w:val="99"/>
    <w:rsid w:val="00C543C6"/>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pPr>
    <w:rPr>
      <w:rFonts w:ascii="Calibri" w:eastAsia="Times New Roman" w:hAnsi="Calibri" w:cs="Times New Roman"/>
    </w:rPr>
  </w:style>
  <w:style w:type="table" w:customStyle="1" w:styleId="DarkList1">
    <w:name w:val="Dark List1"/>
    <w:basedOn w:val="TableNormal"/>
    <w:uiPriority w:val="70"/>
    <w:rsid w:val="00C543C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C543C6"/>
    <w:pPr>
      <w:pBdr>
        <w:top w:val="single" w:sz="4" w:space="0" w:color="auto"/>
        <w:bottom w:val="single" w:sz="8"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b/>
      <w:bCs/>
      <w:lang w:eastAsia="en-US"/>
    </w:rPr>
  </w:style>
  <w:style w:type="paragraph" w:customStyle="1" w:styleId="xl24">
    <w:name w:val="xl24"/>
    <w:basedOn w:val="Normal"/>
    <w:rsid w:val="00C543C6"/>
    <w:pPr>
      <w:pBdr>
        <w:top w:val="single" w:sz="4" w:space="0" w:color="auto"/>
        <w:bottom w:val="double" w:sz="6"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lang w:eastAsia="en-US"/>
    </w:rPr>
  </w:style>
  <w:style w:type="paragraph" w:customStyle="1" w:styleId="xl25">
    <w:name w:val="xl25"/>
    <w:basedOn w:val="Normal"/>
    <w:rsid w:val="00C543C6"/>
    <w:pPr>
      <w:pBdr>
        <w:top w:val="single" w:sz="4" w:space="0" w:color="auto"/>
        <w:bottom w:val="double" w:sz="6"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lang w:eastAsia="en-US"/>
    </w:rPr>
  </w:style>
  <w:style w:type="paragraph" w:customStyle="1" w:styleId="xl26">
    <w:name w:val="xl26"/>
    <w:basedOn w:val="Normal"/>
    <w:rsid w:val="00C543C6"/>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center"/>
    </w:pPr>
    <w:rPr>
      <w:rFonts w:ascii="Times New Roman" w:eastAsia="Arial Unicode MS" w:hAnsi="Times New Roman" w:cs="Times New Roman"/>
      <w:lang w:eastAsia="en-US"/>
    </w:rPr>
  </w:style>
  <w:style w:type="paragraph" w:customStyle="1" w:styleId="xl27">
    <w:name w:val="xl27"/>
    <w:basedOn w:val="Normal"/>
    <w:rsid w:val="00C543C6"/>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lang w:eastAsia="en-US"/>
    </w:rPr>
  </w:style>
  <w:style w:type="paragraph" w:customStyle="1" w:styleId="xl28">
    <w:name w:val="xl28"/>
    <w:basedOn w:val="Normal"/>
    <w:rsid w:val="00C543C6"/>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lang w:eastAsia="en-US"/>
    </w:rPr>
  </w:style>
  <w:style w:type="paragraph" w:customStyle="1" w:styleId="xl30">
    <w:name w:val="xl30"/>
    <w:basedOn w:val="Normal"/>
    <w:rsid w:val="00C543C6"/>
    <w:pPr>
      <w:pBdr>
        <w:top w:val="single" w:sz="4" w:space="0" w:color="auto"/>
        <w:bottom w:val="single" w:sz="8"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b/>
      <w:bCs/>
      <w:lang w:eastAsia="en-US"/>
    </w:rPr>
  </w:style>
  <w:style w:type="paragraph" w:customStyle="1" w:styleId="xl31">
    <w:name w:val="xl31"/>
    <w:basedOn w:val="Normal"/>
    <w:rsid w:val="00C543C6"/>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lang w:eastAsia="en-US"/>
    </w:rPr>
  </w:style>
  <w:style w:type="paragraph" w:customStyle="1" w:styleId="xl39">
    <w:name w:val="xl39"/>
    <w:basedOn w:val="Normal"/>
    <w:rsid w:val="00C543C6"/>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0">
    <w:name w:val="xl40"/>
    <w:basedOn w:val="Normal"/>
    <w:rsid w:val="00C543C6"/>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41">
    <w:name w:val="xl41"/>
    <w:basedOn w:val="Normal"/>
    <w:rsid w:val="00C543C6"/>
    <w:pPr>
      <w:pBdr>
        <w:top w:val="single" w:sz="4"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i/>
      <w:iCs/>
      <w:sz w:val="24"/>
      <w:szCs w:val="20"/>
      <w:lang w:eastAsia="en-US"/>
    </w:rPr>
  </w:style>
  <w:style w:type="paragraph" w:customStyle="1" w:styleId="xl42">
    <w:name w:val="xl42"/>
    <w:basedOn w:val="Normal"/>
    <w:rsid w:val="00C543C6"/>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3">
    <w:name w:val="xl43"/>
    <w:basedOn w:val="Normal"/>
    <w:rsid w:val="00C543C6"/>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44">
    <w:name w:val="xl44"/>
    <w:basedOn w:val="Normal"/>
    <w:rsid w:val="00C543C6"/>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5">
    <w:name w:val="xl45"/>
    <w:basedOn w:val="Normal"/>
    <w:rsid w:val="00C543C6"/>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b/>
      <w:bCs/>
      <w:sz w:val="24"/>
      <w:szCs w:val="20"/>
      <w:lang w:eastAsia="en-US"/>
    </w:rPr>
  </w:style>
  <w:style w:type="paragraph" w:customStyle="1" w:styleId="xl46">
    <w:name w:val="xl46"/>
    <w:basedOn w:val="Normal"/>
    <w:rsid w:val="00C543C6"/>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7">
    <w:name w:val="xl47"/>
    <w:basedOn w:val="Normal"/>
    <w:rsid w:val="00C543C6"/>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48">
    <w:name w:val="xl48"/>
    <w:basedOn w:val="Normal"/>
    <w:rsid w:val="00C543C6"/>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49">
    <w:name w:val="xl49"/>
    <w:basedOn w:val="Normal"/>
    <w:rsid w:val="00C543C6"/>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0">
    <w:name w:val="xl50"/>
    <w:basedOn w:val="Normal"/>
    <w:rsid w:val="00C543C6"/>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51">
    <w:name w:val="xl51"/>
    <w:basedOn w:val="Normal"/>
    <w:rsid w:val="00C543C6"/>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2">
    <w:name w:val="xl52"/>
    <w:basedOn w:val="Normal"/>
    <w:rsid w:val="00C543C6"/>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3">
    <w:name w:val="xl53"/>
    <w:basedOn w:val="Normal"/>
    <w:rsid w:val="00C543C6"/>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4">
    <w:name w:val="xl54"/>
    <w:basedOn w:val="Normal"/>
    <w:rsid w:val="00C543C6"/>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5">
    <w:name w:val="xl55"/>
    <w:basedOn w:val="Normal"/>
    <w:rsid w:val="00C543C6"/>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6">
    <w:name w:val="xl56"/>
    <w:basedOn w:val="Normal"/>
    <w:rsid w:val="00C543C6"/>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7">
    <w:name w:val="xl57"/>
    <w:basedOn w:val="Normal"/>
    <w:rsid w:val="00C543C6"/>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8">
    <w:name w:val="xl58"/>
    <w:basedOn w:val="Normal"/>
    <w:rsid w:val="00C543C6"/>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9">
    <w:name w:val="xl59"/>
    <w:basedOn w:val="Normal"/>
    <w:rsid w:val="00C543C6"/>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60">
    <w:name w:val="xl60"/>
    <w:basedOn w:val="Normal"/>
    <w:rsid w:val="00C543C6"/>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Arial Unicode MS" w:eastAsia="Arial Unicode MS" w:hAnsi="Arial Unicode MS" w:cs="Times New Roman"/>
      <w:sz w:val="24"/>
      <w:szCs w:val="20"/>
      <w:lang w:eastAsia="en-US"/>
    </w:rPr>
  </w:style>
  <w:style w:type="paragraph" w:customStyle="1" w:styleId="xl61">
    <w:name w:val="xl61"/>
    <w:basedOn w:val="Normal"/>
    <w:rsid w:val="00C543C6"/>
    <w:pPr>
      <w:pBdr>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62">
    <w:name w:val="xl62"/>
    <w:basedOn w:val="Normal"/>
    <w:rsid w:val="00C543C6"/>
    <w:pPr>
      <w:pBdr>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Tabletext1">
    <w:name w:val="Table text"/>
    <w:rsid w:val="00C543C6"/>
    <w:pPr>
      <w:spacing w:before="180" w:after="0" w:line="240" w:lineRule="auto"/>
      <w:jc w:val="both"/>
    </w:pPr>
    <w:rPr>
      <w:rFonts w:ascii="Calibri" w:eastAsia="Times New Roman" w:hAnsi="Calibri" w:cs="Times New Roman"/>
      <w:sz w:val="20"/>
      <w:szCs w:val="18"/>
      <w:lang w:val="en-GB"/>
    </w:rPr>
  </w:style>
  <w:style w:type="paragraph" w:customStyle="1" w:styleId="xl32">
    <w:name w:val="xl32"/>
    <w:basedOn w:val="Normal"/>
    <w:rsid w:val="00C543C6"/>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center"/>
    </w:pPr>
    <w:rPr>
      <w:rFonts w:ascii="Times New Roman" w:eastAsia="Arial Unicode MS" w:hAnsi="Times New Roman" w:cs="Times New Roman"/>
      <w:sz w:val="24"/>
      <w:szCs w:val="24"/>
      <w:lang w:eastAsia="en-US"/>
    </w:rPr>
  </w:style>
  <w:style w:type="paragraph" w:styleId="EndnoteText">
    <w:name w:val="endnote text"/>
    <w:basedOn w:val="Normal"/>
    <w:link w:val="EndnoteTextChar"/>
    <w:uiPriority w:val="99"/>
    <w:unhideWhenUsed/>
    <w:rsid w:val="00C543C6"/>
    <w:pPr>
      <w:tabs>
        <w:tab w:val="clear" w:pos="794"/>
        <w:tab w:val="left" w:pos="1191"/>
        <w:tab w:val="left" w:pos="1588"/>
        <w:tab w:val="left" w:pos="1985"/>
      </w:tabs>
      <w:overflowPunct w:val="0"/>
      <w:autoSpaceDE w:val="0"/>
      <w:autoSpaceDN w:val="0"/>
      <w:bidi w:val="0"/>
      <w:adjustRightInd w:val="0"/>
      <w:spacing w:line="240" w:lineRule="auto"/>
      <w:textAlignment w:val="baseline"/>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rsid w:val="00C543C6"/>
    <w:rPr>
      <w:rFonts w:ascii="Times New Roman" w:eastAsia="Times New Roman" w:hAnsi="Times New Roman" w:cs="Times New Roman"/>
      <w:sz w:val="20"/>
      <w:szCs w:val="20"/>
      <w:lang w:val="en-GB" w:eastAsia="en-US"/>
    </w:rPr>
  </w:style>
  <w:style w:type="table" w:customStyle="1" w:styleId="AnnexB4">
    <w:name w:val="AnnexB4"/>
    <w:basedOn w:val="TableNormal"/>
    <w:uiPriority w:val="99"/>
    <w:rsid w:val="00C543C6"/>
    <w:pPr>
      <w:spacing w:after="0" w:line="240" w:lineRule="auto"/>
    </w:pPr>
    <w:rPr>
      <w:rFonts w:ascii="Calibri" w:eastAsia="Times New Roman" w:hAnsi="Calibri" w:cs="Times New Roman"/>
      <w:sz w:val="1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00">
    <w:name w:val="xl100"/>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1">
    <w:name w:val="xl101"/>
    <w:basedOn w:val="Normal"/>
    <w:rsid w:val="00C543C6"/>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2">
    <w:name w:val="xl102"/>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3">
    <w:name w:val="xl103"/>
    <w:basedOn w:val="Normal"/>
    <w:rsid w:val="00C543C6"/>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4">
    <w:name w:val="xl104"/>
    <w:basedOn w:val="Normal"/>
    <w:rsid w:val="00C543C6"/>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5">
    <w:name w:val="xl105"/>
    <w:basedOn w:val="Normal"/>
    <w:rsid w:val="00C543C6"/>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6">
    <w:name w:val="xl106"/>
    <w:basedOn w:val="Normal"/>
    <w:rsid w:val="00C543C6"/>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7">
    <w:name w:val="xl107"/>
    <w:basedOn w:val="Normal"/>
    <w:rsid w:val="00C543C6"/>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8">
    <w:name w:val="xl108"/>
    <w:basedOn w:val="Normal"/>
    <w:rsid w:val="00C543C6"/>
    <w:pPr>
      <w:pBdr>
        <w:top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9">
    <w:name w:val="xl109"/>
    <w:basedOn w:val="Normal"/>
    <w:rsid w:val="00C543C6"/>
    <w:pPr>
      <w:pBdr>
        <w:top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10">
    <w:name w:val="xl110"/>
    <w:basedOn w:val="Normal"/>
    <w:rsid w:val="00C543C6"/>
    <w:pP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1">
    <w:name w:val="xl111"/>
    <w:basedOn w:val="Normal"/>
    <w:rsid w:val="00C543C6"/>
    <w:pP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2">
    <w:name w:val="xl112"/>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3">
    <w:name w:val="xl113"/>
    <w:basedOn w:val="Normal"/>
    <w:rsid w:val="00C543C6"/>
    <w:pPr>
      <w:pBdr>
        <w:top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4">
    <w:name w:val="xl114"/>
    <w:basedOn w:val="Normal"/>
    <w:rsid w:val="00C543C6"/>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5">
    <w:name w:val="xl115"/>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6">
    <w:name w:val="xl116"/>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7">
    <w:name w:val="xl117"/>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8">
    <w:name w:val="xl118"/>
    <w:basedOn w:val="Normal"/>
    <w:rsid w:val="00C543C6"/>
    <w:pPr>
      <w:pBdr>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9">
    <w:name w:val="xl119"/>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20">
    <w:name w:val="xl120"/>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1">
    <w:name w:val="xl121"/>
    <w:basedOn w:val="Normal"/>
    <w:rsid w:val="00C543C6"/>
    <w:pPr>
      <w:pBdr>
        <w:top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2">
    <w:name w:val="xl122"/>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3">
    <w:name w:val="xl123"/>
    <w:basedOn w:val="Normal"/>
    <w:rsid w:val="00C543C6"/>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4">
    <w:name w:val="xl124"/>
    <w:basedOn w:val="Normal"/>
    <w:rsid w:val="00C543C6"/>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5">
    <w:name w:val="xl125"/>
    <w:basedOn w:val="Normal"/>
    <w:rsid w:val="00C543C6"/>
    <w:pPr>
      <w:pBdr>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6">
    <w:name w:val="xl126"/>
    <w:basedOn w:val="Normal"/>
    <w:rsid w:val="00C543C6"/>
    <w:pPr>
      <w:pBdr>
        <w:top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7">
    <w:name w:val="xl127"/>
    <w:basedOn w:val="Normal"/>
    <w:rsid w:val="00C543C6"/>
    <w:pPr>
      <w:pBdr>
        <w:top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8">
    <w:name w:val="xl128"/>
    <w:basedOn w:val="Normal"/>
    <w:rsid w:val="00C543C6"/>
    <w:pPr>
      <w:pBdr>
        <w:top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9">
    <w:name w:val="xl129"/>
    <w:basedOn w:val="Normal"/>
    <w:rsid w:val="00C543C6"/>
    <w:pPr>
      <w:pBdr>
        <w:top w:val="double" w:sz="6"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0">
    <w:name w:val="xl130"/>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1">
    <w:name w:val="xl131"/>
    <w:basedOn w:val="Normal"/>
    <w:rsid w:val="00C543C6"/>
    <w:pPr>
      <w:pBdr>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2">
    <w:name w:val="xl132"/>
    <w:basedOn w:val="Normal"/>
    <w:rsid w:val="00C543C6"/>
    <w:pPr>
      <w:pBdr>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3">
    <w:name w:val="xl133"/>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4">
    <w:name w:val="xl134"/>
    <w:basedOn w:val="Normal"/>
    <w:rsid w:val="00C543C6"/>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5">
    <w:name w:val="xl135"/>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6">
    <w:name w:val="xl136"/>
    <w:basedOn w:val="Normal"/>
    <w:rsid w:val="00C543C6"/>
    <w:pPr>
      <w:pBdr>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7">
    <w:name w:val="xl137"/>
    <w:basedOn w:val="Normal"/>
    <w:rsid w:val="00C543C6"/>
    <w:pPr>
      <w:pBdr>
        <w:top w:val="double" w:sz="6"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8">
    <w:name w:val="xl138"/>
    <w:basedOn w:val="Normal"/>
    <w:rsid w:val="00C543C6"/>
    <w:pPr>
      <w:pBdr>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9">
    <w:name w:val="xl139"/>
    <w:basedOn w:val="Normal"/>
    <w:rsid w:val="00C543C6"/>
    <w:pP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40">
    <w:name w:val="xl140"/>
    <w:basedOn w:val="Normal"/>
    <w:rsid w:val="00C543C6"/>
    <w:pPr>
      <w:pBdr>
        <w:top w:val="single" w:sz="4" w:space="0" w:color="auto"/>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1">
    <w:name w:val="xl141"/>
    <w:basedOn w:val="Normal"/>
    <w:rsid w:val="00C543C6"/>
    <w:pPr>
      <w:pBdr>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2">
    <w:name w:val="xl142"/>
    <w:basedOn w:val="Normal"/>
    <w:rsid w:val="00C543C6"/>
    <w:pPr>
      <w:pBdr>
        <w:top w:val="double" w:sz="6"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3">
    <w:name w:val="xl143"/>
    <w:basedOn w:val="Normal"/>
    <w:rsid w:val="00C543C6"/>
    <w:pPr>
      <w:pBdr>
        <w:top w:val="single" w:sz="4" w:space="0" w:color="auto"/>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4">
    <w:name w:val="xl144"/>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5">
    <w:name w:val="xl145"/>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6">
    <w:name w:val="xl146"/>
    <w:basedOn w:val="Normal"/>
    <w:rsid w:val="00C543C6"/>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47">
    <w:name w:val="xl147"/>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48">
    <w:name w:val="xl148"/>
    <w:basedOn w:val="Normal"/>
    <w:rsid w:val="00C543C6"/>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9">
    <w:name w:val="xl149"/>
    <w:basedOn w:val="Normal"/>
    <w:rsid w:val="00C543C6"/>
    <w:pPr>
      <w:pBdr>
        <w:top w:val="double" w:sz="6"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0">
    <w:name w:val="xl150"/>
    <w:basedOn w:val="Normal"/>
    <w:rsid w:val="00C543C6"/>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1">
    <w:name w:val="xl151"/>
    <w:basedOn w:val="Normal"/>
    <w:rsid w:val="00C543C6"/>
    <w:pPr>
      <w:pBdr>
        <w:top w:val="double" w:sz="6"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2">
    <w:name w:val="xl152"/>
    <w:basedOn w:val="Normal"/>
    <w:rsid w:val="00C543C6"/>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3">
    <w:name w:val="xl153"/>
    <w:basedOn w:val="Normal"/>
    <w:rsid w:val="00C543C6"/>
    <w:pPr>
      <w:pBdr>
        <w:top w:val="double" w:sz="6"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4">
    <w:name w:val="xl154"/>
    <w:basedOn w:val="Normal"/>
    <w:rsid w:val="00C543C6"/>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5">
    <w:name w:val="xl155"/>
    <w:basedOn w:val="Normal"/>
    <w:rsid w:val="00C543C6"/>
    <w:pPr>
      <w:pBdr>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56">
    <w:name w:val="xl156"/>
    <w:basedOn w:val="Normal"/>
    <w:rsid w:val="00C543C6"/>
    <w:pPr>
      <w:pBdr>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57">
    <w:name w:val="xl157"/>
    <w:basedOn w:val="Normal"/>
    <w:rsid w:val="00C543C6"/>
    <w:pPr>
      <w:pBdr>
        <w:top w:val="double" w:sz="6"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8">
    <w:name w:val="xl158"/>
    <w:basedOn w:val="Normal"/>
    <w:rsid w:val="00C543C6"/>
    <w:pPr>
      <w:pBdr>
        <w:top w:val="single" w:sz="4" w:space="0" w:color="auto"/>
        <w:bottom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9">
    <w:name w:val="xl159"/>
    <w:basedOn w:val="Normal"/>
    <w:rsid w:val="00C543C6"/>
    <w:pPr>
      <w:pBdr>
        <w:top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0">
    <w:name w:val="xl160"/>
    <w:basedOn w:val="Normal"/>
    <w:rsid w:val="00C543C6"/>
    <w:pPr>
      <w:pBdr>
        <w:top w:val="single" w:sz="4" w:space="0" w:color="auto"/>
        <w:left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1">
    <w:name w:val="xl161"/>
    <w:basedOn w:val="Normal"/>
    <w:rsid w:val="00C543C6"/>
    <w:pPr>
      <w:pBdr>
        <w:top w:val="single" w:sz="4" w:space="0" w:color="auto"/>
        <w:left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2">
    <w:name w:val="xl162"/>
    <w:basedOn w:val="Normal"/>
    <w:rsid w:val="00C543C6"/>
    <w:pPr>
      <w:pBdr>
        <w:top w:val="single" w:sz="4" w:space="0" w:color="auto"/>
        <w:left w:val="single" w:sz="4" w:space="0" w:color="auto"/>
        <w:bottom w:val="double" w:sz="6"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3">
    <w:name w:val="xl163"/>
    <w:basedOn w:val="Normal"/>
    <w:rsid w:val="00C543C6"/>
    <w:pP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4">
    <w:name w:val="xl164"/>
    <w:basedOn w:val="Normal"/>
    <w:rsid w:val="00C543C6"/>
    <w:pPr>
      <w:pBdr>
        <w:top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5">
    <w:name w:val="xl165"/>
    <w:basedOn w:val="Normal"/>
    <w:rsid w:val="00C543C6"/>
    <w:pPr>
      <w:pBdr>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6">
    <w:name w:val="xl166"/>
    <w:basedOn w:val="Normal"/>
    <w:rsid w:val="00C543C6"/>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67">
    <w:name w:val="xl167"/>
    <w:basedOn w:val="Normal"/>
    <w:rsid w:val="00C543C6"/>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8">
    <w:name w:val="xl168"/>
    <w:basedOn w:val="Normal"/>
    <w:rsid w:val="00C543C6"/>
    <w:pPr>
      <w:pBdr>
        <w:top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69">
    <w:name w:val="xl169"/>
    <w:basedOn w:val="Normal"/>
    <w:rsid w:val="00C543C6"/>
    <w:pPr>
      <w:pBdr>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0">
    <w:name w:val="xl170"/>
    <w:basedOn w:val="Normal"/>
    <w:rsid w:val="00C543C6"/>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1">
    <w:name w:val="xl171"/>
    <w:basedOn w:val="Normal"/>
    <w:rsid w:val="00C543C6"/>
    <w:pPr>
      <w:pBdr>
        <w:top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2">
    <w:name w:val="xl172"/>
    <w:basedOn w:val="Normal"/>
    <w:rsid w:val="00C543C6"/>
    <w:pP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3">
    <w:name w:val="xl173"/>
    <w:basedOn w:val="Normal"/>
    <w:rsid w:val="00C543C6"/>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4">
    <w:name w:val="xl174"/>
    <w:basedOn w:val="Normal"/>
    <w:rsid w:val="00C543C6"/>
    <w:pPr>
      <w:pBdr>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5">
    <w:name w:val="xl175"/>
    <w:basedOn w:val="Normal"/>
    <w:rsid w:val="00C543C6"/>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6">
    <w:name w:val="xl176"/>
    <w:basedOn w:val="Normal"/>
    <w:rsid w:val="00C543C6"/>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7">
    <w:name w:val="xl177"/>
    <w:basedOn w:val="Normal"/>
    <w:rsid w:val="00C543C6"/>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8">
    <w:name w:val="xl178"/>
    <w:basedOn w:val="Normal"/>
    <w:rsid w:val="00C543C6"/>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9">
    <w:name w:val="xl179"/>
    <w:basedOn w:val="Normal"/>
    <w:rsid w:val="00C543C6"/>
    <w:pPr>
      <w:pBdr>
        <w:top w:val="double" w:sz="6"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0">
    <w:name w:val="xl180"/>
    <w:basedOn w:val="Normal"/>
    <w:rsid w:val="00C543C6"/>
    <w:pPr>
      <w:pBdr>
        <w:top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1">
    <w:name w:val="xl181"/>
    <w:basedOn w:val="Normal"/>
    <w:rsid w:val="00C543C6"/>
    <w:pP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2">
    <w:name w:val="xl182"/>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3">
    <w:name w:val="xl183"/>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4">
    <w:name w:val="xl184"/>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5">
    <w:name w:val="xl185"/>
    <w:basedOn w:val="Normal"/>
    <w:rsid w:val="00C543C6"/>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6">
    <w:name w:val="xl186"/>
    <w:basedOn w:val="Normal"/>
    <w:rsid w:val="00C543C6"/>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7">
    <w:name w:val="xl187"/>
    <w:basedOn w:val="Normal"/>
    <w:rsid w:val="00C543C6"/>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8">
    <w:name w:val="xl188"/>
    <w:basedOn w:val="Normal"/>
    <w:rsid w:val="00C543C6"/>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9">
    <w:name w:val="xl189"/>
    <w:basedOn w:val="Normal"/>
    <w:rsid w:val="00C543C6"/>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4"/>
      <w:szCs w:val="24"/>
    </w:rPr>
  </w:style>
  <w:style w:type="paragraph" w:customStyle="1" w:styleId="xl190">
    <w:name w:val="xl190"/>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1">
    <w:name w:val="xl191"/>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2">
    <w:name w:val="xl192"/>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Times New Roman" w:eastAsia="Times New Roman" w:hAnsi="Times New Roman" w:cs="Times New Roman"/>
      <w:color w:val="000000"/>
      <w:sz w:val="20"/>
      <w:szCs w:val="20"/>
    </w:rPr>
  </w:style>
  <w:style w:type="paragraph" w:customStyle="1" w:styleId="xl193">
    <w:name w:val="xl193"/>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4">
    <w:name w:val="xl194"/>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5">
    <w:name w:val="xl195"/>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6">
    <w:name w:val="xl196"/>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197">
    <w:name w:val="xl197"/>
    <w:basedOn w:val="Normal"/>
    <w:rsid w:val="00C543C6"/>
    <w:pPr>
      <w:pBdr>
        <w:lef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8">
    <w:name w:val="xl198"/>
    <w:basedOn w:val="Normal"/>
    <w:rsid w:val="00C543C6"/>
    <w:pPr>
      <w:pBdr>
        <w:lef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199">
    <w:name w:val="xl199"/>
    <w:basedOn w:val="Normal"/>
    <w:rsid w:val="00C543C6"/>
    <w:pPr>
      <w:pBdr>
        <w:lef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0">
    <w:name w:val="xl200"/>
    <w:basedOn w:val="Normal"/>
    <w:rsid w:val="00C543C6"/>
    <w:pPr>
      <w:pBdr>
        <w:top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1">
    <w:name w:val="xl201"/>
    <w:basedOn w:val="Normal"/>
    <w:rsid w:val="00C543C6"/>
    <w:pPr>
      <w:pBdr>
        <w:top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2">
    <w:name w:val="xl202"/>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03">
    <w:name w:val="xl203"/>
    <w:basedOn w:val="Normal"/>
    <w:rsid w:val="00C543C6"/>
    <w:pPr>
      <w:pBdr>
        <w:top w:val="single" w:sz="4" w:space="0" w:color="auto"/>
        <w:bottom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4">
    <w:name w:val="xl204"/>
    <w:basedOn w:val="Normal"/>
    <w:rsid w:val="00C543C6"/>
    <w:pPr>
      <w:pBdr>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5">
    <w:name w:val="xl205"/>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C543C6"/>
    <w:pPr>
      <w:pBdr>
        <w:bottom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7">
    <w:name w:val="xl207"/>
    <w:basedOn w:val="Normal"/>
    <w:rsid w:val="00C543C6"/>
    <w:pPr>
      <w:pBdr>
        <w:bottom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8">
    <w:name w:val="xl208"/>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09">
    <w:name w:val="xl209"/>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210">
    <w:name w:val="xl210"/>
    <w:basedOn w:val="Normal"/>
    <w:rsid w:val="00C543C6"/>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1">
    <w:name w:val="xl211"/>
    <w:basedOn w:val="Normal"/>
    <w:rsid w:val="00C543C6"/>
    <w:pPr>
      <w:pBdr>
        <w:top w:val="single" w:sz="4" w:space="0" w:color="auto"/>
        <w:bottom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2">
    <w:name w:val="xl212"/>
    <w:basedOn w:val="Normal"/>
    <w:rsid w:val="00C543C6"/>
    <w:pPr>
      <w:pBdr>
        <w:top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3">
    <w:name w:val="xl213"/>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
    <w:name w:val="xl214"/>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5">
    <w:name w:val="xl215"/>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
    <w:name w:val="xl216"/>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
    <w:name w:val="xl217"/>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8">
    <w:name w:val="xl218"/>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9">
    <w:name w:val="xl219"/>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0">
    <w:name w:val="xl220"/>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1">
    <w:name w:val="xl221"/>
    <w:basedOn w:val="Normal"/>
    <w:rsid w:val="00C543C6"/>
    <w:pPr>
      <w:pBdr>
        <w:top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2">
    <w:name w:val="xl222"/>
    <w:basedOn w:val="Normal"/>
    <w:rsid w:val="00C543C6"/>
    <w:pPr>
      <w:pBdr>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3">
    <w:name w:val="xl223"/>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
    <w:name w:val="xl224"/>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5">
    <w:name w:val="xl225"/>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77">
    <w:name w:val="xl2377"/>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78">
    <w:name w:val="xl2378"/>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79">
    <w:name w:val="xl2379"/>
    <w:basedOn w:val="Normal"/>
    <w:rsid w:val="00C543C6"/>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80">
    <w:name w:val="xl2380"/>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1">
    <w:name w:val="xl2381"/>
    <w:basedOn w:val="Normal"/>
    <w:rsid w:val="00C543C6"/>
    <w:pP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2">
    <w:name w:val="xl2382"/>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83">
    <w:name w:val="xl2383"/>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84">
    <w:name w:val="xl2384"/>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85">
    <w:name w:val="xl2385"/>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86">
    <w:name w:val="xl2386"/>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7">
    <w:name w:val="xl2387"/>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8">
    <w:name w:val="xl2388"/>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389">
    <w:name w:val="xl2389"/>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90">
    <w:name w:val="xl2390"/>
    <w:basedOn w:val="Normal"/>
    <w:rsid w:val="00C543C6"/>
    <w:pP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91">
    <w:name w:val="xl2391"/>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392">
    <w:name w:val="xl2392"/>
    <w:basedOn w:val="Normal"/>
    <w:rsid w:val="00C543C6"/>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3">
    <w:name w:val="xl2393"/>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4">
    <w:name w:val="xl2394"/>
    <w:basedOn w:val="Normal"/>
    <w:rsid w:val="00C543C6"/>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5">
    <w:name w:val="xl2395"/>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6">
    <w:name w:val="xl2396"/>
    <w:basedOn w:val="Normal"/>
    <w:rsid w:val="00C543C6"/>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97">
    <w:name w:val="xl2397"/>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98">
    <w:name w:val="xl2398"/>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99">
    <w:name w:val="xl2399"/>
    <w:basedOn w:val="Normal"/>
    <w:rsid w:val="00C543C6"/>
    <w:pPr>
      <w:pBdr>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0">
    <w:name w:val="xl2400"/>
    <w:basedOn w:val="Normal"/>
    <w:rsid w:val="00C543C6"/>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01">
    <w:name w:val="xl2401"/>
    <w:basedOn w:val="Normal"/>
    <w:rsid w:val="00C543C6"/>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2">
    <w:name w:val="xl2402"/>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3">
    <w:name w:val="xl2403"/>
    <w:basedOn w:val="Normal"/>
    <w:rsid w:val="00C543C6"/>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4">
    <w:name w:val="xl2404"/>
    <w:basedOn w:val="Normal"/>
    <w:rsid w:val="00C543C6"/>
    <w:pP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5">
    <w:name w:val="xl2405"/>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06">
    <w:name w:val="xl2406"/>
    <w:basedOn w:val="Normal"/>
    <w:rsid w:val="00C543C6"/>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7">
    <w:name w:val="xl2407"/>
    <w:basedOn w:val="Normal"/>
    <w:rsid w:val="00C543C6"/>
    <w:pPr>
      <w:pBdr>
        <w:top w:val="single" w:sz="4" w:space="0" w:color="auto"/>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8">
    <w:name w:val="xl2408"/>
    <w:basedOn w:val="Normal"/>
    <w:rsid w:val="00C543C6"/>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409">
    <w:name w:val="xl2409"/>
    <w:basedOn w:val="Normal"/>
    <w:rsid w:val="00C543C6"/>
    <w:pP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10">
    <w:name w:val="xl2410"/>
    <w:basedOn w:val="Normal"/>
    <w:rsid w:val="00C543C6"/>
    <w:pPr>
      <w:pBdr>
        <w:top w:val="single" w:sz="4" w:space="0" w:color="auto"/>
        <w:left w:val="single" w:sz="4" w:space="0" w:color="auto"/>
        <w:bottom w:val="single" w:sz="4"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1">
    <w:name w:val="xl2411"/>
    <w:basedOn w:val="Normal"/>
    <w:rsid w:val="00C543C6"/>
    <w:pPr>
      <w:pBdr>
        <w:top w:val="single" w:sz="4" w:space="0" w:color="auto"/>
        <w:left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12">
    <w:name w:val="xl2412"/>
    <w:basedOn w:val="Normal"/>
    <w:rsid w:val="00C543C6"/>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3">
    <w:name w:val="xl2413"/>
    <w:basedOn w:val="Normal"/>
    <w:rsid w:val="00C543C6"/>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4">
    <w:name w:val="xl2414"/>
    <w:basedOn w:val="Normal"/>
    <w:rsid w:val="00C543C6"/>
    <w:pPr>
      <w:pBdr>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5">
    <w:name w:val="xl2415"/>
    <w:basedOn w:val="Normal"/>
    <w:rsid w:val="00C543C6"/>
    <w:pPr>
      <w:pBdr>
        <w:top w:val="double" w:sz="6"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6">
    <w:name w:val="xl2416"/>
    <w:basedOn w:val="Normal"/>
    <w:rsid w:val="00C543C6"/>
    <w:pPr>
      <w:pBdr>
        <w:top w:val="double" w:sz="6"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7">
    <w:name w:val="xl2417"/>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418">
    <w:name w:val="xl2418"/>
    <w:basedOn w:val="Normal"/>
    <w:rsid w:val="00C543C6"/>
    <w:pPr>
      <w:pBdr>
        <w:top w:val="single" w:sz="4" w:space="0" w:color="auto"/>
        <w:left w:val="single" w:sz="4" w:space="0" w:color="auto"/>
        <w:bottom w:val="double" w:sz="6" w:space="0" w:color="auto"/>
      </w:pBdr>
      <w:shd w:val="clear" w:color="000000" w:fill="808080"/>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9">
    <w:name w:val="xl2419"/>
    <w:basedOn w:val="Normal"/>
    <w:rsid w:val="00C543C6"/>
    <w:pPr>
      <w:pBdr>
        <w:top w:val="single" w:sz="4" w:space="0" w:color="auto"/>
        <w:left w:val="single" w:sz="4" w:space="0" w:color="auto"/>
        <w:bottom w:val="double" w:sz="6" w:space="0" w:color="auto"/>
        <w:right w:val="single" w:sz="4" w:space="0" w:color="auto"/>
      </w:pBdr>
      <w:shd w:val="clear" w:color="000000" w:fill="808080"/>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20">
    <w:name w:val="xl2420"/>
    <w:basedOn w:val="Normal"/>
    <w:rsid w:val="00C543C6"/>
    <w:pPr>
      <w:pBdr>
        <w:top w:val="single" w:sz="4" w:space="0" w:color="auto"/>
        <w:left w:val="single" w:sz="4" w:space="0" w:color="auto"/>
        <w:bottom w:val="double" w:sz="6" w:space="0" w:color="auto"/>
        <w:right w:val="single" w:sz="4" w:space="0" w:color="auto"/>
      </w:pBdr>
      <w:shd w:val="clear" w:color="000000" w:fill="808080"/>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21">
    <w:name w:val="xl2421"/>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Calibri" w:eastAsia="Times New Roman" w:hAnsi="Calibri" w:cs="Times New Roman"/>
      <w:sz w:val="18"/>
      <w:szCs w:val="18"/>
      <w:lang w:val="en-GB"/>
    </w:rPr>
  </w:style>
  <w:style w:type="paragraph" w:customStyle="1" w:styleId="xl2422">
    <w:name w:val="xl2422"/>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Calibri" w:eastAsia="Times New Roman" w:hAnsi="Calibri" w:cs="Times New Roman"/>
      <w:sz w:val="18"/>
      <w:szCs w:val="18"/>
      <w:lang w:val="en-GB"/>
    </w:rPr>
  </w:style>
  <w:style w:type="paragraph" w:customStyle="1" w:styleId="xl2423">
    <w:name w:val="xl2423"/>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Calibri" w:eastAsia="Times New Roman" w:hAnsi="Calibri" w:cs="Times New Roman"/>
      <w:sz w:val="18"/>
      <w:szCs w:val="18"/>
      <w:lang w:val="en-GB"/>
    </w:rPr>
  </w:style>
  <w:style w:type="paragraph" w:customStyle="1" w:styleId="xl2424">
    <w:name w:val="xl2424"/>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8"/>
      <w:szCs w:val="18"/>
      <w:lang w:val="en-GB"/>
    </w:rPr>
  </w:style>
  <w:style w:type="paragraph" w:customStyle="1" w:styleId="xl2425">
    <w:name w:val="xl2425"/>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Calibri" w:eastAsia="Times New Roman" w:hAnsi="Calibri" w:cs="Times New Roman"/>
      <w:sz w:val="18"/>
      <w:szCs w:val="18"/>
      <w:lang w:val="en-GB"/>
    </w:rPr>
  </w:style>
  <w:style w:type="paragraph" w:customStyle="1" w:styleId="xl2426">
    <w:name w:val="xl2426"/>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8"/>
      <w:szCs w:val="18"/>
      <w:lang w:val="en-GB"/>
    </w:rPr>
  </w:style>
  <w:style w:type="paragraph" w:customStyle="1" w:styleId="xl2427">
    <w:name w:val="xl2427"/>
    <w:basedOn w:val="Normal"/>
    <w:rsid w:val="00C543C6"/>
    <w:pPr>
      <w:pBdr>
        <w:lef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8"/>
      <w:szCs w:val="18"/>
      <w:lang w:val="en-GB"/>
    </w:rPr>
  </w:style>
  <w:style w:type="paragraph" w:customStyle="1" w:styleId="xl2428">
    <w:name w:val="xl2428"/>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29">
    <w:name w:val="xl2429"/>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8"/>
      <w:szCs w:val="18"/>
      <w:lang w:val="en-GB"/>
    </w:rPr>
  </w:style>
  <w:style w:type="paragraph" w:customStyle="1" w:styleId="xl2430">
    <w:name w:val="xl2430"/>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Calibri" w:eastAsia="Times New Roman" w:hAnsi="Calibri" w:cs="Times New Roman"/>
      <w:b/>
      <w:bCs/>
      <w:sz w:val="18"/>
      <w:szCs w:val="18"/>
      <w:lang w:val="en-GB"/>
    </w:rPr>
  </w:style>
  <w:style w:type="paragraph" w:customStyle="1" w:styleId="Pa0">
    <w:name w:val="Pa0"/>
    <w:basedOn w:val="Default"/>
    <w:next w:val="Default"/>
    <w:uiPriority w:val="99"/>
    <w:rsid w:val="00C543C6"/>
    <w:pPr>
      <w:spacing w:line="191" w:lineRule="atLeast"/>
    </w:pPr>
    <w:rPr>
      <w:rFonts w:ascii="Calibri Light" w:hAnsi="Calibri Light" w:cs="Times New Roman"/>
      <w:color w:val="auto"/>
      <w:lang w:val="en-GB"/>
    </w:rPr>
  </w:style>
  <w:style w:type="paragraph" w:customStyle="1" w:styleId="elencopuntato1">
    <w:name w:val="elenco puntato 1"/>
    <w:basedOn w:val="ListParagraph"/>
    <w:qFormat/>
    <w:rsid w:val="00C543C6"/>
    <w:pPr>
      <w:numPr>
        <w:numId w:val="13"/>
      </w:numPr>
      <w:tabs>
        <w:tab w:val="clear" w:pos="794"/>
      </w:tabs>
      <w:bidi w:val="0"/>
      <w:adjustRightInd w:val="0"/>
      <w:spacing w:before="120" w:line="319" w:lineRule="auto"/>
      <w:ind w:left="851" w:hanging="284"/>
      <w:contextualSpacing w:val="0"/>
    </w:pPr>
    <w:rPr>
      <w:rFonts w:ascii="Arial" w:eastAsiaTheme="minorHAnsi" w:hAnsi="Arial" w:cs="Times New Roman"/>
      <w:sz w:val="24"/>
      <w:szCs w:val="24"/>
      <w:lang w:val="en-GB" w:eastAsia="it-IT"/>
    </w:rPr>
  </w:style>
  <w:style w:type="paragraph" w:customStyle="1" w:styleId="elencopuntatononrientrato">
    <w:name w:val="elenco puntato non rientrato"/>
    <w:basedOn w:val="elencopuntato1"/>
    <w:qFormat/>
    <w:rsid w:val="00C543C6"/>
    <w:pPr>
      <w:numPr>
        <w:numId w:val="12"/>
      </w:numPr>
      <w:tabs>
        <w:tab w:val="num" w:pos="360"/>
      </w:tabs>
      <w:ind w:left="284" w:hanging="284"/>
    </w:pPr>
  </w:style>
  <w:style w:type="paragraph" w:customStyle="1" w:styleId="xl2431">
    <w:name w:val="xl2431"/>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32">
    <w:name w:val="xl2432"/>
    <w:basedOn w:val="Normal"/>
    <w:rsid w:val="00C543C6"/>
    <w:pPr>
      <w:pBdr>
        <w:top w:val="single" w:sz="4" w:space="0" w:color="auto"/>
        <w:left w:val="single" w:sz="8"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33">
    <w:name w:val="xl2433"/>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34">
    <w:name w:val="xl2434"/>
    <w:basedOn w:val="Normal"/>
    <w:rsid w:val="00C543C6"/>
    <w:pPr>
      <w:pBdr>
        <w:top w:val="single" w:sz="4" w:space="0" w:color="auto"/>
        <w:left w:val="single" w:sz="4" w:space="0" w:color="auto"/>
        <w:bottom w:val="single" w:sz="4" w:space="0" w:color="auto"/>
        <w:right w:val="single" w:sz="4" w:space="0" w:color="auto"/>
      </w:pBdr>
      <w:shd w:val="clear" w:color="000000" w:fill="FFFFFF"/>
      <w:tabs>
        <w:tab w:val="clear" w:pos="794"/>
      </w:tabs>
      <w:bidi w:val="0"/>
      <w:spacing w:before="100" w:beforeAutospacing="1" w:after="100" w:afterAutospacing="1" w:line="240" w:lineRule="auto"/>
      <w:jc w:val="right"/>
    </w:pPr>
    <w:rPr>
      <w:rFonts w:ascii="Calibri" w:eastAsia="Times New Roman" w:hAnsi="Calibri" w:cs="Times New Roman"/>
      <w:sz w:val="16"/>
      <w:szCs w:val="16"/>
      <w:lang w:val="en-GB"/>
    </w:rPr>
  </w:style>
  <w:style w:type="paragraph" w:customStyle="1" w:styleId="xl2435">
    <w:name w:val="xl2435"/>
    <w:basedOn w:val="Normal"/>
    <w:rsid w:val="00C543C6"/>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36">
    <w:name w:val="xl2436"/>
    <w:basedOn w:val="Normal"/>
    <w:rsid w:val="00C543C6"/>
    <w:pPr>
      <w:pBdr>
        <w:top w:val="single" w:sz="4" w:space="0" w:color="auto"/>
        <w:left w:val="single" w:sz="4" w:space="0" w:color="auto"/>
        <w:bottom w:val="single" w:sz="4"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37">
    <w:name w:val="xl2437"/>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sz w:val="16"/>
      <w:szCs w:val="16"/>
      <w:lang w:val="en-GB"/>
    </w:rPr>
  </w:style>
  <w:style w:type="paragraph" w:customStyle="1" w:styleId="xl2438">
    <w:name w:val="xl2438"/>
    <w:basedOn w:val="Normal"/>
    <w:rsid w:val="00C543C6"/>
    <w:pPr>
      <w:pBdr>
        <w:top w:val="single" w:sz="4" w:space="0" w:color="auto"/>
        <w:left w:val="single" w:sz="8"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39">
    <w:name w:val="xl2439"/>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40">
    <w:name w:val="xl2440"/>
    <w:basedOn w:val="Normal"/>
    <w:rsid w:val="00C543C6"/>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41">
    <w:name w:val="xl2441"/>
    <w:basedOn w:val="Normal"/>
    <w:rsid w:val="00C543C6"/>
    <w:pPr>
      <w:pBdr>
        <w:left w:val="single" w:sz="8"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42">
    <w:name w:val="xl2442"/>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43">
    <w:name w:val="xl2443"/>
    <w:basedOn w:val="Normal"/>
    <w:rsid w:val="00C543C6"/>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44">
    <w:name w:val="xl2444"/>
    <w:basedOn w:val="Normal"/>
    <w:rsid w:val="00C543C6"/>
    <w:pPr>
      <w:pBdr>
        <w:top w:val="single" w:sz="4" w:space="0" w:color="auto"/>
        <w:left w:val="single" w:sz="4" w:space="0" w:color="auto"/>
        <w:bottom w:val="single" w:sz="8"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45">
    <w:name w:val="xl2445"/>
    <w:basedOn w:val="Normal"/>
    <w:rsid w:val="00C543C6"/>
    <w:pPr>
      <w:pBdr>
        <w:top w:val="single" w:sz="4" w:space="0" w:color="auto"/>
        <w:left w:val="single" w:sz="4"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46">
    <w:name w:val="xl2446"/>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47">
    <w:name w:val="xl2447"/>
    <w:basedOn w:val="Normal"/>
    <w:rsid w:val="00C543C6"/>
    <w:pPr>
      <w:pBdr>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48">
    <w:name w:val="xl2448"/>
    <w:basedOn w:val="Normal"/>
    <w:rsid w:val="00C543C6"/>
    <w:pPr>
      <w:pBdr>
        <w:left w:val="single" w:sz="4" w:space="0" w:color="auto"/>
        <w:bottom w:val="double" w:sz="6"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49">
    <w:name w:val="xl2449"/>
    <w:basedOn w:val="Normal"/>
    <w:rsid w:val="00C543C6"/>
    <w:pPr>
      <w:pBdr>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50">
    <w:name w:val="xl2450"/>
    <w:basedOn w:val="Normal"/>
    <w:rsid w:val="00C543C6"/>
    <w:pPr>
      <w:pBdr>
        <w:lef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51">
    <w:name w:val="xl2451"/>
    <w:basedOn w:val="Normal"/>
    <w:rsid w:val="00C543C6"/>
    <w:pPr>
      <w:pBdr>
        <w:left w:val="single" w:sz="4" w:space="0" w:color="auto"/>
        <w:right w:val="single" w:sz="8"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52">
    <w:name w:val="xl2452"/>
    <w:basedOn w:val="Normal"/>
    <w:rsid w:val="00C543C6"/>
    <w:pPr>
      <w:pBdr>
        <w:left w:val="single" w:sz="4"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53">
    <w:name w:val="xl2453"/>
    <w:basedOn w:val="Normal"/>
    <w:rsid w:val="00C543C6"/>
    <w:pP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54">
    <w:name w:val="xl2454"/>
    <w:basedOn w:val="Normal"/>
    <w:rsid w:val="00C543C6"/>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55">
    <w:name w:val="xl2455"/>
    <w:basedOn w:val="Normal"/>
    <w:rsid w:val="00C543C6"/>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56">
    <w:name w:val="xl2456"/>
    <w:basedOn w:val="Normal"/>
    <w:rsid w:val="00C543C6"/>
    <w:pPr>
      <w:pBdr>
        <w:left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i/>
      <w:iCs/>
      <w:sz w:val="16"/>
      <w:szCs w:val="16"/>
      <w:lang w:val="en-GB"/>
    </w:rPr>
  </w:style>
  <w:style w:type="paragraph" w:customStyle="1" w:styleId="xl2457">
    <w:name w:val="xl2457"/>
    <w:basedOn w:val="Normal"/>
    <w:rsid w:val="00C543C6"/>
    <w:pP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58">
    <w:name w:val="xl2458"/>
    <w:basedOn w:val="Normal"/>
    <w:rsid w:val="00C543C6"/>
    <w:pPr>
      <w:pBdr>
        <w:lef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i/>
      <w:iCs/>
      <w:sz w:val="16"/>
      <w:szCs w:val="16"/>
      <w:lang w:val="en-GB"/>
    </w:rPr>
  </w:style>
  <w:style w:type="paragraph" w:customStyle="1" w:styleId="xl2459">
    <w:name w:val="xl2459"/>
    <w:basedOn w:val="Normal"/>
    <w:rsid w:val="00C543C6"/>
    <w:pPr>
      <w:pBdr>
        <w:bottom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60">
    <w:name w:val="xl2460"/>
    <w:basedOn w:val="Normal"/>
    <w:rsid w:val="00C543C6"/>
    <w:pPr>
      <w:pBdr>
        <w:top w:val="single" w:sz="4" w:space="0" w:color="auto"/>
        <w:lef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61">
    <w:name w:val="xl2461"/>
    <w:basedOn w:val="Normal"/>
    <w:rsid w:val="00C543C6"/>
    <w:pPr>
      <w:pBdr>
        <w:top w:val="single" w:sz="4" w:space="0" w:color="auto"/>
        <w:lef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62">
    <w:name w:val="xl2462"/>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sz w:val="16"/>
      <w:szCs w:val="16"/>
      <w:lang w:val="en-GB"/>
    </w:rPr>
  </w:style>
  <w:style w:type="paragraph" w:customStyle="1" w:styleId="xl2463">
    <w:name w:val="xl2463"/>
    <w:basedOn w:val="Normal"/>
    <w:rsid w:val="00C543C6"/>
    <w:pPr>
      <w:pBdr>
        <w:left w:val="single" w:sz="8"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64">
    <w:name w:val="xl2464"/>
    <w:basedOn w:val="Normal"/>
    <w:rsid w:val="00C543C6"/>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sz w:val="16"/>
      <w:szCs w:val="16"/>
      <w:lang w:val="en-GB"/>
    </w:rPr>
  </w:style>
  <w:style w:type="paragraph" w:customStyle="1" w:styleId="xl2465">
    <w:name w:val="xl2465"/>
    <w:basedOn w:val="Normal"/>
    <w:rsid w:val="00C543C6"/>
    <w:pPr>
      <w:pBdr>
        <w:left w:val="single" w:sz="4" w:space="0" w:color="auto"/>
        <w:bottom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66">
    <w:name w:val="xl2466"/>
    <w:basedOn w:val="Normal"/>
    <w:rsid w:val="00C543C6"/>
    <w:pPr>
      <w:pBdr>
        <w:top w:val="single" w:sz="8" w:space="0" w:color="auto"/>
        <w:left w:val="single" w:sz="4" w:space="0" w:color="auto"/>
        <w:bottom w:val="double" w:sz="6"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67">
    <w:name w:val="xl2467"/>
    <w:basedOn w:val="Normal"/>
    <w:rsid w:val="00C543C6"/>
    <w:pPr>
      <w:pBdr>
        <w:top w:val="single" w:sz="8" w:space="0" w:color="auto"/>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68">
    <w:name w:val="xl2468"/>
    <w:basedOn w:val="Normal"/>
    <w:rsid w:val="00C543C6"/>
    <w:pPr>
      <w:pBdr>
        <w:lef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69">
    <w:name w:val="xl2469"/>
    <w:basedOn w:val="Normal"/>
    <w:rsid w:val="00C543C6"/>
    <w:pPr>
      <w:pBdr>
        <w:lef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70">
    <w:name w:val="xl2470"/>
    <w:basedOn w:val="Normal"/>
    <w:rsid w:val="00C543C6"/>
    <w:pPr>
      <w:pBdr>
        <w:top w:val="single" w:sz="4" w:space="0" w:color="auto"/>
        <w:left w:val="single" w:sz="8"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71">
    <w:name w:val="xl2471"/>
    <w:basedOn w:val="Normal"/>
    <w:rsid w:val="00C543C6"/>
    <w:pP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72">
    <w:name w:val="xl2472"/>
    <w:basedOn w:val="Normal"/>
    <w:rsid w:val="00C543C6"/>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73">
    <w:name w:val="xl2473"/>
    <w:basedOn w:val="Normal"/>
    <w:rsid w:val="00C543C6"/>
    <w:pPr>
      <w:tabs>
        <w:tab w:val="clear" w:pos="794"/>
      </w:tabs>
      <w:bidi w:val="0"/>
      <w:spacing w:before="100" w:beforeAutospacing="1" w:after="100" w:afterAutospacing="1" w:line="240" w:lineRule="auto"/>
      <w:jc w:val="right"/>
    </w:pPr>
    <w:rPr>
      <w:rFonts w:ascii="Calibri" w:eastAsia="Times New Roman" w:hAnsi="Calibri" w:cs="Times New Roman"/>
      <w:b/>
      <w:bCs/>
      <w:i/>
      <w:iCs/>
      <w:sz w:val="16"/>
      <w:szCs w:val="16"/>
      <w:lang w:val="en-GB"/>
    </w:rPr>
  </w:style>
  <w:style w:type="paragraph" w:customStyle="1" w:styleId="xl2474">
    <w:name w:val="xl2474"/>
    <w:basedOn w:val="Normal"/>
    <w:rsid w:val="00C543C6"/>
    <w:pPr>
      <w:pBdr>
        <w:top w:val="single" w:sz="8" w:space="0" w:color="auto"/>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75">
    <w:name w:val="xl2475"/>
    <w:basedOn w:val="Normal"/>
    <w:rsid w:val="00C543C6"/>
    <w:pPr>
      <w:pBdr>
        <w:top w:val="double" w:sz="6" w:space="0" w:color="auto"/>
        <w:left w:val="single" w:sz="4" w:space="0" w:color="auto"/>
        <w:bottom w:val="single" w:sz="8"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76">
    <w:name w:val="xl2476"/>
    <w:basedOn w:val="Normal"/>
    <w:rsid w:val="00C543C6"/>
    <w:pPr>
      <w:pBdr>
        <w:top w:val="double" w:sz="6"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77">
    <w:name w:val="xl2477"/>
    <w:basedOn w:val="Normal"/>
    <w:rsid w:val="00C543C6"/>
    <w:pPr>
      <w:pBdr>
        <w:top w:val="double" w:sz="6"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78">
    <w:name w:val="xl2478"/>
    <w:basedOn w:val="Normal"/>
    <w:rsid w:val="00C543C6"/>
    <w:pPr>
      <w:pBdr>
        <w:top w:val="single" w:sz="4" w:space="0" w:color="auto"/>
        <w:lef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79">
    <w:name w:val="xl2479"/>
    <w:basedOn w:val="Normal"/>
    <w:rsid w:val="00C543C6"/>
    <w:pPr>
      <w:pBdr>
        <w:top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80">
    <w:name w:val="xl2480"/>
    <w:basedOn w:val="Normal"/>
    <w:rsid w:val="00C543C6"/>
    <w:pPr>
      <w:pBdr>
        <w:top w:val="single" w:sz="8" w:space="0" w:color="auto"/>
        <w:left w:val="single" w:sz="4" w:space="0" w:color="auto"/>
        <w:bottom w:val="single" w:sz="4"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81">
    <w:name w:val="xl2481"/>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82">
    <w:name w:val="xl2482"/>
    <w:basedOn w:val="Normal"/>
    <w:rsid w:val="00C543C6"/>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83">
    <w:name w:val="xl2483"/>
    <w:basedOn w:val="Normal"/>
    <w:rsid w:val="00C543C6"/>
    <w:pPr>
      <w:pBdr>
        <w:left w:val="single" w:sz="8" w:space="0" w:color="auto"/>
        <w:bottom w:val="double" w:sz="6"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84">
    <w:name w:val="xl2484"/>
    <w:basedOn w:val="Normal"/>
    <w:rsid w:val="00C543C6"/>
    <w:pPr>
      <w:pBdr>
        <w:bottom w:val="double" w:sz="6"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85">
    <w:name w:val="xl2485"/>
    <w:basedOn w:val="Normal"/>
    <w:rsid w:val="00C543C6"/>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86">
    <w:name w:val="xl2486"/>
    <w:basedOn w:val="Normal"/>
    <w:rsid w:val="00C543C6"/>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87">
    <w:name w:val="xl2487"/>
    <w:basedOn w:val="Normal"/>
    <w:rsid w:val="00C543C6"/>
    <w:pPr>
      <w:pBdr>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88">
    <w:name w:val="xl2488"/>
    <w:basedOn w:val="Normal"/>
    <w:rsid w:val="00C543C6"/>
    <w:pPr>
      <w:pBdr>
        <w:left w:val="single" w:sz="8" w:space="0" w:color="auto"/>
        <w:bottom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89">
    <w:name w:val="xl2489"/>
    <w:basedOn w:val="Normal"/>
    <w:rsid w:val="00C543C6"/>
    <w:pPr>
      <w:pBdr>
        <w:bottom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90">
    <w:name w:val="xl2490"/>
    <w:basedOn w:val="Normal"/>
    <w:rsid w:val="00C543C6"/>
    <w:pPr>
      <w:pBdr>
        <w:bottom w:val="single" w:sz="8"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91">
    <w:name w:val="xl2491"/>
    <w:basedOn w:val="Normal"/>
    <w:rsid w:val="00C543C6"/>
    <w:pPr>
      <w:pBdr>
        <w:left w:val="single" w:sz="4"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Tableheadb4">
    <w:name w:val="Table_head b4"/>
    <w:basedOn w:val="TableheadP3"/>
    <w:qFormat/>
    <w:rsid w:val="00C543C6"/>
    <w:pPr>
      <w:spacing w:before="40" w:after="40" w:line="220" w:lineRule="exact"/>
    </w:pPr>
    <w:rPr>
      <w:sz w:val="14"/>
      <w:szCs w:val="18"/>
      <w:lang w:val="fr-CH"/>
    </w:rPr>
  </w:style>
  <w:style w:type="paragraph" w:customStyle="1" w:styleId="Tabletextb4">
    <w:name w:val="Table_text b4"/>
    <w:basedOn w:val="Tableheadb4"/>
    <w:qFormat/>
    <w:rsid w:val="00C543C6"/>
    <w:pPr>
      <w:keepNext w:val="0"/>
      <w:spacing w:before="20" w:after="20" w:line="180" w:lineRule="exact"/>
      <w:jc w:val="left"/>
    </w:pPr>
    <w:rPr>
      <w:b w:val="0"/>
      <w:bCs w:val="0"/>
      <w:lang w:eastAsia="zh-CN"/>
    </w:rPr>
  </w:style>
  <w:style w:type="paragraph" w:customStyle="1" w:styleId="Heading16sl">
    <w:name w:val="Heading_16 sl"/>
    <w:basedOn w:val="Headingbnot2"/>
    <w:qFormat/>
    <w:rsid w:val="00C543C6"/>
  </w:style>
  <w:style w:type="paragraph" w:customStyle="1" w:styleId="Headingb1">
    <w:name w:val="Heading_b"/>
    <w:basedOn w:val="Heading2"/>
    <w:qFormat/>
    <w:rsid w:val="00C543C6"/>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table" w:customStyle="1" w:styleId="TableGrid3">
    <w:name w:val="Table Grid3"/>
    <w:basedOn w:val="TableNormal"/>
    <w:next w:val="TableGrid"/>
    <w:rsid w:val="00C54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543C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11">
    <w:name w:val="Dark List11"/>
    <w:basedOn w:val="TableNormal"/>
    <w:uiPriority w:val="70"/>
    <w:rsid w:val="00C543C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AnnexB41">
    <w:name w:val="AnnexB41"/>
    <w:basedOn w:val="TableNormal"/>
    <w:uiPriority w:val="99"/>
    <w:rsid w:val="00C543C6"/>
    <w:pPr>
      <w:spacing w:after="0" w:line="240" w:lineRule="auto"/>
    </w:pPr>
    <w:rPr>
      <w:rFonts w:ascii="Calibri" w:eastAsia="Times New Roman" w:hAnsi="Calibri" w:cs="Times New Roman"/>
      <w:sz w:val="1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Endtext">
    <w:name w:val="End_text"/>
    <w:basedOn w:val="Normal"/>
    <w:qFormat/>
    <w:rsid w:val="00C543C6"/>
    <w:pPr>
      <w:tabs>
        <w:tab w:val="clear" w:pos="794"/>
        <w:tab w:val="left" w:pos="1134"/>
        <w:tab w:val="left" w:pos="1701"/>
        <w:tab w:val="left" w:pos="2268"/>
        <w:tab w:val="left" w:pos="2835"/>
      </w:tabs>
      <w:overflowPunct w:val="0"/>
      <w:autoSpaceDE w:val="0"/>
      <w:autoSpaceDN w:val="0"/>
      <w:adjustRightInd w:val="0"/>
      <w:spacing w:line="187" w:lineRule="auto"/>
      <w:ind w:left="851" w:hanging="851"/>
      <w:textAlignment w:val="baseline"/>
    </w:pPr>
    <w:rPr>
      <w:rFonts w:ascii="Calibri" w:eastAsia="Times New Roman" w:hAnsi="Calibri" w:cs="Traditional Arabic"/>
      <w:i/>
      <w:iCs/>
      <w:spacing w:val="-4"/>
      <w:szCs w:val="30"/>
      <w:lang w:val="fr-CH" w:eastAsia="en-US" w:bidi="ar-EG"/>
    </w:rPr>
  </w:style>
  <w:style w:type="paragraph" w:customStyle="1" w:styleId="Annex">
    <w:name w:val="Annex"/>
    <w:basedOn w:val="Normal"/>
    <w:rsid w:val="00C543C6"/>
    <w:pPr>
      <w:keepNext/>
      <w:keepLines/>
      <w:tabs>
        <w:tab w:val="clear" w:pos="794"/>
        <w:tab w:val="left" w:pos="1134"/>
      </w:tabs>
      <w:overflowPunct w:val="0"/>
      <w:autoSpaceDE w:val="0"/>
      <w:autoSpaceDN w:val="0"/>
      <w:adjustRightInd w:val="0"/>
      <w:spacing w:before="40" w:after="40"/>
      <w:jc w:val="center"/>
      <w:textAlignment w:val="baseline"/>
    </w:pPr>
    <w:rPr>
      <w:rFonts w:ascii="Calibri" w:hAnsi="Calibri" w:cs="Traditional Arabic"/>
      <w:sz w:val="26"/>
      <w:szCs w:val="36"/>
      <w:lang w:bidi="ar-SY"/>
    </w:rPr>
  </w:style>
  <w:style w:type="paragraph" w:customStyle="1" w:styleId="Hyper">
    <w:name w:val="Hyper"/>
    <w:basedOn w:val="enumlev1"/>
    <w:rsid w:val="00C543C6"/>
    <w:rPr>
      <w:rFonts w:ascii="Calibri" w:hAnsi="Calibri" w:cs="Traditional Arabic"/>
      <w:szCs w:val="30"/>
    </w:rPr>
  </w:style>
  <w:style w:type="paragraph" w:customStyle="1" w:styleId="enumlev10">
    <w:name w:val="enumlev1"/>
    <w:basedOn w:val="Normal"/>
    <w:rsid w:val="00C543C6"/>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ascii="Calibri" w:eastAsia="Times New Roman" w:hAnsi="Calibri" w:cs="Times New Roman"/>
      <w:sz w:val="24"/>
      <w:szCs w:val="20"/>
      <w:lang w:val="en-GB" w:eastAsia="en-US"/>
    </w:rPr>
  </w:style>
  <w:style w:type="paragraph" w:customStyle="1" w:styleId="enumlev20">
    <w:name w:val="enumlev2"/>
    <w:basedOn w:val="enumlev10"/>
    <w:rsid w:val="00C543C6"/>
    <w:pPr>
      <w:ind w:left="1134"/>
    </w:pPr>
  </w:style>
  <w:style w:type="table" w:customStyle="1" w:styleId="TableGrid4">
    <w:name w:val="Table Grid4"/>
    <w:basedOn w:val="TableNormal"/>
    <w:next w:val="TableGrid"/>
    <w:uiPriority w:val="39"/>
    <w:rsid w:val="00C543C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C543C6"/>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C543C6"/>
    <w:pPr>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left"/>
      <w:textAlignment w:val="baseline"/>
    </w:pPr>
    <w:rPr>
      <w:rFonts w:ascii="Calibri" w:eastAsia="Times New Roman" w:hAnsi="Calibri" w:cs="Times New Roman"/>
      <w:sz w:val="24"/>
      <w:szCs w:val="20"/>
      <w:lang w:val="en-GB" w:eastAsia="en-US"/>
    </w:rPr>
  </w:style>
  <w:style w:type="character" w:customStyle="1" w:styleId="BodyTextChar">
    <w:name w:val="Body Text Char"/>
    <w:basedOn w:val="DefaultParagraphFont"/>
    <w:link w:val="BodyText"/>
    <w:rsid w:val="00C543C6"/>
    <w:rPr>
      <w:rFonts w:ascii="Calibri" w:eastAsia="Times New Roman" w:hAnsi="Calibri" w:cs="Times New Roman"/>
      <w:sz w:val="24"/>
      <w:szCs w:val="20"/>
      <w:lang w:val="en-GB" w:eastAsia="en-US"/>
    </w:rPr>
  </w:style>
  <w:style w:type="character" w:customStyle="1" w:styleId="Style1Char">
    <w:name w:val="Style1 Char"/>
    <w:basedOn w:val="DefaultParagraphFont"/>
    <w:link w:val="Style1"/>
    <w:locked/>
    <w:rsid w:val="00C543C6"/>
    <w:rPr>
      <w:rFonts w:eastAsia="DengXian"/>
      <w:b/>
      <w:iCs/>
      <w:color w:val="548DD4"/>
      <w:sz w:val="24"/>
      <w:szCs w:val="24"/>
      <w:lang w:eastAsia="en-US"/>
    </w:rPr>
  </w:style>
  <w:style w:type="paragraph" w:customStyle="1" w:styleId="Style1">
    <w:name w:val="Style1"/>
    <w:basedOn w:val="Normal"/>
    <w:link w:val="Style1Char"/>
    <w:qFormat/>
    <w:rsid w:val="00C543C6"/>
    <w:pPr>
      <w:keepNext/>
      <w:tabs>
        <w:tab w:val="clear" w:pos="794"/>
      </w:tabs>
      <w:bidi w:val="0"/>
      <w:spacing w:before="280" w:after="280" w:line="280" w:lineRule="atLeast"/>
      <w:outlineLvl w:val="7"/>
    </w:pPr>
    <w:rPr>
      <w:rFonts w:asciiTheme="minorHAnsi" w:eastAsia="DengXian" w:hAnsiTheme="minorHAnsi" w:cstheme="minorBidi"/>
      <w:b/>
      <w:iCs/>
      <w:color w:val="548DD4"/>
      <w:sz w:val="24"/>
      <w:szCs w:val="24"/>
      <w:lang w:eastAsia="en-US"/>
    </w:rPr>
  </w:style>
  <w:style w:type="character" w:customStyle="1" w:styleId="ListParagraphChar">
    <w:name w:val="List Paragraph Char"/>
    <w:aliases w:val="List Paragraph1 Char,Recommendation Char,List Paragraph11 Char,Bullet 1 Char,Bullet List Char,Bullet Points Char,Bulletr List Paragraph Char,Dot pt Char,FooterText Char,Indicator Text Char,List Paragraph Char Char Char Char"/>
    <w:basedOn w:val="DefaultParagraphFont"/>
    <w:link w:val="ListParagraph"/>
    <w:uiPriority w:val="1"/>
    <w:rsid w:val="00C543C6"/>
    <w:rPr>
      <w:rFonts w:ascii="Dubai" w:hAnsi="Dubai" w:cs="Dubai"/>
    </w:rPr>
  </w:style>
  <w:style w:type="character" w:customStyle="1" w:styleId="ms-rtethemefontface-1">
    <w:name w:val="ms-rtethemefontface-1"/>
    <w:basedOn w:val="DefaultParagraphFont"/>
    <w:rsid w:val="00C543C6"/>
  </w:style>
  <w:style w:type="paragraph" w:customStyle="1" w:styleId="paragraph">
    <w:name w:val="paragraph"/>
    <w:basedOn w:val="Normal"/>
    <w:rsid w:val="00C543C6"/>
    <w:pPr>
      <w:tabs>
        <w:tab w:val="clear" w:pos="794"/>
      </w:tabs>
      <w:bidi w:val="0"/>
      <w:spacing w:before="100" w:beforeAutospacing="1" w:after="100" w:afterAutospacing="1" w:line="240" w:lineRule="auto"/>
      <w:jc w:val="left"/>
    </w:pPr>
    <w:rPr>
      <w:rFonts w:ascii="Calibri" w:eastAsia="Calibri" w:hAnsi="Calibri" w:cs="Calibri"/>
      <w:lang w:val="en-GB" w:eastAsia="en-GB"/>
    </w:rPr>
  </w:style>
  <w:style w:type="character" w:customStyle="1" w:styleId="normaltextrun">
    <w:name w:val="normaltextrun"/>
    <w:basedOn w:val="DefaultParagraphFont"/>
    <w:rsid w:val="00C543C6"/>
  </w:style>
  <w:style w:type="character" w:customStyle="1" w:styleId="eop">
    <w:name w:val="eop"/>
    <w:basedOn w:val="DefaultParagraphFont"/>
    <w:rsid w:val="00C543C6"/>
  </w:style>
  <w:style w:type="character" w:customStyle="1" w:styleId="ms-rteforecolor-2">
    <w:name w:val="ms-rteforecolor-2"/>
    <w:basedOn w:val="DefaultParagraphFont"/>
    <w:rsid w:val="00C543C6"/>
  </w:style>
  <w:style w:type="table" w:customStyle="1" w:styleId="TableGrid12">
    <w:name w:val="Table Grid12"/>
    <w:basedOn w:val="TableNormal"/>
    <w:next w:val="TableGrid"/>
    <w:uiPriority w:val="39"/>
    <w:rsid w:val="00C543C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C543C6"/>
    <w:pPr>
      <w:tabs>
        <w:tab w:val="clear" w:pos="794"/>
      </w:tabs>
      <w:bidi w:val="0"/>
      <w:spacing w:before="0" w:after="200" w:line="240" w:lineRule="auto"/>
      <w:jc w:val="left"/>
    </w:pPr>
    <w:rPr>
      <w:rFonts w:ascii="Arial" w:eastAsia="Times New Roman" w:hAnsi="Arial" w:cs="Times New Roman"/>
      <w:sz w:val="20"/>
      <w:szCs w:val="24"/>
      <w:lang w:val="en-GB" w:eastAsia="fr-FR"/>
    </w:rPr>
  </w:style>
  <w:style w:type="table" w:customStyle="1" w:styleId="GridTable4-Accent61">
    <w:name w:val="Grid Table 4 - Accent 61"/>
    <w:basedOn w:val="TableNormal"/>
    <w:next w:val="GridTable4-Accent6"/>
    <w:uiPriority w:val="49"/>
    <w:rsid w:val="00C543C6"/>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22">
    <w:name w:val="Table Grid22"/>
    <w:basedOn w:val="TableNormal"/>
    <w:next w:val="TableGrid"/>
    <w:uiPriority w:val="39"/>
    <w:rsid w:val="00C543C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543C6"/>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next w:val="GridTable4-Accent6"/>
    <w:uiPriority w:val="49"/>
    <w:rsid w:val="00C543C6"/>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next w:val="GridTable4-Accent6"/>
    <w:uiPriority w:val="49"/>
    <w:rsid w:val="00C543C6"/>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C543C6"/>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C543C6"/>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C543C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51">
    <w:name w:val="Table Grid51"/>
    <w:basedOn w:val="TableNormal"/>
    <w:next w:val="TableGrid"/>
    <w:uiPriority w:val="39"/>
    <w:rsid w:val="00C543C6"/>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543C6"/>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1">
    <w:name w:val="Grid Table 4 - Accent 631"/>
    <w:basedOn w:val="TableNormal"/>
    <w:next w:val="GridTable4-Accent6"/>
    <w:uiPriority w:val="49"/>
    <w:rsid w:val="00C543C6"/>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3">
    <w:name w:val="Table Grid53"/>
    <w:basedOn w:val="TableNormal"/>
    <w:next w:val="TableGrid"/>
    <w:uiPriority w:val="39"/>
    <w:rsid w:val="00C543C6"/>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543C6"/>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paragraph" w:customStyle="1" w:styleId="xl2492">
    <w:name w:val="xl2492"/>
    <w:basedOn w:val="Normal"/>
    <w:rsid w:val="00C543C6"/>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color w:val="000000"/>
      <w:sz w:val="16"/>
      <w:szCs w:val="16"/>
      <w:lang w:eastAsia="en-US"/>
    </w:rPr>
  </w:style>
  <w:style w:type="paragraph" w:customStyle="1" w:styleId="xl2493">
    <w:name w:val="xl2493"/>
    <w:basedOn w:val="Normal"/>
    <w:rsid w:val="00C543C6"/>
    <w:pPr>
      <w:pBdr>
        <w:left w:val="single" w:sz="4" w:space="0" w:color="auto"/>
        <w:bottom w:val="single" w:sz="4" w:space="0" w:color="auto"/>
        <w:right w:val="single" w:sz="8"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color w:val="000000"/>
      <w:sz w:val="16"/>
      <w:szCs w:val="16"/>
      <w:lang w:eastAsia="en-US"/>
    </w:rPr>
  </w:style>
  <w:style w:type="paragraph" w:customStyle="1" w:styleId="xl2494">
    <w:name w:val="xl2494"/>
    <w:basedOn w:val="Normal"/>
    <w:rsid w:val="00C543C6"/>
    <w:pPr>
      <w:pBdr>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color w:val="000000"/>
      <w:sz w:val="16"/>
      <w:szCs w:val="16"/>
      <w:lang w:eastAsia="en-US"/>
    </w:rPr>
  </w:style>
  <w:style w:type="paragraph" w:customStyle="1" w:styleId="xl2495">
    <w:name w:val="xl2495"/>
    <w:basedOn w:val="Normal"/>
    <w:rsid w:val="00C543C6"/>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color w:val="000000"/>
      <w:sz w:val="16"/>
      <w:szCs w:val="16"/>
      <w:lang w:eastAsia="en-US"/>
    </w:rPr>
  </w:style>
  <w:style w:type="paragraph" w:customStyle="1" w:styleId="xl2496">
    <w:name w:val="xl2496"/>
    <w:basedOn w:val="Normal"/>
    <w:rsid w:val="00C543C6"/>
    <w:pPr>
      <w:pBdr>
        <w:top w:val="single" w:sz="4" w:space="0" w:color="auto"/>
        <w:left w:val="single" w:sz="8"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color w:val="000000"/>
      <w:sz w:val="16"/>
      <w:szCs w:val="16"/>
      <w:lang w:eastAsia="en-US"/>
    </w:rPr>
  </w:style>
  <w:style w:type="paragraph" w:customStyle="1" w:styleId="xl2497">
    <w:name w:val="xl2497"/>
    <w:basedOn w:val="Normal"/>
    <w:rsid w:val="00C543C6"/>
    <w:pPr>
      <w:pBdr>
        <w:top w:val="single" w:sz="4" w:space="0" w:color="auto"/>
        <w:left w:val="single" w:sz="4"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color w:val="000000"/>
      <w:sz w:val="16"/>
      <w:szCs w:val="16"/>
      <w:lang w:eastAsia="en-US"/>
    </w:rPr>
  </w:style>
  <w:style w:type="paragraph" w:customStyle="1" w:styleId="xl2498">
    <w:name w:val="xl2498"/>
    <w:basedOn w:val="Normal"/>
    <w:rsid w:val="00C543C6"/>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color w:val="000000"/>
      <w:sz w:val="16"/>
      <w:szCs w:val="16"/>
      <w:lang w:eastAsia="en-US"/>
    </w:rPr>
  </w:style>
  <w:style w:type="paragraph" w:customStyle="1" w:styleId="xl2499">
    <w:name w:val="xl2499"/>
    <w:basedOn w:val="Normal"/>
    <w:rsid w:val="00C543C6"/>
    <w:pPr>
      <w:pBdr>
        <w:top w:val="single" w:sz="8" w:space="0" w:color="auto"/>
        <w:left w:val="single" w:sz="8"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color w:val="000000"/>
      <w:sz w:val="36"/>
      <w:szCs w:val="36"/>
      <w:lang w:eastAsia="en-US"/>
    </w:rPr>
  </w:style>
  <w:style w:type="paragraph" w:customStyle="1" w:styleId="xl2500">
    <w:name w:val="xl2500"/>
    <w:basedOn w:val="Normal"/>
    <w:rsid w:val="00C543C6"/>
    <w:pPr>
      <w:pBdr>
        <w:top w:val="single" w:sz="8"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color w:val="000000"/>
      <w:sz w:val="36"/>
      <w:szCs w:val="36"/>
      <w:lang w:eastAsia="en-US"/>
    </w:rPr>
  </w:style>
  <w:style w:type="paragraph" w:customStyle="1" w:styleId="TableParagraph">
    <w:name w:val="Table Paragraph"/>
    <w:basedOn w:val="Normal"/>
    <w:uiPriority w:val="1"/>
    <w:qFormat/>
    <w:rsid w:val="00B211A0"/>
    <w:pPr>
      <w:widowControl w:val="0"/>
      <w:tabs>
        <w:tab w:val="clear" w:pos="794"/>
      </w:tabs>
      <w:bidi w:val="0"/>
      <w:spacing w:before="0" w:line="240" w:lineRule="auto"/>
      <w:jc w:val="left"/>
    </w:pPr>
    <w:rPr>
      <w:rFonts w:asciiTheme="minorHAnsi" w:eastAsiaTheme="minorHAnsi" w:hAnsiTheme="minorHAnsi" w:cstheme="minorBidi"/>
      <w:lang w:eastAsia="en-US"/>
    </w:rPr>
  </w:style>
  <w:style w:type="table" w:customStyle="1" w:styleId="TableNormal1">
    <w:name w:val="Table Normal1"/>
    <w:uiPriority w:val="2"/>
    <w:semiHidden/>
    <w:qFormat/>
    <w:rsid w:val="00B211A0"/>
    <w:pPr>
      <w:widowControl w:val="0"/>
      <w:spacing w:after="0" w:line="240" w:lineRule="auto"/>
    </w:pPr>
    <w:rPr>
      <w:rFonts w:eastAsiaTheme="minorHAnsi"/>
      <w:lang w:eastAsia="en-US"/>
    </w:rPr>
    <w:tblPr>
      <w:tblCellMar>
        <w:top w:w="0" w:type="dxa"/>
        <w:left w:w="0" w:type="dxa"/>
        <w:bottom w:w="0" w:type="dxa"/>
        <w:right w:w="0" w:type="dxa"/>
      </w:tblCellMar>
    </w:tblPr>
  </w:style>
  <w:style w:type="table" w:customStyle="1" w:styleId="TableGrid0">
    <w:name w:val="TableGrid"/>
    <w:rsid w:val="00343DDF"/>
    <w:pPr>
      <w:spacing w:after="0" w:line="240" w:lineRule="auto"/>
    </w:pPr>
    <w:rPr>
      <w:kern w:val="2"/>
      <w:sz w:val="24"/>
      <w:szCs w:val="24"/>
      <w:lang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4516">
      <w:bodyDiv w:val="1"/>
      <w:marLeft w:val="0"/>
      <w:marRight w:val="0"/>
      <w:marTop w:val="0"/>
      <w:marBottom w:val="0"/>
      <w:divBdr>
        <w:top w:val="none" w:sz="0" w:space="0" w:color="auto"/>
        <w:left w:val="none" w:sz="0" w:space="0" w:color="auto"/>
        <w:bottom w:val="none" w:sz="0" w:space="0" w:color="auto"/>
        <w:right w:val="none" w:sz="0" w:space="0" w:color="auto"/>
      </w:divBdr>
      <w:divsChild>
        <w:div w:id="1962302807">
          <w:marLeft w:val="0"/>
          <w:marRight w:val="0"/>
          <w:marTop w:val="0"/>
          <w:marBottom w:val="0"/>
          <w:divBdr>
            <w:top w:val="none" w:sz="0" w:space="0" w:color="auto"/>
            <w:left w:val="none" w:sz="0" w:space="0" w:color="auto"/>
            <w:bottom w:val="none" w:sz="0" w:space="0" w:color="auto"/>
            <w:right w:val="none" w:sz="0" w:space="0" w:color="auto"/>
          </w:divBdr>
          <w:divsChild>
            <w:div w:id="1595818088">
              <w:marLeft w:val="0"/>
              <w:marRight w:val="0"/>
              <w:marTop w:val="0"/>
              <w:marBottom w:val="0"/>
              <w:divBdr>
                <w:top w:val="none" w:sz="0" w:space="0" w:color="auto"/>
                <w:left w:val="none" w:sz="0" w:space="0" w:color="auto"/>
                <w:bottom w:val="none" w:sz="0" w:space="0" w:color="auto"/>
                <w:right w:val="none" w:sz="0" w:space="0" w:color="auto"/>
              </w:divBdr>
              <w:divsChild>
                <w:div w:id="1044714650">
                  <w:marLeft w:val="0"/>
                  <w:marRight w:val="0"/>
                  <w:marTop w:val="0"/>
                  <w:marBottom w:val="0"/>
                  <w:divBdr>
                    <w:top w:val="none" w:sz="0" w:space="0" w:color="auto"/>
                    <w:left w:val="none" w:sz="0" w:space="0" w:color="auto"/>
                    <w:bottom w:val="none" w:sz="0" w:space="0" w:color="auto"/>
                    <w:right w:val="none" w:sz="0" w:space="0" w:color="auto"/>
                  </w:divBdr>
                  <w:divsChild>
                    <w:div w:id="416438500">
                      <w:marLeft w:val="0"/>
                      <w:marRight w:val="0"/>
                      <w:marTop w:val="0"/>
                      <w:marBottom w:val="0"/>
                      <w:divBdr>
                        <w:top w:val="none" w:sz="0" w:space="0" w:color="auto"/>
                        <w:left w:val="none" w:sz="0" w:space="0" w:color="auto"/>
                        <w:bottom w:val="none" w:sz="0" w:space="0" w:color="auto"/>
                        <w:right w:val="none" w:sz="0" w:space="0" w:color="auto"/>
                      </w:divBdr>
                      <w:divsChild>
                        <w:div w:id="1948735051">
                          <w:marLeft w:val="0"/>
                          <w:marRight w:val="0"/>
                          <w:marTop w:val="0"/>
                          <w:marBottom w:val="0"/>
                          <w:divBdr>
                            <w:top w:val="none" w:sz="0" w:space="0" w:color="auto"/>
                            <w:left w:val="none" w:sz="0" w:space="0" w:color="auto"/>
                            <w:bottom w:val="none" w:sz="0" w:space="0" w:color="auto"/>
                            <w:right w:val="none" w:sz="0" w:space="0" w:color="auto"/>
                          </w:divBdr>
                          <w:divsChild>
                            <w:div w:id="1267497121">
                              <w:marLeft w:val="0"/>
                              <w:marRight w:val="0"/>
                              <w:marTop w:val="0"/>
                              <w:marBottom w:val="0"/>
                              <w:divBdr>
                                <w:top w:val="none" w:sz="0" w:space="0" w:color="auto"/>
                                <w:left w:val="none" w:sz="0" w:space="0" w:color="auto"/>
                                <w:bottom w:val="none" w:sz="0" w:space="0" w:color="auto"/>
                                <w:right w:val="none" w:sz="0" w:space="0" w:color="auto"/>
                              </w:divBdr>
                              <w:divsChild>
                                <w:div w:id="1401248196">
                                  <w:marLeft w:val="0"/>
                                  <w:marRight w:val="0"/>
                                  <w:marTop w:val="0"/>
                                  <w:marBottom w:val="0"/>
                                  <w:divBdr>
                                    <w:top w:val="none" w:sz="0" w:space="0" w:color="auto"/>
                                    <w:left w:val="none" w:sz="0" w:space="0" w:color="auto"/>
                                    <w:bottom w:val="none" w:sz="0" w:space="0" w:color="auto"/>
                                    <w:right w:val="none" w:sz="0" w:space="0" w:color="auto"/>
                                  </w:divBdr>
                                  <w:divsChild>
                                    <w:div w:id="172496219">
                                      <w:marLeft w:val="0"/>
                                      <w:marRight w:val="0"/>
                                      <w:marTop w:val="0"/>
                                      <w:marBottom w:val="0"/>
                                      <w:divBdr>
                                        <w:top w:val="none" w:sz="0" w:space="0" w:color="auto"/>
                                        <w:left w:val="none" w:sz="0" w:space="0" w:color="auto"/>
                                        <w:bottom w:val="none" w:sz="0" w:space="0" w:color="auto"/>
                                        <w:right w:val="none" w:sz="0" w:space="0" w:color="auto"/>
                                      </w:divBdr>
                                      <w:divsChild>
                                        <w:div w:id="847019290">
                                          <w:marLeft w:val="0"/>
                                          <w:marRight w:val="0"/>
                                          <w:marTop w:val="0"/>
                                          <w:marBottom w:val="0"/>
                                          <w:divBdr>
                                            <w:top w:val="none" w:sz="0" w:space="0" w:color="auto"/>
                                            <w:left w:val="none" w:sz="0" w:space="0" w:color="auto"/>
                                            <w:bottom w:val="none" w:sz="0" w:space="0" w:color="auto"/>
                                            <w:right w:val="none" w:sz="0" w:space="0" w:color="auto"/>
                                          </w:divBdr>
                                          <w:divsChild>
                                            <w:div w:id="1408186507">
                                              <w:marLeft w:val="0"/>
                                              <w:marRight w:val="0"/>
                                              <w:marTop w:val="0"/>
                                              <w:marBottom w:val="0"/>
                                              <w:divBdr>
                                                <w:top w:val="none" w:sz="0" w:space="0" w:color="auto"/>
                                                <w:left w:val="none" w:sz="0" w:space="0" w:color="auto"/>
                                                <w:bottom w:val="none" w:sz="0" w:space="0" w:color="auto"/>
                                                <w:right w:val="none" w:sz="0" w:space="0" w:color="auto"/>
                                              </w:divBdr>
                                              <w:divsChild>
                                                <w:div w:id="2070761680">
                                                  <w:marLeft w:val="0"/>
                                                  <w:marRight w:val="0"/>
                                                  <w:marTop w:val="0"/>
                                                  <w:marBottom w:val="0"/>
                                                  <w:divBdr>
                                                    <w:top w:val="none" w:sz="0" w:space="0" w:color="auto"/>
                                                    <w:left w:val="none" w:sz="0" w:space="0" w:color="auto"/>
                                                    <w:bottom w:val="none" w:sz="0" w:space="0" w:color="auto"/>
                                                    <w:right w:val="none" w:sz="0" w:space="0" w:color="auto"/>
                                                  </w:divBdr>
                                                  <w:divsChild>
                                                    <w:div w:id="392772719">
                                                      <w:marLeft w:val="0"/>
                                                      <w:marRight w:val="0"/>
                                                      <w:marTop w:val="0"/>
                                                      <w:marBottom w:val="0"/>
                                                      <w:divBdr>
                                                        <w:top w:val="none" w:sz="0" w:space="0" w:color="auto"/>
                                                        <w:left w:val="none" w:sz="0" w:space="0" w:color="auto"/>
                                                        <w:bottom w:val="none" w:sz="0" w:space="0" w:color="auto"/>
                                                        <w:right w:val="none" w:sz="0" w:space="0" w:color="auto"/>
                                                      </w:divBdr>
                                                      <w:divsChild>
                                                        <w:div w:id="2142645288">
                                                          <w:marLeft w:val="0"/>
                                                          <w:marRight w:val="0"/>
                                                          <w:marTop w:val="0"/>
                                                          <w:marBottom w:val="0"/>
                                                          <w:divBdr>
                                                            <w:top w:val="none" w:sz="0" w:space="0" w:color="auto"/>
                                                            <w:left w:val="none" w:sz="0" w:space="0" w:color="auto"/>
                                                            <w:bottom w:val="none" w:sz="0" w:space="0" w:color="auto"/>
                                                            <w:right w:val="none" w:sz="0" w:space="0" w:color="auto"/>
                                                          </w:divBdr>
                                                          <w:divsChild>
                                                            <w:div w:id="16547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036974">
      <w:bodyDiv w:val="1"/>
      <w:marLeft w:val="0"/>
      <w:marRight w:val="0"/>
      <w:marTop w:val="0"/>
      <w:marBottom w:val="0"/>
      <w:divBdr>
        <w:top w:val="none" w:sz="0" w:space="0" w:color="auto"/>
        <w:left w:val="none" w:sz="0" w:space="0" w:color="auto"/>
        <w:bottom w:val="none" w:sz="0" w:space="0" w:color="auto"/>
        <w:right w:val="none" w:sz="0" w:space="0" w:color="auto"/>
      </w:divBdr>
    </w:div>
    <w:div w:id="84738369">
      <w:bodyDiv w:val="1"/>
      <w:marLeft w:val="0"/>
      <w:marRight w:val="0"/>
      <w:marTop w:val="0"/>
      <w:marBottom w:val="0"/>
      <w:divBdr>
        <w:top w:val="none" w:sz="0" w:space="0" w:color="auto"/>
        <w:left w:val="none" w:sz="0" w:space="0" w:color="auto"/>
        <w:bottom w:val="none" w:sz="0" w:space="0" w:color="auto"/>
        <w:right w:val="none" w:sz="0" w:space="0" w:color="auto"/>
      </w:divBdr>
    </w:div>
    <w:div w:id="91753336">
      <w:bodyDiv w:val="1"/>
      <w:marLeft w:val="0"/>
      <w:marRight w:val="0"/>
      <w:marTop w:val="0"/>
      <w:marBottom w:val="0"/>
      <w:divBdr>
        <w:top w:val="none" w:sz="0" w:space="0" w:color="auto"/>
        <w:left w:val="none" w:sz="0" w:space="0" w:color="auto"/>
        <w:bottom w:val="none" w:sz="0" w:space="0" w:color="auto"/>
        <w:right w:val="none" w:sz="0" w:space="0" w:color="auto"/>
      </w:divBdr>
    </w:div>
    <w:div w:id="130488747">
      <w:bodyDiv w:val="1"/>
      <w:marLeft w:val="0"/>
      <w:marRight w:val="0"/>
      <w:marTop w:val="0"/>
      <w:marBottom w:val="0"/>
      <w:divBdr>
        <w:top w:val="none" w:sz="0" w:space="0" w:color="auto"/>
        <w:left w:val="none" w:sz="0" w:space="0" w:color="auto"/>
        <w:bottom w:val="none" w:sz="0" w:space="0" w:color="auto"/>
        <w:right w:val="none" w:sz="0" w:space="0" w:color="auto"/>
      </w:divBdr>
    </w:div>
    <w:div w:id="176774152">
      <w:bodyDiv w:val="1"/>
      <w:marLeft w:val="0"/>
      <w:marRight w:val="0"/>
      <w:marTop w:val="0"/>
      <w:marBottom w:val="0"/>
      <w:divBdr>
        <w:top w:val="none" w:sz="0" w:space="0" w:color="auto"/>
        <w:left w:val="none" w:sz="0" w:space="0" w:color="auto"/>
        <w:bottom w:val="none" w:sz="0" w:space="0" w:color="auto"/>
        <w:right w:val="none" w:sz="0" w:space="0" w:color="auto"/>
      </w:divBdr>
    </w:div>
    <w:div w:id="189610227">
      <w:bodyDiv w:val="1"/>
      <w:marLeft w:val="0"/>
      <w:marRight w:val="0"/>
      <w:marTop w:val="0"/>
      <w:marBottom w:val="0"/>
      <w:divBdr>
        <w:top w:val="none" w:sz="0" w:space="0" w:color="auto"/>
        <w:left w:val="none" w:sz="0" w:space="0" w:color="auto"/>
        <w:bottom w:val="none" w:sz="0" w:space="0" w:color="auto"/>
        <w:right w:val="none" w:sz="0" w:space="0" w:color="auto"/>
      </w:divBdr>
    </w:div>
    <w:div w:id="202985573">
      <w:bodyDiv w:val="1"/>
      <w:marLeft w:val="0"/>
      <w:marRight w:val="0"/>
      <w:marTop w:val="0"/>
      <w:marBottom w:val="0"/>
      <w:divBdr>
        <w:top w:val="none" w:sz="0" w:space="0" w:color="auto"/>
        <w:left w:val="none" w:sz="0" w:space="0" w:color="auto"/>
        <w:bottom w:val="none" w:sz="0" w:space="0" w:color="auto"/>
        <w:right w:val="none" w:sz="0" w:space="0" w:color="auto"/>
      </w:divBdr>
    </w:div>
    <w:div w:id="206988772">
      <w:bodyDiv w:val="1"/>
      <w:marLeft w:val="0"/>
      <w:marRight w:val="0"/>
      <w:marTop w:val="0"/>
      <w:marBottom w:val="0"/>
      <w:divBdr>
        <w:top w:val="none" w:sz="0" w:space="0" w:color="auto"/>
        <w:left w:val="none" w:sz="0" w:space="0" w:color="auto"/>
        <w:bottom w:val="none" w:sz="0" w:space="0" w:color="auto"/>
        <w:right w:val="none" w:sz="0" w:space="0" w:color="auto"/>
      </w:divBdr>
    </w:div>
    <w:div w:id="234895682">
      <w:bodyDiv w:val="1"/>
      <w:marLeft w:val="0"/>
      <w:marRight w:val="0"/>
      <w:marTop w:val="0"/>
      <w:marBottom w:val="0"/>
      <w:divBdr>
        <w:top w:val="none" w:sz="0" w:space="0" w:color="auto"/>
        <w:left w:val="none" w:sz="0" w:space="0" w:color="auto"/>
        <w:bottom w:val="none" w:sz="0" w:space="0" w:color="auto"/>
        <w:right w:val="none" w:sz="0" w:space="0" w:color="auto"/>
      </w:divBdr>
    </w:div>
    <w:div w:id="278728378">
      <w:bodyDiv w:val="1"/>
      <w:marLeft w:val="0"/>
      <w:marRight w:val="0"/>
      <w:marTop w:val="0"/>
      <w:marBottom w:val="0"/>
      <w:divBdr>
        <w:top w:val="none" w:sz="0" w:space="0" w:color="auto"/>
        <w:left w:val="none" w:sz="0" w:space="0" w:color="auto"/>
        <w:bottom w:val="none" w:sz="0" w:space="0" w:color="auto"/>
        <w:right w:val="none" w:sz="0" w:space="0" w:color="auto"/>
      </w:divBdr>
    </w:div>
    <w:div w:id="287664606">
      <w:bodyDiv w:val="1"/>
      <w:marLeft w:val="0"/>
      <w:marRight w:val="0"/>
      <w:marTop w:val="0"/>
      <w:marBottom w:val="0"/>
      <w:divBdr>
        <w:top w:val="none" w:sz="0" w:space="0" w:color="auto"/>
        <w:left w:val="none" w:sz="0" w:space="0" w:color="auto"/>
        <w:bottom w:val="none" w:sz="0" w:space="0" w:color="auto"/>
        <w:right w:val="none" w:sz="0" w:space="0" w:color="auto"/>
      </w:divBdr>
      <w:divsChild>
        <w:div w:id="1008563412">
          <w:marLeft w:val="0"/>
          <w:marRight w:val="0"/>
          <w:marTop w:val="0"/>
          <w:marBottom w:val="0"/>
          <w:divBdr>
            <w:top w:val="none" w:sz="0" w:space="0" w:color="auto"/>
            <w:left w:val="none" w:sz="0" w:space="0" w:color="auto"/>
            <w:bottom w:val="none" w:sz="0" w:space="0" w:color="auto"/>
            <w:right w:val="none" w:sz="0" w:space="0" w:color="auto"/>
          </w:divBdr>
          <w:divsChild>
            <w:div w:id="916742226">
              <w:marLeft w:val="0"/>
              <w:marRight w:val="0"/>
              <w:marTop w:val="0"/>
              <w:marBottom w:val="0"/>
              <w:divBdr>
                <w:top w:val="none" w:sz="0" w:space="0" w:color="auto"/>
                <w:left w:val="none" w:sz="0" w:space="0" w:color="auto"/>
                <w:bottom w:val="none" w:sz="0" w:space="0" w:color="auto"/>
                <w:right w:val="none" w:sz="0" w:space="0" w:color="auto"/>
              </w:divBdr>
              <w:divsChild>
                <w:div w:id="1947928861">
                  <w:marLeft w:val="0"/>
                  <w:marRight w:val="0"/>
                  <w:marTop w:val="0"/>
                  <w:marBottom w:val="0"/>
                  <w:divBdr>
                    <w:top w:val="none" w:sz="0" w:space="0" w:color="auto"/>
                    <w:left w:val="none" w:sz="0" w:space="0" w:color="auto"/>
                    <w:bottom w:val="none" w:sz="0" w:space="0" w:color="auto"/>
                    <w:right w:val="none" w:sz="0" w:space="0" w:color="auto"/>
                  </w:divBdr>
                  <w:divsChild>
                    <w:div w:id="26831942">
                      <w:marLeft w:val="0"/>
                      <w:marRight w:val="0"/>
                      <w:marTop w:val="0"/>
                      <w:marBottom w:val="0"/>
                      <w:divBdr>
                        <w:top w:val="none" w:sz="0" w:space="0" w:color="auto"/>
                        <w:left w:val="none" w:sz="0" w:space="0" w:color="auto"/>
                        <w:bottom w:val="none" w:sz="0" w:space="0" w:color="auto"/>
                        <w:right w:val="none" w:sz="0" w:space="0" w:color="auto"/>
                      </w:divBdr>
                      <w:divsChild>
                        <w:div w:id="1808668887">
                          <w:marLeft w:val="0"/>
                          <w:marRight w:val="0"/>
                          <w:marTop w:val="0"/>
                          <w:marBottom w:val="0"/>
                          <w:divBdr>
                            <w:top w:val="none" w:sz="0" w:space="0" w:color="auto"/>
                            <w:left w:val="none" w:sz="0" w:space="0" w:color="auto"/>
                            <w:bottom w:val="none" w:sz="0" w:space="0" w:color="auto"/>
                            <w:right w:val="none" w:sz="0" w:space="0" w:color="auto"/>
                          </w:divBdr>
                          <w:divsChild>
                            <w:div w:id="594023772">
                              <w:marLeft w:val="0"/>
                              <w:marRight w:val="0"/>
                              <w:marTop w:val="0"/>
                              <w:marBottom w:val="0"/>
                              <w:divBdr>
                                <w:top w:val="none" w:sz="0" w:space="0" w:color="auto"/>
                                <w:left w:val="none" w:sz="0" w:space="0" w:color="auto"/>
                                <w:bottom w:val="none" w:sz="0" w:space="0" w:color="auto"/>
                                <w:right w:val="none" w:sz="0" w:space="0" w:color="auto"/>
                              </w:divBdr>
                              <w:divsChild>
                                <w:div w:id="1388336518">
                                  <w:marLeft w:val="0"/>
                                  <w:marRight w:val="0"/>
                                  <w:marTop w:val="0"/>
                                  <w:marBottom w:val="0"/>
                                  <w:divBdr>
                                    <w:top w:val="none" w:sz="0" w:space="0" w:color="auto"/>
                                    <w:left w:val="none" w:sz="0" w:space="0" w:color="auto"/>
                                    <w:bottom w:val="none" w:sz="0" w:space="0" w:color="auto"/>
                                    <w:right w:val="none" w:sz="0" w:space="0" w:color="auto"/>
                                  </w:divBdr>
                                  <w:divsChild>
                                    <w:div w:id="952320217">
                                      <w:marLeft w:val="0"/>
                                      <w:marRight w:val="0"/>
                                      <w:marTop w:val="0"/>
                                      <w:marBottom w:val="0"/>
                                      <w:divBdr>
                                        <w:top w:val="none" w:sz="0" w:space="0" w:color="auto"/>
                                        <w:left w:val="none" w:sz="0" w:space="0" w:color="auto"/>
                                        <w:bottom w:val="none" w:sz="0" w:space="0" w:color="auto"/>
                                        <w:right w:val="none" w:sz="0" w:space="0" w:color="auto"/>
                                      </w:divBdr>
                                      <w:divsChild>
                                        <w:div w:id="1860964518">
                                          <w:marLeft w:val="0"/>
                                          <w:marRight w:val="0"/>
                                          <w:marTop w:val="0"/>
                                          <w:marBottom w:val="0"/>
                                          <w:divBdr>
                                            <w:top w:val="none" w:sz="0" w:space="0" w:color="auto"/>
                                            <w:left w:val="none" w:sz="0" w:space="0" w:color="auto"/>
                                            <w:bottom w:val="none" w:sz="0" w:space="0" w:color="auto"/>
                                            <w:right w:val="none" w:sz="0" w:space="0" w:color="auto"/>
                                          </w:divBdr>
                                          <w:divsChild>
                                            <w:div w:id="1327246829">
                                              <w:marLeft w:val="0"/>
                                              <w:marRight w:val="0"/>
                                              <w:marTop w:val="0"/>
                                              <w:marBottom w:val="0"/>
                                              <w:divBdr>
                                                <w:top w:val="none" w:sz="0" w:space="0" w:color="auto"/>
                                                <w:left w:val="none" w:sz="0" w:space="0" w:color="auto"/>
                                                <w:bottom w:val="none" w:sz="0" w:space="0" w:color="auto"/>
                                                <w:right w:val="none" w:sz="0" w:space="0" w:color="auto"/>
                                              </w:divBdr>
                                              <w:divsChild>
                                                <w:div w:id="2102296383">
                                                  <w:marLeft w:val="0"/>
                                                  <w:marRight w:val="0"/>
                                                  <w:marTop w:val="0"/>
                                                  <w:marBottom w:val="0"/>
                                                  <w:divBdr>
                                                    <w:top w:val="none" w:sz="0" w:space="0" w:color="auto"/>
                                                    <w:left w:val="none" w:sz="0" w:space="0" w:color="auto"/>
                                                    <w:bottom w:val="none" w:sz="0" w:space="0" w:color="auto"/>
                                                    <w:right w:val="none" w:sz="0" w:space="0" w:color="auto"/>
                                                  </w:divBdr>
                                                  <w:divsChild>
                                                    <w:div w:id="66612508">
                                                      <w:marLeft w:val="0"/>
                                                      <w:marRight w:val="0"/>
                                                      <w:marTop w:val="0"/>
                                                      <w:marBottom w:val="0"/>
                                                      <w:divBdr>
                                                        <w:top w:val="none" w:sz="0" w:space="0" w:color="auto"/>
                                                        <w:left w:val="none" w:sz="0" w:space="0" w:color="auto"/>
                                                        <w:bottom w:val="none" w:sz="0" w:space="0" w:color="auto"/>
                                                        <w:right w:val="none" w:sz="0" w:space="0" w:color="auto"/>
                                                      </w:divBdr>
                                                      <w:divsChild>
                                                        <w:div w:id="1895851719">
                                                          <w:marLeft w:val="0"/>
                                                          <w:marRight w:val="0"/>
                                                          <w:marTop w:val="0"/>
                                                          <w:marBottom w:val="0"/>
                                                          <w:divBdr>
                                                            <w:top w:val="none" w:sz="0" w:space="0" w:color="auto"/>
                                                            <w:left w:val="none" w:sz="0" w:space="0" w:color="auto"/>
                                                            <w:bottom w:val="none" w:sz="0" w:space="0" w:color="auto"/>
                                                            <w:right w:val="none" w:sz="0" w:space="0" w:color="auto"/>
                                                          </w:divBdr>
                                                          <w:divsChild>
                                                            <w:div w:id="6277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073291">
      <w:bodyDiv w:val="1"/>
      <w:marLeft w:val="0"/>
      <w:marRight w:val="0"/>
      <w:marTop w:val="0"/>
      <w:marBottom w:val="0"/>
      <w:divBdr>
        <w:top w:val="none" w:sz="0" w:space="0" w:color="auto"/>
        <w:left w:val="none" w:sz="0" w:space="0" w:color="auto"/>
        <w:bottom w:val="none" w:sz="0" w:space="0" w:color="auto"/>
        <w:right w:val="none" w:sz="0" w:space="0" w:color="auto"/>
      </w:divBdr>
      <w:divsChild>
        <w:div w:id="1649552264">
          <w:marLeft w:val="0"/>
          <w:marRight w:val="0"/>
          <w:marTop w:val="0"/>
          <w:marBottom w:val="0"/>
          <w:divBdr>
            <w:top w:val="none" w:sz="0" w:space="0" w:color="auto"/>
            <w:left w:val="none" w:sz="0" w:space="0" w:color="auto"/>
            <w:bottom w:val="none" w:sz="0" w:space="0" w:color="auto"/>
            <w:right w:val="none" w:sz="0" w:space="0" w:color="auto"/>
          </w:divBdr>
          <w:divsChild>
            <w:div w:id="1959020008">
              <w:marLeft w:val="0"/>
              <w:marRight w:val="0"/>
              <w:marTop w:val="0"/>
              <w:marBottom w:val="0"/>
              <w:divBdr>
                <w:top w:val="none" w:sz="0" w:space="0" w:color="auto"/>
                <w:left w:val="none" w:sz="0" w:space="0" w:color="auto"/>
                <w:bottom w:val="none" w:sz="0" w:space="0" w:color="auto"/>
                <w:right w:val="none" w:sz="0" w:space="0" w:color="auto"/>
              </w:divBdr>
              <w:divsChild>
                <w:div w:id="1646161534">
                  <w:marLeft w:val="0"/>
                  <w:marRight w:val="0"/>
                  <w:marTop w:val="0"/>
                  <w:marBottom w:val="0"/>
                  <w:divBdr>
                    <w:top w:val="none" w:sz="0" w:space="0" w:color="auto"/>
                    <w:left w:val="none" w:sz="0" w:space="0" w:color="auto"/>
                    <w:bottom w:val="none" w:sz="0" w:space="0" w:color="auto"/>
                    <w:right w:val="none" w:sz="0" w:space="0" w:color="auto"/>
                  </w:divBdr>
                  <w:divsChild>
                    <w:div w:id="295455815">
                      <w:marLeft w:val="0"/>
                      <w:marRight w:val="0"/>
                      <w:marTop w:val="0"/>
                      <w:marBottom w:val="0"/>
                      <w:divBdr>
                        <w:top w:val="none" w:sz="0" w:space="0" w:color="auto"/>
                        <w:left w:val="none" w:sz="0" w:space="0" w:color="auto"/>
                        <w:bottom w:val="none" w:sz="0" w:space="0" w:color="auto"/>
                        <w:right w:val="none" w:sz="0" w:space="0" w:color="auto"/>
                      </w:divBdr>
                      <w:divsChild>
                        <w:div w:id="1487479250">
                          <w:marLeft w:val="0"/>
                          <w:marRight w:val="0"/>
                          <w:marTop w:val="0"/>
                          <w:marBottom w:val="0"/>
                          <w:divBdr>
                            <w:top w:val="none" w:sz="0" w:space="0" w:color="auto"/>
                            <w:left w:val="none" w:sz="0" w:space="0" w:color="auto"/>
                            <w:bottom w:val="none" w:sz="0" w:space="0" w:color="auto"/>
                            <w:right w:val="none" w:sz="0" w:space="0" w:color="auto"/>
                          </w:divBdr>
                          <w:divsChild>
                            <w:div w:id="1039819612">
                              <w:marLeft w:val="0"/>
                              <w:marRight w:val="0"/>
                              <w:marTop w:val="0"/>
                              <w:marBottom w:val="0"/>
                              <w:divBdr>
                                <w:top w:val="none" w:sz="0" w:space="0" w:color="auto"/>
                                <w:left w:val="none" w:sz="0" w:space="0" w:color="auto"/>
                                <w:bottom w:val="none" w:sz="0" w:space="0" w:color="auto"/>
                                <w:right w:val="none" w:sz="0" w:space="0" w:color="auto"/>
                              </w:divBdr>
                              <w:divsChild>
                                <w:div w:id="1985966176">
                                  <w:marLeft w:val="0"/>
                                  <w:marRight w:val="0"/>
                                  <w:marTop w:val="0"/>
                                  <w:marBottom w:val="0"/>
                                  <w:divBdr>
                                    <w:top w:val="none" w:sz="0" w:space="0" w:color="auto"/>
                                    <w:left w:val="none" w:sz="0" w:space="0" w:color="auto"/>
                                    <w:bottom w:val="none" w:sz="0" w:space="0" w:color="auto"/>
                                    <w:right w:val="none" w:sz="0" w:space="0" w:color="auto"/>
                                  </w:divBdr>
                                  <w:divsChild>
                                    <w:div w:id="84350500">
                                      <w:marLeft w:val="0"/>
                                      <w:marRight w:val="0"/>
                                      <w:marTop w:val="0"/>
                                      <w:marBottom w:val="0"/>
                                      <w:divBdr>
                                        <w:top w:val="none" w:sz="0" w:space="0" w:color="auto"/>
                                        <w:left w:val="none" w:sz="0" w:space="0" w:color="auto"/>
                                        <w:bottom w:val="none" w:sz="0" w:space="0" w:color="auto"/>
                                        <w:right w:val="none" w:sz="0" w:space="0" w:color="auto"/>
                                      </w:divBdr>
                                      <w:divsChild>
                                        <w:div w:id="1006594199">
                                          <w:marLeft w:val="0"/>
                                          <w:marRight w:val="0"/>
                                          <w:marTop w:val="0"/>
                                          <w:marBottom w:val="0"/>
                                          <w:divBdr>
                                            <w:top w:val="none" w:sz="0" w:space="0" w:color="auto"/>
                                            <w:left w:val="none" w:sz="0" w:space="0" w:color="auto"/>
                                            <w:bottom w:val="none" w:sz="0" w:space="0" w:color="auto"/>
                                            <w:right w:val="none" w:sz="0" w:space="0" w:color="auto"/>
                                          </w:divBdr>
                                          <w:divsChild>
                                            <w:div w:id="1185749529">
                                              <w:marLeft w:val="0"/>
                                              <w:marRight w:val="0"/>
                                              <w:marTop w:val="0"/>
                                              <w:marBottom w:val="0"/>
                                              <w:divBdr>
                                                <w:top w:val="none" w:sz="0" w:space="0" w:color="auto"/>
                                                <w:left w:val="none" w:sz="0" w:space="0" w:color="auto"/>
                                                <w:bottom w:val="none" w:sz="0" w:space="0" w:color="auto"/>
                                                <w:right w:val="none" w:sz="0" w:space="0" w:color="auto"/>
                                              </w:divBdr>
                                              <w:divsChild>
                                                <w:div w:id="1774398292">
                                                  <w:marLeft w:val="0"/>
                                                  <w:marRight w:val="0"/>
                                                  <w:marTop w:val="0"/>
                                                  <w:marBottom w:val="0"/>
                                                  <w:divBdr>
                                                    <w:top w:val="none" w:sz="0" w:space="0" w:color="auto"/>
                                                    <w:left w:val="none" w:sz="0" w:space="0" w:color="auto"/>
                                                    <w:bottom w:val="none" w:sz="0" w:space="0" w:color="auto"/>
                                                    <w:right w:val="none" w:sz="0" w:space="0" w:color="auto"/>
                                                  </w:divBdr>
                                                  <w:divsChild>
                                                    <w:div w:id="11732748">
                                                      <w:marLeft w:val="0"/>
                                                      <w:marRight w:val="0"/>
                                                      <w:marTop w:val="0"/>
                                                      <w:marBottom w:val="0"/>
                                                      <w:divBdr>
                                                        <w:top w:val="none" w:sz="0" w:space="0" w:color="auto"/>
                                                        <w:left w:val="none" w:sz="0" w:space="0" w:color="auto"/>
                                                        <w:bottom w:val="none" w:sz="0" w:space="0" w:color="auto"/>
                                                        <w:right w:val="none" w:sz="0" w:space="0" w:color="auto"/>
                                                      </w:divBdr>
                                                      <w:divsChild>
                                                        <w:div w:id="224225938">
                                                          <w:marLeft w:val="0"/>
                                                          <w:marRight w:val="0"/>
                                                          <w:marTop w:val="0"/>
                                                          <w:marBottom w:val="0"/>
                                                          <w:divBdr>
                                                            <w:top w:val="none" w:sz="0" w:space="0" w:color="auto"/>
                                                            <w:left w:val="none" w:sz="0" w:space="0" w:color="auto"/>
                                                            <w:bottom w:val="none" w:sz="0" w:space="0" w:color="auto"/>
                                                            <w:right w:val="none" w:sz="0" w:space="0" w:color="auto"/>
                                                          </w:divBdr>
                                                          <w:divsChild>
                                                            <w:div w:id="21076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7417349">
      <w:bodyDiv w:val="1"/>
      <w:marLeft w:val="0"/>
      <w:marRight w:val="0"/>
      <w:marTop w:val="0"/>
      <w:marBottom w:val="0"/>
      <w:divBdr>
        <w:top w:val="none" w:sz="0" w:space="0" w:color="auto"/>
        <w:left w:val="none" w:sz="0" w:space="0" w:color="auto"/>
        <w:bottom w:val="none" w:sz="0" w:space="0" w:color="auto"/>
        <w:right w:val="none" w:sz="0" w:space="0" w:color="auto"/>
      </w:divBdr>
    </w:div>
    <w:div w:id="325744045">
      <w:bodyDiv w:val="1"/>
      <w:marLeft w:val="0"/>
      <w:marRight w:val="0"/>
      <w:marTop w:val="0"/>
      <w:marBottom w:val="0"/>
      <w:divBdr>
        <w:top w:val="none" w:sz="0" w:space="0" w:color="auto"/>
        <w:left w:val="none" w:sz="0" w:space="0" w:color="auto"/>
        <w:bottom w:val="none" w:sz="0" w:space="0" w:color="auto"/>
        <w:right w:val="none" w:sz="0" w:space="0" w:color="auto"/>
      </w:divBdr>
      <w:divsChild>
        <w:div w:id="1737434539">
          <w:marLeft w:val="0"/>
          <w:marRight w:val="0"/>
          <w:marTop w:val="0"/>
          <w:marBottom w:val="0"/>
          <w:divBdr>
            <w:top w:val="none" w:sz="0" w:space="0" w:color="auto"/>
            <w:left w:val="none" w:sz="0" w:space="0" w:color="auto"/>
            <w:bottom w:val="none" w:sz="0" w:space="0" w:color="auto"/>
            <w:right w:val="none" w:sz="0" w:space="0" w:color="auto"/>
          </w:divBdr>
          <w:divsChild>
            <w:div w:id="958145951">
              <w:marLeft w:val="0"/>
              <w:marRight w:val="0"/>
              <w:marTop w:val="0"/>
              <w:marBottom w:val="0"/>
              <w:divBdr>
                <w:top w:val="none" w:sz="0" w:space="0" w:color="auto"/>
                <w:left w:val="none" w:sz="0" w:space="0" w:color="auto"/>
                <w:bottom w:val="none" w:sz="0" w:space="0" w:color="auto"/>
                <w:right w:val="none" w:sz="0" w:space="0" w:color="auto"/>
              </w:divBdr>
              <w:divsChild>
                <w:div w:id="720909871">
                  <w:marLeft w:val="0"/>
                  <w:marRight w:val="0"/>
                  <w:marTop w:val="0"/>
                  <w:marBottom w:val="0"/>
                  <w:divBdr>
                    <w:top w:val="none" w:sz="0" w:space="0" w:color="auto"/>
                    <w:left w:val="none" w:sz="0" w:space="0" w:color="auto"/>
                    <w:bottom w:val="none" w:sz="0" w:space="0" w:color="auto"/>
                    <w:right w:val="none" w:sz="0" w:space="0" w:color="auto"/>
                  </w:divBdr>
                  <w:divsChild>
                    <w:div w:id="1741324128">
                      <w:marLeft w:val="0"/>
                      <w:marRight w:val="0"/>
                      <w:marTop w:val="0"/>
                      <w:marBottom w:val="0"/>
                      <w:divBdr>
                        <w:top w:val="none" w:sz="0" w:space="0" w:color="auto"/>
                        <w:left w:val="none" w:sz="0" w:space="0" w:color="auto"/>
                        <w:bottom w:val="none" w:sz="0" w:space="0" w:color="auto"/>
                        <w:right w:val="none" w:sz="0" w:space="0" w:color="auto"/>
                      </w:divBdr>
                      <w:divsChild>
                        <w:div w:id="1507136182">
                          <w:marLeft w:val="0"/>
                          <w:marRight w:val="0"/>
                          <w:marTop w:val="0"/>
                          <w:marBottom w:val="0"/>
                          <w:divBdr>
                            <w:top w:val="none" w:sz="0" w:space="0" w:color="auto"/>
                            <w:left w:val="none" w:sz="0" w:space="0" w:color="auto"/>
                            <w:bottom w:val="none" w:sz="0" w:space="0" w:color="auto"/>
                            <w:right w:val="none" w:sz="0" w:space="0" w:color="auto"/>
                          </w:divBdr>
                          <w:divsChild>
                            <w:div w:id="1441752861">
                              <w:marLeft w:val="0"/>
                              <w:marRight w:val="0"/>
                              <w:marTop w:val="0"/>
                              <w:marBottom w:val="0"/>
                              <w:divBdr>
                                <w:top w:val="none" w:sz="0" w:space="0" w:color="auto"/>
                                <w:left w:val="none" w:sz="0" w:space="0" w:color="auto"/>
                                <w:bottom w:val="none" w:sz="0" w:space="0" w:color="auto"/>
                                <w:right w:val="none" w:sz="0" w:space="0" w:color="auto"/>
                              </w:divBdr>
                              <w:divsChild>
                                <w:div w:id="2098094783">
                                  <w:marLeft w:val="0"/>
                                  <w:marRight w:val="0"/>
                                  <w:marTop w:val="0"/>
                                  <w:marBottom w:val="0"/>
                                  <w:divBdr>
                                    <w:top w:val="none" w:sz="0" w:space="0" w:color="auto"/>
                                    <w:left w:val="none" w:sz="0" w:space="0" w:color="auto"/>
                                    <w:bottom w:val="none" w:sz="0" w:space="0" w:color="auto"/>
                                    <w:right w:val="none" w:sz="0" w:space="0" w:color="auto"/>
                                  </w:divBdr>
                                  <w:divsChild>
                                    <w:div w:id="902646195">
                                      <w:marLeft w:val="0"/>
                                      <w:marRight w:val="0"/>
                                      <w:marTop w:val="0"/>
                                      <w:marBottom w:val="0"/>
                                      <w:divBdr>
                                        <w:top w:val="none" w:sz="0" w:space="0" w:color="auto"/>
                                        <w:left w:val="none" w:sz="0" w:space="0" w:color="auto"/>
                                        <w:bottom w:val="none" w:sz="0" w:space="0" w:color="auto"/>
                                        <w:right w:val="none" w:sz="0" w:space="0" w:color="auto"/>
                                      </w:divBdr>
                                      <w:divsChild>
                                        <w:div w:id="1153059536">
                                          <w:marLeft w:val="0"/>
                                          <w:marRight w:val="0"/>
                                          <w:marTop w:val="0"/>
                                          <w:marBottom w:val="0"/>
                                          <w:divBdr>
                                            <w:top w:val="none" w:sz="0" w:space="0" w:color="auto"/>
                                            <w:left w:val="none" w:sz="0" w:space="0" w:color="auto"/>
                                            <w:bottom w:val="none" w:sz="0" w:space="0" w:color="auto"/>
                                            <w:right w:val="none" w:sz="0" w:space="0" w:color="auto"/>
                                          </w:divBdr>
                                          <w:divsChild>
                                            <w:div w:id="1535119633">
                                              <w:marLeft w:val="0"/>
                                              <w:marRight w:val="0"/>
                                              <w:marTop w:val="0"/>
                                              <w:marBottom w:val="0"/>
                                              <w:divBdr>
                                                <w:top w:val="none" w:sz="0" w:space="0" w:color="auto"/>
                                                <w:left w:val="none" w:sz="0" w:space="0" w:color="auto"/>
                                                <w:bottom w:val="none" w:sz="0" w:space="0" w:color="auto"/>
                                                <w:right w:val="none" w:sz="0" w:space="0" w:color="auto"/>
                                              </w:divBdr>
                                              <w:divsChild>
                                                <w:div w:id="1933512971">
                                                  <w:marLeft w:val="0"/>
                                                  <w:marRight w:val="0"/>
                                                  <w:marTop w:val="0"/>
                                                  <w:marBottom w:val="0"/>
                                                  <w:divBdr>
                                                    <w:top w:val="none" w:sz="0" w:space="0" w:color="auto"/>
                                                    <w:left w:val="none" w:sz="0" w:space="0" w:color="auto"/>
                                                    <w:bottom w:val="none" w:sz="0" w:space="0" w:color="auto"/>
                                                    <w:right w:val="none" w:sz="0" w:space="0" w:color="auto"/>
                                                  </w:divBdr>
                                                  <w:divsChild>
                                                    <w:div w:id="1590429806">
                                                      <w:marLeft w:val="0"/>
                                                      <w:marRight w:val="0"/>
                                                      <w:marTop w:val="0"/>
                                                      <w:marBottom w:val="0"/>
                                                      <w:divBdr>
                                                        <w:top w:val="none" w:sz="0" w:space="0" w:color="auto"/>
                                                        <w:left w:val="none" w:sz="0" w:space="0" w:color="auto"/>
                                                        <w:bottom w:val="none" w:sz="0" w:space="0" w:color="auto"/>
                                                        <w:right w:val="none" w:sz="0" w:space="0" w:color="auto"/>
                                                      </w:divBdr>
                                                      <w:divsChild>
                                                        <w:div w:id="663511199">
                                                          <w:marLeft w:val="0"/>
                                                          <w:marRight w:val="0"/>
                                                          <w:marTop w:val="0"/>
                                                          <w:marBottom w:val="0"/>
                                                          <w:divBdr>
                                                            <w:top w:val="none" w:sz="0" w:space="0" w:color="auto"/>
                                                            <w:left w:val="none" w:sz="0" w:space="0" w:color="auto"/>
                                                            <w:bottom w:val="none" w:sz="0" w:space="0" w:color="auto"/>
                                                            <w:right w:val="none" w:sz="0" w:space="0" w:color="auto"/>
                                                          </w:divBdr>
                                                          <w:divsChild>
                                                            <w:div w:id="1461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7097547">
      <w:bodyDiv w:val="1"/>
      <w:marLeft w:val="0"/>
      <w:marRight w:val="0"/>
      <w:marTop w:val="0"/>
      <w:marBottom w:val="0"/>
      <w:divBdr>
        <w:top w:val="none" w:sz="0" w:space="0" w:color="auto"/>
        <w:left w:val="none" w:sz="0" w:space="0" w:color="auto"/>
        <w:bottom w:val="none" w:sz="0" w:space="0" w:color="auto"/>
        <w:right w:val="none" w:sz="0" w:space="0" w:color="auto"/>
      </w:divBdr>
    </w:div>
    <w:div w:id="343939719">
      <w:bodyDiv w:val="1"/>
      <w:marLeft w:val="0"/>
      <w:marRight w:val="0"/>
      <w:marTop w:val="0"/>
      <w:marBottom w:val="0"/>
      <w:divBdr>
        <w:top w:val="none" w:sz="0" w:space="0" w:color="auto"/>
        <w:left w:val="none" w:sz="0" w:space="0" w:color="auto"/>
        <w:bottom w:val="none" w:sz="0" w:space="0" w:color="auto"/>
        <w:right w:val="none" w:sz="0" w:space="0" w:color="auto"/>
      </w:divBdr>
    </w:div>
    <w:div w:id="352264521">
      <w:bodyDiv w:val="1"/>
      <w:marLeft w:val="0"/>
      <w:marRight w:val="0"/>
      <w:marTop w:val="0"/>
      <w:marBottom w:val="0"/>
      <w:divBdr>
        <w:top w:val="none" w:sz="0" w:space="0" w:color="auto"/>
        <w:left w:val="none" w:sz="0" w:space="0" w:color="auto"/>
        <w:bottom w:val="none" w:sz="0" w:space="0" w:color="auto"/>
        <w:right w:val="none" w:sz="0" w:space="0" w:color="auto"/>
      </w:divBdr>
    </w:div>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543057113">
      <w:bodyDiv w:val="1"/>
      <w:marLeft w:val="0"/>
      <w:marRight w:val="0"/>
      <w:marTop w:val="0"/>
      <w:marBottom w:val="0"/>
      <w:divBdr>
        <w:top w:val="none" w:sz="0" w:space="0" w:color="auto"/>
        <w:left w:val="none" w:sz="0" w:space="0" w:color="auto"/>
        <w:bottom w:val="none" w:sz="0" w:space="0" w:color="auto"/>
        <w:right w:val="none" w:sz="0" w:space="0" w:color="auto"/>
      </w:divBdr>
      <w:divsChild>
        <w:div w:id="603536169">
          <w:marLeft w:val="0"/>
          <w:marRight w:val="0"/>
          <w:marTop w:val="0"/>
          <w:marBottom w:val="0"/>
          <w:divBdr>
            <w:top w:val="none" w:sz="0" w:space="0" w:color="auto"/>
            <w:left w:val="none" w:sz="0" w:space="0" w:color="auto"/>
            <w:bottom w:val="none" w:sz="0" w:space="0" w:color="auto"/>
            <w:right w:val="none" w:sz="0" w:space="0" w:color="auto"/>
          </w:divBdr>
          <w:divsChild>
            <w:div w:id="1239170357">
              <w:marLeft w:val="0"/>
              <w:marRight w:val="0"/>
              <w:marTop w:val="0"/>
              <w:marBottom w:val="0"/>
              <w:divBdr>
                <w:top w:val="none" w:sz="0" w:space="0" w:color="auto"/>
                <w:left w:val="none" w:sz="0" w:space="0" w:color="auto"/>
                <w:bottom w:val="none" w:sz="0" w:space="0" w:color="auto"/>
                <w:right w:val="none" w:sz="0" w:space="0" w:color="auto"/>
              </w:divBdr>
              <w:divsChild>
                <w:div w:id="862985276">
                  <w:marLeft w:val="0"/>
                  <w:marRight w:val="0"/>
                  <w:marTop w:val="0"/>
                  <w:marBottom w:val="0"/>
                  <w:divBdr>
                    <w:top w:val="none" w:sz="0" w:space="0" w:color="auto"/>
                    <w:left w:val="none" w:sz="0" w:space="0" w:color="auto"/>
                    <w:bottom w:val="none" w:sz="0" w:space="0" w:color="auto"/>
                    <w:right w:val="none" w:sz="0" w:space="0" w:color="auto"/>
                  </w:divBdr>
                  <w:divsChild>
                    <w:div w:id="2132672850">
                      <w:marLeft w:val="0"/>
                      <w:marRight w:val="0"/>
                      <w:marTop w:val="0"/>
                      <w:marBottom w:val="0"/>
                      <w:divBdr>
                        <w:top w:val="none" w:sz="0" w:space="0" w:color="auto"/>
                        <w:left w:val="none" w:sz="0" w:space="0" w:color="auto"/>
                        <w:bottom w:val="none" w:sz="0" w:space="0" w:color="auto"/>
                        <w:right w:val="none" w:sz="0" w:space="0" w:color="auto"/>
                      </w:divBdr>
                      <w:divsChild>
                        <w:div w:id="2016153641">
                          <w:marLeft w:val="0"/>
                          <w:marRight w:val="0"/>
                          <w:marTop w:val="0"/>
                          <w:marBottom w:val="0"/>
                          <w:divBdr>
                            <w:top w:val="none" w:sz="0" w:space="0" w:color="auto"/>
                            <w:left w:val="none" w:sz="0" w:space="0" w:color="auto"/>
                            <w:bottom w:val="none" w:sz="0" w:space="0" w:color="auto"/>
                            <w:right w:val="none" w:sz="0" w:space="0" w:color="auto"/>
                          </w:divBdr>
                          <w:divsChild>
                            <w:div w:id="358430987">
                              <w:marLeft w:val="0"/>
                              <w:marRight w:val="0"/>
                              <w:marTop w:val="0"/>
                              <w:marBottom w:val="0"/>
                              <w:divBdr>
                                <w:top w:val="none" w:sz="0" w:space="0" w:color="auto"/>
                                <w:left w:val="none" w:sz="0" w:space="0" w:color="auto"/>
                                <w:bottom w:val="none" w:sz="0" w:space="0" w:color="auto"/>
                                <w:right w:val="none" w:sz="0" w:space="0" w:color="auto"/>
                              </w:divBdr>
                              <w:divsChild>
                                <w:div w:id="756049828">
                                  <w:marLeft w:val="0"/>
                                  <w:marRight w:val="0"/>
                                  <w:marTop w:val="0"/>
                                  <w:marBottom w:val="0"/>
                                  <w:divBdr>
                                    <w:top w:val="none" w:sz="0" w:space="0" w:color="auto"/>
                                    <w:left w:val="none" w:sz="0" w:space="0" w:color="auto"/>
                                    <w:bottom w:val="none" w:sz="0" w:space="0" w:color="auto"/>
                                    <w:right w:val="none" w:sz="0" w:space="0" w:color="auto"/>
                                  </w:divBdr>
                                  <w:divsChild>
                                    <w:div w:id="341124403">
                                      <w:marLeft w:val="0"/>
                                      <w:marRight w:val="0"/>
                                      <w:marTop w:val="0"/>
                                      <w:marBottom w:val="0"/>
                                      <w:divBdr>
                                        <w:top w:val="none" w:sz="0" w:space="0" w:color="auto"/>
                                        <w:left w:val="none" w:sz="0" w:space="0" w:color="auto"/>
                                        <w:bottom w:val="none" w:sz="0" w:space="0" w:color="auto"/>
                                        <w:right w:val="none" w:sz="0" w:space="0" w:color="auto"/>
                                      </w:divBdr>
                                      <w:divsChild>
                                        <w:div w:id="693841937">
                                          <w:marLeft w:val="0"/>
                                          <w:marRight w:val="0"/>
                                          <w:marTop w:val="0"/>
                                          <w:marBottom w:val="0"/>
                                          <w:divBdr>
                                            <w:top w:val="none" w:sz="0" w:space="0" w:color="auto"/>
                                            <w:left w:val="none" w:sz="0" w:space="0" w:color="auto"/>
                                            <w:bottom w:val="none" w:sz="0" w:space="0" w:color="auto"/>
                                            <w:right w:val="none" w:sz="0" w:space="0" w:color="auto"/>
                                          </w:divBdr>
                                          <w:divsChild>
                                            <w:div w:id="1630938205">
                                              <w:marLeft w:val="0"/>
                                              <w:marRight w:val="0"/>
                                              <w:marTop w:val="0"/>
                                              <w:marBottom w:val="0"/>
                                              <w:divBdr>
                                                <w:top w:val="none" w:sz="0" w:space="0" w:color="auto"/>
                                                <w:left w:val="none" w:sz="0" w:space="0" w:color="auto"/>
                                                <w:bottom w:val="none" w:sz="0" w:space="0" w:color="auto"/>
                                                <w:right w:val="none" w:sz="0" w:space="0" w:color="auto"/>
                                              </w:divBdr>
                                              <w:divsChild>
                                                <w:div w:id="427043795">
                                                  <w:marLeft w:val="0"/>
                                                  <w:marRight w:val="0"/>
                                                  <w:marTop w:val="0"/>
                                                  <w:marBottom w:val="0"/>
                                                  <w:divBdr>
                                                    <w:top w:val="none" w:sz="0" w:space="0" w:color="auto"/>
                                                    <w:left w:val="none" w:sz="0" w:space="0" w:color="auto"/>
                                                    <w:bottom w:val="none" w:sz="0" w:space="0" w:color="auto"/>
                                                    <w:right w:val="none" w:sz="0" w:space="0" w:color="auto"/>
                                                  </w:divBdr>
                                                  <w:divsChild>
                                                    <w:div w:id="2015105586">
                                                      <w:marLeft w:val="0"/>
                                                      <w:marRight w:val="0"/>
                                                      <w:marTop w:val="0"/>
                                                      <w:marBottom w:val="0"/>
                                                      <w:divBdr>
                                                        <w:top w:val="none" w:sz="0" w:space="0" w:color="auto"/>
                                                        <w:left w:val="none" w:sz="0" w:space="0" w:color="auto"/>
                                                        <w:bottom w:val="none" w:sz="0" w:space="0" w:color="auto"/>
                                                        <w:right w:val="none" w:sz="0" w:space="0" w:color="auto"/>
                                                      </w:divBdr>
                                                      <w:divsChild>
                                                        <w:div w:id="1072774718">
                                                          <w:marLeft w:val="0"/>
                                                          <w:marRight w:val="0"/>
                                                          <w:marTop w:val="0"/>
                                                          <w:marBottom w:val="0"/>
                                                          <w:divBdr>
                                                            <w:top w:val="none" w:sz="0" w:space="0" w:color="auto"/>
                                                            <w:left w:val="none" w:sz="0" w:space="0" w:color="auto"/>
                                                            <w:bottom w:val="none" w:sz="0" w:space="0" w:color="auto"/>
                                                            <w:right w:val="none" w:sz="0" w:space="0" w:color="auto"/>
                                                          </w:divBdr>
                                                          <w:divsChild>
                                                            <w:div w:id="4641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828735">
      <w:bodyDiv w:val="1"/>
      <w:marLeft w:val="0"/>
      <w:marRight w:val="0"/>
      <w:marTop w:val="0"/>
      <w:marBottom w:val="0"/>
      <w:divBdr>
        <w:top w:val="none" w:sz="0" w:space="0" w:color="auto"/>
        <w:left w:val="none" w:sz="0" w:space="0" w:color="auto"/>
        <w:bottom w:val="none" w:sz="0" w:space="0" w:color="auto"/>
        <w:right w:val="none" w:sz="0" w:space="0" w:color="auto"/>
      </w:divBdr>
    </w:div>
    <w:div w:id="552739495">
      <w:bodyDiv w:val="1"/>
      <w:marLeft w:val="0"/>
      <w:marRight w:val="0"/>
      <w:marTop w:val="0"/>
      <w:marBottom w:val="0"/>
      <w:divBdr>
        <w:top w:val="none" w:sz="0" w:space="0" w:color="auto"/>
        <w:left w:val="none" w:sz="0" w:space="0" w:color="auto"/>
        <w:bottom w:val="none" w:sz="0" w:space="0" w:color="auto"/>
        <w:right w:val="none" w:sz="0" w:space="0" w:color="auto"/>
      </w:divBdr>
      <w:divsChild>
        <w:div w:id="290552641">
          <w:marLeft w:val="0"/>
          <w:marRight w:val="0"/>
          <w:marTop w:val="0"/>
          <w:marBottom w:val="0"/>
          <w:divBdr>
            <w:top w:val="none" w:sz="0" w:space="0" w:color="auto"/>
            <w:left w:val="none" w:sz="0" w:space="0" w:color="auto"/>
            <w:bottom w:val="none" w:sz="0" w:space="0" w:color="auto"/>
            <w:right w:val="none" w:sz="0" w:space="0" w:color="auto"/>
          </w:divBdr>
          <w:divsChild>
            <w:div w:id="825898195">
              <w:marLeft w:val="0"/>
              <w:marRight w:val="0"/>
              <w:marTop w:val="0"/>
              <w:marBottom w:val="0"/>
              <w:divBdr>
                <w:top w:val="none" w:sz="0" w:space="0" w:color="auto"/>
                <w:left w:val="none" w:sz="0" w:space="0" w:color="auto"/>
                <w:bottom w:val="none" w:sz="0" w:space="0" w:color="auto"/>
                <w:right w:val="none" w:sz="0" w:space="0" w:color="auto"/>
              </w:divBdr>
              <w:divsChild>
                <w:div w:id="375391884">
                  <w:marLeft w:val="0"/>
                  <w:marRight w:val="0"/>
                  <w:marTop w:val="0"/>
                  <w:marBottom w:val="0"/>
                  <w:divBdr>
                    <w:top w:val="none" w:sz="0" w:space="0" w:color="auto"/>
                    <w:left w:val="none" w:sz="0" w:space="0" w:color="auto"/>
                    <w:bottom w:val="none" w:sz="0" w:space="0" w:color="auto"/>
                    <w:right w:val="none" w:sz="0" w:space="0" w:color="auto"/>
                  </w:divBdr>
                  <w:divsChild>
                    <w:div w:id="550918908">
                      <w:marLeft w:val="0"/>
                      <w:marRight w:val="0"/>
                      <w:marTop w:val="0"/>
                      <w:marBottom w:val="0"/>
                      <w:divBdr>
                        <w:top w:val="none" w:sz="0" w:space="0" w:color="auto"/>
                        <w:left w:val="none" w:sz="0" w:space="0" w:color="auto"/>
                        <w:bottom w:val="none" w:sz="0" w:space="0" w:color="auto"/>
                        <w:right w:val="none" w:sz="0" w:space="0" w:color="auto"/>
                      </w:divBdr>
                      <w:divsChild>
                        <w:div w:id="610206150">
                          <w:marLeft w:val="0"/>
                          <w:marRight w:val="0"/>
                          <w:marTop w:val="0"/>
                          <w:marBottom w:val="0"/>
                          <w:divBdr>
                            <w:top w:val="none" w:sz="0" w:space="0" w:color="auto"/>
                            <w:left w:val="none" w:sz="0" w:space="0" w:color="auto"/>
                            <w:bottom w:val="none" w:sz="0" w:space="0" w:color="auto"/>
                            <w:right w:val="none" w:sz="0" w:space="0" w:color="auto"/>
                          </w:divBdr>
                          <w:divsChild>
                            <w:div w:id="2134057103">
                              <w:marLeft w:val="0"/>
                              <w:marRight w:val="0"/>
                              <w:marTop w:val="0"/>
                              <w:marBottom w:val="0"/>
                              <w:divBdr>
                                <w:top w:val="none" w:sz="0" w:space="0" w:color="auto"/>
                                <w:left w:val="none" w:sz="0" w:space="0" w:color="auto"/>
                                <w:bottom w:val="none" w:sz="0" w:space="0" w:color="auto"/>
                                <w:right w:val="none" w:sz="0" w:space="0" w:color="auto"/>
                              </w:divBdr>
                              <w:divsChild>
                                <w:div w:id="2138061811">
                                  <w:marLeft w:val="0"/>
                                  <w:marRight w:val="0"/>
                                  <w:marTop w:val="0"/>
                                  <w:marBottom w:val="0"/>
                                  <w:divBdr>
                                    <w:top w:val="none" w:sz="0" w:space="0" w:color="auto"/>
                                    <w:left w:val="none" w:sz="0" w:space="0" w:color="auto"/>
                                    <w:bottom w:val="none" w:sz="0" w:space="0" w:color="auto"/>
                                    <w:right w:val="none" w:sz="0" w:space="0" w:color="auto"/>
                                  </w:divBdr>
                                  <w:divsChild>
                                    <w:div w:id="1668750491">
                                      <w:marLeft w:val="0"/>
                                      <w:marRight w:val="0"/>
                                      <w:marTop w:val="0"/>
                                      <w:marBottom w:val="0"/>
                                      <w:divBdr>
                                        <w:top w:val="none" w:sz="0" w:space="0" w:color="auto"/>
                                        <w:left w:val="none" w:sz="0" w:space="0" w:color="auto"/>
                                        <w:bottom w:val="none" w:sz="0" w:space="0" w:color="auto"/>
                                        <w:right w:val="none" w:sz="0" w:space="0" w:color="auto"/>
                                      </w:divBdr>
                                      <w:divsChild>
                                        <w:div w:id="1573809979">
                                          <w:marLeft w:val="0"/>
                                          <w:marRight w:val="0"/>
                                          <w:marTop w:val="0"/>
                                          <w:marBottom w:val="0"/>
                                          <w:divBdr>
                                            <w:top w:val="none" w:sz="0" w:space="0" w:color="auto"/>
                                            <w:left w:val="none" w:sz="0" w:space="0" w:color="auto"/>
                                            <w:bottom w:val="none" w:sz="0" w:space="0" w:color="auto"/>
                                            <w:right w:val="none" w:sz="0" w:space="0" w:color="auto"/>
                                          </w:divBdr>
                                          <w:divsChild>
                                            <w:div w:id="918366380">
                                              <w:marLeft w:val="0"/>
                                              <w:marRight w:val="0"/>
                                              <w:marTop w:val="0"/>
                                              <w:marBottom w:val="0"/>
                                              <w:divBdr>
                                                <w:top w:val="none" w:sz="0" w:space="0" w:color="auto"/>
                                                <w:left w:val="none" w:sz="0" w:space="0" w:color="auto"/>
                                                <w:bottom w:val="none" w:sz="0" w:space="0" w:color="auto"/>
                                                <w:right w:val="none" w:sz="0" w:space="0" w:color="auto"/>
                                              </w:divBdr>
                                              <w:divsChild>
                                                <w:div w:id="1503854900">
                                                  <w:marLeft w:val="0"/>
                                                  <w:marRight w:val="0"/>
                                                  <w:marTop w:val="0"/>
                                                  <w:marBottom w:val="0"/>
                                                  <w:divBdr>
                                                    <w:top w:val="none" w:sz="0" w:space="0" w:color="auto"/>
                                                    <w:left w:val="none" w:sz="0" w:space="0" w:color="auto"/>
                                                    <w:bottom w:val="none" w:sz="0" w:space="0" w:color="auto"/>
                                                    <w:right w:val="none" w:sz="0" w:space="0" w:color="auto"/>
                                                  </w:divBdr>
                                                  <w:divsChild>
                                                    <w:div w:id="870462170">
                                                      <w:marLeft w:val="0"/>
                                                      <w:marRight w:val="0"/>
                                                      <w:marTop w:val="0"/>
                                                      <w:marBottom w:val="0"/>
                                                      <w:divBdr>
                                                        <w:top w:val="none" w:sz="0" w:space="0" w:color="auto"/>
                                                        <w:left w:val="none" w:sz="0" w:space="0" w:color="auto"/>
                                                        <w:bottom w:val="none" w:sz="0" w:space="0" w:color="auto"/>
                                                        <w:right w:val="none" w:sz="0" w:space="0" w:color="auto"/>
                                                      </w:divBdr>
                                                      <w:divsChild>
                                                        <w:div w:id="324095890">
                                                          <w:marLeft w:val="0"/>
                                                          <w:marRight w:val="0"/>
                                                          <w:marTop w:val="0"/>
                                                          <w:marBottom w:val="0"/>
                                                          <w:divBdr>
                                                            <w:top w:val="none" w:sz="0" w:space="0" w:color="auto"/>
                                                            <w:left w:val="none" w:sz="0" w:space="0" w:color="auto"/>
                                                            <w:bottom w:val="none" w:sz="0" w:space="0" w:color="auto"/>
                                                            <w:right w:val="none" w:sz="0" w:space="0" w:color="auto"/>
                                                          </w:divBdr>
                                                          <w:divsChild>
                                                            <w:div w:id="9688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5016546">
      <w:bodyDiv w:val="1"/>
      <w:marLeft w:val="0"/>
      <w:marRight w:val="0"/>
      <w:marTop w:val="0"/>
      <w:marBottom w:val="0"/>
      <w:divBdr>
        <w:top w:val="none" w:sz="0" w:space="0" w:color="auto"/>
        <w:left w:val="none" w:sz="0" w:space="0" w:color="auto"/>
        <w:bottom w:val="none" w:sz="0" w:space="0" w:color="auto"/>
        <w:right w:val="none" w:sz="0" w:space="0" w:color="auto"/>
      </w:divBdr>
    </w:div>
    <w:div w:id="640382790">
      <w:bodyDiv w:val="1"/>
      <w:marLeft w:val="0"/>
      <w:marRight w:val="0"/>
      <w:marTop w:val="0"/>
      <w:marBottom w:val="0"/>
      <w:divBdr>
        <w:top w:val="none" w:sz="0" w:space="0" w:color="auto"/>
        <w:left w:val="none" w:sz="0" w:space="0" w:color="auto"/>
        <w:bottom w:val="none" w:sz="0" w:space="0" w:color="auto"/>
        <w:right w:val="none" w:sz="0" w:space="0" w:color="auto"/>
      </w:divBdr>
      <w:divsChild>
        <w:div w:id="892692395">
          <w:marLeft w:val="0"/>
          <w:marRight w:val="0"/>
          <w:marTop w:val="0"/>
          <w:marBottom w:val="0"/>
          <w:divBdr>
            <w:top w:val="none" w:sz="0" w:space="0" w:color="auto"/>
            <w:left w:val="none" w:sz="0" w:space="0" w:color="auto"/>
            <w:bottom w:val="none" w:sz="0" w:space="0" w:color="auto"/>
            <w:right w:val="none" w:sz="0" w:space="0" w:color="auto"/>
          </w:divBdr>
          <w:divsChild>
            <w:div w:id="905652742">
              <w:marLeft w:val="0"/>
              <w:marRight w:val="0"/>
              <w:marTop w:val="0"/>
              <w:marBottom w:val="0"/>
              <w:divBdr>
                <w:top w:val="none" w:sz="0" w:space="0" w:color="auto"/>
                <w:left w:val="none" w:sz="0" w:space="0" w:color="auto"/>
                <w:bottom w:val="none" w:sz="0" w:space="0" w:color="auto"/>
                <w:right w:val="none" w:sz="0" w:space="0" w:color="auto"/>
              </w:divBdr>
              <w:divsChild>
                <w:div w:id="1180125888">
                  <w:marLeft w:val="0"/>
                  <w:marRight w:val="0"/>
                  <w:marTop w:val="0"/>
                  <w:marBottom w:val="0"/>
                  <w:divBdr>
                    <w:top w:val="none" w:sz="0" w:space="0" w:color="auto"/>
                    <w:left w:val="none" w:sz="0" w:space="0" w:color="auto"/>
                    <w:bottom w:val="none" w:sz="0" w:space="0" w:color="auto"/>
                    <w:right w:val="none" w:sz="0" w:space="0" w:color="auto"/>
                  </w:divBdr>
                  <w:divsChild>
                    <w:div w:id="27612111">
                      <w:marLeft w:val="0"/>
                      <w:marRight w:val="0"/>
                      <w:marTop w:val="0"/>
                      <w:marBottom w:val="0"/>
                      <w:divBdr>
                        <w:top w:val="none" w:sz="0" w:space="0" w:color="auto"/>
                        <w:left w:val="none" w:sz="0" w:space="0" w:color="auto"/>
                        <w:bottom w:val="none" w:sz="0" w:space="0" w:color="auto"/>
                        <w:right w:val="none" w:sz="0" w:space="0" w:color="auto"/>
                      </w:divBdr>
                      <w:divsChild>
                        <w:div w:id="957444064">
                          <w:marLeft w:val="0"/>
                          <w:marRight w:val="0"/>
                          <w:marTop w:val="0"/>
                          <w:marBottom w:val="0"/>
                          <w:divBdr>
                            <w:top w:val="none" w:sz="0" w:space="0" w:color="auto"/>
                            <w:left w:val="none" w:sz="0" w:space="0" w:color="auto"/>
                            <w:bottom w:val="none" w:sz="0" w:space="0" w:color="auto"/>
                            <w:right w:val="none" w:sz="0" w:space="0" w:color="auto"/>
                          </w:divBdr>
                          <w:divsChild>
                            <w:div w:id="2040202969">
                              <w:marLeft w:val="0"/>
                              <w:marRight w:val="0"/>
                              <w:marTop w:val="0"/>
                              <w:marBottom w:val="0"/>
                              <w:divBdr>
                                <w:top w:val="none" w:sz="0" w:space="0" w:color="auto"/>
                                <w:left w:val="none" w:sz="0" w:space="0" w:color="auto"/>
                                <w:bottom w:val="none" w:sz="0" w:space="0" w:color="auto"/>
                                <w:right w:val="none" w:sz="0" w:space="0" w:color="auto"/>
                              </w:divBdr>
                              <w:divsChild>
                                <w:div w:id="1491825772">
                                  <w:marLeft w:val="0"/>
                                  <w:marRight w:val="0"/>
                                  <w:marTop w:val="0"/>
                                  <w:marBottom w:val="0"/>
                                  <w:divBdr>
                                    <w:top w:val="none" w:sz="0" w:space="0" w:color="auto"/>
                                    <w:left w:val="none" w:sz="0" w:space="0" w:color="auto"/>
                                    <w:bottom w:val="none" w:sz="0" w:space="0" w:color="auto"/>
                                    <w:right w:val="none" w:sz="0" w:space="0" w:color="auto"/>
                                  </w:divBdr>
                                  <w:divsChild>
                                    <w:div w:id="307320794">
                                      <w:marLeft w:val="0"/>
                                      <w:marRight w:val="0"/>
                                      <w:marTop w:val="0"/>
                                      <w:marBottom w:val="0"/>
                                      <w:divBdr>
                                        <w:top w:val="none" w:sz="0" w:space="0" w:color="auto"/>
                                        <w:left w:val="none" w:sz="0" w:space="0" w:color="auto"/>
                                        <w:bottom w:val="none" w:sz="0" w:space="0" w:color="auto"/>
                                        <w:right w:val="none" w:sz="0" w:space="0" w:color="auto"/>
                                      </w:divBdr>
                                      <w:divsChild>
                                        <w:div w:id="1686250532">
                                          <w:marLeft w:val="0"/>
                                          <w:marRight w:val="0"/>
                                          <w:marTop w:val="0"/>
                                          <w:marBottom w:val="0"/>
                                          <w:divBdr>
                                            <w:top w:val="none" w:sz="0" w:space="0" w:color="auto"/>
                                            <w:left w:val="none" w:sz="0" w:space="0" w:color="auto"/>
                                            <w:bottom w:val="none" w:sz="0" w:space="0" w:color="auto"/>
                                            <w:right w:val="none" w:sz="0" w:space="0" w:color="auto"/>
                                          </w:divBdr>
                                          <w:divsChild>
                                            <w:div w:id="700008853">
                                              <w:marLeft w:val="0"/>
                                              <w:marRight w:val="0"/>
                                              <w:marTop w:val="0"/>
                                              <w:marBottom w:val="0"/>
                                              <w:divBdr>
                                                <w:top w:val="none" w:sz="0" w:space="0" w:color="auto"/>
                                                <w:left w:val="none" w:sz="0" w:space="0" w:color="auto"/>
                                                <w:bottom w:val="none" w:sz="0" w:space="0" w:color="auto"/>
                                                <w:right w:val="none" w:sz="0" w:space="0" w:color="auto"/>
                                              </w:divBdr>
                                              <w:divsChild>
                                                <w:div w:id="561864428">
                                                  <w:marLeft w:val="0"/>
                                                  <w:marRight w:val="0"/>
                                                  <w:marTop w:val="0"/>
                                                  <w:marBottom w:val="0"/>
                                                  <w:divBdr>
                                                    <w:top w:val="none" w:sz="0" w:space="0" w:color="auto"/>
                                                    <w:left w:val="none" w:sz="0" w:space="0" w:color="auto"/>
                                                    <w:bottom w:val="none" w:sz="0" w:space="0" w:color="auto"/>
                                                    <w:right w:val="none" w:sz="0" w:space="0" w:color="auto"/>
                                                  </w:divBdr>
                                                  <w:divsChild>
                                                    <w:div w:id="1273321032">
                                                      <w:marLeft w:val="0"/>
                                                      <w:marRight w:val="0"/>
                                                      <w:marTop w:val="0"/>
                                                      <w:marBottom w:val="0"/>
                                                      <w:divBdr>
                                                        <w:top w:val="none" w:sz="0" w:space="0" w:color="auto"/>
                                                        <w:left w:val="none" w:sz="0" w:space="0" w:color="auto"/>
                                                        <w:bottom w:val="none" w:sz="0" w:space="0" w:color="auto"/>
                                                        <w:right w:val="none" w:sz="0" w:space="0" w:color="auto"/>
                                                      </w:divBdr>
                                                      <w:divsChild>
                                                        <w:div w:id="1915511917">
                                                          <w:marLeft w:val="0"/>
                                                          <w:marRight w:val="0"/>
                                                          <w:marTop w:val="0"/>
                                                          <w:marBottom w:val="0"/>
                                                          <w:divBdr>
                                                            <w:top w:val="none" w:sz="0" w:space="0" w:color="auto"/>
                                                            <w:left w:val="none" w:sz="0" w:space="0" w:color="auto"/>
                                                            <w:bottom w:val="none" w:sz="0" w:space="0" w:color="auto"/>
                                                            <w:right w:val="none" w:sz="0" w:space="0" w:color="auto"/>
                                                          </w:divBdr>
                                                          <w:divsChild>
                                                            <w:div w:id="13964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9402776">
      <w:bodyDiv w:val="1"/>
      <w:marLeft w:val="0"/>
      <w:marRight w:val="0"/>
      <w:marTop w:val="0"/>
      <w:marBottom w:val="0"/>
      <w:divBdr>
        <w:top w:val="none" w:sz="0" w:space="0" w:color="auto"/>
        <w:left w:val="none" w:sz="0" w:space="0" w:color="auto"/>
        <w:bottom w:val="none" w:sz="0" w:space="0" w:color="auto"/>
        <w:right w:val="none" w:sz="0" w:space="0" w:color="auto"/>
      </w:divBdr>
    </w:div>
    <w:div w:id="668100754">
      <w:bodyDiv w:val="1"/>
      <w:marLeft w:val="0"/>
      <w:marRight w:val="0"/>
      <w:marTop w:val="0"/>
      <w:marBottom w:val="0"/>
      <w:divBdr>
        <w:top w:val="none" w:sz="0" w:space="0" w:color="auto"/>
        <w:left w:val="none" w:sz="0" w:space="0" w:color="auto"/>
        <w:bottom w:val="none" w:sz="0" w:space="0" w:color="auto"/>
        <w:right w:val="none" w:sz="0" w:space="0" w:color="auto"/>
      </w:divBdr>
    </w:div>
    <w:div w:id="687221181">
      <w:bodyDiv w:val="1"/>
      <w:marLeft w:val="0"/>
      <w:marRight w:val="0"/>
      <w:marTop w:val="0"/>
      <w:marBottom w:val="0"/>
      <w:divBdr>
        <w:top w:val="none" w:sz="0" w:space="0" w:color="auto"/>
        <w:left w:val="none" w:sz="0" w:space="0" w:color="auto"/>
        <w:bottom w:val="none" w:sz="0" w:space="0" w:color="auto"/>
        <w:right w:val="none" w:sz="0" w:space="0" w:color="auto"/>
      </w:divBdr>
      <w:divsChild>
        <w:div w:id="1069039525">
          <w:marLeft w:val="0"/>
          <w:marRight w:val="0"/>
          <w:marTop w:val="0"/>
          <w:marBottom w:val="0"/>
          <w:divBdr>
            <w:top w:val="none" w:sz="0" w:space="0" w:color="auto"/>
            <w:left w:val="none" w:sz="0" w:space="0" w:color="auto"/>
            <w:bottom w:val="none" w:sz="0" w:space="0" w:color="auto"/>
            <w:right w:val="none" w:sz="0" w:space="0" w:color="auto"/>
          </w:divBdr>
          <w:divsChild>
            <w:div w:id="77951019">
              <w:marLeft w:val="0"/>
              <w:marRight w:val="0"/>
              <w:marTop w:val="0"/>
              <w:marBottom w:val="0"/>
              <w:divBdr>
                <w:top w:val="none" w:sz="0" w:space="0" w:color="auto"/>
                <w:left w:val="none" w:sz="0" w:space="0" w:color="auto"/>
                <w:bottom w:val="none" w:sz="0" w:space="0" w:color="auto"/>
                <w:right w:val="none" w:sz="0" w:space="0" w:color="auto"/>
              </w:divBdr>
              <w:divsChild>
                <w:div w:id="825048445">
                  <w:marLeft w:val="0"/>
                  <w:marRight w:val="0"/>
                  <w:marTop w:val="0"/>
                  <w:marBottom w:val="0"/>
                  <w:divBdr>
                    <w:top w:val="none" w:sz="0" w:space="0" w:color="auto"/>
                    <w:left w:val="none" w:sz="0" w:space="0" w:color="auto"/>
                    <w:bottom w:val="none" w:sz="0" w:space="0" w:color="auto"/>
                    <w:right w:val="none" w:sz="0" w:space="0" w:color="auto"/>
                  </w:divBdr>
                  <w:divsChild>
                    <w:div w:id="319232033">
                      <w:marLeft w:val="0"/>
                      <w:marRight w:val="0"/>
                      <w:marTop w:val="0"/>
                      <w:marBottom w:val="0"/>
                      <w:divBdr>
                        <w:top w:val="none" w:sz="0" w:space="0" w:color="auto"/>
                        <w:left w:val="none" w:sz="0" w:space="0" w:color="auto"/>
                        <w:bottom w:val="none" w:sz="0" w:space="0" w:color="auto"/>
                        <w:right w:val="none" w:sz="0" w:space="0" w:color="auto"/>
                      </w:divBdr>
                      <w:divsChild>
                        <w:div w:id="817956338">
                          <w:marLeft w:val="0"/>
                          <w:marRight w:val="0"/>
                          <w:marTop w:val="0"/>
                          <w:marBottom w:val="0"/>
                          <w:divBdr>
                            <w:top w:val="none" w:sz="0" w:space="0" w:color="auto"/>
                            <w:left w:val="none" w:sz="0" w:space="0" w:color="auto"/>
                            <w:bottom w:val="none" w:sz="0" w:space="0" w:color="auto"/>
                            <w:right w:val="none" w:sz="0" w:space="0" w:color="auto"/>
                          </w:divBdr>
                          <w:divsChild>
                            <w:div w:id="63337258">
                              <w:marLeft w:val="0"/>
                              <w:marRight w:val="0"/>
                              <w:marTop w:val="0"/>
                              <w:marBottom w:val="0"/>
                              <w:divBdr>
                                <w:top w:val="none" w:sz="0" w:space="0" w:color="auto"/>
                                <w:left w:val="none" w:sz="0" w:space="0" w:color="auto"/>
                                <w:bottom w:val="none" w:sz="0" w:space="0" w:color="auto"/>
                                <w:right w:val="none" w:sz="0" w:space="0" w:color="auto"/>
                              </w:divBdr>
                              <w:divsChild>
                                <w:div w:id="489715387">
                                  <w:marLeft w:val="0"/>
                                  <w:marRight w:val="0"/>
                                  <w:marTop w:val="0"/>
                                  <w:marBottom w:val="0"/>
                                  <w:divBdr>
                                    <w:top w:val="none" w:sz="0" w:space="0" w:color="auto"/>
                                    <w:left w:val="none" w:sz="0" w:space="0" w:color="auto"/>
                                    <w:bottom w:val="none" w:sz="0" w:space="0" w:color="auto"/>
                                    <w:right w:val="none" w:sz="0" w:space="0" w:color="auto"/>
                                  </w:divBdr>
                                  <w:divsChild>
                                    <w:div w:id="1503004376">
                                      <w:marLeft w:val="0"/>
                                      <w:marRight w:val="0"/>
                                      <w:marTop w:val="0"/>
                                      <w:marBottom w:val="0"/>
                                      <w:divBdr>
                                        <w:top w:val="none" w:sz="0" w:space="0" w:color="auto"/>
                                        <w:left w:val="none" w:sz="0" w:space="0" w:color="auto"/>
                                        <w:bottom w:val="none" w:sz="0" w:space="0" w:color="auto"/>
                                        <w:right w:val="none" w:sz="0" w:space="0" w:color="auto"/>
                                      </w:divBdr>
                                      <w:divsChild>
                                        <w:div w:id="1522277230">
                                          <w:marLeft w:val="0"/>
                                          <w:marRight w:val="0"/>
                                          <w:marTop w:val="0"/>
                                          <w:marBottom w:val="0"/>
                                          <w:divBdr>
                                            <w:top w:val="none" w:sz="0" w:space="0" w:color="auto"/>
                                            <w:left w:val="none" w:sz="0" w:space="0" w:color="auto"/>
                                            <w:bottom w:val="none" w:sz="0" w:space="0" w:color="auto"/>
                                            <w:right w:val="none" w:sz="0" w:space="0" w:color="auto"/>
                                          </w:divBdr>
                                          <w:divsChild>
                                            <w:div w:id="634334470">
                                              <w:marLeft w:val="0"/>
                                              <w:marRight w:val="0"/>
                                              <w:marTop w:val="0"/>
                                              <w:marBottom w:val="0"/>
                                              <w:divBdr>
                                                <w:top w:val="none" w:sz="0" w:space="0" w:color="auto"/>
                                                <w:left w:val="none" w:sz="0" w:space="0" w:color="auto"/>
                                                <w:bottom w:val="none" w:sz="0" w:space="0" w:color="auto"/>
                                                <w:right w:val="none" w:sz="0" w:space="0" w:color="auto"/>
                                              </w:divBdr>
                                              <w:divsChild>
                                                <w:div w:id="1590384323">
                                                  <w:marLeft w:val="0"/>
                                                  <w:marRight w:val="0"/>
                                                  <w:marTop w:val="0"/>
                                                  <w:marBottom w:val="0"/>
                                                  <w:divBdr>
                                                    <w:top w:val="none" w:sz="0" w:space="0" w:color="auto"/>
                                                    <w:left w:val="none" w:sz="0" w:space="0" w:color="auto"/>
                                                    <w:bottom w:val="none" w:sz="0" w:space="0" w:color="auto"/>
                                                    <w:right w:val="none" w:sz="0" w:space="0" w:color="auto"/>
                                                  </w:divBdr>
                                                  <w:divsChild>
                                                    <w:div w:id="1293436638">
                                                      <w:marLeft w:val="0"/>
                                                      <w:marRight w:val="0"/>
                                                      <w:marTop w:val="0"/>
                                                      <w:marBottom w:val="0"/>
                                                      <w:divBdr>
                                                        <w:top w:val="none" w:sz="0" w:space="0" w:color="auto"/>
                                                        <w:left w:val="none" w:sz="0" w:space="0" w:color="auto"/>
                                                        <w:bottom w:val="none" w:sz="0" w:space="0" w:color="auto"/>
                                                        <w:right w:val="none" w:sz="0" w:space="0" w:color="auto"/>
                                                      </w:divBdr>
                                                      <w:divsChild>
                                                        <w:div w:id="1978025400">
                                                          <w:marLeft w:val="0"/>
                                                          <w:marRight w:val="0"/>
                                                          <w:marTop w:val="0"/>
                                                          <w:marBottom w:val="0"/>
                                                          <w:divBdr>
                                                            <w:top w:val="none" w:sz="0" w:space="0" w:color="auto"/>
                                                            <w:left w:val="none" w:sz="0" w:space="0" w:color="auto"/>
                                                            <w:bottom w:val="none" w:sz="0" w:space="0" w:color="auto"/>
                                                            <w:right w:val="none" w:sz="0" w:space="0" w:color="auto"/>
                                                          </w:divBdr>
                                                          <w:divsChild>
                                                            <w:div w:id="13795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912949">
      <w:bodyDiv w:val="1"/>
      <w:marLeft w:val="0"/>
      <w:marRight w:val="0"/>
      <w:marTop w:val="0"/>
      <w:marBottom w:val="0"/>
      <w:divBdr>
        <w:top w:val="none" w:sz="0" w:space="0" w:color="auto"/>
        <w:left w:val="none" w:sz="0" w:space="0" w:color="auto"/>
        <w:bottom w:val="none" w:sz="0" w:space="0" w:color="auto"/>
        <w:right w:val="none" w:sz="0" w:space="0" w:color="auto"/>
      </w:divBdr>
    </w:div>
    <w:div w:id="703795561">
      <w:bodyDiv w:val="1"/>
      <w:marLeft w:val="0"/>
      <w:marRight w:val="0"/>
      <w:marTop w:val="0"/>
      <w:marBottom w:val="0"/>
      <w:divBdr>
        <w:top w:val="none" w:sz="0" w:space="0" w:color="auto"/>
        <w:left w:val="none" w:sz="0" w:space="0" w:color="auto"/>
        <w:bottom w:val="none" w:sz="0" w:space="0" w:color="auto"/>
        <w:right w:val="none" w:sz="0" w:space="0" w:color="auto"/>
      </w:divBdr>
    </w:div>
    <w:div w:id="720635025">
      <w:bodyDiv w:val="1"/>
      <w:marLeft w:val="0"/>
      <w:marRight w:val="0"/>
      <w:marTop w:val="0"/>
      <w:marBottom w:val="0"/>
      <w:divBdr>
        <w:top w:val="none" w:sz="0" w:space="0" w:color="auto"/>
        <w:left w:val="none" w:sz="0" w:space="0" w:color="auto"/>
        <w:bottom w:val="none" w:sz="0" w:space="0" w:color="auto"/>
        <w:right w:val="none" w:sz="0" w:space="0" w:color="auto"/>
      </w:divBdr>
    </w:div>
    <w:div w:id="744491776">
      <w:bodyDiv w:val="1"/>
      <w:marLeft w:val="0"/>
      <w:marRight w:val="0"/>
      <w:marTop w:val="0"/>
      <w:marBottom w:val="0"/>
      <w:divBdr>
        <w:top w:val="none" w:sz="0" w:space="0" w:color="auto"/>
        <w:left w:val="none" w:sz="0" w:space="0" w:color="auto"/>
        <w:bottom w:val="none" w:sz="0" w:space="0" w:color="auto"/>
        <w:right w:val="none" w:sz="0" w:space="0" w:color="auto"/>
      </w:divBdr>
      <w:divsChild>
        <w:div w:id="223419415">
          <w:marLeft w:val="0"/>
          <w:marRight w:val="0"/>
          <w:marTop w:val="0"/>
          <w:marBottom w:val="0"/>
          <w:divBdr>
            <w:top w:val="none" w:sz="0" w:space="0" w:color="auto"/>
            <w:left w:val="none" w:sz="0" w:space="0" w:color="auto"/>
            <w:bottom w:val="none" w:sz="0" w:space="0" w:color="auto"/>
            <w:right w:val="none" w:sz="0" w:space="0" w:color="auto"/>
          </w:divBdr>
          <w:divsChild>
            <w:div w:id="2082174451">
              <w:marLeft w:val="0"/>
              <w:marRight w:val="0"/>
              <w:marTop w:val="0"/>
              <w:marBottom w:val="0"/>
              <w:divBdr>
                <w:top w:val="none" w:sz="0" w:space="0" w:color="auto"/>
                <w:left w:val="none" w:sz="0" w:space="0" w:color="auto"/>
                <w:bottom w:val="none" w:sz="0" w:space="0" w:color="auto"/>
                <w:right w:val="none" w:sz="0" w:space="0" w:color="auto"/>
              </w:divBdr>
              <w:divsChild>
                <w:div w:id="35666407">
                  <w:marLeft w:val="0"/>
                  <w:marRight w:val="0"/>
                  <w:marTop w:val="0"/>
                  <w:marBottom w:val="0"/>
                  <w:divBdr>
                    <w:top w:val="none" w:sz="0" w:space="0" w:color="auto"/>
                    <w:left w:val="none" w:sz="0" w:space="0" w:color="auto"/>
                    <w:bottom w:val="none" w:sz="0" w:space="0" w:color="auto"/>
                    <w:right w:val="none" w:sz="0" w:space="0" w:color="auto"/>
                  </w:divBdr>
                  <w:divsChild>
                    <w:div w:id="118257132">
                      <w:marLeft w:val="0"/>
                      <w:marRight w:val="0"/>
                      <w:marTop w:val="0"/>
                      <w:marBottom w:val="0"/>
                      <w:divBdr>
                        <w:top w:val="none" w:sz="0" w:space="0" w:color="auto"/>
                        <w:left w:val="none" w:sz="0" w:space="0" w:color="auto"/>
                        <w:bottom w:val="none" w:sz="0" w:space="0" w:color="auto"/>
                        <w:right w:val="none" w:sz="0" w:space="0" w:color="auto"/>
                      </w:divBdr>
                      <w:divsChild>
                        <w:div w:id="732430826">
                          <w:marLeft w:val="0"/>
                          <w:marRight w:val="0"/>
                          <w:marTop w:val="0"/>
                          <w:marBottom w:val="0"/>
                          <w:divBdr>
                            <w:top w:val="none" w:sz="0" w:space="0" w:color="auto"/>
                            <w:left w:val="none" w:sz="0" w:space="0" w:color="auto"/>
                            <w:bottom w:val="none" w:sz="0" w:space="0" w:color="auto"/>
                            <w:right w:val="none" w:sz="0" w:space="0" w:color="auto"/>
                          </w:divBdr>
                          <w:divsChild>
                            <w:div w:id="894316752">
                              <w:marLeft w:val="0"/>
                              <w:marRight w:val="0"/>
                              <w:marTop w:val="0"/>
                              <w:marBottom w:val="0"/>
                              <w:divBdr>
                                <w:top w:val="none" w:sz="0" w:space="0" w:color="auto"/>
                                <w:left w:val="none" w:sz="0" w:space="0" w:color="auto"/>
                                <w:bottom w:val="none" w:sz="0" w:space="0" w:color="auto"/>
                                <w:right w:val="none" w:sz="0" w:space="0" w:color="auto"/>
                              </w:divBdr>
                              <w:divsChild>
                                <w:div w:id="366837547">
                                  <w:marLeft w:val="0"/>
                                  <w:marRight w:val="0"/>
                                  <w:marTop w:val="0"/>
                                  <w:marBottom w:val="0"/>
                                  <w:divBdr>
                                    <w:top w:val="none" w:sz="0" w:space="0" w:color="auto"/>
                                    <w:left w:val="none" w:sz="0" w:space="0" w:color="auto"/>
                                    <w:bottom w:val="none" w:sz="0" w:space="0" w:color="auto"/>
                                    <w:right w:val="none" w:sz="0" w:space="0" w:color="auto"/>
                                  </w:divBdr>
                                  <w:divsChild>
                                    <w:div w:id="523519355">
                                      <w:marLeft w:val="0"/>
                                      <w:marRight w:val="0"/>
                                      <w:marTop w:val="0"/>
                                      <w:marBottom w:val="0"/>
                                      <w:divBdr>
                                        <w:top w:val="none" w:sz="0" w:space="0" w:color="auto"/>
                                        <w:left w:val="none" w:sz="0" w:space="0" w:color="auto"/>
                                        <w:bottom w:val="none" w:sz="0" w:space="0" w:color="auto"/>
                                        <w:right w:val="none" w:sz="0" w:space="0" w:color="auto"/>
                                      </w:divBdr>
                                      <w:divsChild>
                                        <w:div w:id="108935963">
                                          <w:marLeft w:val="0"/>
                                          <w:marRight w:val="0"/>
                                          <w:marTop w:val="0"/>
                                          <w:marBottom w:val="0"/>
                                          <w:divBdr>
                                            <w:top w:val="none" w:sz="0" w:space="0" w:color="auto"/>
                                            <w:left w:val="none" w:sz="0" w:space="0" w:color="auto"/>
                                            <w:bottom w:val="none" w:sz="0" w:space="0" w:color="auto"/>
                                            <w:right w:val="none" w:sz="0" w:space="0" w:color="auto"/>
                                          </w:divBdr>
                                          <w:divsChild>
                                            <w:div w:id="1507288872">
                                              <w:marLeft w:val="0"/>
                                              <w:marRight w:val="0"/>
                                              <w:marTop w:val="0"/>
                                              <w:marBottom w:val="0"/>
                                              <w:divBdr>
                                                <w:top w:val="none" w:sz="0" w:space="0" w:color="auto"/>
                                                <w:left w:val="none" w:sz="0" w:space="0" w:color="auto"/>
                                                <w:bottom w:val="none" w:sz="0" w:space="0" w:color="auto"/>
                                                <w:right w:val="none" w:sz="0" w:space="0" w:color="auto"/>
                                              </w:divBdr>
                                              <w:divsChild>
                                                <w:div w:id="724061745">
                                                  <w:marLeft w:val="0"/>
                                                  <w:marRight w:val="0"/>
                                                  <w:marTop w:val="0"/>
                                                  <w:marBottom w:val="0"/>
                                                  <w:divBdr>
                                                    <w:top w:val="none" w:sz="0" w:space="0" w:color="auto"/>
                                                    <w:left w:val="none" w:sz="0" w:space="0" w:color="auto"/>
                                                    <w:bottom w:val="none" w:sz="0" w:space="0" w:color="auto"/>
                                                    <w:right w:val="none" w:sz="0" w:space="0" w:color="auto"/>
                                                  </w:divBdr>
                                                  <w:divsChild>
                                                    <w:div w:id="900484906">
                                                      <w:marLeft w:val="0"/>
                                                      <w:marRight w:val="0"/>
                                                      <w:marTop w:val="0"/>
                                                      <w:marBottom w:val="0"/>
                                                      <w:divBdr>
                                                        <w:top w:val="none" w:sz="0" w:space="0" w:color="auto"/>
                                                        <w:left w:val="none" w:sz="0" w:space="0" w:color="auto"/>
                                                        <w:bottom w:val="none" w:sz="0" w:space="0" w:color="auto"/>
                                                        <w:right w:val="none" w:sz="0" w:space="0" w:color="auto"/>
                                                      </w:divBdr>
                                                      <w:divsChild>
                                                        <w:div w:id="755323864">
                                                          <w:marLeft w:val="0"/>
                                                          <w:marRight w:val="0"/>
                                                          <w:marTop w:val="0"/>
                                                          <w:marBottom w:val="0"/>
                                                          <w:divBdr>
                                                            <w:top w:val="none" w:sz="0" w:space="0" w:color="auto"/>
                                                            <w:left w:val="none" w:sz="0" w:space="0" w:color="auto"/>
                                                            <w:bottom w:val="none" w:sz="0" w:space="0" w:color="auto"/>
                                                            <w:right w:val="none" w:sz="0" w:space="0" w:color="auto"/>
                                                          </w:divBdr>
                                                          <w:divsChild>
                                                            <w:div w:id="314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4252080">
      <w:bodyDiv w:val="1"/>
      <w:marLeft w:val="0"/>
      <w:marRight w:val="0"/>
      <w:marTop w:val="0"/>
      <w:marBottom w:val="0"/>
      <w:divBdr>
        <w:top w:val="none" w:sz="0" w:space="0" w:color="auto"/>
        <w:left w:val="none" w:sz="0" w:space="0" w:color="auto"/>
        <w:bottom w:val="none" w:sz="0" w:space="0" w:color="auto"/>
        <w:right w:val="none" w:sz="0" w:space="0" w:color="auto"/>
      </w:divBdr>
    </w:div>
    <w:div w:id="774444286">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778256350">
      <w:bodyDiv w:val="1"/>
      <w:marLeft w:val="0"/>
      <w:marRight w:val="0"/>
      <w:marTop w:val="0"/>
      <w:marBottom w:val="0"/>
      <w:divBdr>
        <w:top w:val="none" w:sz="0" w:space="0" w:color="auto"/>
        <w:left w:val="none" w:sz="0" w:space="0" w:color="auto"/>
        <w:bottom w:val="none" w:sz="0" w:space="0" w:color="auto"/>
        <w:right w:val="none" w:sz="0" w:space="0" w:color="auto"/>
      </w:divBdr>
    </w:div>
    <w:div w:id="824007748">
      <w:bodyDiv w:val="1"/>
      <w:marLeft w:val="0"/>
      <w:marRight w:val="0"/>
      <w:marTop w:val="0"/>
      <w:marBottom w:val="0"/>
      <w:divBdr>
        <w:top w:val="none" w:sz="0" w:space="0" w:color="auto"/>
        <w:left w:val="none" w:sz="0" w:space="0" w:color="auto"/>
        <w:bottom w:val="none" w:sz="0" w:space="0" w:color="auto"/>
        <w:right w:val="none" w:sz="0" w:space="0" w:color="auto"/>
      </w:divBdr>
    </w:div>
    <w:div w:id="833689254">
      <w:bodyDiv w:val="1"/>
      <w:marLeft w:val="0"/>
      <w:marRight w:val="0"/>
      <w:marTop w:val="0"/>
      <w:marBottom w:val="0"/>
      <w:divBdr>
        <w:top w:val="none" w:sz="0" w:space="0" w:color="auto"/>
        <w:left w:val="none" w:sz="0" w:space="0" w:color="auto"/>
        <w:bottom w:val="none" w:sz="0" w:space="0" w:color="auto"/>
        <w:right w:val="none" w:sz="0" w:space="0" w:color="auto"/>
      </w:divBdr>
    </w:div>
    <w:div w:id="846672182">
      <w:bodyDiv w:val="1"/>
      <w:marLeft w:val="0"/>
      <w:marRight w:val="0"/>
      <w:marTop w:val="0"/>
      <w:marBottom w:val="0"/>
      <w:divBdr>
        <w:top w:val="none" w:sz="0" w:space="0" w:color="auto"/>
        <w:left w:val="none" w:sz="0" w:space="0" w:color="auto"/>
        <w:bottom w:val="none" w:sz="0" w:space="0" w:color="auto"/>
        <w:right w:val="none" w:sz="0" w:space="0" w:color="auto"/>
      </w:divBdr>
    </w:div>
    <w:div w:id="936134430">
      <w:bodyDiv w:val="1"/>
      <w:marLeft w:val="0"/>
      <w:marRight w:val="0"/>
      <w:marTop w:val="0"/>
      <w:marBottom w:val="0"/>
      <w:divBdr>
        <w:top w:val="none" w:sz="0" w:space="0" w:color="auto"/>
        <w:left w:val="none" w:sz="0" w:space="0" w:color="auto"/>
        <w:bottom w:val="none" w:sz="0" w:space="0" w:color="auto"/>
        <w:right w:val="none" w:sz="0" w:space="0" w:color="auto"/>
      </w:divBdr>
    </w:div>
    <w:div w:id="1047266930">
      <w:bodyDiv w:val="1"/>
      <w:marLeft w:val="0"/>
      <w:marRight w:val="0"/>
      <w:marTop w:val="0"/>
      <w:marBottom w:val="0"/>
      <w:divBdr>
        <w:top w:val="none" w:sz="0" w:space="0" w:color="auto"/>
        <w:left w:val="none" w:sz="0" w:space="0" w:color="auto"/>
        <w:bottom w:val="none" w:sz="0" w:space="0" w:color="auto"/>
        <w:right w:val="none" w:sz="0" w:space="0" w:color="auto"/>
      </w:divBdr>
    </w:div>
    <w:div w:id="1058356159">
      <w:bodyDiv w:val="1"/>
      <w:marLeft w:val="0"/>
      <w:marRight w:val="0"/>
      <w:marTop w:val="0"/>
      <w:marBottom w:val="0"/>
      <w:divBdr>
        <w:top w:val="none" w:sz="0" w:space="0" w:color="auto"/>
        <w:left w:val="none" w:sz="0" w:space="0" w:color="auto"/>
        <w:bottom w:val="none" w:sz="0" w:space="0" w:color="auto"/>
        <w:right w:val="none" w:sz="0" w:space="0" w:color="auto"/>
      </w:divBdr>
    </w:div>
    <w:div w:id="1097867219">
      <w:bodyDiv w:val="1"/>
      <w:marLeft w:val="0"/>
      <w:marRight w:val="0"/>
      <w:marTop w:val="0"/>
      <w:marBottom w:val="0"/>
      <w:divBdr>
        <w:top w:val="none" w:sz="0" w:space="0" w:color="auto"/>
        <w:left w:val="none" w:sz="0" w:space="0" w:color="auto"/>
        <w:bottom w:val="none" w:sz="0" w:space="0" w:color="auto"/>
        <w:right w:val="none" w:sz="0" w:space="0" w:color="auto"/>
      </w:divBdr>
    </w:div>
    <w:div w:id="1152989899">
      <w:bodyDiv w:val="1"/>
      <w:marLeft w:val="0"/>
      <w:marRight w:val="0"/>
      <w:marTop w:val="0"/>
      <w:marBottom w:val="0"/>
      <w:divBdr>
        <w:top w:val="none" w:sz="0" w:space="0" w:color="auto"/>
        <w:left w:val="none" w:sz="0" w:space="0" w:color="auto"/>
        <w:bottom w:val="none" w:sz="0" w:space="0" w:color="auto"/>
        <w:right w:val="none" w:sz="0" w:space="0" w:color="auto"/>
      </w:divBdr>
    </w:div>
    <w:div w:id="1203517015">
      <w:bodyDiv w:val="1"/>
      <w:marLeft w:val="0"/>
      <w:marRight w:val="0"/>
      <w:marTop w:val="0"/>
      <w:marBottom w:val="0"/>
      <w:divBdr>
        <w:top w:val="none" w:sz="0" w:space="0" w:color="auto"/>
        <w:left w:val="none" w:sz="0" w:space="0" w:color="auto"/>
        <w:bottom w:val="none" w:sz="0" w:space="0" w:color="auto"/>
        <w:right w:val="none" w:sz="0" w:space="0" w:color="auto"/>
      </w:divBdr>
    </w:div>
    <w:div w:id="1214805439">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 w:id="1287270675">
      <w:bodyDiv w:val="1"/>
      <w:marLeft w:val="0"/>
      <w:marRight w:val="0"/>
      <w:marTop w:val="0"/>
      <w:marBottom w:val="0"/>
      <w:divBdr>
        <w:top w:val="none" w:sz="0" w:space="0" w:color="auto"/>
        <w:left w:val="none" w:sz="0" w:space="0" w:color="auto"/>
        <w:bottom w:val="none" w:sz="0" w:space="0" w:color="auto"/>
        <w:right w:val="none" w:sz="0" w:space="0" w:color="auto"/>
      </w:divBdr>
    </w:div>
    <w:div w:id="1324119960">
      <w:bodyDiv w:val="1"/>
      <w:marLeft w:val="0"/>
      <w:marRight w:val="0"/>
      <w:marTop w:val="0"/>
      <w:marBottom w:val="0"/>
      <w:divBdr>
        <w:top w:val="none" w:sz="0" w:space="0" w:color="auto"/>
        <w:left w:val="none" w:sz="0" w:space="0" w:color="auto"/>
        <w:bottom w:val="none" w:sz="0" w:space="0" w:color="auto"/>
        <w:right w:val="none" w:sz="0" w:space="0" w:color="auto"/>
      </w:divBdr>
      <w:divsChild>
        <w:div w:id="586966709">
          <w:marLeft w:val="0"/>
          <w:marRight w:val="0"/>
          <w:marTop w:val="0"/>
          <w:marBottom w:val="0"/>
          <w:divBdr>
            <w:top w:val="none" w:sz="0" w:space="0" w:color="auto"/>
            <w:left w:val="none" w:sz="0" w:space="0" w:color="auto"/>
            <w:bottom w:val="none" w:sz="0" w:space="0" w:color="auto"/>
            <w:right w:val="none" w:sz="0" w:space="0" w:color="auto"/>
          </w:divBdr>
          <w:divsChild>
            <w:div w:id="730541243">
              <w:marLeft w:val="0"/>
              <w:marRight w:val="0"/>
              <w:marTop w:val="0"/>
              <w:marBottom w:val="0"/>
              <w:divBdr>
                <w:top w:val="none" w:sz="0" w:space="0" w:color="auto"/>
                <w:left w:val="none" w:sz="0" w:space="0" w:color="auto"/>
                <w:bottom w:val="none" w:sz="0" w:space="0" w:color="auto"/>
                <w:right w:val="none" w:sz="0" w:space="0" w:color="auto"/>
              </w:divBdr>
              <w:divsChild>
                <w:div w:id="1988583929">
                  <w:marLeft w:val="0"/>
                  <w:marRight w:val="0"/>
                  <w:marTop w:val="0"/>
                  <w:marBottom w:val="0"/>
                  <w:divBdr>
                    <w:top w:val="none" w:sz="0" w:space="0" w:color="auto"/>
                    <w:left w:val="none" w:sz="0" w:space="0" w:color="auto"/>
                    <w:bottom w:val="none" w:sz="0" w:space="0" w:color="auto"/>
                    <w:right w:val="none" w:sz="0" w:space="0" w:color="auto"/>
                  </w:divBdr>
                  <w:divsChild>
                    <w:div w:id="1540241278">
                      <w:marLeft w:val="0"/>
                      <w:marRight w:val="0"/>
                      <w:marTop w:val="0"/>
                      <w:marBottom w:val="0"/>
                      <w:divBdr>
                        <w:top w:val="none" w:sz="0" w:space="0" w:color="auto"/>
                        <w:left w:val="none" w:sz="0" w:space="0" w:color="auto"/>
                        <w:bottom w:val="none" w:sz="0" w:space="0" w:color="auto"/>
                        <w:right w:val="none" w:sz="0" w:space="0" w:color="auto"/>
                      </w:divBdr>
                      <w:divsChild>
                        <w:div w:id="1058749403">
                          <w:marLeft w:val="0"/>
                          <w:marRight w:val="0"/>
                          <w:marTop w:val="0"/>
                          <w:marBottom w:val="0"/>
                          <w:divBdr>
                            <w:top w:val="none" w:sz="0" w:space="0" w:color="auto"/>
                            <w:left w:val="none" w:sz="0" w:space="0" w:color="auto"/>
                            <w:bottom w:val="none" w:sz="0" w:space="0" w:color="auto"/>
                            <w:right w:val="none" w:sz="0" w:space="0" w:color="auto"/>
                          </w:divBdr>
                          <w:divsChild>
                            <w:div w:id="406078664">
                              <w:marLeft w:val="0"/>
                              <w:marRight w:val="0"/>
                              <w:marTop w:val="0"/>
                              <w:marBottom w:val="0"/>
                              <w:divBdr>
                                <w:top w:val="none" w:sz="0" w:space="0" w:color="auto"/>
                                <w:left w:val="none" w:sz="0" w:space="0" w:color="auto"/>
                                <w:bottom w:val="none" w:sz="0" w:space="0" w:color="auto"/>
                                <w:right w:val="none" w:sz="0" w:space="0" w:color="auto"/>
                              </w:divBdr>
                              <w:divsChild>
                                <w:div w:id="1098260696">
                                  <w:marLeft w:val="0"/>
                                  <w:marRight w:val="0"/>
                                  <w:marTop w:val="0"/>
                                  <w:marBottom w:val="0"/>
                                  <w:divBdr>
                                    <w:top w:val="none" w:sz="0" w:space="0" w:color="auto"/>
                                    <w:left w:val="none" w:sz="0" w:space="0" w:color="auto"/>
                                    <w:bottom w:val="none" w:sz="0" w:space="0" w:color="auto"/>
                                    <w:right w:val="none" w:sz="0" w:space="0" w:color="auto"/>
                                  </w:divBdr>
                                  <w:divsChild>
                                    <w:div w:id="881215585">
                                      <w:marLeft w:val="0"/>
                                      <w:marRight w:val="0"/>
                                      <w:marTop w:val="0"/>
                                      <w:marBottom w:val="0"/>
                                      <w:divBdr>
                                        <w:top w:val="none" w:sz="0" w:space="0" w:color="auto"/>
                                        <w:left w:val="none" w:sz="0" w:space="0" w:color="auto"/>
                                        <w:bottom w:val="none" w:sz="0" w:space="0" w:color="auto"/>
                                        <w:right w:val="none" w:sz="0" w:space="0" w:color="auto"/>
                                      </w:divBdr>
                                      <w:divsChild>
                                        <w:div w:id="795756280">
                                          <w:marLeft w:val="0"/>
                                          <w:marRight w:val="0"/>
                                          <w:marTop w:val="0"/>
                                          <w:marBottom w:val="0"/>
                                          <w:divBdr>
                                            <w:top w:val="none" w:sz="0" w:space="0" w:color="auto"/>
                                            <w:left w:val="none" w:sz="0" w:space="0" w:color="auto"/>
                                            <w:bottom w:val="none" w:sz="0" w:space="0" w:color="auto"/>
                                            <w:right w:val="none" w:sz="0" w:space="0" w:color="auto"/>
                                          </w:divBdr>
                                          <w:divsChild>
                                            <w:div w:id="1320576035">
                                              <w:marLeft w:val="0"/>
                                              <w:marRight w:val="0"/>
                                              <w:marTop w:val="0"/>
                                              <w:marBottom w:val="0"/>
                                              <w:divBdr>
                                                <w:top w:val="none" w:sz="0" w:space="0" w:color="auto"/>
                                                <w:left w:val="none" w:sz="0" w:space="0" w:color="auto"/>
                                                <w:bottom w:val="none" w:sz="0" w:space="0" w:color="auto"/>
                                                <w:right w:val="none" w:sz="0" w:space="0" w:color="auto"/>
                                              </w:divBdr>
                                              <w:divsChild>
                                                <w:div w:id="1990593432">
                                                  <w:marLeft w:val="0"/>
                                                  <w:marRight w:val="0"/>
                                                  <w:marTop w:val="0"/>
                                                  <w:marBottom w:val="0"/>
                                                  <w:divBdr>
                                                    <w:top w:val="none" w:sz="0" w:space="0" w:color="auto"/>
                                                    <w:left w:val="none" w:sz="0" w:space="0" w:color="auto"/>
                                                    <w:bottom w:val="none" w:sz="0" w:space="0" w:color="auto"/>
                                                    <w:right w:val="none" w:sz="0" w:space="0" w:color="auto"/>
                                                  </w:divBdr>
                                                  <w:divsChild>
                                                    <w:div w:id="177501322">
                                                      <w:marLeft w:val="0"/>
                                                      <w:marRight w:val="0"/>
                                                      <w:marTop w:val="0"/>
                                                      <w:marBottom w:val="0"/>
                                                      <w:divBdr>
                                                        <w:top w:val="none" w:sz="0" w:space="0" w:color="auto"/>
                                                        <w:left w:val="none" w:sz="0" w:space="0" w:color="auto"/>
                                                        <w:bottom w:val="none" w:sz="0" w:space="0" w:color="auto"/>
                                                        <w:right w:val="none" w:sz="0" w:space="0" w:color="auto"/>
                                                      </w:divBdr>
                                                      <w:divsChild>
                                                        <w:div w:id="1557814239">
                                                          <w:marLeft w:val="0"/>
                                                          <w:marRight w:val="0"/>
                                                          <w:marTop w:val="0"/>
                                                          <w:marBottom w:val="0"/>
                                                          <w:divBdr>
                                                            <w:top w:val="none" w:sz="0" w:space="0" w:color="auto"/>
                                                            <w:left w:val="none" w:sz="0" w:space="0" w:color="auto"/>
                                                            <w:bottom w:val="none" w:sz="0" w:space="0" w:color="auto"/>
                                                            <w:right w:val="none" w:sz="0" w:space="0" w:color="auto"/>
                                                          </w:divBdr>
                                                          <w:divsChild>
                                                            <w:div w:id="18538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1375545">
      <w:bodyDiv w:val="1"/>
      <w:marLeft w:val="0"/>
      <w:marRight w:val="0"/>
      <w:marTop w:val="0"/>
      <w:marBottom w:val="0"/>
      <w:divBdr>
        <w:top w:val="none" w:sz="0" w:space="0" w:color="auto"/>
        <w:left w:val="none" w:sz="0" w:space="0" w:color="auto"/>
        <w:bottom w:val="none" w:sz="0" w:space="0" w:color="auto"/>
        <w:right w:val="none" w:sz="0" w:space="0" w:color="auto"/>
      </w:divBdr>
    </w:div>
    <w:div w:id="1332441648">
      <w:bodyDiv w:val="1"/>
      <w:marLeft w:val="0"/>
      <w:marRight w:val="0"/>
      <w:marTop w:val="0"/>
      <w:marBottom w:val="0"/>
      <w:divBdr>
        <w:top w:val="none" w:sz="0" w:space="0" w:color="auto"/>
        <w:left w:val="none" w:sz="0" w:space="0" w:color="auto"/>
        <w:bottom w:val="none" w:sz="0" w:space="0" w:color="auto"/>
        <w:right w:val="none" w:sz="0" w:space="0" w:color="auto"/>
      </w:divBdr>
      <w:divsChild>
        <w:div w:id="728967206">
          <w:marLeft w:val="0"/>
          <w:marRight w:val="0"/>
          <w:marTop w:val="0"/>
          <w:marBottom w:val="0"/>
          <w:divBdr>
            <w:top w:val="none" w:sz="0" w:space="0" w:color="auto"/>
            <w:left w:val="none" w:sz="0" w:space="0" w:color="auto"/>
            <w:bottom w:val="none" w:sz="0" w:space="0" w:color="auto"/>
            <w:right w:val="none" w:sz="0" w:space="0" w:color="auto"/>
          </w:divBdr>
          <w:divsChild>
            <w:div w:id="1335910932">
              <w:marLeft w:val="0"/>
              <w:marRight w:val="0"/>
              <w:marTop w:val="0"/>
              <w:marBottom w:val="0"/>
              <w:divBdr>
                <w:top w:val="none" w:sz="0" w:space="0" w:color="auto"/>
                <w:left w:val="none" w:sz="0" w:space="0" w:color="auto"/>
                <w:bottom w:val="none" w:sz="0" w:space="0" w:color="auto"/>
                <w:right w:val="none" w:sz="0" w:space="0" w:color="auto"/>
              </w:divBdr>
              <w:divsChild>
                <w:div w:id="1966082451">
                  <w:marLeft w:val="0"/>
                  <w:marRight w:val="0"/>
                  <w:marTop w:val="0"/>
                  <w:marBottom w:val="0"/>
                  <w:divBdr>
                    <w:top w:val="none" w:sz="0" w:space="0" w:color="auto"/>
                    <w:left w:val="none" w:sz="0" w:space="0" w:color="auto"/>
                    <w:bottom w:val="none" w:sz="0" w:space="0" w:color="auto"/>
                    <w:right w:val="none" w:sz="0" w:space="0" w:color="auto"/>
                  </w:divBdr>
                  <w:divsChild>
                    <w:div w:id="213272050">
                      <w:marLeft w:val="0"/>
                      <w:marRight w:val="0"/>
                      <w:marTop w:val="0"/>
                      <w:marBottom w:val="0"/>
                      <w:divBdr>
                        <w:top w:val="none" w:sz="0" w:space="0" w:color="auto"/>
                        <w:left w:val="none" w:sz="0" w:space="0" w:color="auto"/>
                        <w:bottom w:val="none" w:sz="0" w:space="0" w:color="auto"/>
                        <w:right w:val="none" w:sz="0" w:space="0" w:color="auto"/>
                      </w:divBdr>
                      <w:divsChild>
                        <w:div w:id="563301862">
                          <w:marLeft w:val="0"/>
                          <w:marRight w:val="0"/>
                          <w:marTop w:val="0"/>
                          <w:marBottom w:val="0"/>
                          <w:divBdr>
                            <w:top w:val="none" w:sz="0" w:space="0" w:color="auto"/>
                            <w:left w:val="none" w:sz="0" w:space="0" w:color="auto"/>
                            <w:bottom w:val="none" w:sz="0" w:space="0" w:color="auto"/>
                            <w:right w:val="none" w:sz="0" w:space="0" w:color="auto"/>
                          </w:divBdr>
                          <w:divsChild>
                            <w:div w:id="1444880030">
                              <w:marLeft w:val="0"/>
                              <w:marRight w:val="0"/>
                              <w:marTop w:val="0"/>
                              <w:marBottom w:val="0"/>
                              <w:divBdr>
                                <w:top w:val="none" w:sz="0" w:space="0" w:color="auto"/>
                                <w:left w:val="none" w:sz="0" w:space="0" w:color="auto"/>
                                <w:bottom w:val="none" w:sz="0" w:space="0" w:color="auto"/>
                                <w:right w:val="none" w:sz="0" w:space="0" w:color="auto"/>
                              </w:divBdr>
                              <w:divsChild>
                                <w:div w:id="565334464">
                                  <w:marLeft w:val="0"/>
                                  <w:marRight w:val="0"/>
                                  <w:marTop w:val="0"/>
                                  <w:marBottom w:val="0"/>
                                  <w:divBdr>
                                    <w:top w:val="none" w:sz="0" w:space="0" w:color="auto"/>
                                    <w:left w:val="none" w:sz="0" w:space="0" w:color="auto"/>
                                    <w:bottom w:val="none" w:sz="0" w:space="0" w:color="auto"/>
                                    <w:right w:val="none" w:sz="0" w:space="0" w:color="auto"/>
                                  </w:divBdr>
                                  <w:divsChild>
                                    <w:div w:id="261497422">
                                      <w:marLeft w:val="0"/>
                                      <w:marRight w:val="0"/>
                                      <w:marTop w:val="0"/>
                                      <w:marBottom w:val="0"/>
                                      <w:divBdr>
                                        <w:top w:val="none" w:sz="0" w:space="0" w:color="auto"/>
                                        <w:left w:val="none" w:sz="0" w:space="0" w:color="auto"/>
                                        <w:bottom w:val="none" w:sz="0" w:space="0" w:color="auto"/>
                                        <w:right w:val="none" w:sz="0" w:space="0" w:color="auto"/>
                                      </w:divBdr>
                                      <w:divsChild>
                                        <w:div w:id="533075826">
                                          <w:marLeft w:val="0"/>
                                          <w:marRight w:val="0"/>
                                          <w:marTop w:val="0"/>
                                          <w:marBottom w:val="0"/>
                                          <w:divBdr>
                                            <w:top w:val="none" w:sz="0" w:space="0" w:color="auto"/>
                                            <w:left w:val="none" w:sz="0" w:space="0" w:color="auto"/>
                                            <w:bottom w:val="none" w:sz="0" w:space="0" w:color="auto"/>
                                            <w:right w:val="none" w:sz="0" w:space="0" w:color="auto"/>
                                          </w:divBdr>
                                          <w:divsChild>
                                            <w:div w:id="197864121">
                                              <w:marLeft w:val="0"/>
                                              <w:marRight w:val="0"/>
                                              <w:marTop w:val="0"/>
                                              <w:marBottom w:val="0"/>
                                              <w:divBdr>
                                                <w:top w:val="none" w:sz="0" w:space="0" w:color="auto"/>
                                                <w:left w:val="none" w:sz="0" w:space="0" w:color="auto"/>
                                                <w:bottom w:val="none" w:sz="0" w:space="0" w:color="auto"/>
                                                <w:right w:val="none" w:sz="0" w:space="0" w:color="auto"/>
                                              </w:divBdr>
                                              <w:divsChild>
                                                <w:div w:id="443040483">
                                                  <w:marLeft w:val="0"/>
                                                  <w:marRight w:val="0"/>
                                                  <w:marTop w:val="0"/>
                                                  <w:marBottom w:val="0"/>
                                                  <w:divBdr>
                                                    <w:top w:val="none" w:sz="0" w:space="0" w:color="auto"/>
                                                    <w:left w:val="none" w:sz="0" w:space="0" w:color="auto"/>
                                                    <w:bottom w:val="none" w:sz="0" w:space="0" w:color="auto"/>
                                                    <w:right w:val="none" w:sz="0" w:space="0" w:color="auto"/>
                                                  </w:divBdr>
                                                  <w:divsChild>
                                                    <w:div w:id="2051373832">
                                                      <w:marLeft w:val="0"/>
                                                      <w:marRight w:val="0"/>
                                                      <w:marTop w:val="0"/>
                                                      <w:marBottom w:val="0"/>
                                                      <w:divBdr>
                                                        <w:top w:val="none" w:sz="0" w:space="0" w:color="auto"/>
                                                        <w:left w:val="none" w:sz="0" w:space="0" w:color="auto"/>
                                                        <w:bottom w:val="none" w:sz="0" w:space="0" w:color="auto"/>
                                                        <w:right w:val="none" w:sz="0" w:space="0" w:color="auto"/>
                                                      </w:divBdr>
                                                      <w:divsChild>
                                                        <w:div w:id="1203438005">
                                                          <w:marLeft w:val="0"/>
                                                          <w:marRight w:val="0"/>
                                                          <w:marTop w:val="0"/>
                                                          <w:marBottom w:val="0"/>
                                                          <w:divBdr>
                                                            <w:top w:val="none" w:sz="0" w:space="0" w:color="auto"/>
                                                            <w:left w:val="none" w:sz="0" w:space="0" w:color="auto"/>
                                                            <w:bottom w:val="none" w:sz="0" w:space="0" w:color="auto"/>
                                                            <w:right w:val="none" w:sz="0" w:space="0" w:color="auto"/>
                                                          </w:divBdr>
                                                          <w:divsChild>
                                                            <w:div w:id="1241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055256">
      <w:bodyDiv w:val="1"/>
      <w:marLeft w:val="0"/>
      <w:marRight w:val="0"/>
      <w:marTop w:val="0"/>
      <w:marBottom w:val="0"/>
      <w:divBdr>
        <w:top w:val="none" w:sz="0" w:space="0" w:color="auto"/>
        <w:left w:val="none" w:sz="0" w:space="0" w:color="auto"/>
        <w:bottom w:val="none" w:sz="0" w:space="0" w:color="auto"/>
        <w:right w:val="none" w:sz="0" w:space="0" w:color="auto"/>
      </w:divBdr>
      <w:divsChild>
        <w:div w:id="2125299009">
          <w:marLeft w:val="0"/>
          <w:marRight w:val="0"/>
          <w:marTop w:val="0"/>
          <w:marBottom w:val="0"/>
          <w:divBdr>
            <w:top w:val="none" w:sz="0" w:space="0" w:color="auto"/>
            <w:left w:val="none" w:sz="0" w:space="0" w:color="auto"/>
            <w:bottom w:val="none" w:sz="0" w:space="0" w:color="auto"/>
            <w:right w:val="none" w:sz="0" w:space="0" w:color="auto"/>
          </w:divBdr>
          <w:divsChild>
            <w:div w:id="779107796">
              <w:marLeft w:val="0"/>
              <w:marRight w:val="0"/>
              <w:marTop w:val="0"/>
              <w:marBottom w:val="0"/>
              <w:divBdr>
                <w:top w:val="none" w:sz="0" w:space="0" w:color="auto"/>
                <w:left w:val="none" w:sz="0" w:space="0" w:color="auto"/>
                <w:bottom w:val="none" w:sz="0" w:space="0" w:color="auto"/>
                <w:right w:val="none" w:sz="0" w:space="0" w:color="auto"/>
              </w:divBdr>
              <w:divsChild>
                <w:div w:id="75708361">
                  <w:marLeft w:val="0"/>
                  <w:marRight w:val="0"/>
                  <w:marTop w:val="0"/>
                  <w:marBottom w:val="0"/>
                  <w:divBdr>
                    <w:top w:val="none" w:sz="0" w:space="0" w:color="auto"/>
                    <w:left w:val="none" w:sz="0" w:space="0" w:color="auto"/>
                    <w:bottom w:val="none" w:sz="0" w:space="0" w:color="auto"/>
                    <w:right w:val="none" w:sz="0" w:space="0" w:color="auto"/>
                  </w:divBdr>
                  <w:divsChild>
                    <w:div w:id="805242971">
                      <w:marLeft w:val="0"/>
                      <w:marRight w:val="0"/>
                      <w:marTop w:val="0"/>
                      <w:marBottom w:val="0"/>
                      <w:divBdr>
                        <w:top w:val="none" w:sz="0" w:space="0" w:color="auto"/>
                        <w:left w:val="none" w:sz="0" w:space="0" w:color="auto"/>
                        <w:bottom w:val="none" w:sz="0" w:space="0" w:color="auto"/>
                        <w:right w:val="none" w:sz="0" w:space="0" w:color="auto"/>
                      </w:divBdr>
                      <w:divsChild>
                        <w:div w:id="206263530">
                          <w:marLeft w:val="0"/>
                          <w:marRight w:val="0"/>
                          <w:marTop w:val="0"/>
                          <w:marBottom w:val="0"/>
                          <w:divBdr>
                            <w:top w:val="none" w:sz="0" w:space="0" w:color="auto"/>
                            <w:left w:val="none" w:sz="0" w:space="0" w:color="auto"/>
                            <w:bottom w:val="none" w:sz="0" w:space="0" w:color="auto"/>
                            <w:right w:val="none" w:sz="0" w:space="0" w:color="auto"/>
                          </w:divBdr>
                          <w:divsChild>
                            <w:div w:id="859855829">
                              <w:marLeft w:val="0"/>
                              <w:marRight w:val="0"/>
                              <w:marTop w:val="0"/>
                              <w:marBottom w:val="0"/>
                              <w:divBdr>
                                <w:top w:val="none" w:sz="0" w:space="0" w:color="auto"/>
                                <w:left w:val="none" w:sz="0" w:space="0" w:color="auto"/>
                                <w:bottom w:val="none" w:sz="0" w:space="0" w:color="auto"/>
                                <w:right w:val="none" w:sz="0" w:space="0" w:color="auto"/>
                              </w:divBdr>
                              <w:divsChild>
                                <w:div w:id="663163049">
                                  <w:marLeft w:val="0"/>
                                  <w:marRight w:val="0"/>
                                  <w:marTop w:val="0"/>
                                  <w:marBottom w:val="0"/>
                                  <w:divBdr>
                                    <w:top w:val="none" w:sz="0" w:space="0" w:color="auto"/>
                                    <w:left w:val="none" w:sz="0" w:space="0" w:color="auto"/>
                                    <w:bottom w:val="none" w:sz="0" w:space="0" w:color="auto"/>
                                    <w:right w:val="none" w:sz="0" w:space="0" w:color="auto"/>
                                  </w:divBdr>
                                  <w:divsChild>
                                    <w:div w:id="788277952">
                                      <w:marLeft w:val="0"/>
                                      <w:marRight w:val="0"/>
                                      <w:marTop w:val="0"/>
                                      <w:marBottom w:val="0"/>
                                      <w:divBdr>
                                        <w:top w:val="none" w:sz="0" w:space="0" w:color="auto"/>
                                        <w:left w:val="none" w:sz="0" w:space="0" w:color="auto"/>
                                        <w:bottom w:val="none" w:sz="0" w:space="0" w:color="auto"/>
                                        <w:right w:val="none" w:sz="0" w:space="0" w:color="auto"/>
                                      </w:divBdr>
                                      <w:divsChild>
                                        <w:div w:id="1556356199">
                                          <w:marLeft w:val="0"/>
                                          <w:marRight w:val="0"/>
                                          <w:marTop w:val="0"/>
                                          <w:marBottom w:val="0"/>
                                          <w:divBdr>
                                            <w:top w:val="none" w:sz="0" w:space="0" w:color="auto"/>
                                            <w:left w:val="none" w:sz="0" w:space="0" w:color="auto"/>
                                            <w:bottom w:val="none" w:sz="0" w:space="0" w:color="auto"/>
                                            <w:right w:val="none" w:sz="0" w:space="0" w:color="auto"/>
                                          </w:divBdr>
                                          <w:divsChild>
                                            <w:div w:id="1166168382">
                                              <w:marLeft w:val="0"/>
                                              <w:marRight w:val="0"/>
                                              <w:marTop w:val="0"/>
                                              <w:marBottom w:val="0"/>
                                              <w:divBdr>
                                                <w:top w:val="none" w:sz="0" w:space="0" w:color="auto"/>
                                                <w:left w:val="none" w:sz="0" w:space="0" w:color="auto"/>
                                                <w:bottom w:val="none" w:sz="0" w:space="0" w:color="auto"/>
                                                <w:right w:val="none" w:sz="0" w:space="0" w:color="auto"/>
                                              </w:divBdr>
                                              <w:divsChild>
                                                <w:div w:id="215161633">
                                                  <w:marLeft w:val="0"/>
                                                  <w:marRight w:val="0"/>
                                                  <w:marTop w:val="0"/>
                                                  <w:marBottom w:val="0"/>
                                                  <w:divBdr>
                                                    <w:top w:val="none" w:sz="0" w:space="0" w:color="auto"/>
                                                    <w:left w:val="none" w:sz="0" w:space="0" w:color="auto"/>
                                                    <w:bottom w:val="none" w:sz="0" w:space="0" w:color="auto"/>
                                                    <w:right w:val="none" w:sz="0" w:space="0" w:color="auto"/>
                                                  </w:divBdr>
                                                  <w:divsChild>
                                                    <w:div w:id="2067145400">
                                                      <w:marLeft w:val="0"/>
                                                      <w:marRight w:val="0"/>
                                                      <w:marTop w:val="0"/>
                                                      <w:marBottom w:val="0"/>
                                                      <w:divBdr>
                                                        <w:top w:val="none" w:sz="0" w:space="0" w:color="auto"/>
                                                        <w:left w:val="none" w:sz="0" w:space="0" w:color="auto"/>
                                                        <w:bottom w:val="none" w:sz="0" w:space="0" w:color="auto"/>
                                                        <w:right w:val="none" w:sz="0" w:space="0" w:color="auto"/>
                                                      </w:divBdr>
                                                      <w:divsChild>
                                                        <w:div w:id="13464307">
                                                          <w:marLeft w:val="0"/>
                                                          <w:marRight w:val="0"/>
                                                          <w:marTop w:val="0"/>
                                                          <w:marBottom w:val="0"/>
                                                          <w:divBdr>
                                                            <w:top w:val="none" w:sz="0" w:space="0" w:color="auto"/>
                                                            <w:left w:val="none" w:sz="0" w:space="0" w:color="auto"/>
                                                            <w:bottom w:val="none" w:sz="0" w:space="0" w:color="auto"/>
                                                            <w:right w:val="none" w:sz="0" w:space="0" w:color="auto"/>
                                                          </w:divBdr>
                                                          <w:divsChild>
                                                            <w:div w:id="5340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3597075">
      <w:bodyDiv w:val="1"/>
      <w:marLeft w:val="0"/>
      <w:marRight w:val="0"/>
      <w:marTop w:val="0"/>
      <w:marBottom w:val="0"/>
      <w:divBdr>
        <w:top w:val="none" w:sz="0" w:space="0" w:color="auto"/>
        <w:left w:val="none" w:sz="0" w:space="0" w:color="auto"/>
        <w:bottom w:val="none" w:sz="0" w:space="0" w:color="auto"/>
        <w:right w:val="none" w:sz="0" w:space="0" w:color="auto"/>
      </w:divBdr>
    </w:div>
    <w:div w:id="1406369174">
      <w:bodyDiv w:val="1"/>
      <w:marLeft w:val="0"/>
      <w:marRight w:val="0"/>
      <w:marTop w:val="0"/>
      <w:marBottom w:val="0"/>
      <w:divBdr>
        <w:top w:val="none" w:sz="0" w:space="0" w:color="auto"/>
        <w:left w:val="none" w:sz="0" w:space="0" w:color="auto"/>
        <w:bottom w:val="none" w:sz="0" w:space="0" w:color="auto"/>
        <w:right w:val="none" w:sz="0" w:space="0" w:color="auto"/>
      </w:divBdr>
    </w:div>
    <w:div w:id="1436176039">
      <w:bodyDiv w:val="1"/>
      <w:marLeft w:val="0"/>
      <w:marRight w:val="0"/>
      <w:marTop w:val="0"/>
      <w:marBottom w:val="0"/>
      <w:divBdr>
        <w:top w:val="none" w:sz="0" w:space="0" w:color="auto"/>
        <w:left w:val="none" w:sz="0" w:space="0" w:color="auto"/>
        <w:bottom w:val="none" w:sz="0" w:space="0" w:color="auto"/>
        <w:right w:val="none" w:sz="0" w:space="0" w:color="auto"/>
      </w:divBdr>
    </w:div>
    <w:div w:id="1444573858">
      <w:bodyDiv w:val="1"/>
      <w:marLeft w:val="0"/>
      <w:marRight w:val="0"/>
      <w:marTop w:val="0"/>
      <w:marBottom w:val="0"/>
      <w:divBdr>
        <w:top w:val="none" w:sz="0" w:space="0" w:color="auto"/>
        <w:left w:val="none" w:sz="0" w:space="0" w:color="auto"/>
        <w:bottom w:val="none" w:sz="0" w:space="0" w:color="auto"/>
        <w:right w:val="none" w:sz="0" w:space="0" w:color="auto"/>
      </w:divBdr>
    </w:div>
    <w:div w:id="1472748021">
      <w:bodyDiv w:val="1"/>
      <w:marLeft w:val="0"/>
      <w:marRight w:val="0"/>
      <w:marTop w:val="0"/>
      <w:marBottom w:val="0"/>
      <w:divBdr>
        <w:top w:val="none" w:sz="0" w:space="0" w:color="auto"/>
        <w:left w:val="none" w:sz="0" w:space="0" w:color="auto"/>
        <w:bottom w:val="none" w:sz="0" w:space="0" w:color="auto"/>
        <w:right w:val="none" w:sz="0" w:space="0" w:color="auto"/>
      </w:divBdr>
    </w:div>
    <w:div w:id="1528331173">
      <w:bodyDiv w:val="1"/>
      <w:marLeft w:val="0"/>
      <w:marRight w:val="0"/>
      <w:marTop w:val="0"/>
      <w:marBottom w:val="0"/>
      <w:divBdr>
        <w:top w:val="none" w:sz="0" w:space="0" w:color="auto"/>
        <w:left w:val="none" w:sz="0" w:space="0" w:color="auto"/>
        <w:bottom w:val="none" w:sz="0" w:space="0" w:color="auto"/>
        <w:right w:val="none" w:sz="0" w:space="0" w:color="auto"/>
      </w:divBdr>
    </w:div>
    <w:div w:id="1547527400">
      <w:bodyDiv w:val="1"/>
      <w:marLeft w:val="0"/>
      <w:marRight w:val="0"/>
      <w:marTop w:val="0"/>
      <w:marBottom w:val="0"/>
      <w:divBdr>
        <w:top w:val="none" w:sz="0" w:space="0" w:color="auto"/>
        <w:left w:val="none" w:sz="0" w:space="0" w:color="auto"/>
        <w:bottom w:val="none" w:sz="0" w:space="0" w:color="auto"/>
        <w:right w:val="none" w:sz="0" w:space="0" w:color="auto"/>
      </w:divBdr>
    </w:div>
    <w:div w:id="1555777377">
      <w:bodyDiv w:val="1"/>
      <w:marLeft w:val="0"/>
      <w:marRight w:val="0"/>
      <w:marTop w:val="0"/>
      <w:marBottom w:val="0"/>
      <w:divBdr>
        <w:top w:val="none" w:sz="0" w:space="0" w:color="auto"/>
        <w:left w:val="none" w:sz="0" w:space="0" w:color="auto"/>
        <w:bottom w:val="none" w:sz="0" w:space="0" w:color="auto"/>
        <w:right w:val="none" w:sz="0" w:space="0" w:color="auto"/>
      </w:divBdr>
    </w:div>
    <w:div w:id="1570463422">
      <w:bodyDiv w:val="1"/>
      <w:marLeft w:val="0"/>
      <w:marRight w:val="0"/>
      <w:marTop w:val="0"/>
      <w:marBottom w:val="0"/>
      <w:divBdr>
        <w:top w:val="none" w:sz="0" w:space="0" w:color="auto"/>
        <w:left w:val="none" w:sz="0" w:space="0" w:color="auto"/>
        <w:bottom w:val="none" w:sz="0" w:space="0" w:color="auto"/>
        <w:right w:val="none" w:sz="0" w:space="0" w:color="auto"/>
      </w:divBdr>
      <w:divsChild>
        <w:div w:id="1083533208">
          <w:marLeft w:val="0"/>
          <w:marRight w:val="0"/>
          <w:marTop w:val="0"/>
          <w:marBottom w:val="0"/>
          <w:divBdr>
            <w:top w:val="none" w:sz="0" w:space="0" w:color="auto"/>
            <w:left w:val="none" w:sz="0" w:space="0" w:color="auto"/>
            <w:bottom w:val="none" w:sz="0" w:space="0" w:color="auto"/>
            <w:right w:val="none" w:sz="0" w:space="0" w:color="auto"/>
          </w:divBdr>
          <w:divsChild>
            <w:div w:id="2003968561">
              <w:marLeft w:val="0"/>
              <w:marRight w:val="0"/>
              <w:marTop w:val="0"/>
              <w:marBottom w:val="0"/>
              <w:divBdr>
                <w:top w:val="none" w:sz="0" w:space="0" w:color="auto"/>
                <w:left w:val="none" w:sz="0" w:space="0" w:color="auto"/>
                <w:bottom w:val="none" w:sz="0" w:space="0" w:color="auto"/>
                <w:right w:val="none" w:sz="0" w:space="0" w:color="auto"/>
              </w:divBdr>
              <w:divsChild>
                <w:div w:id="714961427">
                  <w:marLeft w:val="0"/>
                  <w:marRight w:val="0"/>
                  <w:marTop w:val="0"/>
                  <w:marBottom w:val="0"/>
                  <w:divBdr>
                    <w:top w:val="none" w:sz="0" w:space="0" w:color="auto"/>
                    <w:left w:val="none" w:sz="0" w:space="0" w:color="auto"/>
                    <w:bottom w:val="none" w:sz="0" w:space="0" w:color="auto"/>
                    <w:right w:val="none" w:sz="0" w:space="0" w:color="auto"/>
                  </w:divBdr>
                  <w:divsChild>
                    <w:div w:id="959532012">
                      <w:marLeft w:val="0"/>
                      <w:marRight w:val="0"/>
                      <w:marTop w:val="0"/>
                      <w:marBottom w:val="0"/>
                      <w:divBdr>
                        <w:top w:val="none" w:sz="0" w:space="0" w:color="auto"/>
                        <w:left w:val="none" w:sz="0" w:space="0" w:color="auto"/>
                        <w:bottom w:val="none" w:sz="0" w:space="0" w:color="auto"/>
                        <w:right w:val="none" w:sz="0" w:space="0" w:color="auto"/>
                      </w:divBdr>
                      <w:divsChild>
                        <w:div w:id="1780027164">
                          <w:marLeft w:val="0"/>
                          <w:marRight w:val="0"/>
                          <w:marTop w:val="0"/>
                          <w:marBottom w:val="0"/>
                          <w:divBdr>
                            <w:top w:val="none" w:sz="0" w:space="0" w:color="auto"/>
                            <w:left w:val="none" w:sz="0" w:space="0" w:color="auto"/>
                            <w:bottom w:val="none" w:sz="0" w:space="0" w:color="auto"/>
                            <w:right w:val="none" w:sz="0" w:space="0" w:color="auto"/>
                          </w:divBdr>
                          <w:divsChild>
                            <w:div w:id="1344669899">
                              <w:marLeft w:val="0"/>
                              <w:marRight w:val="0"/>
                              <w:marTop w:val="0"/>
                              <w:marBottom w:val="0"/>
                              <w:divBdr>
                                <w:top w:val="none" w:sz="0" w:space="0" w:color="auto"/>
                                <w:left w:val="none" w:sz="0" w:space="0" w:color="auto"/>
                                <w:bottom w:val="none" w:sz="0" w:space="0" w:color="auto"/>
                                <w:right w:val="none" w:sz="0" w:space="0" w:color="auto"/>
                              </w:divBdr>
                              <w:divsChild>
                                <w:div w:id="1921941161">
                                  <w:marLeft w:val="0"/>
                                  <w:marRight w:val="0"/>
                                  <w:marTop w:val="0"/>
                                  <w:marBottom w:val="0"/>
                                  <w:divBdr>
                                    <w:top w:val="none" w:sz="0" w:space="0" w:color="auto"/>
                                    <w:left w:val="none" w:sz="0" w:space="0" w:color="auto"/>
                                    <w:bottom w:val="none" w:sz="0" w:space="0" w:color="auto"/>
                                    <w:right w:val="none" w:sz="0" w:space="0" w:color="auto"/>
                                  </w:divBdr>
                                  <w:divsChild>
                                    <w:div w:id="1253204595">
                                      <w:marLeft w:val="0"/>
                                      <w:marRight w:val="0"/>
                                      <w:marTop w:val="0"/>
                                      <w:marBottom w:val="0"/>
                                      <w:divBdr>
                                        <w:top w:val="none" w:sz="0" w:space="0" w:color="auto"/>
                                        <w:left w:val="none" w:sz="0" w:space="0" w:color="auto"/>
                                        <w:bottom w:val="none" w:sz="0" w:space="0" w:color="auto"/>
                                        <w:right w:val="none" w:sz="0" w:space="0" w:color="auto"/>
                                      </w:divBdr>
                                      <w:divsChild>
                                        <w:div w:id="1487090510">
                                          <w:marLeft w:val="0"/>
                                          <w:marRight w:val="0"/>
                                          <w:marTop w:val="0"/>
                                          <w:marBottom w:val="0"/>
                                          <w:divBdr>
                                            <w:top w:val="none" w:sz="0" w:space="0" w:color="auto"/>
                                            <w:left w:val="none" w:sz="0" w:space="0" w:color="auto"/>
                                            <w:bottom w:val="none" w:sz="0" w:space="0" w:color="auto"/>
                                            <w:right w:val="none" w:sz="0" w:space="0" w:color="auto"/>
                                          </w:divBdr>
                                          <w:divsChild>
                                            <w:div w:id="583808069">
                                              <w:marLeft w:val="0"/>
                                              <w:marRight w:val="0"/>
                                              <w:marTop w:val="0"/>
                                              <w:marBottom w:val="0"/>
                                              <w:divBdr>
                                                <w:top w:val="none" w:sz="0" w:space="0" w:color="auto"/>
                                                <w:left w:val="none" w:sz="0" w:space="0" w:color="auto"/>
                                                <w:bottom w:val="none" w:sz="0" w:space="0" w:color="auto"/>
                                                <w:right w:val="none" w:sz="0" w:space="0" w:color="auto"/>
                                              </w:divBdr>
                                              <w:divsChild>
                                                <w:div w:id="2123451438">
                                                  <w:marLeft w:val="0"/>
                                                  <w:marRight w:val="0"/>
                                                  <w:marTop w:val="0"/>
                                                  <w:marBottom w:val="0"/>
                                                  <w:divBdr>
                                                    <w:top w:val="none" w:sz="0" w:space="0" w:color="auto"/>
                                                    <w:left w:val="none" w:sz="0" w:space="0" w:color="auto"/>
                                                    <w:bottom w:val="none" w:sz="0" w:space="0" w:color="auto"/>
                                                    <w:right w:val="none" w:sz="0" w:space="0" w:color="auto"/>
                                                  </w:divBdr>
                                                  <w:divsChild>
                                                    <w:div w:id="1606228236">
                                                      <w:marLeft w:val="0"/>
                                                      <w:marRight w:val="0"/>
                                                      <w:marTop w:val="0"/>
                                                      <w:marBottom w:val="0"/>
                                                      <w:divBdr>
                                                        <w:top w:val="none" w:sz="0" w:space="0" w:color="auto"/>
                                                        <w:left w:val="none" w:sz="0" w:space="0" w:color="auto"/>
                                                        <w:bottom w:val="none" w:sz="0" w:space="0" w:color="auto"/>
                                                        <w:right w:val="none" w:sz="0" w:space="0" w:color="auto"/>
                                                      </w:divBdr>
                                                      <w:divsChild>
                                                        <w:div w:id="910118239">
                                                          <w:marLeft w:val="0"/>
                                                          <w:marRight w:val="0"/>
                                                          <w:marTop w:val="0"/>
                                                          <w:marBottom w:val="0"/>
                                                          <w:divBdr>
                                                            <w:top w:val="none" w:sz="0" w:space="0" w:color="auto"/>
                                                            <w:left w:val="none" w:sz="0" w:space="0" w:color="auto"/>
                                                            <w:bottom w:val="none" w:sz="0" w:space="0" w:color="auto"/>
                                                            <w:right w:val="none" w:sz="0" w:space="0" w:color="auto"/>
                                                          </w:divBdr>
                                                          <w:divsChild>
                                                            <w:div w:id="3278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527306">
      <w:bodyDiv w:val="1"/>
      <w:marLeft w:val="0"/>
      <w:marRight w:val="0"/>
      <w:marTop w:val="0"/>
      <w:marBottom w:val="0"/>
      <w:divBdr>
        <w:top w:val="none" w:sz="0" w:space="0" w:color="auto"/>
        <w:left w:val="none" w:sz="0" w:space="0" w:color="auto"/>
        <w:bottom w:val="none" w:sz="0" w:space="0" w:color="auto"/>
        <w:right w:val="none" w:sz="0" w:space="0" w:color="auto"/>
      </w:divBdr>
    </w:div>
    <w:div w:id="1662198287">
      <w:bodyDiv w:val="1"/>
      <w:marLeft w:val="0"/>
      <w:marRight w:val="0"/>
      <w:marTop w:val="0"/>
      <w:marBottom w:val="0"/>
      <w:divBdr>
        <w:top w:val="none" w:sz="0" w:space="0" w:color="auto"/>
        <w:left w:val="none" w:sz="0" w:space="0" w:color="auto"/>
        <w:bottom w:val="none" w:sz="0" w:space="0" w:color="auto"/>
        <w:right w:val="none" w:sz="0" w:space="0" w:color="auto"/>
      </w:divBdr>
    </w:div>
    <w:div w:id="1700662372">
      <w:bodyDiv w:val="1"/>
      <w:marLeft w:val="0"/>
      <w:marRight w:val="0"/>
      <w:marTop w:val="0"/>
      <w:marBottom w:val="0"/>
      <w:divBdr>
        <w:top w:val="none" w:sz="0" w:space="0" w:color="auto"/>
        <w:left w:val="none" w:sz="0" w:space="0" w:color="auto"/>
        <w:bottom w:val="none" w:sz="0" w:space="0" w:color="auto"/>
        <w:right w:val="none" w:sz="0" w:space="0" w:color="auto"/>
      </w:divBdr>
    </w:div>
    <w:div w:id="1701202619">
      <w:bodyDiv w:val="1"/>
      <w:marLeft w:val="0"/>
      <w:marRight w:val="0"/>
      <w:marTop w:val="0"/>
      <w:marBottom w:val="0"/>
      <w:divBdr>
        <w:top w:val="none" w:sz="0" w:space="0" w:color="auto"/>
        <w:left w:val="none" w:sz="0" w:space="0" w:color="auto"/>
        <w:bottom w:val="none" w:sz="0" w:space="0" w:color="auto"/>
        <w:right w:val="none" w:sz="0" w:space="0" w:color="auto"/>
      </w:divBdr>
    </w:div>
    <w:div w:id="1713266462">
      <w:bodyDiv w:val="1"/>
      <w:marLeft w:val="0"/>
      <w:marRight w:val="0"/>
      <w:marTop w:val="0"/>
      <w:marBottom w:val="0"/>
      <w:divBdr>
        <w:top w:val="none" w:sz="0" w:space="0" w:color="auto"/>
        <w:left w:val="none" w:sz="0" w:space="0" w:color="auto"/>
        <w:bottom w:val="none" w:sz="0" w:space="0" w:color="auto"/>
        <w:right w:val="none" w:sz="0" w:space="0" w:color="auto"/>
      </w:divBdr>
    </w:div>
    <w:div w:id="1728799455">
      <w:bodyDiv w:val="1"/>
      <w:marLeft w:val="0"/>
      <w:marRight w:val="0"/>
      <w:marTop w:val="0"/>
      <w:marBottom w:val="0"/>
      <w:divBdr>
        <w:top w:val="none" w:sz="0" w:space="0" w:color="auto"/>
        <w:left w:val="none" w:sz="0" w:space="0" w:color="auto"/>
        <w:bottom w:val="none" w:sz="0" w:space="0" w:color="auto"/>
        <w:right w:val="none" w:sz="0" w:space="0" w:color="auto"/>
      </w:divBdr>
    </w:div>
    <w:div w:id="1737313224">
      <w:bodyDiv w:val="1"/>
      <w:marLeft w:val="0"/>
      <w:marRight w:val="0"/>
      <w:marTop w:val="0"/>
      <w:marBottom w:val="0"/>
      <w:divBdr>
        <w:top w:val="none" w:sz="0" w:space="0" w:color="auto"/>
        <w:left w:val="none" w:sz="0" w:space="0" w:color="auto"/>
        <w:bottom w:val="none" w:sz="0" w:space="0" w:color="auto"/>
        <w:right w:val="none" w:sz="0" w:space="0" w:color="auto"/>
      </w:divBdr>
    </w:div>
    <w:div w:id="1757047772">
      <w:bodyDiv w:val="1"/>
      <w:marLeft w:val="0"/>
      <w:marRight w:val="0"/>
      <w:marTop w:val="0"/>
      <w:marBottom w:val="0"/>
      <w:divBdr>
        <w:top w:val="none" w:sz="0" w:space="0" w:color="auto"/>
        <w:left w:val="none" w:sz="0" w:space="0" w:color="auto"/>
        <w:bottom w:val="none" w:sz="0" w:space="0" w:color="auto"/>
        <w:right w:val="none" w:sz="0" w:space="0" w:color="auto"/>
      </w:divBdr>
    </w:div>
    <w:div w:id="1792819806">
      <w:bodyDiv w:val="1"/>
      <w:marLeft w:val="0"/>
      <w:marRight w:val="0"/>
      <w:marTop w:val="0"/>
      <w:marBottom w:val="0"/>
      <w:divBdr>
        <w:top w:val="none" w:sz="0" w:space="0" w:color="auto"/>
        <w:left w:val="none" w:sz="0" w:space="0" w:color="auto"/>
        <w:bottom w:val="none" w:sz="0" w:space="0" w:color="auto"/>
        <w:right w:val="none" w:sz="0" w:space="0" w:color="auto"/>
      </w:divBdr>
      <w:divsChild>
        <w:div w:id="365065954">
          <w:marLeft w:val="0"/>
          <w:marRight w:val="0"/>
          <w:marTop w:val="0"/>
          <w:marBottom w:val="0"/>
          <w:divBdr>
            <w:top w:val="none" w:sz="0" w:space="0" w:color="auto"/>
            <w:left w:val="none" w:sz="0" w:space="0" w:color="auto"/>
            <w:bottom w:val="none" w:sz="0" w:space="0" w:color="auto"/>
            <w:right w:val="none" w:sz="0" w:space="0" w:color="auto"/>
          </w:divBdr>
          <w:divsChild>
            <w:div w:id="2001273339">
              <w:marLeft w:val="0"/>
              <w:marRight w:val="0"/>
              <w:marTop w:val="0"/>
              <w:marBottom w:val="0"/>
              <w:divBdr>
                <w:top w:val="none" w:sz="0" w:space="0" w:color="auto"/>
                <w:left w:val="none" w:sz="0" w:space="0" w:color="auto"/>
                <w:bottom w:val="none" w:sz="0" w:space="0" w:color="auto"/>
                <w:right w:val="none" w:sz="0" w:space="0" w:color="auto"/>
              </w:divBdr>
              <w:divsChild>
                <w:div w:id="1535534684">
                  <w:marLeft w:val="0"/>
                  <w:marRight w:val="0"/>
                  <w:marTop w:val="0"/>
                  <w:marBottom w:val="0"/>
                  <w:divBdr>
                    <w:top w:val="none" w:sz="0" w:space="0" w:color="auto"/>
                    <w:left w:val="none" w:sz="0" w:space="0" w:color="auto"/>
                    <w:bottom w:val="none" w:sz="0" w:space="0" w:color="auto"/>
                    <w:right w:val="none" w:sz="0" w:space="0" w:color="auto"/>
                  </w:divBdr>
                  <w:divsChild>
                    <w:div w:id="1019282858">
                      <w:marLeft w:val="0"/>
                      <w:marRight w:val="0"/>
                      <w:marTop w:val="0"/>
                      <w:marBottom w:val="0"/>
                      <w:divBdr>
                        <w:top w:val="none" w:sz="0" w:space="0" w:color="auto"/>
                        <w:left w:val="none" w:sz="0" w:space="0" w:color="auto"/>
                        <w:bottom w:val="none" w:sz="0" w:space="0" w:color="auto"/>
                        <w:right w:val="none" w:sz="0" w:space="0" w:color="auto"/>
                      </w:divBdr>
                      <w:divsChild>
                        <w:div w:id="453134729">
                          <w:marLeft w:val="0"/>
                          <w:marRight w:val="0"/>
                          <w:marTop w:val="0"/>
                          <w:marBottom w:val="0"/>
                          <w:divBdr>
                            <w:top w:val="none" w:sz="0" w:space="0" w:color="auto"/>
                            <w:left w:val="none" w:sz="0" w:space="0" w:color="auto"/>
                            <w:bottom w:val="none" w:sz="0" w:space="0" w:color="auto"/>
                            <w:right w:val="none" w:sz="0" w:space="0" w:color="auto"/>
                          </w:divBdr>
                          <w:divsChild>
                            <w:div w:id="979265397">
                              <w:marLeft w:val="0"/>
                              <w:marRight w:val="0"/>
                              <w:marTop w:val="0"/>
                              <w:marBottom w:val="0"/>
                              <w:divBdr>
                                <w:top w:val="none" w:sz="0" w:space="0" w:color="auto"/>
                                <w:left w:val="none" w:sz="0" w:space="0" w:color="auto"/>
                                <w:bottom w:val="none" w:sz="0" w:space="0" w:color="auto"/>
                                <w:right w:val="none" w:sz="0" w:space="0" w:color="auto"/>
                              </w:divBdr>
                              <w:divsChild>
                                <w:div w:id="1814718232">
                                  <w:marLeft w:val="0"/>
                                  <w:marRight w:val="0"/>
                                  <w:marTop w:val="0"/>
                                  <w:marBottom w:val="0"/>
                                  <w:divBdr>
                                    <w:top w:val="none" w:sz="0" w:space="0" w:color="auto"/>
                                    <w:left w:val="none" w:sz="0" w:space="0" w:color="auto"/>
                                    <w:bottom w:val="none" w:sz="0" w:space="0" w:color="auto"/>
                                    <w:right w:val="none" w:sz="0" w:space="0" w:color="auto"/>
                                  </w:divBdr>
                                  <w:divsChild>
                                    <w:div w:id="1264604926">
                                      <w:marLeft w:val="0"/>
                                      <w:marRight w:val="0"/>
                                      <w:marTop w:val="0"/>
                                      <w:marBottom w:val="0"/>
                                      <w:divBdr>
                                        <w:top w:val="none" w:sz="0" w:space="0" w:color="auto"/>
                                        <w:left w:val="none" w:sz="0" w:space="0" w:color="auto"/>
                                        <w:bottom w:val="none" w:sz="0" w:space="0" w:color="auto"/>
                                        <w:right w:val="none" w:sz="0" w:space="0" w:color="auto"/>
                                      </w:divBdr>
                                      <w:divsChild>
                                        <w:div w:id="1181551792">
                                          <w:marLeft w:val="0"/>
                                          <w:marRight w:val="0"/>
                                          <w:marTop w:val="0"/>
                                          <w:marBottom w:val="0"/>
                                          <w:divBdr>
                                            <w:top w:val="none" w:sz="0" w:space="0" w:color="auto"/>
                                            <w:left w:val="none" w:sz="0" w:space="0" w:color="auto"/>
                                            <w:bottom w:val="none" w:sz="0" w:space="0" w:color="auto"/>
                                            <w:right w:val="none" w:sz="0" w:space="0" w:color="auto"/>
                                          </w:divBdr>
                                          <w:divsChild>
                                            <w:div w:id="1879463076">
                                              <w:marLeft w:val="0"/>
                                              <w:marRight w:val="0"/>
                                              <w:marTop w:val="0"/>
                                              <w:marBottom w:val="0"/>
                                              <w:divBdr>
                                                <w:top w:val="none" w:sz="0" w:space="0" w:color="auto"/>
                                                <w:left w:val="none" w:sz="0" w:space="0" w:color="auto"/>
                                                <w:bottom w:val="none" w:sz="0" w:space="0" w:color="auto"/>
                                                <w:right w:val="none" w:sz="0" w:space="0" w:color="auto"/>
                                              </w:divBdr>
                                              <w:divsChild>
                                                <w:div w:id="1873417781">
                                                  <w:marLeft w:val="0"/>
                                                  <w:marRight w:val="0"/>
                                                  <w:marTop w:val="0"/>
                                                  <w:marBottom w:val="0"/>
                                                  <w:divBdr>
                                                    <w:top w:val="none" w:sz="0" w:space="0" w:color="auto"/>
                                                    <w:left w:val="none" w:sz="0" w:space="0" w:color="auto"/>
                                                    <w:bottom w:val="none" w:sz="0" w:space="0" w:color="auto"/>
                                                    <w:right w:val="none" w:sz="0" w:space="0" w:color="auto"/>
                                                  </w:divBdr>
                                                  <w:divsChild>
                                                    <w:div w:id="653336337">
                                                      <w:marLeft w:val="0"/>
                                                      <w:marRight w:val="0"/>
                                                      <w:marTop w:val="0"/>
                                                      <w:marBottom w:val="0"/>
                                                      <w:divBdr>
                                                        <w:top w:val="none" w:sz="0" w:space="0" w:color="auto"/>
                                                        <w:left w:val="none" w:sz="0" w:space="0" w:color="auto"/>
                                                        <w:bottom w:val="none" w:sz="0" w:space="0" w:color="auto"/>
                                                        <w:right w:val="none" w:sz="0" w:space="0" w:color="auto"/>
                                                      </w:divBdr>
                                                      <w:divsChild>
                                                        <w:div w:id="1177037468">
                                                          <w:marLeft w:val="0"/>
                                                          <w:marRight w:val="0"/>
                                                          <w:marTop w:val="0"/>
                                                          <w:marBottom w:val="0"/>
                                                          <w:divBdr>
                                                            <w:top w:val="none" w:sz="0" w:space="0" w:color="auto"/>
                                                            <w:left w:val="none" w:sz="0" w:space="0" w:color="auto"/>
                                                            <w:bottom w:val="none" w:sz="0" w:space="0" w:color="auto"/>
                                                            <w:right w:val="none" w:sz="0" w:space="0" w:color="auto"/>
                                                          </w:divBdr>
                                                          <w:divsChild>
                                                            <w:div w:id="9338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9781889">
      <w:bodyDiv w:val="1"/>
      <w:marLeft w:val="0"/>
      <w:marRight w:val="0"/>
      <w:marTop w:val="0"/>
      <w:marBottom w:val="0"/>
      <w:divBdr>
        <w:top w:val="none" w:sz="0" w:space="0" w:color="auto"/>
        <w:left w:val="none" w:sz="0" w:space="0" w:color="auto"/>
        <w:bottom w:val="none" w:sz="0" w:space="0" w:color="auto"/>
        <w:right w:val="none" w:sz="0" w:space="0" w:color="auto"/>
      </w:divBdr>
      <w:divsChild>
        <w:div w:id="639723530">
          <w:marLeft w:val="0"/>
          <w:marRight w:val="0"/>
          <w:marTop w:val="0"/>
          <w:marBottom w:val="0"/>
          <w:divBdr>
            <w:top w:val="none" w:sz="0" w:space="0" w:color="auto"/>
            <w:left w:val="none" w:sz="0" w:space="0" w:color="auto"/>
            <w:bottom w:val="none" w:sz="0" w:space="0" w:color="auto"/>
            <w:right w:val="none" w:sz="0" w:space="0" w:color="auto"/>
          </w:divBdr>
          <w:divsChild>
            <w:div w:id="1289317248">
              <w:marLeft w:val="0"/>
              <w:marRight w:val="0"/>
              <w:marTop w:val="0"/>
              <w:marBottom w:val="0"/>
              <w:divBdr>
                <w:top w:val="none" w:sz="0" w:space="0" w:color="auto"/>
                <w:left w:val="none" w:sz="0" w:space="0" w:color="auto"/>
                <w:bottom w:val="none" w:sz="0" w:space="0" w:color="auto"/>
                <w:right w:val="none" w:sz="0" w:space="0" w:color="auto"/>
              </w:divBdr>
              <w:divsChild>
                <w:div w:id="381976570">
                  <w:marLeft w:val="0"/>
                  <w:marRight w:val="0"/>
                  <w:marTop w:val="0"/>
                  <w:marBottom w:val="0"/>
                  <w:divBdr>
                    <w:top w:val="none" w:sz="0" w:space="0" w:color="auto"/>
                    <w:left w:val="none" w:sz="0" w:space="0" w:color="auto"/>
                    <w:bottom w:val="none" w:sz="0" w:space="0" w:color="auto"/>
                    <w:right w:val="none" w:sz="0" w:space="0" w:color="auto"/>
                  </w:divBdr>
                  <w:divsChild>
                    <w:div w:id="71317832">
                      <w:marLeft w:val="0"/>
                      <w:marRight w:val="0"/>
                      <w:marTop w:val="0"/>
                      <w:marBottom w:val="0"/>
                      <w:divBdr>
                        <w:top w:val="none" w:sz="0" w:space="0" w:color="auto"/>
                        <w:left w:val="none" w:sz="0" w:space="0" w:color="auto"/>
                        <w:bottom w:val="none" w:sz="0" w:space="0" w:color="auto"/>
                        <w:right w:val="none" w:sz="0" w:space="0" w:color="auto"/>
                      </w:divBdr>
                      <w:divsChild>
                        <w:div w:id="280428764">
                          <w:marLeft w:val="0"/>
                          <w:marRight w:val="0"/>
                          <w:marTop w:val="0"/>
                          <w:marBottom w:val="0"/>
                          <w:divBdr>
                            <w:top w:val="none" w:sz="0" w:space="0" w:color="auto"/>
                            <w:left w:val="none" w:sz="0" w:space="0" w:color="auto"/>
                            <w:bottom w:val="none" w:sz="0" w:space="0" w:color="auto"/>
                            <w:right w:val="none" w:sz="0" w:space="0" w:color="auto"/>
                          </w:divBdr>
                          <w:divsChild>
                            <w:div w:id="635184114">
                              <w:marLeft w:val="0"/>
                              <w:marRight w:val="0"/>
                              <w:marTop w:val="0"/>
                              <w:marBottom w:val="0"/>
                              <w:divBdr>
                                <w:top w:val="none" w:sz="0" w:space="0" w:color="auto"/>
                                <w:left w:val="none" w:sz="0" w:space="0" w:color="auto"/>
                                <w:bottom w:val="none" w:sz="0" w:space="0" w:color="auto"/>
                                <w:right w:val="none" w:sz="0" w:space="0" w:color="auto"/>
                              </w:divBdr>
                              <w:divsChild>
                                <w:div w:id="265622293">
                                  <w:marLeft w:val="0"/>
                                  <w:marRight w:val="0"/>
                                  <w:marTop w:val="0"/>
                                  <w:marBottom w:val="0"/>
                                  <w:divBdr>
                                    <w:top w:val="none" w:sz="0" w:space="0" w:color="auto"/>
                                    <w:left w:val="none" w:sz="0" w:space="0" w:color="auto"/>
                                    <w:bottom w:val="none" w:sz="0" w:space="0" w:color="auto"/>
                                    <w:right w:val="none" w:sz="0" w:space="0" w:color="auto"/>
                                  </w:divBdr>
                                  <w:divsChild>
                                    <w:div w:id="1351301902">
                                      <w:marLeft w:val="0"/>
                                      <w:marRight w:val="0"/>
                                      <w:marTop w:val="0"/>
                                      <w:marBottom w:val="0"/>
                                      <w:divBdr>
                                        <w:top w:val="none" w:sz="0" w:space="0" w:color="auto"/>
                                        <w:left w:val="none" w:sz="0" w:space="0" w:color="auto"/>
                                        <w:bottom w:val="none" w:sz="0" w:space="0" w:color="auto"/>
                                        <w:right w:val="none" w:sz="0" w:space="0" w:color="auto"/>
                                      </w:divBdr>
                                      <w:divsChild>
                                        <w:div w:id="216741877">
                                          <w:marLeft w:val="0"/>
                                          <w:marRight w:val="0"/>
                                          <w:marTop w:val="0"/>
                                          <w:marBottom w:val="0"/>
                                          <w:divBdr>
                                            <w:top w:val="none" w:sz="0" w:space="0" w:color="auto"/>
                                            <w:left w:val="none" w:sz="0" w:space="0" w:color="auto"/>
                                            <w:bottom w:val="none" w:sz="0" w:space="0" w:color="auto"/>
                                            <w:right w:val="none" w:sz="0" w:space="0" w:color="auto"/>
                                          </w:divBdr>
                                          <w:divsChild>
                                            <w:div w:id="643970539">
                                              <w:marLeft w:val="0"/>
                                              <w:marRight w:val="0"/>
                                              <w:marTop w:val="0"/>
                                              <w:marBottom w:val="0"/>
                                              <w:divBdr>
                                                <w:top w:val="none" w:sz="0" w:space="0" w:color="auto"/>
                                                <w:left w:val="none" w:sz="0" w:space="0" w:color="auto"/>
                                                <w:bottom w:val="none" w:sz="0" w:space="0" w:color="auto"/>
                                                <w:right w:val="none" w:sz="0" w:space="0" w:color="auto"/>
                                              </w:divBdr>
                                              <w:divsChild>
                                                <w:div w:id="686518451">
                                                  <w:marLeft w:val="0"/>
                                                  <w:marRight w:val="0"/>
                                                  <w:marTop w:val="0"/>
                                                  <w:marBottom w:val="0"/>
                                                  <w:divBdr>
                                                    <w:top w:val="none" w:sz="0" w:space="0" w:color="auto"/>
                                                    <w:left w:val="none" w:sz="0" w:space="0" w:color="auto"/>
                                                    <w:bottom w:val="none" w:sz="0" w:space="0" w:color="auto"/>
                                                    <w:right w:val="none" w:sz="0" w:space="0" w:color="auto"/>
                                                  </w:divBdr>
                                                  <w:divsChild>
                                                    <w:div w:id="1878393697">
                                                      <w:marLeft w:val="0"/>
                                                      <w:marRight w:val="0"/>
                                                      <w:marTop w:val="0"/>
                                                      <w:marBottom w:val="0"/>
                                                      <w:divBdr>
                                                        <w:top w:val="none" w:sz="0" w:space="0" w:color="auto"/>
                                                        <w:left w:val="none" w:sz="0" w:space="0" w:color="auto"/>
                                                        <w:bottom w:val="none" w:sz="0" w:space="0" w:color="auto"/>
                                                        <w:right w:val="none" w:sz="0" w:space="0" w:color="auto"/>
                                                      </w:divBdr>
                                                      <w:divsChild>
                                                        <w:div w:id="1463963263">
                                                          <w:marLeft w:val="0"/>
                                                          <w:marRight w:val="0"/>
                                                          <w:marTop w:val="0"/>
                                                          <w:marBottom w:val="0"/>
                                                          <w:divBdr>
                                                            <w:top w:val="none" w:sz="0" w:space="0" w:color="auto"/>
                                                            <w:left w:val="none" w:sz="0" w:space="0" w:color="auto"/>
                                                            <w:bottom w:val="none" w:sz="0" w:space="0" w:color="auto"/>
                                                            <w:right w:val="none" w:sz="0" w:space="0" w:color="auto"/>
                                                          </w:divBdr>
                                                          <w:divsChild>
                                                            <w:div w:id="18930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2448341">
      <w:bodyDiv w:val="1"/>
      <w:marLeft w:val="0"/>
      <w:marRight w:val="0"/>
      <w:marTop w:val="0"/>
      <w:marBottom w:val="0"/>
      <w:divBdr>
        <w:top w:val="none" w:sz="0" w:space="0" w:color="auto"/>
        <w:left w:val="none" w:sz="0" w:space="0" w:color="auto"/>
        <w:bottom w:val="none" w:sz="0" w:space="0" w:color="auto"/>
        <w:right w:val="none" w:sz="0" w:space="0" w:color="auto"/>
      </w:divBdr>
    </w:div>
    <w:div w:id="1862009161">
      <w:bodyDiv w:val="1"/>
      <w:marLeft w:val="0"/>
      <w:marRight w:val="0"/>
      <w:marTop w:val="0"/>
      <w:marBottom w:val="0"/>
      <w:divBdr>
        <w:top w:val="none" w:sz="0" w:space="0" w:color="auto"/>
        <w:left w:val="none" w:sz="0" w:space="0" w:color="auto"/>
        <w:bottom w:val="none" w:sz="0" w:space="0" w:color="auto"/>
        <w:right w:val="none" w:sz="0" w:space="0" w:color="auto"/>
      </w:divBdr>
    </w:div>
    <w:div w:id="1905526736">
      <w:bodyDiv w:val="1"/>
      <w:marLeft w:val="0"/>
      <w:marRight w:val="0"/>
      <w:marTop w:val="0"/>
      <w:marBottom w:val="0"/>
      <w:divBdr>
        <w:top w:val="none" w:sz="0" w:space="0" w:color="auto"/>
        <w:left w:val="none" w:sz="0" w:space="0" w:color="auto"/>
        <w:bottom w:val="none" w:sz="0" w:space="0" w:color="auto"/>
        <w:right w:val="none" w:sz="0" w:space="0" w:color="auto"/>
      </w:divBdr>
      <w:divsChild>
        <w:div w:id="634027590">
          <w:marLeft w:val="0"/>
          <w:marRight w:val="0"/>
          <w:marTop w:val="0"/>
          <w:marBottom w:val="0"/>
          <w:divBdr>
            <w:top w:val="none" w:sz="0" w:space="0" w:color="auto"/>
            <w:left w:val="none" w:sz="0" w:space="0" w:color="auto"/>
            <w:bottom w:val="none" w:sz="0" w:space="0" w:color="auto"/>
            <w:right w:val="none" w:sz="0" w:space="0" w:color="auto"/>
          </w:divBdr>
          <w:divsChild>
            <w:div w:id="1091504990">
              <w:marLeft w:val="0"/>
              <w:marRight w:val="0"/>
              <w:marTop w:val="0"/>
              <w:marBottom w:val="0"/>
              <w:divBdr>
                <w:top w:val="none" w:sz="0" w:space="0" w:color="auto"/>
                <w:left w:val="none" w:sz="0" w:space="0" w:color="auto"/>
                <w:bottom w:val="none" w:sz="0" w:space="0" w:color="auto"/>
                <w:right w:val="none" w:sz="0" w:space="0" w:color="auto"/>
              </w:divBdr>
              <w:divsChild>
                <w:div w:id="842744758">
                  <w:marLeft w:val="0"/>
                  <w:marRight w:val="0"/>
                  <w:marTop w:val="0"/>
                  <w:marBottom w:val="0"/>
                  <w:divBdr>
                    <w:top w:val="none" w:sz="0" w:space="0" w:color="auto"/>
                    <w:left w:val="none" w:sz="0" w:space="0" w:color="auto"/>
                    <w:bottom w:val="none" w:sz="0" w:space="0" w:color="auto"/>
                    <w:right w:val="none" w:sz="0" w:space="0" w:color="auto"/>
                  </w:divBdr>
                  <w:divsChild>
                    <w:div w:id="128595463">
                      <w:marLeft w:val="0"/>
                      <w:marRight w:val="0"/>
                      <w:marTop w:val="0"/>
                      <w:marBottom w:val="0"/>
                      <w:divBdr>
                        <w:top w:val="none" w:sz="0" w:space="0" w:color="auto"/>
                        <w:left w:val="none" w:sz="0" w:space="0" w:color="auto"/>
                        <w:bottom w:val="none" w:sz="0" w:space="0" w:color="auto"/>
                        <w:right w:val="none" w:sz="0" w:space="0" w:color="auto"/>
                      </w:divBdr>
                      <w:divsChild>
                        <w:div w:id="1067655227">
                          <w:marLeft w:val="0"/>
                          <w:marRight w:val="0"/>
                          <w:marTop w:val="0"/>
                          <w:marBottom w:val="0"/>
                          <w:divBdr>
                            <w:top w:val="none" w:sz="0" w:space="0" w:color="auto"/>
                            <w:left w:val="none" w:sz="0" w:space="0" w:color="auto"/>
                            <w:bottom w:val="none" w:sz="0" w:space="0" w:color="auto"/>
                            <w:right w:val="none" w:sz="0" w:space="0" w:color="auto"/>
                          </w:divBdr>
                          <w:divsChild>
                            <w:div w:id="1744521620">
                              <w:marLeft w:val="0"/>
                              <w:marRight w:val="0"/>
                              <w:marTop w:val="0"/>
                              <w:marBottom w:val="0"/>
                              <w:divBdr>
                                <w:top w:val="none" w:sz="0" w:space="0" w:color="auto"/>
                                <w:left w:val="none" w:sz="0" w:space="0" w:color="auto"/>
                                <w:bottom w:val="none" w:sz="0" w:space="0" w:color="auto"/>
                                <w:right w:val="none" w:sz="0" w:space="0" w:color="auto"/>
                              </w:divBdr>
                              <w:divsChild>
                                <w:div w:id="273249431">
                                  <w:marLeft w:val="0"/>
                                  <w:marRight w:val="0"/>
                                  <w:marTop w:val="0"/>
                                  <w:marBottom w:val="0"/>
                                  <w:divBdr>
                                    <w:top w:val="none" w:sz="0" w:space="0" w:color="auto"/>
                                    <w:left w:val="none" w:sz="0" w:space="0" w:color="auto"/>
                                    <w:bottom w:val="none" w:sz="0" w:space="0" w:color="auto"/>
                                    <w:right w:val="none" w:sz="0" w:space="0" w:color="auto"/>
                                  </w:divBdr>
                                  <w:divsChild>
                                    <w:div w:id="112019164">
                                      <w:marLeft w:val="0"/>
                                      <w:marRight w:val="0"/>
                                      <w:marTop w:val="0"/>
                                      <w:marBottom w:val="0"/>
                                      <w:divBdr>
                                        <w:top w:val="none" w:sz="0" w:space="0" w:color="auto"/>
                                        <w:left w:val="none" w:sz="0" w:space="0" w:color="auto"/>
                                        <w:bottom w:val="none" w:sz="0" w:space="0" w:color="auto"/>
                                        <w:right w:val="none" w:sz="0" w:space="0" w:color="auto"/>
                                      </w:divBdr>
                                      <w:divsChild>
                                        <w:div w:id="1104303824">
                                          <w:marLeft w:val="0"/>
                                          <w:marRight w:val="0"/>
                                          <w:marTop w:val="0"/>
                                          <w:marBottom w:val="0"/>
                                          <w:divBdr>
                                            <w:top w:val="none" w:sz="0" w:space="0" w:color="auto"/>
                                            <w:left w:val="none" w:sz="0" w:space="0" w:color="auto"/>
                                            <w:bottom w:val="none" w:sz="0" w:space="0" w:color="auto"/>
                                            <w:right w:val="none" w:sz="0" w:space="0" w:color="auto"/>
                                          </w:divBdr>
                                          <w:divsChild>
                                            <w:div w:id="1650136334">
                                              <w:marLeft w:val="0"/>
                                              <w:marRight w:val="0"/>
                                              <w:marTop w:val="0"/>
                                              <w:marBottom w:val="0"/>
                                              <w:divBdr>
                                                <w:top w:val="none" w:sz="0" w:space="0" w:color="auto"/>
                                                <w:left w:val="none" w:sz="0" w:space="0" w:color="auto"/>
                                                <w:bottom w:val="none" w:sz="0" w:space="0" w:color="auto"/>
                                                <w:right w:val="none" w:sz="0" w:space="0" w:color="auto"/>
                                              </w:divBdr>
                                              <w:divsChild>
                                                <w:div w:id="1119882257">
                                                  <w:marLeft w:val="0"/>
                                                  <w:marRight w:val="0"/>
                                                  <w:marTop w:val="0"/>
                                                  <w:marBottom w:val="0"/>
                                                  <w:divBdr>
                                                    <w:top w:val="none" w:sz="0" w:space="0" w:color="auto"/>
                                                    <w:left w:val="none" w:sz="0" w:space="0" w:color="auto"/>
                                                    <w:bottom w:val="none" w:sz="0" w:space="0" w:color="auto"/>
                                                    <w:right w:val="none" w:sz="0" w:space="0" w:color="auto"/>
                                                  </w:divBdr>
                                                  <w:divsChild>
                                                    <w:div w:id="347218918">
                                                      <w:marLeft w:val="0"/>
                                                      <w:marRight w:val="0"/>
                                                      <w:marTop w:val="0"/>
                                                      <w:marBottom w:val="0"/>
                                                      <w:divBdr>
                                                        <w:top w:val="none" w:sz="0" w:space="0" w:color="auto"/>
                                                        <w:left w:val="none" w:sz="0" w:space="0" w:color="auto"/>
                                                        <w:bottom w:val="none" w:sz="0" w:space="0" w:color="auto"/>
                                                        <w:right w:val="none" w:sz="0" w:space="0" w:color="auto"/>
                                                      </w:divBdr>
                                                      <w:divsChild>
                                                        <w:div w:id="179395050">
                                                          <w:marLeft w:val="0"/>
                                                          <w:marRight w:val="0"/>
                                                          <w:marTop w:val="0"/>
                                                          <w:marBottom w:val="0"/>
                                                          <w:divBdr>
                                                            <w:top w:val="none" w:sz="0" w:space="0" w:color="auto"/>
                                                            <w:left w:val="none" w:sz="0" w:space="0" w:color="auto"/>
                                                            <w:bottom w:val="none" w:sz="0" w:space="0" w:color="auto"/>
                                                            <w:right w:val="none" w:sz="0" w:space="0" w:color="auto"/>
                                                          </w:divBdr>
                                                          <w:divsChild>
                                                            <w:div w:id="8179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323607">
      <w:bodyDiv w:val="1"/>
      <w:marLeft w:val="0"/>
      <w:marRight w:val="0"/>
      <w:marTop w:val="0"/>
      <w:marBottom w:val="0"/>
      <w:divBdr>
        <w:top w:val="none" w:sz="0" w:space="0" w:color="auto"/>
        <w:left w:val="none" w:sz="0" w:space="0" w:color="auto"/>
        <w:bottom w:val="none" w:sz="0" w:space="0" w:color="auto"/>
        <w:right w:val="none" w:sz="0" w:space="0" w:color="auto"/>
      </w:divBdr>
    </w:div>
    <w:div w:id="1987779610">
      <w:bodyDiv w:val="1"/>
      <w:marLeft w:val="0"/>
      <w:marRight w:val="0"/>
      <w:marTop w:val="0"/>
      <w:marBottom w:val="0"/>
      <w:divBdr>
        <w:top w:val="none" w:sz="0" w:space="0" w:color="auto"/>
        <w:left w:val="none" w:sz="0" w:space="0" w:color="auto"/>
        <w:bottom w:val="none" w:sz="0" w:space="0" w:color="auto"/>
        <w:right w:val="none" w:sz="0" w:space="0" w:color="auto"/>
      </w:divBdr>
    </w:div>
    <w:div w:id="2006128846">
      <w:bodyDiv w:val="1"/>
      <w:marLeft w:val="0"/>
      <w:marRight w:val="0"/>
      <w:marTop w:val="0"/>
      <w:marBottom w:val="0"/>
      <w:divBdr>
        <w:top w:val="none" w:sz="0" w:space="0" w:color="auto"/>
        <w:left w:val="none" w:sz="0" w:space="0" w:color="auto"/>
        <w:bottom w:val="none" w:sz="0" w:space="0" w:color="auto"/>
        <w:right w:val="none" w:sz="0" w:space="0" w:color="auto"/>
      </w:divBdr>
    </w:div>
    <w:div w:id="2027712271">
      <w:bodyDiv w:val="1"/>
      <w:marLeft w:val="0"/>
      <w:marRight w:val="0"/>
      <w:marTop w:val="0"/>
      <w:marBottom w:val="0"/>
      <w:divBdr>
        <w:top w:val="none" w:sz="0" w:space="0" w:color="auto"/>
        <w:left w:val="none" w:sz="0" w:space="0" w:color="auto"/>
        <w:bottom w:val="none" w:sz="0" w:space="0" w:color="auto"/>
        <w:right w:val="none" w:sz="0" w:space="0" w:color="auto"/>
      </w:divBdr>
    </w:div>
    <w:div w:id="2032487478">
      <w:bodyDiv w:val="1"/>
      <w:marLeft w:val="0"/>
      <w:marRight w:val="0"/>
      <w:marTop w:val="0"/>
      <w:marBottom w:val="0"/>
      <w:divBdr>
        <w:top w:val="none" w:sz="0" w:space="0" w:color="auto"/>
        <w:left w:val="none" w:sz="0" w:space="0" w:color="auto"/>
        <w:bottom w:val="none" w:sz="0" w:space="0" w:color="auto"/>
        <w:right w:val="none" w:sz="0" w:space="0" w:color="auto"/>
      </w:divBdr>
      <w:divsChild>
        <w:div w:id="912666597">
          <w:marLeft w:val="0"/>
          <w:marRight w:val="0"/>
          <w:marTop w:val="0"/>
          <w:marBottom w:val="0"/>
          <w:divBdr>
            <w:top w:val="none" w:sz="0" w:space="0" w:color="auto"/>
            <w:left w:val="none" w:sz="0" w:space="0" w:color="auto"/>
            <w:bottom w:val="none" w:sz="0" w:space="0" w:color="auto"/>
            <w:right w:val="none" w:sz="0" w:space="0" w:color="auto"/>
          </w:divBdr>
          <w:divsChild>
            <w:div w:id="1028407916">
              <w:marLeft w:val="0"/>
              <w:marRight w:val="0"/>
              <w:marTop w:val="0"/>
              <w:marBottom w:val="0"/>
              <w:divBdr>
                <w:top w:val="none" w:sz="0" w:space="0" w:color="auto"/>
                <w:left w:val="none" w:sz="0" w:space="0" w:color="auto"/>
                <w:bottom w:val="none" w:sz="0" w:space="0" w:color="auto"/>
                <w:right w:val="none" w:sz="0" w:space="0" w:color="auto"/>
              </w:divBdr>
              <w:divsChild>
                <w:div w:id="355928590">
                  <w:marLeft w:val="0"/>
                  <w:marRight w:val="0"/>
                  <w:marTop w:val="0"/>
                  <w:marBottom w:val="0"/>
                  <w:divBdr>
                    <w:top w:val="none" w:sz="0" w:space="0" w:color="auto"/>
                    <w:left w:val="none" w:sz="0" w:space="0" w:color="auto"/>
                    <w:bottom w:val="none" w:sz="0" w:space="0" w:color="auto"/>
                    <w:right w:val="none" w:sz="0" w:space="0" w:color="auto"/>
                  </w:divBdr>
                  <w:divsChild>
                    <w:div w:id="289750247">
                      <w:marLeft w:val="0"/>
                      <w:marRight w:val="0"/>
                      <w:marTop w:val="0"/>
                      <w:marBottom w:val="0"/>
                      <w:divBdr>
                        <w:top w:val="none" w:sz="0" w:space="0" w:color="auto"/>
                        <w:left w:val="none" w:sz="0" w:space="0" w:color="auto"/>
                        <w:bottom w:val="none" w:sz="0" w:space="0" w:color="auto"/>
                        <w:right w:val="none" w:sz="0" w:space="0" w:color="auto"/>
                      </w:divBdr>
                      <w:divsChild>
                        <w:div w:id="325715682">
                          <w:marLeft w:val="0"/>
                          <w:marRight w:val="0"/>
                          <w:marTop w:val="0"/>
                          <w:marBottom w:val="0"/>
                          <w:divBdr>
                            <w:top w:val="none" w:sz="0" w:space="0" w:color="auto"/>
                            <w:left w:val="none" w:sz="0" w:space="0" w:color="auto"/>
                            <w:bottom w:val="none" w:sz="0" w:space="0" w:color="auto"/>
                            <w:right w:val="none" w:sz="0" w:space="0" w:color="auto"/>
                          </w:divBdr>
                          <w:divsChild>
                            <w:div w:id="1612319001">
                              <w:marLeft w:val="0"/>
                              <w:marRight w:val="0"/>
                              <w:marTop w:val="0"/>
                              <w:marBottom w:val="0"/>
                              <w:divBdr>
                                <w:top w:val="none" w:sz="0" w:space="0" w:color="auto"/>
                                <w:left w:val="none" w:sz="0" w:space="0" w:color="auto"/>
                                <w:bottom w:val="none" w:sz="0" w:space="0" w:color="auto"/>
                                <w:right w:val="none" w:sz="0" w:space="0" w:color="auto"/>
                              </w:divBdr>
                              <w:divsChild>
                                <w:div w:id="144863175">
                                  <w:marLeft w:val="0"/>
                                  <w:marRight w:val="0"/>
                                  <w:marTop w:val="0"/>
                                  <w:marBottom w:val="0"/>
                                  <w:divBdr>
                                    <w:top w:val="none" w:sz="0" w:space="0" w:color="auto"/>
                                    <w:left w:val="none" w:sz="0" w:space="0" w:color="auto"/>
                                    <w:bottom w:val="none" w:sz="0" w:space="0" w:color="auto"/>
                                    <w:right w:val="none" w:sz="0" w:space="0" w:color="auto"/>
                                  </w:divBdr>
                                  <w:divsChild>
                                    <w:div w:id="629822617">
                                      <w:marLeft w:val="0"/>
                                      <w:marRight w:val="0"/>
                                      <w:marTop w:val="0"/>
                                      <w:marBottom w:val="0"/>
                                      <w:divBdr>
                                        <w:top w:val="none" w:sz="0" w:space="0" w:color="auto"/>
                                        <w:left w:val="none" w:sz="0" w:space="0" w:color="auto"/>
                                        <w:bottom w:val="none" w:sz="0" w:space="0" w:color="auto"/>
                                        <w:right w:val="none" w:sz="0" w:space="0" w:color="auto"/>
                                      </w:divBdr>
                                      <w:divsChild>
                                        <w:div w:id="941036246">
                                          <w:marLeft w:val="0"/>
                                          <w:marRight w:val="0"/>
                                          <w:marTop w:val="0"/>
                                          <w:marBottom w:val="0"/>
                                          <w:divBdr>
                                            <w:top w:val="none" w:sz="0" w:space="0" w:color="auto"/>
                                            <w:left w:val="none" w:sz="0" w:space="0" w:color="auto"/>
                                            <w:bottom w:val="none" w:sz="0" w:space="0" w:color="auto"/>
                                            <w:right w:val="none" w:sz="0" w:space="0" w:color="auto"/>
                                          </w:divBdr>
                                          <w:divsChild>
                                            <w:div w:id="1623725813">
                                              <w:marLeft w:val="0"/>
                                              <w:marRight w:val="0"/>
                                              <w:marTop w:val="0"/>
                                              <w:marBottom w:val="0"/>
                                              <w:divBdr>
                                                <w:top w:val="none" w:sz="0" w:space="0" w:color="auto"/>
                                                <w:left w:val="none" w:sz="0" w:space="0" w:color="auto"/>
                                                <w:bottom w:val="none" w:sz="0" w:space="0" w:color="auto"/>
                                                <w:right w:val="none" w:sz="0" w:space="0" w:color="auto"/>
                                              </w:divBdr>
                                              <w:divsChild>
                                                <w:div w:id="1838569364">
                                                  <w:marLeft w:val="0"/>
                                                  <w:marRight w:val="0"/>
                                                  <w:marTop w:val="0"/>
                                                  <w:marBottom w:val="0"/>
                                                  <w:divBdr>
                                                    <w:top w:val="none" w:sz="0" w:space="0" w:color="auto"/>
                                                    <w:left w:val="none" w:sz="0" w:space="0" w:color="auto"/>
                                                    <w:bottom w:val="none" w:sz="0" w:space="0" w:color="auto"/>
                                                    <w:right w:val="none" w:sz="0" w:space="0" w:color="auto"/>
                                                  </w:divBdr>
                                                  <w:divsChild>
                                                    <w:div w:id="339282337">
                                                      <w:marLeft w:val="0"/>
                                                      <w:marRight w:val="0"/>
                                                      <w:marTop w:val="0"/>
                                                      <w:marBottom w:val="0"/>
                                                      <w:divBdr>
                                                        <w:top w:val="none" w:sz="0" w:space="0" w:color="auto"/>
                                                        <w:left w:val="none" w:sz="0" w:space="0" w:color="auto"/>
                                                        <w:bottom w:val="none" w:sz="0" w:space="0" w:color="auto"/>
                                                        <w:right w:val="none" w:sz="0" w:space="0" w:color="auto"/>
                                                      </w:divBdr>
                                                      <w:divsChild>
                                                        <w:div w:id="1251741090">
                                                          <w:marLeft w:val="0"/>
                                                          <w:marRight w:val="0"/>
                                                          <w:marTop w:val="0"/>
                                                          <w:marBottom w:val="0"/>
                                                          <w:divBdr>
                                                            <w:top w:val="none" w:sz="0" w:space="0" w:color="auto"/>
                                                            <w:left w:val="none" w:sz="0" w:space="0" w:color="auto"/>
                                                            <w:bottom w:val="none" w:sz="0" w:space="0" w:color="auto"/>
                                                            <w:right w:val="none" w:sz="0" w:space="0" w:color="auto"/>
                                                          </w:divBdr>
                                                          <w:divsChild>
                                                            <w:div w:id="4225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926473">
      <w:bodyDiv w:val="1"/>
      <w:marLeft w:val="0"/>
      <w:marRight w:val="0"/>
      <w:marTop w:val="0"/>
      <w:marBottom w:val="0"/>
      <w:divBdr>
        <w:top w:val="none" w:sz="0" w:space="0" w:color="auto"/>
        <w:left w:val="none" w:sz="0" w:space="0" w:color="auto"/>
        <w:bottom w:val="none" w:sz="0" w:space="0" w:color="auto"/>
        <w:right w:val="none" w:sz="0" w:space="0" w:color="auto"/>
      </w:divBdr>
    </w:div>
    <w:div w:id="2041737499">
      <w:bodyDiv w:val="1"/>
      <w:marLeft w:val="0"/>
      <w:marRight w:val="0"/>
      <w:marTop w:val="0"/>
      <w:marBottom w:val="0"/>
      <w:divBdr>
        <w:top w:val="none" w:sz="0" w:space="0" w:color="auto"/>
        <w:left w:val="none" w:sz="0" w:space="0" w:color="auto"/>
        <w:bottom w:val="none" w:sz="0" w:space="0" w:color="auto"/>
        <w:right w:val="none" w:sz="0" w:space="0" w:color="auto"/>
      </w:divBdr>
    </w:div>
    <w:div w:id="2059817734">
      <w:bodyDiv w:val="1"/>
      <w:marLeft w:val="0"/>
      <w:marRight w:val="0"/>
      <w:marTop w:val="0"/>
      <w:marBottom w:val="0"/>
      <w:divBdr>
        <w:top w:val="none" w:sz="0" w:space="0" w:color="auto"/>
        <w:left w:val="none" w:sz="0" w:space="0" w:color="auto"/>
        <w:bottom w:val="none" w:sz="0" w:space="0" w:color="auto"/>
        <w:right w:val="none" w:sz="0" w:space="0" w:color="auto"/>
      </w:divBdr>
      <w:divsChild>
        <w:div w:id="1235165573">
          <w:marLeft w:val="0"/>
          <w:marRight w:val="0"/>
          <w:marTop w:val="0"/>
          <w:marBottom w:val="0"/>
          <w:divBdr>
            <w:top w:val="none" w:sz="0" w:space="0" w:color="auto"/>
            <w:left w:val="none" w:sz="0" w:space="0" w:color="auto"/>
            <w:bottom w:val="none" w:sz="0" w:space="0" w:color="auto"/>
            <w:right w:val="none" w:sz="0" w:space="0" w:color="auto"/>
          </w:divBdr>
          <w:divsChild>
            <w:div w:id="1401247752">
              <w:marLeft w:val="0"/>
              <w:marRight w:val="0"/>
              <w:marTop w:val="0"/>
              <w:marBottom w:val="0"/>
              <w:divBdr>
                <w:top w:val="none" w:sz="0" w:space="0" w:color="auto"/>
                <w:left w:val="none" w:sz="0" w:space="0" w:color="auto"/>
                <w:bottom w:val="none" w:sz="0" w:space="0" w:color="auto"/>
                <w:right w:val="none" w:sz="0" w:space="0" w:color="auto"/>
              </w:divBdr>
              <w:divsChild>
                <w:div w:id="634486405">
                  <w:marLeft w:val="0"/>
                  <w:marRight w:val="0"/>
                  <w:marTop w:val="0"/>
                  <w:marBottom w:val="0"/>
                  <w:divBdr>
                    <w:top w:val="none" w:sz="0" w:space="0" w:color="auto"/>
                    <w:left w:val="none" w:sz="0" w:space="0" w:color="auto"/>
                    <w:bottom w:val="none" w:sz="0" w:space="0" w:color="auto"/>
                    <w:right w:val="none" w:sz="0" w:space="0" w:color="auto"/>
                  </w:divBdr>
                  <w:divsChild>
                    <w:div w:id="2118669649">
                      <w:marLeft w:val="0"/>
                      <w:marRight w:val="0"/>
                      <w:marTop w:val="0"/>
                      <w:marBottom w:val="0"/>
                      <w:divBdr>
                        <w:top w:val="none" w:sz="0" w:space="0" w:color="auto"/>
                        <w:left w:val="none" w:sz="0" w:space="0" w:color="auto"/>
                        <w:bottom w:val="none" w:sz="0" w:space="0" w:color="auto"/>
                        <w:right w:val="none" w:sz="0" w:space="0" w:color="auto"/>
                      </w:divBdr>
                      <w:divsChild>
                        <w:div w:id="17780248">
                          <w:marLeft w:val="0"/>
                          <w:marRight w:val="0"/>
                          <w:marTop w:val="0"/>
                          <w:marBottom w:val="0"/>
                          <w:divBdr>
                            <w:top w:val="none" w:sz="0" w:space="0" w:color="auto"/>
                            <w:left w:val="none" w:sz="0" w:space="0" w:color="auto"/>
                            <w:bottom w:val="none" w:sz="0" w:space="0" w:color="auto"/>
                            <w:right w:val="none" w:sz="0" w:space="0" w:color="auto"/>
                          </w:divBdr>
                          <w:divsChild>
                            <w:div w:id="845553369">
                              <w:marLeft w:val="0"/>
                              <w:marRight w:val="0"/>
                              <w:marTop w:val="0"/>
                              <w:marBottom w:val="0"/>
                              <w:divBdr>
                                <w:top w:val="none" w:sz="0" w:space="0" w:color="auto"/>
                                <w:left w:val="none" w:sz="0" w:space="0" w:color="auto"/>
                                <w:bottom w:val="none" w:sz="0" w:space="0" w:color="auto"/>
                                <w:right w:val="none" w:sz="0" w:space="0" w:color="auto"/>
                              </w:divBdr>
                              <w:divsChild>
                                <w:div w:id="1394426629">
                                  <w:marLeft w:val="0"/>
                                  <w:marRight w:val="0"/>
                                  <w:marTop w:val="0"/>
                                  <w:marBottom w:val="0"/>
                                  <w:divBdr>
                                    <w:top w:val="none" w:sz="0" w:space="0" w:color="auto"/>
                                    <w:left w:val="none" w:sz="0" w:space="0" w:color="auto"/>
                                    <w:bottom w:val="none" w:sz="0" w:space="0" w:color="auto"/>
                                    <w:right w:val="none" w:sz="0" w:space="0" w:color="auto"/>
                                  </w:divBdr>
                                  <w:divsChild>
                                    <w:div w:id="1445997633">
                                      <w:marLeft w:val="0"/>
                                      <w:marRight w:val="0"/>
                                      <w:marTop w:val="0"/>
                                      <w:marBottom w:val="0"/>
                                      <w:divBdr>
                                        <w:top w:val="none" w:sz="0" w:space="0" w:color="auto"/>
                                        <w:left w:val="none" w:sz="0" w:space="0" w:color="auto"/>
                                        <w:bottom w:val="none" w:sz="0" w:space="0" w:color="auto"/>
                                        <w:right w:val="none" w:sz="0" w:space="0" w:color="auto"/>
                                      </w:divBdr>
                                      <w:divsChild>
                                        <w:div w:id="77412848">
                                          <w:marLeft w:val="0"/>
                                          <w:marRight w:val="0"/>
                                          <w:marTop w:val="0"/>
                                          <w:marBottom w:val="0"/>
                                          <w:divBdr>
                                            <w:top w:val="none" w:sz="0" w:space="0" w:color="auto"/>
                                            <w:left w:val="none" w:sz="0" w:space="0" w:color="auto"/>
                                            <w:bottom w:val="none" w:sz="0" w:space="0" w:color="auto"/>
                                            <w:right w:val="none" w:sz="0" w:space="0" w:color="auto"/>
                                          </w:divBdr>
                                          <w:divsChild>
                                            <w:div w:id="1919170247">
                                              <w:marLeft w:val="0"/>
                                              <w:marRight w:val="0"/>
                                              <w:marTop w:val="0"/>
                                              <w:marBottom w:val="0"/>
                                              <w:divBdr>
                                                <w:top w:val="none" w:sz="0" w:space="0" w:color="auto"/>
                                                <w:left w:val="none" w:sz="0" w:space="0" w:color="auto"/>
                                                <w:bottom w:val="none" w:sz="0" w:space="0" w:color="auto"/>
                                                <w:right w:val="none" w:sz="0" w:space="0" w:color="auto"/>
                                              </w:divBdr>
                                              <w:divsChild>
                                                <w:div w:id="2056539721">
                                                  <w:marLeft w:val="0"/>
                                                  <w:marRight w:val="0"/>
                                                  <w:marTop w:val="0"/>
                                                  <w:marBottom w:val="0"/>
                                                  <w:divBdr>
                                                    <w:top w:val="none" w:sz="0" w:space="0" w:color="auto"/>
                                                    <w:left w:val="none" w:sz="0" w:space="0" w:color="auto"/>
                                                    <w:bottom w:val="none" w:sz="0" w:space="0" w:color="auto"/>
                                                    <w:right w:val="none" w:sz="0" w:space="0" w:color="auto"/>
                                                  </w:divBdr>
                                                  <w:divsChild>
                                                    <w:div w:id="1349480179">
                                                      <w:marLeft w:val="0"/>
                                                      <w:marRight w:val="0"/>
                                                      <w:marTop w:val="0"/>
                                                      <w:marBottom w:val="0"/>
                                                      <w:divBdr>
                                                        <w:top w:val="none" w:sz="0" w:space="0" w:color="auto"/>
                                                        <w:left w:val="none" w:sz="0" w:space="0" w:color="auto"/>
                                                        <w:bottom w:val="none" w:sz="0" w:space="0" w:color="auto"/>
                                                        <w:right w:val="none" w:sz="0" w:space="0" w:color="auto"/>
                                                      </w:divBdr>
                                                      <w:divsChild>
                                                        <w:div w:id="1558395176">
                                                          <w:marLeft w:val="0"/>
                                                          <w:marRight w:val="0"/>
                                                          <w:marTop w:val="0"/>
                                                          <w:marBottom w:val="0"/>
                                                          <w:divBdr>
                                                            <w:top w:val="none" w:sz="0" w:space="0" w:color="auto"/>
                                                            <w:left w:val="none" w:sz="0" w:space="0" w:color="auto"/>
                                                            <w:bottom w:val="none" w:sz="0" w:space="0" w:color="auto"/>
                                                            <w:right w:val="none" w:sz="0" w:space="0" w:color="auto"/>
                                                          </w:divBdr>
                                                          <w:divsChild>
                                                            <w:div w:id="10297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7141011">
      <w:bodyDiv w:val="1"/>
      <w:marLeft w:val="0"/>
      <w:marRight w:val="0"/>
      <w:marTop w:val="0"/>
      <w:marBottom w:val="0"/>
      <w:divBdr>
        <w:top w:val="none" w:sz="0" w:space="0" w:color="auto"/>
        <w:left w:val="none" w:sz="0" w:space="0" w:color="auto"/>
        <w:bottom w:val="none" w:sz="0" w:space="0" w:color="auto"/>
        <w:right w:val="none" w:sz="0" w:space="0" w:color="auto"/>
      </w:divBdr>
    </w:div>
    <w:div w:id="2071683184">
      <w:bodyDiv w:val="1"/>
      <w:marLeft w:val="0"/>
      <w:marRight w:val="0"/>
      <w:marTop w:val="0"/>
      <w:marBottom w:val="0"/>
      <w:divBdr>
        <w:top w:val="none" w:sz="0" w:space="0" w:color="auto"/>
        <w:left w:val="none" w:sz="0" w:space="0" w:color="auto"/>
        <w:bottom w:val="none" w:sz="0" w:space="0" w:color="auto"/>
        <w:right w:val="none" w:sz="0" w:space="0" w:color="auto"/>
      </w:divBdr>
    </w:div>
    <w:div w:id="2079790523">
      <w:bodyDiv w:val="1"/>
      <w:marLeft w:val="0"/>
      <w:marRight w:val="0"/>
      <w:marTop w:val="0"/>
      <w:marBottom w:val="0"/>
      <w:divBdr>
        <w:top w:val="none" w:sz="0" w:space="0" w:color="auto"/>
        <w:left w:val="none" w:sz="0" w:space="0" w:color="auto"/>
        <w:bottom w:val="none" w:sz="0" w:space="0" w:color="auto"/>
        <w:right w:val="none" w:sz="0" w:space="0" w:color="auto"/>
      </w:divBdr>
    </w:div>
    <w:div w:id="21391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itu.int/itu-wsis/implementation/" TargetMode="External"/><Relationship Id="rId26" Type="http://schemas.openxmlformats.org/officeDocument/2006/relationships/hyperlink" Target="https://www.itu.int/md/S23-CL-INF-0004/en" TargetMode="External"/><Relationship Id="rId39" Type="http://schemas.openxmlformats.org/officeDocument/2006/relationships/hyperlink" Target="http://www.itu.int/md/S12-CL-C-0003/fr" TargetMode="External"/><Relationship Id="rId21" Type="http://schemas.openxmlformats.org/officeDocument/2006/relationships/hyperlink" Target="https://www.itu.int/online/mm/scripts/gensel11?_memb=A" TargetMode="External"/><Relationship Id="rId34" Type="http://schemas.openxmlformats.org/officeDocument/2006/relationships/header" Target="header3.xm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Pages/default.aspx" TargetMode="External"/><Relationship Id="rId29" Type="http://schemas.openxmlformats.org/officeDocument/2006/relationships/hyperlink" Target="https://www.itu.int/md/S23-CL-INF-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INF-0012/en" TargetMode="External"/><Relationship Id="rId24" Type="http://schemas.openxmlformats.org/officeDocument/2006/relationships/hyperlink" Target="http://www.itu.int/ITU-R/index.asp?category=conferences&amp;link=rrb&amp;lang=en" TargetMode="External"/><Relationship Id="rId32" Type="http://schemas.openxmlformats.org/officeDocument/2006/relationships/header" Target="header2.xml"/><Relationship Id="rId37" Type="http://schemas.openxmlformats.org/officeDocument/2006/relationships/hyperlink" Target="http://www.itu.int/md/S24-CL-C-0041/en" TargetMode="External"/><Relationship Id="rId40" Type="http://schemas.openxmlformats.org/officeDocument/2006/relationships/header" Target="header4.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itu.int/en/ITU-R/Pages/default.aspx" TargetMode="External"/><Relationship Id="rId23" Type="http://schemas.openxmlformats.org/officeDocument/2006/relationships/hyperlink" Target="https://www.itu.int/en/council/Pages/members.aspx" TargetMode="External"/><Relationship Id="rId28" Type="http://schemas.openxmlformats.org/officeDocument/2006/relationships/hyperlink" Target="http://www.unjspf.org" TargetMode="External"/><Relationship Id="rId36" Type="http://schemas.openxmlformats.org/officeDocument/2006/relationships/hyperlink" Target="chrome-extension://efaidnbmnnnibpcajpcglclefindmkaj/https:/www.itu.int/en/council/Documents/Financial-Regulations/S-GEN-REG_RGTFIN-2018-PDF-a.pdf" TargetMode="External"/><Relationship Id="rId10" Type="http://schemas.openxmlformats.org/officeDocument/2006/relationships/image" Target="media/image1.png"/><Relationship Id="rId19" Type="http://schemas.openxmlformats.org/officeDocument/2006/relationships/hyperlink" Target="https://www.itu.int/online/mm/scripts/gensel8" TargetMode="External"/><Relationship Id="rId31" Type="http://schemas.openxmlformats.org/officeDocument/2006/relationships/footer" Target="footer1.xm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itu.int/en/council/Documents/Financial-Regulations/S-GEN-REG_RGTFIN-2018-PDF-A.pdf" TargetMode="External"/><Relationship Id="rId14" Type="http://schemas.openxmlformats.org/officeDocument/2006/relationships/hyperlink" Target="http://www.unsystem.org/en" TargetMode="External"/><Relationship Id="rId22" Type="http://schemas.openxmlformats.org/officeDocument/2006/relationships/hyperlink" Target="https://www.itu.int/online/mm/scripts/gensel11?_memb=U" TargetMode="External"/><Relationship Id="rId27" Type="http://schemas.openxmlformats.org/officeDocument/2006/relationships/hyperlink" Target="https://www.itu.int/md/S22-CL-C-0046/en" TargetMode="External"/><Relationship Id="rId30" Type="http://schemas.openxmlformats.org/officeDocument/2006/relationships/header" Target="header1.xml"/><Relationship Id="rId35" Type="http://schemas.openxmlformats.org/officeDocument/2006/relationships/hyperlink" Target="chrome-extension://efaidnbmnnnibpcajpcglclefindmkaj/https:/www.itu.int/en/council/Documents/basic-texts/Convention-A.pdf" TargetMode="External"/><Relationship Id="rId43" Type="http://schemas.openxmlformats.org/officeDocument/2006/relationships/footer" Target="footer4.xml"/><Relationship Id="rId8" Type="http://schemas.openxmlformats.org/officeDocument/2006/relationships/hyperlink" Target="https://www.itu.int/en/council/Documents/basic-texts/Convention-A.pdf"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itu.int/en/ITU-D/Pages/default.aspx" TargetMode="External"/><Relationship Id="rId25" Type="http://schemas.openxmlformats.org/officeDocument/2006/relationships/hyperlink" Target="https://www.itu.int/md/S16-CL-C-0124/en" TargetMode="External"/><Relationship Id="rId33" Type="http://schemas.openxmlformats.org/officeDocument/2006/relationships/footer" Target="footer2.xml"/><Relationship Id="rId38" Type="http://schemas.openxmlformats.org/officeDocument/2006/relationships/hyperlink" Target="http://www.itu.int/md/S24-CL-C-0040/en" TargetMode="External"/><Relationship Id="rId46" Type="http://schemas.openxmlformats.org/officeDocument/2006/relationships/fontTable" Target="fontTable.xml"/><Relationship Id="rId20" Type="http://schemas.openxmlformats.org/officeDocument/2006/relationships/hyperlink" Target="https://www.itu.int/online/mm/scripts/gensel11" TargetMode="External"/><Relationship Id="rId41"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26151</Words>
  <Characters>149064</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2024-05-01T09:13:00Z</dcterms:created>
  <dcterms:modified xsi:type="dcterms:W3CDTF">2024-05-01T09:21:00Z</dcterms:modified>
  <cp:category>Conference document</cp:category>
</cp:coreProperties>
</file>