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47E17259" w14:textId="77777777" w:rsidTr="00E31DCE">
        <w:trPr>
          <w:cantSplit/>
          <w:trHeight w:val="23"/>
        </w:trPr>
        <w:tc>
          <w:tcPr>
            <w:tcW w:w="3969" w:type="dxa"/>
            <w:vMerge w:val="restart"/>
            <w:tcMar>
              <w:left w:w="0" w:type="dxa"/>
            </w:tcMar>
          </w:tcPr>
          <w:p w14:paraId="13341FEB" w14:textId="11AD57DA"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390AE4">
              <w:rPr>
                <w:rFonts w:cstheme="minorHAnsi" w:hint="eastAsia"/>
                <w:b/>
                <w:bCs/>
                <w:lang w:val="ru-RU" w:eastAsia="zh-CN"/>
              </w:rPr>
              <w:t>A</w:t>
            </w:r>
            <w:r w:rsidR="00390AE4">
              <w:rPr>
                <w:rFonts w:cstheme="minorHAnsi"/>
                <w:b/>
                <w:bCs/>
                <w:lang w:val="ru-RU" w:eastAsia="zh-CN"/>
              </w:rPr>
              <w:t xml:space="preserve">DM </w:t>
            </w:r>
            <w:r w:rsidR="00390AE4">
              <w:rPr>
                <w:rFonts w:cstheme="minorHAnsi" w:hint="eastAsia"/>
                <w:b/>
                <w:bCs/>
                <w:lang w:val="ru-RU" w:eastAsia="zh-CN"/>
              </w:rPr>
              <w:t>2</w:t>
            </w:r>
          </w:p>
        </w:tc>
        <w:tc>
          <w:tcPr>
            <w:tcW w:w="5245" w:type="dxa"/>
          </w:tcPr>
          <w:p w14:paraId="51B92C33" w14:textId="5DD537DA"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390AE4">
              <w:rPr>
                <w:b/>
                <w:lang w:val="fr-CH"/>
              </w:rPr>
              <w:t>40</w:t>
            </w:r>
            <w:r w:rsidRPr="00E24D59">
              <w:rPr>
                <w:b/>
                <w:lang w:val="fr-CH"/>
              </w:rPr>
              <w:t>-C</w:t>
            </w:r>
          </w:p>
        </w:tc>
      </w:tr>
      <w:tr w:rsidR="00E24D59" w:rsidRPr="00813E5E" w14:paraId="47C289BD" w14:textId="77777777" w:rsidTr="00E31DCE">
        <w:trPr>
          <w:cantSplit/>
        </w:trPr>
        <w:tc>
          <w:tcPr>
            <w:tcW w:w="3969" w:type="dxa"/>
            <w:vMerge/>
          </w:tcPr>
          <w:p w14:paraId="2EECA7A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47E8C461" w14:textId="1EB0D1EB"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390AE4">
              <w:rPr>
                <w:b/>
                <w:lang w:eastAsia="zh-CN"/>
              </w:rPr>
              <w:t>2</w:t>
            </w:r>
            <w:r w:rsidR="00C45EB2">
              <w:rPr>
                <w:rFonts w:hint="eastAsia"/>
                <w:b/>
                <w:lang w:eastAsia="zh-CN"/>
              </w:rPr>
              <w:t>月</w:t>
            </w:r>
            <w:r w:rsidR="00390AE4">
              <w:rPr>
                <w:b/>
                <w:lang w:eastAsia="zh-CN"/>
              </w:rPr>
              <w:t>21</w:t>
            </w:r>
            <w:r w:rsidR="00C45EB2">
              <w:rPr>
                <w:rFonts w:hint="eastAsia"/>
                <w:b/>
                <w:lang w:eastAsia="zh-CN"/>
              </w:rPr>
              <w:t>日</w:t>
            </w:r>
          </w:p>
        </w:tc>
      </w:tr>
      <w:tr w:rsidR="00E24D59" w:rsidRPr="00813E5E" w14:paraId="6D6E0AE5" w14:textId="77777777" w:rsidTr="00E31DCE">
        <w:trPr>
          <w:cantSplit/>
          <w:trHeight w:val="23"/>
        </w:trPr>
        <w:tc>
          <w:tcPr>
            <w:tcW w:w="3969" w:type="dxa"/>
            <w:vMerge/>
          </w:tcPr>
          <w:p w14:paraId="0D2B02F6"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461D4F0A" w14:textId="28A2CBB1"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390AE4">
              <w:rPr>
                <w:rFonts w:cstheme="minorHAnsi" w:hint="eastAsia"/>
                <w:b/>
                <w:bCs/>
                <w:lang w:val="ru-RU" w:eastAsia="zh-CN"/>
              </w:rPr>
              <w:t>英文</w:t>
            </w:r>
          </w:p>
        </w:tc>
      </w:tr>
      <w:tr w:rsidR="00E24D59" w:rsidRPr="00813E5E" w14:paraId="218D4D94" w14:textId="77777777" w:rsidTr="00E31DCE">
        <w:trPr>
          <w:cantSplit/>
          <w:trHeight w:val="23"/>
        </w:trPr>
        <w:tc>
          <w:tcPr>
            <w:tcW w:w="3969" w:type="dxa"/>
          </w:tcPr>
          <w:p w14:paraId="31A4F259" w14:textId="77777777" w:rsidR="00E24D59" w:rsidRPr="00813E5E" w:rsidRDefault="00E24D59" w:rsidP="00E31DCE">
            <w:pPr>
              <w:tabs>
                <w:tab w:val="left" w:pos="851"/>
              </w:tabs>
              <w:spacing w:line="240" w:lineRule="atLeast"/>
              <w:rPr>
                <w:b/>
              </w:rPr>
            </w:pPr>
          </w:p>
        </w:tc>
        <w:tc>
          <w:tcPr>
            <w:tcW w:w="5245" w:type="dxa"/>
          </w:tcPr>
          <w:p w14:paraId="1FF1FD40" w14:textId="77777777" w:rsidR="00E24D59" w:rsidRDefault="00E24D59" w:rsidP="00E31DCE">
            <w:pPr>
              <w:tabs>
                <w:tab w:val="left" w:pos="851"/>
              </w:tabs>
              <w:spacing w:before="0" w:line="240" w:lineRule="atLeast"/>
              <w:jc w:val="right"/>
              <w:rPr>
                <w:b/>
              </w:rPr>
            </w:pPr>
          </w:p>
        </w:tc>
      </w:tr>
      <w:tr w:rsidR="00E24D59" w:rsidRPr="00813E5E" w14:paraId="438D3031" w14:textId="77777777" w:rsidTr="00E31DCE">
        <w:trPr>
          <w:cantSplit/>
        </w:trPr>
        <w:tc>
          <w:tcPr>
            <w:tcW w:w="9214" w:type="dxa"/>
            <w:gridSpan w:val="2"/>
            <w:tcMar>
              <w:left w:w="0" w:type="dxa"/>
            </w:tcMar>
          </w:tcPr>
          <w:p w14:paraId="44E5EBA0" w14:textId="77777777" w:rsidR="00E24D59" w:rsidRPr="00E24D59" w:rsidRDefault="008F64AD" w:rsidP="00E24D59">
            <w:pPr>
              <w:pStyle w:val="Source"/>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076D9DDB" w14:textId="77777777" w:rsidTr="00E31DCE">
        <w:trPr>
          <w:cantSplit/>
        </w:trPr>
        <w:tc>
          <w:tcPr>
            <w:tcW w:w="9214" w:type="dxa"/>
            <w:gridSpan w:val="2"/>
            <w:tcMar>
              <w:left w:w="0" w:type="dxa"/>
            </w:tcMar>
          </w:tcPr>
          <w:p w14:paraId="1A7EA431" w14:textId="7601862E" w:rsidR="00E24D59" w:rsidRPr="00E24D59" w:rsidRDefault="00390AE4" w:rsidP="00E31DCE">
            <w:pPr>
              <w:pStyle w:val="Subtitle"/>
              <w:framePr w:hSpace="0" w:wrap="auto" w:hAnchor="text" w:xAlign="left" w:yAlign="inline"/>
              <w:rPr>
                <w:rFonts w:ascii="SimSun" w:eastAsia="SimSun" w:hAnsi="SimSun"/>
              </w:rPr>
            </w:pPr>
            <w:bookmarkStart w:id="6" w:name="dtitle1" w:colFirst="0" w:colLast="0"/>
            <w:bookmarkEnd w:id="5"/>
            <w:r w:rsidRPr="00230B1C">
              <w:rPr>
                <w:rFonts w:asciiTheme="minorHAnsi" w:eastAsia="SimSun" w:hAnsiTheme="minorHAnsi" w:cstheme="minorHAnsi"/>
                <w:lang w:val="en-US" w:eastAsia="zh-CN"/>
              </w:rPr>
              <w:t>2022</w:t>
            </w:r>
            <w:r w:rsidRPr="00230B1C">
              <w:rPr>
                <w:rFonts w:ascii="SimSun" w:eastAsia="SimSun" w:hAnsi="SimSun" w:cstheme="minorHAnsi" w:hint="eastAsia"/>
                <w:lang w:eastAsia="zh-CN"/>
              </w:rPr>
              <w:t>财年财务工作报告</w:t>
            </w:r>
          </w:p>
        </w:tc>
      </w:tr>
      <w:tr w:rsidR="00E24D59" w:rsidRPr="00813E5E" w14:paraId="72FF2ADD" w14:textId="77777777" w:rsidTr="00E31DCE">
        <w:trPr>
          <w:cantSplit/>
        </w:trPr>
        <w:tc>
          <w:tcPr>
            <w:tcW w:w="9214" w:type="dxa"/>
            <w:gridSpan w:val="2"/>
            <w:tcBorders>
              <w:top w:val="single" w:sz="4" w:space="0" w:color="auto"/>
              <w:bottom w:val="single" w:sz="4" w:space="0" w:color="auto"/>
            </w:tcBorders>
            <w:tcMar>
              <w:left w:w="0" w:type="dxa"/>
            </w:tcMar>
          </w:tcPr>
          <w:p w14:paraId="134D9AED" w14:textId="42101339"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08172BB7" w14:textId="77777777" w:rsidR="00390AE4" w:rsidRPr="00230B1C" w:rsidRDefault="00390AE4" w:rsidP="00390AE4">
            <w:pPr>
              <w:ind w:firstLineChars="200" w:firstLine="480"/>
              <w:rPr>
                <w:lang w:eastAsia="zh-CN"/>
              </w:rPr>
            </w:pPr>
            <w:r w:rsidRPr="000C156A">
              <w:rPr>
                <w:rFonts w:hint="eastAsia"/>
                <w:lang w:eastAsia="zh-CN"/>
              </w:rPr>
              <w:t>根据国际电信联盟《公约》第</w:t>
            </w:r>
            <w:r w:rsidRPr="00230B1C">
              <w:rPr>
                <w:lang w:eastAsia="zh-CN"/>
              </w:rPr>
              <w:t>101</w:t>
            </w:r>
            <w:r w:rsidRPr="000C156A">
              <w:rPr>
                <w:rFonts w:hint="eastAsia"/>
                <w:lang w:eastAsia="zh-CN"/>
              </w:rPr>
              <w:t>款和国际电联《财务规则》第</w:t>
            </w:r>
            <w:r w:rsidRPr="00230B1C">
              <w:rPr>
                <w:lang w:eastAsia="zh-CN"/>
              </w:rPr>
              <w:t>30</w:t>
            </w:r>
            <w:r w:rsidRPr="000C156A">
              <w:rPr>
                <w:rFonts w:hint="eastAsia"/>
                <w:lang w:eastAsia="zh-CN"/>
              </w:rPr>
              <w:t>条的有关条款</w:t>
            </w:r>
            <w:r w:rsidRPr="00230B1C">
              <w:rPr>
                <w:rFonts w:hint="eastAsia"/>
                <w:lang w:eastAsia="zh-CN"/>
              </w:rPr>
              <w:t>，</w:t>
            </w:r>
            <w:r w:rsidRPr="000C156A">
              <w:rPr>
                <w:rFonts w:hint="eastAsia"/>
                <w:lang w:eastAsia="zh-CN"/>
              </w:rPr>
              <w:t>秘书长需每年向理事会提交财务工作报告。</w:t>
            </w:r>
          </w:p>
          <w:p w14:paraId="7BF4CA0B" w14:textId="77777777" w:rsidR="00390AE4" w:rsidRPr="000C156A" w:rsidRDefault="00390AE4" w:rsidP="00390AE4">
            <w:pPr>
              <w:ind w:firstLineChars="200" w:firstLine="480"/>
              <w:rPr>
                <w:lang w:eastAsia="zh-CN"/>
              </w:rPr>
            </w:pPr>
            <w:r w:rsidRPr="000C156A">
              <w:rPr>
                <w:rFonts w:cs="Calibri"/>
                <w:lang w:val="en-US" w:eastAsia="zh-CN"/>
              </w:rPr>
              <w:t>202</w:t>
            </w:r>
            <w:r>
              <w:rPr>
                <w:rFonts w:cs="Calibri"/>
                <w:lang w:val="en-US" w:eastAsia="zh-CN"/>
              </w:rPr>
              <w:t>2</w:t>
            </w:r>
            <w:r w:rsidRPr="000C156A">
              <w:rPr>
                <w:rFonts w:hint="eastAsia"/>
                <w:lang w:eastAsia="zh-CN"/>
              </w:rPr>
              <w:t>财年财务工作报告包括：</w:t>
            </w:r>
          </w:p>
          <w:p w14:paraId="233D2AB3" w14:textId="6E1F0B6A" w:rsidR="008F64AD" w:rsidRPr="00390AE4" w:rsidRDefault="00390AE4" w:rsidP="00856905">
            <w:pPr>
              <w:pStyle w:val="enumlev1"/>
              <w:tabs>
                <w:tab w:val="left" w:pos="476"/>
              </w:tabs>
              <w:rPr>
                <w:lang w:eastAsia="zh-CN"/>
              </w:rPr>
            </w:pPr>
            <w:r w:rsidRPr="000C156A">
              <w:rPr>
                <w:lang w:eastAsia="zh-CN"/>
              </w:rPr>
              <w:t>•</w:t>
            </w:r>
            <w:r w:rsidRPr="000C156A">
              <w:rPr>
                <w:lang w:eastAsia="zh-CN"/>
              </w:rPr>
              <w:tab/>
            </w:r>
            <w:r w:rsidRPr="000C156A">
              <w:rPr>
                <w:rFonts w:hint="eastAsia"/>
                <w:lang w:eastAsia="zh-CN"/>
              </w:rPr>
              <w:t>经审计的国际电联</w:t>
            </w:r>
            <w:r w:rsidRPr="000C156A">
              <w:rPr>
                <w:rFonts w:cs="Calibri"/>
                <w:lang w:val="en-US" w:eastAsia="zh-CN"/>
              </w:rPr>
              <w:t>202</w:t>
            </w:r>
            <w:r>
              <w:rPr>
                <w:rFonts w:cs="Calibri"/>
                <w:lang w:val="en-US" w:eastAsia="zh-CN"/>
              </w:rPr>
              <w:t>2</w:t>
            </w:r>
            <w:r w:rsidRPr="000C156A">
              <w:rPr>
                <w:rFonts w:hint="eastAsia"/>
                <w:lang w:eastAsia="zh-CN"/>
              </w:rPr>
              <w:t>财年预算账目。</w:t>
            </w:r>
          </w:p>
          <w:p w14:paraId="7C9BDC22"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3CB22FC8" w14:textId="77777777" w:rsidR="00390AE4" w:rsidRPr="000C156A" w:rsidRDefault="00390AE4" w:rsidP="00390AE4">
            <w:pPr>
              <w:tabs>
                <w:tab w:val="left" w:pos="851"/>
                <w:tab w:val="left" w:pos="1418"/>
              </w:tabs>
              <w:spacing w:after="120"/>
              <w:ind w:firstLineChars="200" w:firstLine="480"/>
              <w:rPr>
                <w:lang w:eastAsia="zh-CN"/>
              </w:rPr>
            </w:pPr>
            <w:r w:rsidRPr="000C156A">
              <w:rPr>
                <w:rFonts w:hint="eastAsia"/>
                <w:lang w:eastAsia="zh-CN"/>
              </w:rPr>
              <w:t>有关审定账目的财务工作报告和附件</w:t>
            </w:r>
            <w:r w:rsidRPr="000C156A">
              <w:rPr>
                <w:rFonts w:hint="eastAsia"/>
                <w:lang w:eastAsia="zh-CN"/>
              </w:rPr>
              <w:t>A</w:t>
            </w:r>
            <w:r w:rsidRPr="000C156A">
              <w:rPr>
                <w:rFonts w:hint="eastAsia"/>
                <w:lang w:eastAsia="zh-CN"/>
              </w:rPr>
              <w:t>中的决议草案现提交理事会</w:t>
            </w:r>
            <w:r w:rsidRPr="000C156A">
              <w:rPr>
                <w:rFonts w:hint="eastAsia"/>
                <w:b/>
                <w:bCs/>
                <w:lang w:eastAsia="zh-CN"/>
              </w:rPr>
              <w:t>审议</w:t>
            </w:r>
            <w:r w:rsidRPr="000C156A">
              <w:rPr>
                <w:rFonts w:hint="eastAsia"/>
                <w:lang w:eastAsia="zh-CN"/>
              </w:rPr>
              <w:t>和</w:t>
            </w:r>
            <w:r w:rsidRPr="000C156A">
              <w:rPr>
                <w:rFonts w:hint="eastAsia"/>
                <w:b/>
                <w:bCs/>
                <w:lang w:eastAsia="zh-CN"/>
              </w:rPr>
              <w:t>批准</w:t>
            </w:r>
            <w:r w:rsidRPr="000C156A">
              <w:rPr>
                <w:rFonts w:hint="eastAsia"/>
                <w:lang w:eastAsia="zh-CN"/>
              </w:rPr>
              <w:t>。</w:t>
            </w:r>
          </w:p>
          <w:p w14:paraId="3A6B68B2" w14:textId="47603C61" w:rsidR="00E24D59" w:rsidRPr="00390AE4" w:rsidRDefault="00390AE4" w:rsidP="00390AE4">
            <w:pPr>
              <w:tabs>
                <w:tab w:val="left" w:pos="851"/>
                <w:tab w:val="left" w:pos="1418"/>
              </w:tabs>
              <w:spacing w:after="120"/>
              <w:ind w:firstLineChars="200" w:firstLine="480"/>
              <w:rPr>
                <w:lang w:eastAsia="zh-CN"/>
              </w:rPr>
            </w:pPr>
            <w:r w:rsidRPr="000C156A">
              <w:rPr>
                <w:rFonts w:hint="eastAsia"/>
                <w:lang w:eastAsia="zh-CN"/>
              </w:rPr>
              <w:t>在经理事会审查和批准后，报告</w:t>
            </w:r>
            <w:r w:rsidRPr="000C156A">
              <w:rPr>
                <w:rFonts w:hint="eastAsia"/>
                <w:szCs w:val="24"/>
                <w:lang w:eastAsia="zh-CN"/>
              </w:rPr>
              <w:t>将通报给国际电联成员国和部门成员</w:t>
            </w:r>
            <w:r w:rsidRPr="000C156A">
              <w:rPr>
                <w:rFonts w:hint="eastAsia"/>
                <w:lang w:eastAsia="zh-CN"/>
              </w:rPr>
              <w:t>。</w:t>
            </w:r>
          </w:p>
          <w:p w14:paraId="459C4237"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16A511BF"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59FC9B8C" w14:textId="77777777" w:rsidR="00390AE4" w:rsidRPr="000C156A" w:rsidRDefault="00390AE4" w:rsidP="00390AE4">
            <w:pPr>
              <w:rPr>
                <w:rFonts w:eastAsia="STKaiti" w:cs="Calibri"/>
                <w:szCs w:val="24"/>
                <w:lang w:eastAsia="zh-CN"/>
              </w:rPr>
            </w:pPr>
            <w:r w:rsidRPr="000C156A">
              <w:rPr>
                <w:rFonts w:eastAsia="STKaiti" w:cs="Calibri" w:hint="eastAsia"/>
                <w:szCs w:val="24"/>
                <w:lang w:eastAsia="zh-CN"/>
              </w:rPr>
              <w:t>《公约》：</w:t>
            </w:r>
            <w:r w:rsidR="00372C4B">
              <w:fldChar w:fldCharType="begin"/>
            </w:r>
            <w:r w:rsidR="00372C4B">
              <w:rPr>
                <w:lang w:eastAsia="zh-CN"/>
              </w:rPr>
              <w:instrText>HYPERLINK "https://www.itu.int/en/council/Documents/basic-texts/Convention-C.pdf"</w:instrText>
            </w:r>
            <w:r w:rsidR="00372C4B">
              <w:fldChar w:fldCharType="separate"/>
            </w:r>
            <w:r w:rsidRPr="000C156A">
              <w:rPr>
                <w:rStyle w:val="Hyperlink"/>
                <w:rFonts w:eastAsia="STKaiti" w:cs="Calibri" w:hint="eastAsia"/>
                <w:szCs w:val="24"/>
                <w:lang w:eastAsia="zh-CN"/>
              </w:rPr>
              <w:t>第</w:t>
            </w:r>
            <w:r w:rsidRPr="000C156A">
              <w:rPr>
                <w:rStyle w:val="Hyperlink"/>
                <w:rFonts w:eastAsia="STKaiti" w:cs="Calibri"/>
                <w:szCs w:val="24"/>
                <w:lang w:eastAsia="zh-CN"/>
              </w:rPr>
              <w:t>101</w:t>
            </w:r>
            <w:r w:rsidRPr="000C156A">
              <w:rPr>
                <w:rStyle w:val="Hyperlink"/>
                <w:rFonts w:eastAsia="STKaiti" w:cs="Calibri" w:hint="eastAsia"/>
                <w:szCs w:val="24"/>
                <w:lang w:eastAsia="zh-CN"/>
              </w:rPr>
              <w:t>款</w:t>
            </w:r>
            <w:r w:rsidR="00372C4B">
              <w:rPr>
                <w:rStyle w:val="Hyperlink"/>
                <w:rFonts w:eastAsia="STKaiti" w:cs="Calibri"/>
                <w:szCs w:val="24"/>
                <w:lang w:eastAsia="zh-CN"/>
              </w:rPr>
              <w:fldChar w:fldCharType="end"/>
            </w:r>
          </w:p>
          <w:p w14:paraId="55A69717" w14:textId="4AE81F81" w:rsidR="00E24D59" w:rsidRDefault="00390AE4" w:rsidP="00390AE4">
            <w:pPr>
              <w:spacing w:after="160"/>
              <w:rPr>
                <w:lang w:eastAsia="zh-CN"/>
              </w:rPr>
            </w:pPr>
            <w:r w:rsidRPr="000C156A">
              <w:rPr>
                <w:rFonts w:eastAsia="STKaiti" w:cs="Calibri" w:hint="eastAsia"/>
                <w:szCs w:val="24"/>
                <w:lang w:eastAsia="zh-CN"/>
              </w:rPr>
              <w:t>国际电联《财务规则》：</w:t>
            </w:r>
            <w:hyperlink r:id="rId8" w:history="1">
              <w:r w:rsidRPr="000C156A">
                <w:rPr>
                  <w:rStyle w:val="Hyperlink"/>
                  <w:rFonts w:eastAsia="STKaiti" w:cs="Calibri" w:hint="eastAsia"/>
                  <w:szCs w:val="24"/>
                  <w:lang w:eastAsia="zh-CN"/>
                </w:rPr>
                <w:t>第</w:t>
              </w:r>
              <w:r w:rsidRPr="000C156A">
                <w:rPr>
                  <w:rStyle w:val="Hyperlink"/>
                  <w:rFonts w:eastAsia="STKaiti" w:cs="Calibri"/>
                  <w:szCs w:val="24"/>
                  <w:lang w:eastAsia="zh-CN"/>
                </w:rPr>
                <w:t>30</w:t>
              </w:r>
              <w:r w:rsidRPr="000C156A">
                <w:rPr>
                  <w:rStyle w:val="Hyperlink"/>
                  <w:rFonts w:eastAsia="STKaiti" w:cs="Calibri" w:hint="eastAsia"/>
                  <w:szCs w:val="24"/>
                  <w:lang w:eastAsia="zh-CN"/>
                </w:rPr>
                <w:t>条</w:t>
              </w:r>
            </w:hyperlink>
          </w:p>
        </w:tc>
      </w:tr>
    </w:tbl>
    <w:bookmarkEnd w:id="2"/>
    <w:bookmarkEnd w:id="6"/>
    <w:p w14:paraId="4562A28A" w14:textId="77777777" w:rsidR="00390AE4" w:rsidRPr="00286751" w:rsidRDefault="00390AE4" w:rsidP="00105C56">
      <w:pPr>
        <w:spacing w:before="2520"/>
        <w:rPr>
          <w:rFonts w:asciiTheme="minorHAnsi" w:eastAsia="STKaiti" w:hAnsiTheme="minorHAnsi" w:cstheme="minorHAnsi"/>
          <w:b/>
          <w:bCs/>
          <w:lang w:eastAsia="zh-CN"/>
        </w:rPr>
      </w:pPr>
      <w:r w:rsidRPr="00286751">
        <w:rPr>
          <w:rFonts w:asciiTheme="minorHAnsi" w:eastAsia="STKaiti" w:hAnsiTheme="minorHAnsi" w:cstheme="minorHAnsi"/>
          <w:b/>
          <w:bCs/>
          <w:lang w:eastAsia="zh-CN"/>
        </w:rPr>
        <w:t>附件：</w:t>
      </w:r>
      <w:r w:rsidRPr="00286751">
        <w:rPr>
          <w:rFonts w:asciiTheme="minorHAnsi" w:eastAsia="STKaiti" w:hAnsiTheme="minorHAnsi" w:cstheme="minorHAnsi"/>
          <w:b/>
          <w:bCs/>
          <w:lang w:eastAsia="zh-CN"/>
        </w:rPr>
        <w:t>1</w:t>
      </w:r>
      <w:r w:rsidRPr="00286751">
        <w:rPr>
          <w:rFonts w:asciiTheme="minorHAnsi" w:eastAsia="STKaiti" w:hAnsiTheme="minorHAnsi" w:cstheme="minorHAnsi"/>
          <w:b/>
          <w:bCs/>
          <w:lang w:eastAsia="zh-CN"/>
        </w:rPr>
        <w:t>件</w:t>
      </w:r>
    </w:p>
    <w:p w14:paraId="74027500" w14:textId="77777777" w:rsidR="00390AE4" w:rsidRPr="00390AE4" w:rsidRDefault="00390AE4" w:rsidP="00390AE4">
      <w:pPr>
        <w:rPr>
          <w:lang w:eastAsia="zh-CN"/>
        </w:rPr>
      </w:pPr>
      <w:r w:rsidRPr="00390AE4">
        <w:rPr>
          <w:lang w:eastAsia="zh-CN"/>
        </w:rPr>
        <w:br w:type="page"/>
      </w:r>
    </w:p>
    <w:p w14:paraId="0DAC5E9C" w14:textId="03DABA2C" w:rsidR="00390AE4" w:rsidRPr="00187F43" w:rsidRDefault="00390AE4" w:rsidP="00187F43">
      <w:pPr>
        <w:pStyle w:val="Title3"/>
        <w:rPr>
          <w:b/>
          <w:bCs/>
          <w:lang w:eastAsia="zh-CN"/>
        </w:rPr>
      </w:pPr>
      <w:bookmarkStart w:id="7" w:name="lt_pId004"/>
      <w:r w:rsidRPr="00187F43">
        <w:rPr>
          <w:rFonts w:hint="eastAsia"/>
          <w:b/>
          <w:bCs/>
          <w:lang w:eastAsia="zh-CN"/>
        </w:rPr>
        <w:lastRenderedPageBreak/>
        <w:t>财务工作报告</w:t>
      </w:r>
      <w:bookmarkEnd w:id="7"/>
    </w:p>
    <w:p w14:paraId="28B640F8" w14:textId="77777777" w:rsidR="00390AE4" w:rsidRPr="00390AE4" w:rsidRDefault="00390AE4" w:rsidP="00187F43">
      <w:pPr>
        <w:jc w:val="center"/>
        <w:rPr>
          <w:lang w:eastAsia="zh-CN"/>
        </w:rPr>
      </w:pPr>
      <w:bookmarkStart w:id="8" w:name="lt_pId005"/>
      <w:r w:rsidRPr="00390AE4">
        <w:rPr>
          <w:rFonts w:hint="eastAsia"/>
          <w:lang w:eastAsia="zh-CN"/>
        </w:rPr>
        <w:t>目录</w:t>
      </w:r>
      <w:bookmarkEnd w:id="8"/>
    </w:p>
    <w:p w14:paraId="4625579F" w14:textId="2933E11F" w:rsidR="00F14A61" w:rsidRDefault="00187F43"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r w:rsidRPr="00E52A4A">
        <w:fldChar w:fldCharType="begin"/>
      </w:r>
      <w:r w:rsidRPr="00E52A4A">
        <w:instrText xml:space="preserve"> TOC \h \z \t "Heading 1;1;Annex_No;1;Res_No;1;Title 4;1" </w:instrText>
      </w:r>
      <w:r w:rsidRPr="00E52A4A">
        <w:fldChar w:fldCharType="separate"/>
      </w:r>
      <w:hyperlink w:anchor="_Toc163723274" w:history="1">
        <w:r w:rsidR="00F14A61" w:rsidRPr="007F7964">
          <w:rPr>
            <w:rStyle w:val="Hyperlink"/>
            <w:rFonts w:hint="eastAsia"/>
            <w:noProof/>
            <w:lang w:eastAsia="zh-CN"/>
          </w:rPr>
          <w:t>财务报表分析</w:t>
        </w:r>
        <w:r w:rsidR="00F14A61">
          <w:rPr>
            <w:noProof/>
            <w:webHidden/>
          </w:rPr>
          <w:tab/>
        </w:r>
        <w:r w:rsidR="00C129B0">
          <w:rPr>
            <w:noProof/>
            <w:webHidden/>
          </w:rPr>
          <w:tab/>
        </w:r>
        <w:r w:rsidR="00F14A61">
          <w:rPr>
            <w:noProof/>
            <w:webHidden/>
          </w:rPr>
          <w:fldChar w:fldCharType="begin"/>
        </w:r>
        <w:r w:rsidR="00F14A61">
          <w:rPr>
            <w:noProof/>
            <w:webHidden/>
          </w:rPr>
          <w:instrText xml:space="preserve"> PAGEREF _Toc163723274 \h </w:instrText>
        </w:r>
        <w:r w:rsidR="00F14A61">
          <w:rPr>
            <w:noProof/>
            <w:webHidden/>
          </w:rPr>
        </w:r>
        <w:r w:rsidR="00F14A61">
          <w:rPr>
            <w:noProof/>
            <w:webHidden/>
          </w:rPr>
          <w:fldChar w:fldCharType="separate"/>
        </w:r>
        <w:r w:rsidR="00BB0B83">
          <w:rPr>
            <w:noProof/>
            <w:webHidden/>
          </w:rPr>
          <w:t>4</w:t>
        </w:r>
        <w:r w:rsidR="00F14A61">
          <w:rPr>
            <w:noProof/>
            <w:webHidden/>
          </w:rPr>
          <w:fldChar w:fldCharType="end"/>
        </w:r>
      </w:hyperlink>
    </w:p>
    <w:p w14:paraId="219F430F" w14:textId="09C080F0"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275" w:history="1">
        <w:r w:rsidR="00F14A61" w:rsidRPr="007F7964">
          <w:rPr>
            <w:rStyle w:val="Hyperlink"/>
            <w:noProof/>
            <w:lang w:eastAsia="zh-CN"/>
          </w:rPr>
          <w:t>2022</w:t>
        </w:r>
        <w:r w:rsidR="00F14A61" w:rsidRPr="007F7964">
          <w:rPr>
            <w:rStyle w:val="Hyperlink"/>
            <w:rFonts w:hint="eastAsia"/>
            <w:noProof/>
            <w:lang w:eastAsia="zh-CN"/>
          </w:rPr>
          <w:t>年内部控制声明</w:t>
        </w:r>
        <w:r w:rsidR="00F14A61">
          <w:rPr>
            <w:noProof/>
            <w:webHidden/>
          </w:rPr>
          <w:tab/>
        </w:r>
        <w:r w:rsidR="00C129B0">
          <w:rPr>
            <w:noProof/>
            <w:webHidden/>
          </w:rPr>
          <w:tab/>
        </w:r>
        <w:r w:rsidR="00F14A61">
          <w:rPr>
            <w:noProof/>
            <w:webHidden/>
          </w:rPr>
          <w:fldChar w:fldCharType="begin"/>
        </w:r>
        <w:r w:rsidR="00F14A61">
          <w:rPr>
            <w:noProof/>
            <w:webHidden/>
          </w:rPr>
          <w:instrText xml:space="preserve"> PAGEREF _Toc163723275 \h </w:instrText>
        </w:r>
        <w:r w:rsidR="00F14A61">
          <w:rPr>
            <w:noProof/>
            <w:webHidden/>
          </w:rPr>
        </w:r>
        <w:r w:rsidR="00F14A61">
          <w:rPr>
            <w:noProof/>
            <w:webHidden/>
          </w:rPr>
          <w:fldChar w:fldCharType="separate"/>
        </w:r>
        <w:r w:rsidR="00BB0B83">
          <w:rPr>
            <w:noProof/>
            <w:webHidden/>
          </w:rPr>
          <w:t>11</w:t>
        </w:r>
        <w:r w:rsidR="00F14A61">
          <w:rPr>
            <w:noProof/>
            <w:webHidden/>
          </w:rPr>
          <w:fldChar w:fldCharType="end"/>
        </w:r>
      </w:hyperlink>
    </w:p>
    <w:p w14:paraId="75DC572F" w14:textId="7DA2F72F"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276" w:history="1">
        <w:r w:rsidR="00F14A61" w:rsidRPr="007F7964">
          <w:rPr>
            <w:rStyle w:val="Hyperlink"/>
            <w:rFonts w:hint="eastAsia"/>
            <w:noProof/>
            <w:lang w:eastAsia="zh-CN"/>
          </w:rPr>
          <w:t>独立审计员提交国际电信联盟的报告</w:t>
        </w:r>
        <w:r w:rsidR="00F14A61">
          <w:rPr>
            <w:noProof/>
            <w:webHidden/>
          </w:rPr>
          <w:tab/>
        </w:r>
        <w:r w:rsidR="00C129B0">
          <w:rPr>
            <w:noProof/>
            <w:webHidden/>
          </w:rPr>
          <w:tab/>
        </w:r>
        <w:r w:rsidR="00F14A61">
          <w:rPr>
            <w:noProof/>
            <w:webHidden/>
          </w:rPr>
          <w:fldChar w:fldCharType="begin"/>
        </w:r>
        <w:r w:rsidR="00F14A61">
          <w:rPr>
            <w:noProof/>
            <w:webHidden/>
          </w:rPr>
          <w:instrText xml:space="preserve"> PAGEREF _Toc163723276 \h </w:instrText>
        </w:r>
        <w:r w:rsidR="00F14A61">
          <w:rPr>
            <w:noProof/>
            <w:webHidden/>
          </w:rPr>
        </w:r>
        <w:r w:rsidR="00F14A61">
          <w:rPr>
            <w:noProof/>
            <w:webHidden/>
          </w:rPr>
          <w:fldChar w:fldCharType="separate"/>
        </w:r>
        <w:r w:rsidR="00BB0B83">
          <w:rPr>
            <w:noProof/>
            <w:webHidden/>
          </w:rPr>
          <w:t>16</w:t>
        </w:r>
        <w:r w:rsidR="00F14A61">
          <w:rPr>
            <w:noProof/>
            <w:webHidden/>
          </w:rPr>
          <w:fldChar w:fldCharType="end"/>
        </w:r>
      </w:hyperlink>
    </w:p>
    <w:p w14:paraId="2109A3E2" w14:textId="2681C3E0" w:rsidR="00F14A61" w:rsidRDefault="00CE269B" w:rsidP="00C129B0">
      <w:pPr>
        <w:pStyle w:val="TOC1"/>
        <w:tabs>
          <w:tab w:val="clear" w:pos="7938"/>
          <w:tab w:val="clear" w:pos="8789"/>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277" w:history="1">
        <w:r w:rsidR="00F14A61" w:rsidRPr="007F7964">
          <w:rPr>
            <w:rStyle w:val="Hyperlink"/>
            <w:rFonts w:hint="eastAsia"/>
            <w:noProof/>
          </w:rPr>
          <w:t>财务报表</w:t>
        </w:r>
        <w:r w:rsidR="00F14A61">
          <w:rPr>
            <w:noProof/>
            <w:webHidden/>
          </w:rPr>
          <w:tab/>
        </w:r>
        <w:r w:rsidR="00C129B0">
          <w:rPr>
            <w:noProof/>
            <w:webHidden/>
          </w:rPr>
          <w:tab/>
        </w:r>
        <w:r w:rsidR="00F14A61">
          <w:rPr>
            <w:noProof/>
            <w:webHidden/>
          </w:rPr>
          <w:fldChar w:fldCharType="begin"/>
        </w:r>
        <w:r w:rsidR="00F14A61">
          <w:rPr>
            <w:noProof/>
            <w:webHidden/>
          </w:rPr>
          <w:instrText xml:space="preserve"> PAGEREF _Toc163723277 \h </w:instrText>
        </w:r>
        <w:r w:rsidR="00F14A61">
          <w:rPr>
            <w:noProof/>
            <w:webHidden/>
          </w:rPr>
        </w:r>
        <w:r w:rsidR="00F14A61">
          <w:rPr>
            <w:noProof/>
            <w:webHidden/>
          </w:rPr>
          <w:fldChar w:fldCharType="separate"/>
        </w:r>
        <w:r w:rsidR="00BB0B83">
          <w:rPr>
            <w:noProof/>
            <w:webHidden/>
          </w:rPr>
          <w:t>19</w:t>
        </w:r>
        <w:r w:rsidR="00F14A61">
          <w:rPr>
            <w:noProof/>
            <w:webHidden/>
          </w:rPr>
          <w:fldChar w:fldCharType="end"/>
        </w:r>
      </w:hyperlink>
    </w:p>
    <w:p w14:paraId="09E0C7AF" w14:textId="544BBE3E"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278" w:history="1">
        <w:r w:rsidR="00F14A61" w:rsidRPr="007F7964">
          <w:rPr>
            <w:rStyle w:val="Hyperlink"/>
            <w:rFonts w:hint="eastAsia"/>
            <w:noProof/>
            <w:lang w:eastAsia="zh-CN"/>
          </w:rPr>
          <w:t>报表一：财务状况表</w:t>
        </w:r>
      </w:hyperlink>
    </w:p>
    <w:p w14:paraId="0F5928FE" w14:textId="78CE2C9B"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279" w:history="1">
        <w:r w:rsidR="00F14A61" w:rsidRPr="007F7964">
          <w:rPr>
            <w:rStyle w:val="Hyperlink"/>
            <w:rFonts w:hint="eastAsia"/>
            <w:noProof/>
            <w:lang w:eastAsia="zh-CN"/>
          </w:rPr>
          <w:t>报表二：财务业绩报表</w:t>
        </w:r>
      </w:hyperlink>
    </w:p>
    <w:p w14:paraId="6A865663" w14:textId="18923F94"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280" w:history="1">
        <w:r w:rsidR="00F14A61" w:rsidRPr="007F7964">
          <w:rPr>
            <w:rStyle w:val="Hyperlink"/>
            <w:rFonts w:hint="eastAsia"/>
            <w:noProof/>
            <w:lang w:eastAsia="zh-CN"/>
          </w:rPr>
          <w:t>报表三：净资产变动表</w:t>
        </w:r>
      </w:hyperlink>
    </w:p>
    <w:p w14:paraId="3EAD040F" w14:textId="3D9DE19D"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281" w:history="1">
        <w:r w:rsidR="00F14A61" w:rsidRPr="007F7964">
          <w:rPr>
            <w:rStyle w:val="Hyperlink"/>
            <w:rFonts w:hint="eastAsia"/>
            <w:noProof/>
            <w:lang w:eastAsia="zh-CN"/>
          </w:rPr>
          <w:t>报表四：现金流表</w:t>
        </w:r>
      </w:hyperlink>
    </w:p>
    <w:p w14:paraId="0E81831A" w14:textId="6CE51D7F"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282" w:history="1">
        <w:r w:rsidR="00F14A61" w:rsidRPr="007F7964">
          <w:rPr>
            <w:rStyle w:val="Hyperlink"/>
            <w:rFonts w:hint="eastAsia"/>
            <w:noProof/>
            <w:lang w:eastAsia="zh-CN"/>
          </w:rPr>
          <w:t>报表五：预算和实际发生金额比较报表</w:t>
        </w:r>
      </w:hyperlink>
    </w:p>
    <w:p w14:paraId="198F3325" w14:textId="3359E6BC"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283" w:history="1">
        <w:r w:rsidR="00F14A61" w:rsidRPr="007F7964">
          <w:rPr>
            <w:rStyle w:val="Hyperlink"/>
            <w:rFonts w:hint="eastAsia"/>
            <w:noProof/>
            <w:lang w:eastAsia="zh-CN"/>
          </w:rPr>
          <w:t>财务报表说明</w:t>
        </w:r>
      </w:hyperlink>
    </w:p>
    <w:p w14:paraId="25A9DCD9" w14:textId="5F158A0E"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284" w:history="1">
        <w:r w:rsidR="00F14A61" w:rsidRPr="007F7964">
          <w:rPr>
            <w:rStyle w:val="Hyperlink"/>
            <w:rFonts w:hint="eastAsia"/>
            <w:noProof/>
            <w:lang w:eastAsia="zh-CN"/>
          </w:rPr>
          <w:t>说明</w:t>
        </w:r>
        <w:r w:rsidR="00F14A61" w:rsidRPr="007F7964">
          <w:rPr>
            <w:rStyle w:val="Hyperlink"/>
            <w:noProof/>
            <w:lang w:eastAsia="zh-CN"/>
          </w:rPr>
          <w:t>1</w:t>
        </w:r>
        <w:r w:rsidR="00F14A61">
          <w:rPr>
            <w:rFonts w:asciiTheme="minorHAnsi" w:eastAsiaTheme="minorEastAsia" w:hAnsiTheme="minorHAnsi" w:cstheme="minorBidi"/>
            <w:noProof/>
            <w:kern w:val="2"/>
            <w:sz w:val="22"/>
            <w:szCs w:val="22"/>
            <w:lang w:eastAsia="zh-CN"/>
            <w14:ligatures w14:val="standardContextual"/>
          </w:rPr>
          <w:tab/>
        </w:r>
        <w:r w:rsidR="00F14A61" w:rsidRPr="007F7964">
          <w:rPr>
            <w:rStyle w:val="Hyperlink"/>
            <w:rFonts w:hint="eastAsia"/>
            <w:noProof/>
            <w:lang w:eastAsia="zh-CN"/>
          </w:rPr>
          <w:t>国际电联的目标</w:t>
        </w:r>
        <w:r w:rsidR="00F14A61">
          <w:rPr>
            <w:noProof/>
            <w:webHidden/>
          </w:rPr>
          <w:tab/>
        </w:r>
        <w:r w:rsidR="001920D9">
          <w:rPr>
            <w:noProof/>
            <w:webHidden/>
          </w:rPr>
          <w:tab/>
        </w:r>
        <w:r w:rsidR="00F14A61">
          <w:rPr>
            <w:noProof/>
            <w:webHidden/>
          </w:rPr>
          <w:fldChar w:fldCharType="begin"/>
        </w:r>
        <w:r w:rsidR="00F14A61">
          <w:rPr>
            <w:noProof/>
            <w:webHidden/>
          </w:rPr>
          <w:instrText xml:space="preserve"> PAGEREF _Toc163723284 \h </w:instrText>
        </w:r>
        <w:r w:rsidR="00F14A61">
          <w:rPr>
            <w:noProof/>
            <w:webHidden/>
          </w:rPr>
        </w:r>
        <w:r w:rsidR="00F14A61">
          <w:rPr>
            <w:noProof/>
            <w:webHidden/>
          </w:rPr>
          <w:fldChar w:fldCharType="separate"/>
        </w:r>
        <w:r w:rsidR="00BB0B83">
          <w:rPr>
            <w:noProof/>
            <w:webHidden/>
          </w:rPr>
          <w:t>24</w:t>
        </w:r>
        <w:r w:rsidR="00F14A61">
          <w:rPr>
            <w:noProof/>
            <w:webHidden/>
          </w:rPr>
          <w:fldChar w:fldCharType="end"/>
        </w:r>
      </w:hyperlink>
    </w:p>
    <w:p w14:paraId="008A3279" w14:textId="2F1E79B3"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285" w:history="1">
        <w:r w:rsidR="00F14A61" w:rsidRPr="007F7964">
          <w:rPr>
            <w:rStyle w:val="Hyperlink"/>
            <w:rFonts w:hint="eastAsia"/>
            <w:noProof/>
            <w:lang w:eastAsia="zh-CN"/>
          </w:rPr>
          <w:t>说明</w:t>
        </w:r>
        <w:r w:rsidR="00F14A61" w:rsidRPr="007F7964">
          <w:rPr>
            <w:rStyle w:val="Hyperlink"/>
            <w:noProof/>
            <w:lang w:eastAsia="zh-CN"/>
          </w:rPr>
          <w:t>2</w:t>
        </w:r>
        <w:r w:rsidR="00F14A61">
          <w:rPr>
            <w:rFonts w:asciiTheme="minorHAnsi" w:eastAsiaTheme="minorEastAsia" w:hAnsiTheme="minorHAnsi" w:cstheme="minorBidi"/>
            <w:noProof/>
            <w:kern w:val="2"/>
            <w:sz w:val="22"/>
            <w:szCs w:val="22"/>
            <w:lang w:eastAsia="zh-CN"/>
            <w14:ligatures w14:val="standardContextual"/>
          </w:rPr>
          <w:tab/>
        </w:r>
        <w:r w:rsidR="00F14A61" w:rsidRPr="007F7964">
          <w:rPr>
            <w:rStyle w:val="Hyperlink"/>
            <w:rFonts w:hint="eastAsia"/>
            <w:noProof/>
            <w:lang w:eastAsia="zh-CN"/>
          </w:rPr>
          <w:t>编写和列报的基础</w:t>
        </w:r>
        <w:r w:rsidR="00F14A61">
          <w:rPr>
            <w:noProof/>
            <w:webHidden/>
          </w:rPr>
          <w:tab/>
        </w:r>
        <w:r w:rsidR="001920D9">
          <w:rPr>
            <w:noProof/>
            <w:webHidden/>
          </w:rPr>
          <w:tab/>
        </w:r>
        <w:r w:rsidR="00F14A61">
          <w:rPr>
            <w:noProof/>
            <w:webHidden/>
          </w:rPr>
          <w:fldChar w:fldCharType="begin"/>
        </w:r>
        <w:r w:rsidR="00F14A61">
          <w:rPr>
            <w:noProof/>
            <w:webHidden/>
          </w:rPr>
          <w:instrText xml:space="preserve"> PAGEREF _Toc163723285 \h </w:instrText>
        </w:r>
        <w:r w:rsidR="00F14A61">
          <w:rPr>
            <w:noProof/>
            <w:webHidden/>
          </w:rPr>
        </w:r>
        <w:r w:rsidR="00F14A61">
          <w:rPr>
            <w:noProof/>
            <w:webHidden/>
          </w:rPr>
          <w:fldChar w:fldCharType="separate"/>
        </w:r>
        <w:r w:rsidR="00BB0B83">
          <w:rPr>
            <w:noProof/>
            <w:webHidden/>
          </w:rPr>
          <w:t>25</w:t>
        </w:r>
        <w:r w:rsidR="00F14A61">
          <w:rPr>
            <w:noProof/>
            <w:webHidden/>
          </w:rPr>
          <w:fldChar w:fldCharType="end"/>
        </w:r>
      </w:hyperlink>
    </w:p>
    <w:p w14:paraId="50BF03EE" w14:textId="1DA17E84"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286" w:history="1">
        <w:r w:rsidR="00F14A61" w:rsidRPr="007F7964">
          <w:rPr>
            <w:rStyle w:val="Hyperlink"/>
            <w:rFonts w:hint="eastAsia"/>
            <w:noProof/>
            <w:lang w:eastAsia="zh-CN"/>
          </w:rPr>
          <w:t>说明</w:t>
        </w:r>
        <w:r w:rsidR="00F14A61" w:rsidRPr="007F7964">
          <w:rPr>
            <w:rStyle w:val="Hyperlink"/>
            <w:noProof/>
            <w:lang w:eastAsia="zh-CN"/>
          </w:rPr>
          <w:t>3</w:t>
        </w:r>
        <w:r w:rsidR="00F14A61">
          <w:rPr>
            <w:rFonts w:asciiTheme="minorHAnsi" w:eastAsiaTheme="minorEastAsia" w:hAnsiTheme="minorHAnsi" w:cstheme="minorBidi"/>
            <w:noProof/>
            <w:kern w:val="2"/>
            <w:sz w:val="22"/>
            <w:szCs w:val="22"/>
            <w:lang w:eastAsia="zh-CN"/>
            <w14:ligatures w14:val="standardContextual"/>
          </w:rPr>
          <w:tab/>
        </w:r>
        <w:r w:rsidR="00F14A61" w:rsidRPr="007F7964">
          <w:rPr>
            <w:rStyle w:val="Hyperlink"/>
            <w:rFonts w:hint="eastAsia"/>
            <w:noProof/>
            <w:lang w:eastAsia="zh-CN"/>
          </w:rPr>
          <w:t>重要会计政策</w:t>
        </w:r>
        <w:r w:rsidR="00F14A61">
          <w:rPr>
            <w:noProof/>
            <w:webHidden/>
          </w:rPr>
          <w:tab/>
        </w:r>
        <w:r w:rsidR="001920D9">
          <w:rPr>
            <w:noProof/>
            <w:webHidden/>
          </w:rPr>
          <w:tab/>
        </w:r>
        <w:r w:rsidR="00F14A61">
          <w:rPr>
            <w:noProof/>
            <w:webHidden/>
          </w:rPr>
          <w:fldChar w:fldCharType="begin"/>
        </w:r>
        <w:r w:rsidR="00F14A61">
          <w:rPr>
            <w:noProof/>
            <w:webHidden/>
          </w:rPr>
          <w:instrText xml:space="preserve"> PAGEREF _Toc163723286 \h </w:instrText>
        </w:r>
        <w:r w:rsidR="00F14A61">
          <w:rPr>
            <w:noProof/>
            <w:webHidden/>
          </w:rPr>
        </w:r>
        <w:r w:rsidR="00F14A61">
          <w:rPr>
            <w:noProof/>
            <w:webHidden/>
          </w:rPr>
          <w:fldChar w:fldCharType="separate"/>
        </w:r>
        <w:r w:rsidR="00BB0B83">
          <w:rPr>
            <w:noProof/>
            <w:webHidden/>
          </w:rPr>
          <w:t>27</w:t>
        </w:r>
        <w:r w:rsidR="00F14A61">
          <w:rPr>
            <w:noProof/>
            <w:webHidden/>
          </w:rPr>
          <w:fldChar w:fldCharType="end"/>
        </w:r>
      </w:hyperlink>
    </w:p>
    <w:p w14:paraId="4B068F3D" w14:textId="4CFA3136"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287" w:history="1">
        <w:r w:rsidR="00F14A61" w:rsidRPr="007F7964">
          <w:rPr>
            <w:rStyle w:val="Hyperlink"/>
            <w:rFonts w:cs="Microsoft YaHei" w:hint="eastAsia"/>
            <w:noProof/>
            <w:lang w:val="fr-FR" w:eastAsia="zh-CN"/>
          </w:rPr>
          <w:t>说明</w:t>
        </w:r>
        <w:r w:rsidR="00F14A61" w:rsidRPr="007F7964">
          <w:rPr>
            <w:rStyle w:val="Hyperlink"/>
            <w:noProof/>
            <w:lang w:eastAsia="zh-CN"/>
          </w:rPr>
          <w:t>4</w:t>
        </w:r>
        <w:r w:rsidR="00F14A61">
          <w:rPr>
            <w:rFonts w:asciiTheme="minorHAnsi" w:eastAsiaTheme="minorEastAsia" w:hAnsiTheme="minorHAnsi" w:cstheme="minorBidi"/>
            <w:noProof/>
            <w:kern w:val="2"/>
            <w:sz w:val="22"/>
            <w:szCs w:val="22"/>
            <w:lang w:eastAsia="zh-CN"/>
            <w14:ligatures w14:val="standardContextual"/>
          </w:rPr>
          <w:tab/>
        </w:r>
        <w:r w:rsidR="00F14A61" w:rsidRPr="007F7964">
          <w:rPr>
            <w:rStyle w:val="Hyperlink"/>
            <w:rFonts w:cs="Microsoft YaHei" w:hint="eastAsia"/>
            <w:noProof/>
            <w:lang w:val="fr-FR" w:eastAsia="zh-CN"/>
          </w:rPr>
          <w:t>净资产的管理</w:t>
        </w:r>
        <w:r w:rsidR="00F14A61">
          <w:rPr>
            <w:noProof/>
            <w:webHidden/>
          </w:rPr>
          <w:tab/>
        </w:r>
        <w:r w:rsidR="001920D9">
          <w:rPr>
            <w:noProof/>
            <w:webHidden/>
          </w:rPr>
          <w:tab/>
        </w:r>
        <w:r w:rsidR="00F14A61">
          <w:rPr>
            <w:noProof/>
            <w:webHidden/>
          </w:rPr>
          <w:fldChar w:fldCharType="begin"/>
        </w:r>
        <w:r w:rsidR="00F14A61">
          <w:rPr>
            <w:noProof/>
            <w:webHidden/>
          </w:rPr>
          <w:instrText xml:space="preserve"> PAGEREF _Toc163723287 \h </w:instrText>
        </w:r>
        <w:r w:rsidR="00F14A61">
          <w:rPr>
            <w:noProof/>
            <w:webHidden/>
          </w:rPr>
        </w:r>
        <w:r w:rsidR="00F14A61">
          <w:rPr>
            <w:noProof/>
            <w:webHidden/>
          </w:rPr>
          <w:fldChar w:fldCharType="separate"/>
        </w:r>
        <w:r w:rsidR="00BB0B83">
          <w:rPr>
            <w:noProof/>
            <w:webHidden/>
          </w:rPr>
          <w:t>36</w:t>
        </w:r>
        <w:r w:rsidR="00F14A61">
          <w:rPr>
            <w:noProof/>
            <w:webHidden/>
          </w:rPr>
          <w:fldChar w:fldCharType="end"/>
        </w:r>
      </w:hyperlink>
    </w:p>
    <w:p w14:paraId="55B1EAEE" w14:textId="44CC8CC7"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288" w:history="1">
        <w:r w:rsidR="00F14A61" w:rsidRPr="007F7964">
          <w:rPr>
            <w:rStyle w:val="Hyperlink"/>
            <w:rFonts w:cs="Microsoft YaHei" w:hint="eastAsia"/>
            <w:noProof/>
            <w:lang w:val="fr-FR" w:eastAsia="zh-CN"/>
          </w:rPr>
          <w:t>说明</w:t>
        </w:r>
        <w:r w:rsidR="00F14A61" w:rsidRPr="007F7964">
          <w:rPr>
            <w:rStyle w:val="Hyperlink"/>
            <w:rFonts w:cs="Microsoft YaHei"/>
            <w:noProof/>
            <w:lang w:eastAsia="zh-CN"/>
          </w:rPr>
          <w:t>5</w:t>
        </w:r>
        <w:r w:rsidR="00F14A61">
          <w:rPr>
            <w:rFonts w:asciiTheme="minorHAnsi" w:eastAsiaTheme="minorEastAsia" w:hAnsiTheme="minorHAnsi" w:cstheme="minorBidi"/>
            <w:noProof/>
            <w:kern w:val="2"/>
            <w:sz w:val="22"/>
            <w:szCs w:val="22"/>
            <w:lang w:eastAsia="zh-CN"/>
            <w14:ligatures w14:val="standardContextual"/>
          </w:rPr>
          <w:tab/>
        </w:r>
        <w:r w:rsidR="00F14A61" w:rsidRPr="007F7964">
          <w:rPr>
            <w:rStyle w:val="Hyperlink"/>
            <w:rFonts w:cs="Microsoft YaHei" w:hint="eastAsia"/>
            <w:noProof/>
            <w:lang w:val="fr-FR" w:eastAsia="zh-CN"/>
          </w:rPr>
          <w:t>财务风险的管理</w:t>
        </w:r>
        <w:r w:rsidR="00F14A61">
          <w:rPr>
            <w:noProof/>
            <w:webHidden/>
          </w:rPr>
          <w:tab/>
        </w:r>
        <w:r w:rsidR="001920D9">
          <w:rPr>
            <w:noProof/>
            <w:webHidden/>
          </w:rPr>
          <w:tab/>
        </w:r>
        <w:r w:rsidR="00F14A61">
          <w:rPr>
            <w:noProof/>
            <w:webHidden/>
          </w:rPr>
          <w:fldChar w:fldCharType="begin"/>
        </w:r>
        <w:r w:rsidR="00F14A61">
          <w:rPr>
            <w:noProof/>
            <w:webHidden/>
          </w:rPr>
          <w:instrText xml:space="preserve"> PAGEREF _Toc163723288 \h </w:instrText>
        </w:r>
        <w:r w:rsidR="00F14A61">
          <w:rPr>
            <w:noProof/>
            <w:webHidden/>
          </w:rPr>
        </w:r>
        <w:r w:rsidR="00F14A61">
          <w:rPr>
            <w:noProof/>
            <w:webHidden/>
          </w:rPr>
          <w:fldChar w:fldCharType="separate"/>
        </w:r>
        <w:r w:rsidR="00BB0B83">
          <w:rPr>
            <w:noProof/>
            <w:webHidden/>
          </w:rPr>
          <w:t>38</w:t>
        </w:r>
        <w:r w:rsidR="00F14A61">
          <w:rPr>
            <w:noProof/>
            <w:webHidden/>
          </w:rPr>
          <w:fldChar w:fldCharType="end"/>
        </w:r>
      </w:hyperlink>
    </w:p>
    <w:p w14:paraId="258E8926" w14:textId="4A585A4D"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289" w:history="1">
        <w:r w:rsidR="00F14A61" w:rsidRPr="007F7964">
          <w:rPr>
            <w:rStyle w:val="Hyperlink"/>
            <w:rFonts w:cs="Microsoft YaHei" w:hint="eastAsia"/>
            <w:noProof/>
            <w:lang w:val="fr-FR" w:eastAsia="zh-CN"/>
          </w:rPr>
          <w:t>说明</w:t>
        </w:r>
        <w:r w:rsidR="00F14A61" w:rsidRPr="007F7964">
          <w:rPr>
            <w:rStyle w:val="Hyperlink"/>
            <w:noProof/>
            <w:lang w:val="fr-FR" w:eastAsia="zh-CN"/>
          </w:rPr>
          <w:t>6</w:t>
        </w:r>
        <w:r w:rsidR="00F14A61">
          <w:rPr>
            <w:rFonts w:asciiTheme="minorHAnsi" w:eastAsiaTheme="minorEastAsia" w:hAnsiTheme="minorHAnsi" w:cstheme="minorBidi"/>
            <w:noProof/>
            <w:kern w:val="2"/>
            <w:sz w:val="22"/>
            <w:szCs w:val="22"/>
            <w:lang w:eastAsia="zh-CN"/>
            <w14:ligatures w14:val="standardContextual"/>
          </w:rPr>
          <w:tab/>
        </w:r>
        <w:r w:rsidR="00F14A61" w:rsidRPr="007F7964">
          <w:rPr>
            <w:rStyle w:val="Hyperlink"/>
            <w:rFonts w:cs="Microsoft YaHei" w:hint="eastAsia"/>
            <w:noProof/>
            <w:lang w:val="fr-FR" w:eastAsia="zh-CN"/>
          </w:rPr>
          <w:t>判定和会计估算</w:t>
        </w:r>
        <w:r w:rsidR="00F14A61">
          <w:rPr>
            <w:noProof/>
            <w:webHidden/>
          </w:rPr>
          <w:tab/>
        </w:r>
        <w:r w:rsidR="001920D9">
          <w:rPr>
            <w:noProof/>
            <w:webHidden/>
          </w:rPr>
          <w:tab/>
        </w:r>
        <w:r w:rsidR="00F14A61">
          <w:rPr>
            <w:noProof/>
            <w:webHidden/>
          </w:rPr>
          <w:fldChar w:fldCharType="begin"/>
        </w:r>
        <w:r w:rsidR="00F14A61">
          <w:rPr>
            <w:noProof/>
            <w:webHidden/>
          </w:rPr>
          <w:instrText xml:space="preserve"> PAGEREF _Toc163723289 \h </w:instrText>
        </w:r>
        <w:r w:rsidR="00F14A61">
          <w:rPr>
            <w:noProof/>
            <w:webHidden/>
          </w:rPr>
        </w:r>
        <w:r w:rsidR="00F14A61">
          <w:rPr>
            <w:noProof/>
            <w:webHidden/>
          </w:rPr>
          <w:fldChar w:fldCharType="separate"/>
        </w:r>
        <w:r w:rsidR="00BB0B83">
          <w:rPr>
            <w:noProof/>
            <w:webHidden/>
          </w:rPr>
          <w:t>41</w:t>
        </w:r>
        <w:r w:rsidR="00F14A61">
          <w:rPr>
            <w:noProof/>
            <w:webHidden/>
          </w:rPr>
          <w:fldChar w:fldCharType="end"/>
        </w:r>
      </w:hyperlink>
    </w:p>
    <w:p w14:paraId="683044BA" w14:textId="50C72707"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290" w:history="1">
        <w:r w:rsidR="00F14A61" w:rsidRPr="007F7964">
          <w:rPr>
            <w:rStyle w:val="Hyperlink"/>
            <w:rFonts w:cs="Microsoft YaHei" w:hint="eastAsia"/>
            <w:noProof/>
            <w:lang w:val="fr-FR" w:eastAsia="zh-CN"/>
          </w:rPr>
          <w:t>说明</w:t>
        </w:r>
        <w:r w:rsidR="00F14A61" w:rsidRPr="007F7964">
          <w:rPr>
            <w:rStyle w:val="Hyperlink"/>
            <w:rFonts w:cs="Microsoft YaHei"/>
            <w:noProof/>
            <w:lang w:val="fr-FR" w:eastAsia="zh-CN"/>
          </w:rPr>
          <w:t>7</w:t>
        </w:r>
        <w:r w:rsidR="00F14A61">
          <w:rPr>
            <w:rFonts w:asciiTheme="minorHAnsi" w:eastAsiaTheme="minorEastAsia" w:hAnsiTheme="minorHAnsi" w:cstheme="minorBidi"/>
            <w:noProof/>
            <w:kern w:val="2"/>
            <w:sz w:val="22"/>
            <w:szCs w:val="22"/>
            <w:lang w:eastAsia="zh-CN"/>
            <w14:ligatures w14:val="standardContextual"/>
          </w:rPr>
          <w:tab/>
        </w:r>
        <w:r w:rsidR="00F14A61" w:rsidRPr="007F7964">
          <w:rPr>
            <w:rStyle w:val="Hyperlink"/>
            <w:rFonts w:cs="Microsoft YaHei" w:hint="eastAsia"/>
            <w:noProof/>
            <w:lang w:val="fr-FR" w:eastAsia="zh-CN"/>
          </w:rPr>
          <w:t>现金和现金等价物</w:t>
        </w:r>
        <w:r w:rsidR="00F14A61">
          <w:rPr>
            <w:noProof/>
            <w:webHidden/>
          </w:rPr>
          <w:tab/>
        </w:r>
        <w:r w:rsidR="001920D9">
          <w:rPr>
            <w:noProof/>
            <w:webHidden/>
          </w:rPr>
          <w:tab/>
        </w:r>
        <w:r w:rsidR="00F14A61">
          <w:rPr>
            <w:noProof/>
            <w:webHidden/>
          </w:rPr>
          <w:fldChar w:fldCharType="begin"/>
        </w:r>
        <w:r w:rsidR="00F14A61">
          <w:rPr>
            <w:noProof/>
            <w:webHidden/>
          </w:rPr>
          <w:instrText xml:space="preserve"> PAGEREF _Toc163723290 \h </w:instrText>
        </w:r>
        <w:r w:rsidR="00F14A61">
          <w:rPr>
            <w:noProof/>
            <w:webHidden/>
          </w:rPr>
        </w:r>
        <w:r w:rsidR="00F14A61">
          <w:rPr>
            <w:noProof/>
            <w:webHidden/>
          </w:rPr>
          <w:fldChar w:fldCharType="separate"/>
        </w:r>
        <w:r w:rsidR="00BB0B83">
          <w:rPr>
            <w:noProof/>
            <w:webHidden/>
          </w:rPr>
          <w:t>41</w:t>
        </w:r>
        <w:r w:rsidR="00F14A61">
          <w:rPr>
            <w:noProof/>
            <w:webHidden/>
          </w:rPr>
          <w:fldChar w:fldCharType="end"/>
        </w:r>
      </w:hyperlink>
    </w:p>
    <w:p w14:paraId="1EC9902E" w14:textId="0E23DAE1"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291" w:history="1">
        <w:r w:rsidR="00F14A61" w:rsidRPr="007F7964">
          <w:rPr>
            <w:rStyle w:val="Hyperlink"/>
            <w:rFonts w:cs="Microsoft YaHei" w:hint="eastAsia"/>
            <w:noProof/>
            <w:lang w:val="fr-FR" w:eastAsia="zh-CN"/>
          </w:rPr>
          <w:t>说明</w:t>
        </w:r>
        <w:r w:rsidR="00F14A61" w:rsidRPr="007F7964">
          <w:rPr>
            <w:rStyle w:val="Hyperlink"/>
            <w:rFonts w:cs="Microsoft YaHei"/>
            <w:noProof/>
            <w:lang w:val="en" w:eastAsia="zh-CN"/>
          </w:rPr>
          <w:t>8</w:t>
        </w:r>
        <w:r w:rsidR="00F14A61">
          <w:rPr>
            <w:rFonts w:asciiTheme="minorHAnsi" w:eastAsiaTheme="minorEastAsia" w:hAnsiTheme="minorHAnsi" w:cstheme="minorBidi"/>
            <w:noProof/>
            <w:kern w:val="2"/>
            <w:sz w:val="22"/>
            <w:szCs w:val="22"/>
            <w:lang w:eastAsia="zh-CN"/>
            <w14:ligatures w14:val="standardContextual"/>
          </w:rPr>
          <w:tab/>
        </w:r>
        <w:r w:rsidR="00F14A61" w:rsidRPr="007F7964">
          <w:rPr>
            <w:rStyle w:val="Hyperlink"/>
            <w:rFonts w:cs="Microsoft YaHei" w:hint="eastAsia"/>
            <w:noProof/>
            <w:lang w:val="fr-FR" w:eastAsia="zh-CN"/>
          </w:rPr>
          <w:t>投资</w:t>
        </w:r>
        <w:r w:rsidR="00F14A61">
          <w:rPr>
            <w:noProof/>
            <w:webHidden/>
          </w:rPr>
          <w:tab/>
        </w:r>
        <w:r w:rsidR="001920D9">
          <w:rPr>
            <w:noProof/>
            <w:webHidden/>
          </w:rPr>
          <w:tab/>
        </w:r>
        <w:r w:rsidR="00F14A61">
          <w:rPr>
            <w:noProof/>
            <w:webHidden/>
          </w:rPr>
          <w:fldChar w:fldCharType="begin"/>
        </w:r>
        <w:r w:rsidR="00F14A61">
          <w:rPr>
            <w:noProof/>
            <w:webHidden/>
          </w:rPr>
          <w:instrText xml:space="preserve"> PAGEREF _Toc163723291 \h </w:instrText>
        </w:r>
        <w:r w:rsidR="00F14A61">
          <w:rPr>
            <w:noProof/>
            <w:webHidden/>
          </w:rPr>
        </w:r>
        <w:r w:rsidR="00F14A61">
          <w:rPr>
            <w:noProof/>
            <w:webHidden/>
          </w:rPr>
          <w:fldChar w:fldCharType="separate"/>
        </w:r>
        <w:r w:rsidR="00BB0B83">
          <w:rPr>
            <w:noProof/>
            <w:webHidden/>
          </w:rPr>
          <w:t>42</w:t>
        </w:r>
        <w:r w:rsidR="00F14A61">
          <w:rPr>
            <w:noProof/>
            <w:webHidden/>
          </w:rPr>
          <w:fldChar w:fldCharType="end"/>
        </w:r>
      </w:hyperlink>
    </w:p>
    <w:p w14:paraId="35ACEACF" w14:textId="163437EF"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292" w:history="1">
        <w:r w:rsidR="00F14A61" w:rsidRPr="007F7964">
          <w:rPr>
            <w:rStyle w:val="Hyperlink"/>
            <w:rFonts w:cs="Microsoft YaHei" w:hint="eastAsia"/>
            <w:noProof/>
            <w:lang w:val="fr-FR" w:eastAsia="zh-CN"/>
          </w:rPr>
          <w:t>说明</w:t>
        </w:r>
        <w:r w:rsidR="00F14A61" w:rsidRPr="007F7964">
          <w:rPr>
            <w:rStyle w:val="Hyperlink"/>
            <w:rFonts w:cs="Microsoft YaHei"/>
            <w:noProof/>
            <w:lang w:eastAsia="zh-CN"/>
          </w:rPr>
          <w:t>9</w:t>
        </w:r>
        <w:r w:rsidR="00F14A61">
          <w:rPr>
            <w:rFonts w:asciiTheme="minorHAnsi" w:eastAsiaTheme="minorEastAsia" w:hAnsiTheme="minorHAnsi" w:cstheme="minorBidi"/>
            <w:noProof/>
            <w:kern w:val="2"/>
            <w:sz w:val="22"/>
            <w:szCs w:val="22"/>
            <w:lang w:eastAsia="zh-CN"/>
            <w14:ligatures w14:val="standardContextual"/>
          </w:rPr>
          <w:tab/>
        </w:r>
        <w:r w:rsidR="00F14A61" w:rsidRPr="007F7964">
          <w:rPr>
            <w:rStyle w:val="Hyperlink"/>
            <w:rFonts w:cs="Microsoft YaHei" w:hint="eastAsia"/>
            <w:noProof/>
            <w:lang w:val="fr-FR" w:eastAsia="zh-CN"/>
          </w:rPr>
          <w:t>应收款项</w:t>
        </w:r>
        <w:r w:rsidR="00F14A61">
          <w:rPr>
            <w:noProof/>
            <w:webHidden/>
          </w:rPr>
          <w:tab/>
        </w:r>
        <w:r w:rsidR="001920D9">
          <w:rPr>
            <w:noProof/>
            <w:webHidden/>
          </w:rPr>
          <w:tab/>
        </w:r>
        <w:r w:rsidR="00F14A61">
          <w:rPr>
            <w:noProof/>
            <w:webHidden/>
          </w:rPr>
          <w:fldChar w:fldCharType="begin"/>
        </w:r>
        <w:r w:rsidR="00F14A61">
          <w:rPr>
            <w:noProof/>
            <w:webHidden/>
          </w:rPr>
          <w:instrText xml:space="preserve"> PAGEREF _Toc163723292 \h </w:instrText>
        </w:r>
        <w:r w:rsidR="00F14A61">
          <w:rPr>
            <w:noProof/>
            <w:webHidden/>
          </w:rPr>
        </w:r>
        <w:r w:rsidR="00F14A61">
          <w:rPr>
            <w:noProof/>
            <w:webHidden/>
          </w:rPr>
          <w:fldChar w:fldCharType="separate"/>
        </w:r>
        <w:r w:rsidR="00BB0B83">
          <w:rPr>
            <w:noProof/>
            <w:webHidden/>
          </w:rPr>
          <w:t>42</w:t>
        </w:r>
        <w:r w:rsidR="00F14A61">
          <w:rPr>
            <w:noProof/>
            <w:webHidden/>
          </w:rPr>
          <w:fldChar w:fldCharType="end"/>
        </w:r>
      </w:hyperlink>
    </w:p>
    <w:p w14:paraId="45B8E695" w14:textId="37853522"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293" w:history="1">
        <w:r w:rsidR="00F14A61" w:rsidRPr="007F7964">
          <w:rPr>
            <w:rStyle w:val="Hyperlink"/>
            <w:rFonts w:cs="Microsoft YaHei" w:hint="eastAsia"/>
            <w:noProof/>
            <w:lang w:val="fr-FR"/>
          </w:rPr>
          <w:t>说明</w:t>
        </w:r>
        <w:r w:rsidR="00F14A61" w:rsidRPr="007F7964">
          <w:rPr>
            <w:rStyle w:val="Hyperlink"/>
            <w:rFonts w:cs="Microsoft YaHei"/>
            <w:noProof/>
            <w:lang w:val="fr-FR"/>
          </w:rPr>
          <w:t>10</w:t>
        </w:r>
        <w:r w:rsidR="00F14A61">
          <w:rPr>
            <w:rFonts w:asciiTheme="minorHAnsi" w:eastAsiaTheme="minorEastAsia" w:hAnsiTheme="minorHAnsi" w:cstheme="minorBidi"/>
            <w:noProof/>
            <w:kern w:val="2"/>
            <w:sz w:val="22"/>
            <w:szCs w:val="22"/>
            <w:lang w:eastAsia="zh-CN"/>
            <w14:ligatures w14:val="standardContextual"/>
          </w:rPr>
          <w:tab/>
        </w:r>
        <w:r w:rsidR="00F14A61" w:rsidRPr="007F7964">
          <w:rPr>
            <w:rStyle w:val="Hyperlink"/>
            <w:rFonts w:cs="Microsoft YaHei" w:hint="eastAsia"/>
            <w:noProof/>
            <w:lang w:val="fr-FR"/>
          </w:rPr>
          <w:t>库存</w:t>
        </w:r>
        <w:r w:rsidR="00F14A61">
          <w:rPr>
            <w:noProof/>
            <w:webHidden/>
          </w:rPr>
          <w:tab/>
        </w:r>
        <w:r w:rsidR="001920D9">
          <w:rPr>
            <w:noProof/>
            <w:webHidden/>
          </w:rPr>
          <w:tab/>
        </w:r>
        <w:r w:rsidR="00F14A61">
          <w:rPr>
            <w:noProof/>
            <w:webHidden/>
          </w:rPr>
          <w:fldChar w:fldCharType="begin"/>
        </w:r>
        <w:r w:rsidR="00F14A61">
          <w:rPr>
            <w:noProof/>
            <w:webHidden/>
          </w:rPr>
          <w:instrText xml:space="preserve"> PAGEREF _Toc163723293 \h </w:instrText>
        </w:r>
        <w:r w:rsidR="00F14A61">
          <w:rPr>
            <w:noProof/>
            <w:webHidden/>
          </w:rPr>
        </w:r>
        <w:r w:rsidR="00F14A61">
          <w:rPr>
            <w:noProof/>
            <w:webHidden/>
          </w:rPr>
          <w:fldChar w:fldCharType="separate"/>
        </w:r>
        <w:r w:rsidR="00BB0B83">
          <w:rPr>
            <w:noProof/>
            <w:webHidden/>
          </w:rPr>
          <w:t>43</w:t>
        </w:r>
        <w:r w:rsidR="00F14A61">
          <w:rPr>
            <w:noProof/>
            <w:webHidden/>
          </w:rPr>
          <w:fldChar w:fldCharType="end"/>
        </w:r>
      </w:hyperlink>
    </w:p>
    <w:p w14:paraId="6172C4BC" w14:textId="12685111"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294" w:history="1">
        <w:r w:rsidR="00F14A61" w:rsidRPr="007F7964">
          <w:rPr>
            <w:rStyle w:val="Hyperlink"/>
            <w:rFonts w:cs="Microsoft YaHei" w:hint="eastAsia"/>
            <w:noProof/>
            <w:lang w:val="fr-FR"/>
          </w:rPr>
          <w:t>说明</w:t>
        </w:r>
        <w:r w:rsidR="00F14A61" w:rsidRPr="007F7964">
          <w:rPr>
            <w:rStyle w:val="Hyperlink"/>
            <w:rFonts w:cs="Microsoft YaHei"/>
            <w:noProof/>
            <w:lang w:val="fr-FR"/>
          </w:rPr>
          <w:t>11</w:t>
        </w:r>
        <w:r w:rsidR="00F14A61">
          <w:rPr>
            <w:rFonts w:asciiTheme="minorHAnsi" w:eastAsiaTheme="minorEastAsia" w:hAnsiTheme="minorHAnsi" w:cstheme="minorBidi"/>
            <w:noProof/>
            <w:kern w:val="2"/>
            <w:sz w:val="22"/>
            <w:szCs w:val="22"/>
            <w:lang w:eastAsia="zh-CN"/>
            <w14:ligatures w14:val="standardContextual"/>
          </w:rPr>
          <w:tab/>
        </w:r>
        <w:r w:rsidR="00F14A61" w:rsidRPr="007F7964">
          <w:rPr>
            <w:rStyle w:val="Hyperlink"/>
            <w:rFonts w:cs="Microsoft YaHei" w:hint="eastAsia"/>
            <w:noProof/>
            <w:lang w:val="fr-FR"/>
          </w:rPr>
          <w:t>其它应收款项</w:t>
        </w:r>
        <w:r w:rsidR="00F14A61">
          <w:rPr>
            <w:noProof/>
            <w:webHidden/>
          </w:rPr>
          <w:tab/>
        </w:r>
        <w:r w:rsidR="001920D9">
          <w:rPr>
            <w:noProof/>
            <w:webHidden/>
          </w:rPr>
          <w:tab/>
        </w:r>
        <w:r w:rsidR="00F14A61">
          <w:rPr>
            <w:noProof/>
            <w:webHidden/>
          </w:rPr>
          <w:fldChar w:fldCharType="begin"/>
        </w:r>
        <w:r w:rsidR="00F14A61">
          <w:rPr>
            <w:noProof/>
            <w:webHidden/>
          </w:rPr>
          <w:instrText xml:space="preserve"> PAGEREF _Toc163723294 \h </w:instrText>
        </w:r>
        <w:r w:rsidR="00F14A61">
          <w:rPr>
            <w:noProof/>
            <w:webHidden/>
          </w:rPr>
        </w:r>
        <w:r w:rsidR="00F14A61">
          <w:rPr>
            <w:noProof/>
            <w:webHidden/>
          </w:rPr>
          <w:fldChar w:fldCharType="separate"/>
        </w:r>
        <w:r w:rsidR="00BB0B83">
          <w:rPr>
            <w:noProof/>
            <w:webHidden/>
          </w:rPr>
          <w:t>43</w:t>
        </w:r>
        <w:r w:rsidR="00F14A61">
          <w:rPr>
            <w:noProof/>
            <w:webHidden/>
          </w:rPr>
          <w:fldChar w:fldCharType="end"/>
        </w:r>
      </w:hyperlink>
    </w:p>
    <w:p w14:paraId="0AF23BA3" w14:textId="1A149076"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295" w:history="1">
        <w:r w:rsidR="00F14A61" w:rsidRPr="007F7964">
          <w:rPr>
            <w:rStyle w:val="Hyperlink"/>
            <w:rFonts w:cs="Microsoft YaHei" w:hint="eastAsia"/>
            <w:noProof/>
            <w:lang w:val="fr-FR" w:eastAsia="zh-CN"/>
          </w:rPr>
          <w:t>说明</w:t>
        </w:r>
        <w:r w:rsidR="00F14A61" w:rsidRPr="007F7964">
          <w:rPr>
            <w:rStyle w:val="Hyperlink"/>
            <w:rFonts w:cs="Microsoft YaHei"/>
            <w:noProof/>
            <w:lang w:eastAsia="zh-CN"/>
          </w:rPr>
          <w:t>12</w:t>
        </w:r>
        <w:r w:rsidR="00F14A61">
          <w:rPr>
            <w:rFonts w:asciiTheme="minorHAnsi" w:eastAsiaTheme="minorEastAsia" w:hAnsiTheme="minorHAnsi" w:cstheme="minorBidi"/>
            <w:noProof/>
            <w:kern w:val="2"/>
            <w:sz w:val="22"/>
            <w:szCs w:val="22"/>
            <w:lang w:eastAsia="zh-CN"/>
            <w14:ligatures w14:val="standardContextual"/>
          </w:rPr>
          <w:tab/>
        </w:r>
        <w:r w:rsidR="00F14A61" w:rsidRPr="007F7964">
          <w:rPr>
            <w:rStyle w:val="Hyperlink"/>
            <w:rFonts w:cs="Microsoft YaHei" w:hint="eastAsia"/>
            <w:noProof/>
            <w:lang w:val="fr-FR" w:eastAsia="zh-CN"/>
          </w:rPr>
          <w:t>财产和设备</w:t>
        </w:r>
        <w:r w:rsidR="00F14A61">
          <w:rPr>
            <w:noProof/>
            <w:webHidden/>
          </w:rPr>
          <w:tab/>
        </w:r>
        <w:r w:rsidR="001920D9">
          <w:rPr>
            <w:noProof/>
            <w:webHidden/>
          </w:rPr>
          <w:tab/>
        </w:r>
        <w:r w:rsidR="00F14A61">
          <w:rPr>
            <w:noProof/>
            <w:webHidden/>
          </w:rPr>
          <w:fldChar w:fldCharType="begin"/>
        </w:r>
        <w:r w:rsidR="00F14A61">
          <w:rPr>
            <w:noProof/>
            <w:webHidden/>
          </w:rPr>
          <w:instrText xml:space="preserve"> PAGEREF _Toc163723295 \h </w:instrText>
        </w:r>
        <w:r w:rsidR="00F14A61">
          <w:rPr>
            <w:noProof/>
            <w:webHidden/>
          </w:rPr>
        </w:r>
        <w:r w:rsidR="00F14A61">
          <w:rPr>
            <w:noProof/>
            <w:webHidden/>
          </w:rPr>
          <w:fldChar w:fldCharType="separate"/>
        </w:r>
        <w:r w:rsidR="00BB0B83">
          <w:rPr>
            <w:noProof/>
            <w:webHidden/>
          </w:rPr>
          <w:t>43</w:t>
        </w:r>
        <w:r w:rsidR="00F14A61">
          <w:rPr>
            <w:noProof/>
            <w:webHidden/>
          </w:rPr>
          <w:fldChar w:fldCharType="end"/>
        </w:r>
      </w:hyperlink>
    </w:p>
    <w:p w14:paraId="09E69FCE" w14:textId="148B78F3"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296" w:history="1">
        <w:r w:rsidR="00F14A61" w:rsidRPr="007F7964">
          <w:rPr>
            <w:rStyle w:val="Hyperlink"/>
            <w:rFonts w:cs="Microsoft YaHei" w:hint="eastAsia"/>
            <w:noProof/>
            <w:lang w:val="fr-FR" w:eastAsia="zh-CN"/>
          </w:rPr>
          <w:t>说明</w:t>
        </w:r>
        <w:r w:rsidR="00F14A61" w:rsidRPr="007F7964">
          <w:rPr>
            <w:rStyle w:val="Hyperlink"/>
            <w:rFonts w:cs="Microsoft YaHei"/>
            <w:noProof/>
            <w:lang w:eastAsia="zh-CN"/>
          </w:rPr>
          <w:t>13</w:t>
        </w:r>
        <w:r w:rsidR="00F14A61">
          <w:rPr>
            <w:rFonts w:asciiTheme="minorHAnsi" w:eastAsiaTheme="minorEastAsia" w:hAnsiTheme="minorHAnsi" w:cstheme="minorBidi"/>
            <w:noProof/>
            <w:kern w:val="2"/>
            <w:sz w:val="22"/>
            <w:szCs w:val="22"/>
            <w:lang w:eastAsia="zh-CN"/>
            <w14:ligatures w14:val="standardContextual"/>
          </w:rPr>
          <w:tab/>
        </w:r>
        <w:r w:rsidR="00F14A61" w:rsidRPr="007F7964">
          <w:rPr>
            <w:rStyle w:val="Hyperlink"/>
            <w:rFonts w:cs="Microsoft YaHei" w:hint="eastAsia"/>
            <w:noProof/>
            <w:lang w:val="fr-FR" w:eastAsia="zh-CN"/>
          </w:rPr>
          <w:t>无形资产</w:t>
        </w:r>
        <w:r w:rsidR="00F14A61">
          <w:rPr>
            <w:noProof/>
            <w:webHidden/>
          </w:rPr>
          <w:tab/>
        </w:r>
        <w:r w:rsidR="001920D9">
          <w:rPr>
            <w:noProof/>
            <w:webHidden/>
          </w:rPr>
          <w:tab/>
        </w:r>
        <w:r w:rsidR="00F14A61">
          <w:rPr>
            <w:noProof/>
            <w:webHidden/>
          </w:rPr>
          <w:fldChar w:fldCharType="begin"/>
        </w:r>
        <w:r w:rsidR="00F14A61">
          <w:rPr>
            <w:noProof/>
            <w:webHidden/>
          </w:rPr>
          <w:instrText xml:space="preserve"> PAGEREF _Toc163723296 \h </w:instrText>
        </w:r>
        <w:r w:rsidR="00F14A61">
          <w:rPr>
            <w:noProof/>
            <w:webHidden/>
          </w:rPr>
        </w:r>
        <w:r w:rsidR="00F14A61">
          <w:rPr>
            <w:noProof/>
            <w:webHidden/>
          </w:rPr>
          <w:fldChar w:fldCharType="separate"/>
        </w:r>
        <w:r w:rsidR="00BB0B83">
          <w:rPr>
            <w:noProof/>
            <w:webHidden/>
          </w:rPr>
          <w:t>44</w:t>
        </w:r>
        <w:r w:rsidR="00F14A61">
          <w:rPr>
            <w:noProof/>
            <w:webHidden/>
          </w:rPr>
          <w:fldChar w:fldCharType="end"/>
        </w:r>
      </w:hyperlink>
    </w:p>
    <w:p w14:paraId="6F8D4F2A" w14:textId="66B646CD"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297" w:history="1">
        <w:r w:rsidR="00F14A61" w:rsidRPr="007F7964">
          <w:rPr>
            <w:rStyle w:val="Hyperlink"/>
            <w:rFonts w:cs="Microsoft YaHei" w:hint="eastAsia"/>
            <w:noProof/>
            <w:lang w:val="fr-FR" w:eastAsia="zh-CN"/>
          </w:rPr>
          <w:t>说明</w:t>
        </w:r>
        <w:r w:rsidR="00F14A61" w:rsidRPr="007F7964">
          <w:rPr>
            <w:rStyle w:val="Hyperlink"/>
            <w:rFonts w:cs="Microsoft YaHei"/>
            <w:noProof/>
            <w:lang w:val="fr-FR" w:eastAsia="zh-CN"/>
          </w:rPr>
          <w:t>14</w:t>
        </w:r>
        <w:r w:rsidR="00F14A61">
          <w:rPr>
            <w:rFonts w:asciiTheme="minorHAnsi" w:eastAsiaTheme="minorEastAsia" w:hAnsiTheme="minorHAnsi" w:cstheme="minorBidi"/>
            <w:noProof/>
            <w:kern w:val="2"/>
            <w:sz w:val="22"/>
            <w:szCs w:val="22"/>
            <w:lang w:eastAsia="zh-CN"/>
            <w14:ligatures w14:val="standardContextual"/>
          </w:rPr>
          <w:tab/>
        </w:r>
        <w:r w:rsidR="00F14A61" w:rsidRPr="007F7964">
          <w:rPr>
            <w:rStyle w:val="Hyperlink"/>
            <w:rFonts w:cs="Microsoft YaHei" w:hint="eastAsia"/>
            <w:noProof/>
            <w:lang w:val="fr-FR" w:eastAsia="zh-CN"/>
          </w:rPr>
          <w:t>建设中的资产</w:t>
        </w:r>
        <w:r w:rsidR="00F14A61">
          <w:rPr>
            <w:noProof/>
            <w:webHidden/>
          </w:rPr>
          <w:tab/>
        </w:r>
        <w:r w:rsidR="001920D9">
          <w:rPr>
            <w:noProof/>
            <w:webHidden/>
          </w:rPr>
          <w:tab/>
        </w:r>
        <w:r w:rsidR="00F14A61">
          <w:rPr>
            <w:noProof/>
            <w:webHidden/>
          </w:rPr>
          <w:fldChar w:fldCharType="begin"/>
        </w:r>
        <w:r w:rsidR="00F14A61">
          <w:rPr>
            <w:noProof/>
            <w:webHidden/>
          </w:rPr>
          <w:instrText xml:space="preserve"> PAGEREF _Toc163723297 \h </w:instrText>
        </w:r>
        <w:r w:rsidR="00F14A61">
          <w:rPr>
            <w:noProof/>
            <w:webHidden/>
          </w:rPr>
        </w:r>
        <w:r w:rsidR="00F14A61">
          <w:rPr>
            <w:noProof/>
            <w:webHidden/>
          </w:rPr>
          <w:fldChar w:fldCharType="separate"/>
        </w:r>
        <w:r w:rsidR="00BB0B83">
          <w:rPr>
            <w:noProof/>
            <w:webHidden/>
          </w:rPr>
          <w:t>45</w:t>
        </w:r>
        <w:r w:rsidR="00F14A61">
          <w:rPr>
            <w:noProof/>
            <w:webHidden/>
          </w:rPr>
          <w:fldChar w:fldCharType="end"/>
        </w:r>
      </w:hyperlink>
    </w:p>
    <w:p w14:paraId="1B22FA57" w14:textId="661E23CC"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298" w:history="1">
        <w:r w:rsidR="00F14A61" w:rsidRPr="007F7964">
          <w:rPr>
            <w:rStyle w:val="Hyperlink"/>
            <w:rFonts w:cs="Microsoft YaHei" w:hint="eastAsia"/>
            <w:noProof/>
            <w:lang w:val="fr-FR" w:eastAsia="zh-CN"/>
          </w:rPr>
          <w:t>说明</w:t>
        </w:r>
        <w:r w:rsidR="00F14A61" w:rsidRPr="007F7964">
          <w:rPr>
            <w:rStyle w:val="Hyperlink"/>
            <w:rFonts w:cs="Microsoft YaHei"/>
            <w:noProof/>
            <w:lang w:val="en-US" w:eastAsia="zh-CN"/>
          </w:rPr>
          <w:t>15</w:t>
        </w:r>
        <w:r w:rsidR="00F14A61">
          <w:rPr>
            <w:rFonts w:asciiTheme="minorHAnsi" w:eastAsiaTheme="minorEastAsia" w:hAnsiTheme="minorHAnsi" w:cstheme="minorBidi"/>
            <w:noProof/>
            <w:kern w:val="2"/>
            <w:sz w:val="22"/>
            <w:szCs w:val="22"/>
            <w:lang w:eastAsia="zh-CN"/>
            <w14:ligatures w14:val="standardContextual"/>
          </w:rPr>
          <w:tab/>
        </w:r>
        <w:r w:rsidR="00F14A61" w:rsidRPr="007F7964">
          <w:rPr>
            <w:rStyle w:val="Hyperlink"/>
            <w:rFonts w:cs="Microsoft YaHei" w:hint="eastAsia"/>
            <w:noProof/>
            <w:lang w:val="fr-FR" w:eastAsia="zh-CN"/>
          </w:rPr>
          <w:t>供货商和其它债权方</w:t>
        </w:r>
        <w:r w:rsidR="00F14A61">
          <w:rPr>
            <w:noProof/>
            <w:webHidden/>
          </w:rPr>
          <w:tab/>
        </w:r>
        <w:r w:rsidR="001920D9">
          <w:rPr>
            <w:noProof/>
            <w:webHidden/>
          </w:rPr>
          <w:tab/>
        </w:r>
        <w:r w:rsidR="00F14A61">
          <w:rPr>
            <w:noProof/>
            <w:webHidden/>
          </w:rPr>
          <w:fldChar w:fldCharType="begin"/>
        </w:r>
        <w:r w:rsidR="00F14A61">
          <w:rPr>
            <w:noProof/>
            <w:webHidden/>
          </w:rPr>
          <w:instrText xml:space="preserve"> PAGEREF _Toc163723298 \h </w:instrText>
        </w:r>
        <w:r w:rsidR="00F14A61">
          <w:rPr>
            <w:noProof/>
            <w:webHidden/>
          </w:rPr>
        </w:r>
        <w:r w:rsidR="00F14A61">
          <w:rPr>
            <w:noProof/>
            <w:webHidden/>
          </w:rPr>
          <w:fldChar w:fldCharType="separate"/>
        </w:r>
        <w:r w:rsidR="00BB0B83">
          <w:rPr>
            <w:noProof/>
            <w:webHidden/>
          </w:rPr>
          <w:t>46</w:t>
        </w:r>
        <w:r w:rsidR="00F14A61">
          <w:rPr>
            <w:noProof/>
            <w:webHidden/>
          </w:rPr>
          <w:fldChar w:fldCharType="end"/>
        </w:r>
      </w:hyperlink>
    </w:p>
    <w:p w14:paraId="27EAADA7" w14:textId="783C8038"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299" w:history="1">
        <w:r w:rsidR="00F14A61" w:rsidRPr="007F7964">
          <w:rPr>
            <w:rStyle w:val="Hyperlink"/>
            <w:rFonts w:cs="Microsoft YaHei" w:hint="eastAsia"/>
            <w:noProof/>
            <w:lang w:val="fr-FR" w:eastAsia="zh-CN"/>
          </w:rPr>
          <w:t>说明</w:t>
        </w:r>
        <w:r w:rsidR="00F14A61" w:rsidRPr="007F7964">
          <w:rPr>
            <w:rStyle w:val="Hyperlink"/>
            <w:rFonts w:cs="Microsoft YaHei"/>
            <w:noProof/>
            <w:lang w:val="fr-FR" w:eastAsia="zh-CN"/>
          </w:rPr>
          <w:t>16</w:t>
        </w:r>
        <w:r w:rsidR="00F14A61">
          <w:rPr>
            <w:rFonts w:asciiTheme="minorHAnsi" w:eastAsiaTheme="minorEastAsia" w:hAnsiTheme="minorHAnsi" w:cstheme="minorBidi"/>
            <w:noProof/>
            <w:kern w:val="2"/>
            <w:sz w:val="22"/>
            <w:szCs w:val="22"/>
            <w:lang w:eastAsia="zh-CN"/>
            <w14:ligatures w14:val="standardContextual"/>
          </w:rPr>
          <w:tab/>
        </w:r>
        <w:r w:rsidR="00F14A61" w:rsidRPr="007F7964">
          <w:rPr>
            <w:rStyle w:val="Hyperlink"/>
            <w:rFonts w:cs="Microsoft YaHei" w:hint="eastAsia"/>
            <w:noProof/>
            <w:lang w:val="fr-FR" w:eastAsia="zh-CN"/>
          </w:rPr>
          <w:t>提前缴纳的会费和递延收入</w:t>
        </w:r>
        <w:r w:rsidR="00F14A61">
          <w:rPr>
            <w:noProof/>
            <w:webHidden/>
          </w:rPr>
          <w:tab/>
        </w:r>
        <w:r w:rsidR="001920D9">
          <w:rPr>
            <w:noProof/>
            <w:webHidden/>
          </w:rPr>
          <w:tab/>
        </w:r>
        <w:r w:rsidR="00F14A61">
          <w:rPr>
            <w:noProof/>
            <w:webHidden/>
          </w:rPr>
          <w:fldChar w:fldCharType="begin"/>
        </w:r>
        <w:r w:rsidR="00F14A61">
          <w:rPr>
            <w:noProof/>
            <w:webHidden/>
          </w:rPr>
          <w:instrText xml:space="preserve"> PAGEREF _Toc163723299 \h </w:instrText>
        </w:r>
        <w:r w:rsidR="00F14A61">
          <w:rPr>
            <w:noProof/>
            <w:webHidden/>
          </w:rPr>
        </w:r>
        <w:r w:rsidR="00F14A61">
          <w:rPr>
            <w:noProof/>
            <w:webHidden/>
          </w:rPr>
          <w:fldChar w:fldCharType="separate"/>
        </w:r>
        <w:r w:rsidR="00BB0B83">
          <w:rPr>
            <w:noProof/>
            <w:webHidden/>
          </w:rPr>
          <w:t>46</w:t>
        </w:r>
        <w:r w:rsidR="00F14A61">
          <w:rPr>
            <w:noProof/>
            <w:webHidden/>
          </w:rPr>
          <w:fldChar w:fldCharType="end"/>
        </w:r>
      </w:hyperlink>
    </w:p>
    <w:p w14:paraId="7114B588" w14:textId="3069647D"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300" w:history="1">
        <w:r w:rsidR="00F14A61" w:rsidRPr="007F7964">
          <w:rPr>
            <w:rStyle w:val="Hyperlink"/>
            <w:rFonts w:cs="Microsoft YaHei" w:hint="eastAsia"/>
            <w:noProof/>
            <w:lang w:val="fr-FR" w:eastAsia="zh-CN"/>
          </w:rPr>
          <w:t>说明</w:t>
        </w:r>
        <w:r w:rsidR="00F14A61" w:rsidRPr="007F7964">
          <w:rPr>
            <w:rStyle w:val="Hyperlink"/>
            <w:rFonts w:cs="Microsoft YaHei"/>
            <w:noProof/>
            <w:lang w:eastAsia="zh-CN"/>
          </w:rPr>
          <w:t>17</w:t>
        </w:r>
        <w:r w:rsidR="00F14A61">
          <w:rPr>
            <w:rFonts w:asciiTheme="minorHAnsi" w:eastAsiaTheme="minorEastAsia" w:hAnsiTheme="minorHAnsi" w:cstheme="minorBidi"/>
            <w:noProof/>
            <w:kern w:val="2"/>
            <w:sz w:val="22"/>
            <w:szCs w:val="22"/>
            <w:lang w:eastAsia="zh-CN"/>
            <w14:ligatures w14:val="standardContextual"/>
          </w:rPr>
          <w:tab/>
        </w:r>
        <w:r w:rsidR="00F14A61" w:rsidRPr="007F7964">
          <w:rPr>
            <w:rStyle w:val="Hyperlink"/>
            <w:rFonts w:cs="Microsoft YaHei" w:hint="eastAsia"/>
            <w:noProof/>
            <w:lang w:val="fr-FR" w:eastAsia="zh-CN"/>
          </w:rPr>
          <w:t>借款及其它财务负债</w:t>
        </w:r>
        <w:r w:rsidR="00F14A61">
          <w:rPr>
            <w:noProof/>
            <w:webHidden/>
          </w:rPr>
          <w:tab/>
        </w:r>
        <w:r w:rsidR="001920D9">
          <w:rPr>
            <w:noProof/>
            <w:webHidden/>
          </w:rPr>
          <w:tab/>
        </w:r>
        <w:r w:rsidR="00F14A61">
          <w:rPr>
            <w:noProof/>
            <w:webHidden/>
          </w:rPr>
          <w:fldChar w:fldCharType="begin"/>
        </w:r>
        <w:r w:rsidR="00F14A61">
          <w:rPr>
            <w:noProof/>
            <w:webHidden/>
          </w:rPr>
          <w:instrText xml:space="preserve"> PAGEREF _Toc163723300 \h </w:instrText>
        </w:r>
        <w:r w:rsidR="00F14A61">
          <w:rPr>
            <w:noProof/>
            <w:webHidden/>
          </w:rPr>
        </w:r>
        <w:r w:rsidR="00F14A61">
          <w:rPr>
            <w:noProof/>
            <w:webHidden/>
          </w:rPr>
          <w:fldChar w:fldCharType="separate"/>
        </w:r>
        <w:r w:rsidR="00BB0B83">
          <w:rPr>
            <w:noProof/>
            <w:webHidden/>
          </w:rPr>
          <w:t>47</w:t>
        </w:r>
        <w:r w:rsidR="00F14A61">
          <w:rPr>
            <w:noProof/>
            <w:webHidden/>
          </w:rPr>
          <w:fldChar w:fldCharType="end"/>
        </w:r>
      </w:hyperlink>
    </w:p>
    <w:p w14:paraId="428528C1" w14:textId="0FC31625"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301" w:history="1">
        <w:r w:rsidR="00F14A61" w:rsidRPr="007F7964">
          <w:rPr>
            <w:rStyle w:val="Hyperlink"/>
            <w:rFonts w:cs="Microsoft YaHei" w:hint="eastAsia"/>
            <w:noProof/>
            <w:lang w:val="fr-FR" w:eastAsia="zh-CN"/>
          </w:rPr>
          <w:t>说明</w:t>
        </w:r>
        <w:r w:rsidR="00F14A61" w:rsidRPr="007F7964">
          <w:rPr>
            <w:rStyle w:val="Hyperlink"/>
            <w:rFonts w:cs="Microsoft YaHei"/>
            <w:noProof/>
            <w:lang w:eastAsia="zh-CN"/>
          </w:rPr>
          <w:t>18</w:t>
        </w:r>
        <w:r w:rsidR="00F14A61">
          <w:rPr>
            <w:rFonts w:asciiTheme="minorHAnsi" w:eastAsiaTheme="minorEastAsia" w:hAnsiTheme="minorHAnsi" w:cstheme="minorBidi"/>
            <w:noProof/>
            <w:kern w:val="2"/>
            <w:sz w:val="22"/>
            <w:szCs w:val="22"/>
            <w:lang w:eastAsia="zh-CN"/>
            <w14:ligatures w14:val="standardContextual"/>
          </w:rPr>
          <w:tab/>
        </w:r>
        <w:r w:rsidR="00F14A61" w:rsidRPr="007F7964">
          <w:rPr>
            <w:rStyle w:val="Hyperlink"/>
            <w:rFonts w:cs="Microsoft YaHei" w:hint="eastAsia"/>
            <w:noProof/>
            <w:lang w:val="fr-FR" w:eastAsia="zh-CN"/>
          </w:rPr>
          <w:t>职员福利</w:t>
        </w:r>
        <w:r w:rsidR="00F14A61">
          <w:rPr>
            <w:noProof/>
            <w:webHidden/>
          </w:rPr>
          <w:tab/>
        </w:r>
        <w:r w:rsidR="001920D9">
          <w:rPr>
            <w:noProof/>
            <w:webHidden/>
          </w:rPr>
          <w:tab/>
        </w:r>
        <w:r w:rsidR="00F14A61">
          <w:rPr>
            <w:noProof/>
            <w:webHidden/>
          </w:rPr>
          <w:fldChar w:fldCharType="begin"/>
        </w:r>
        <w:r w:rsidR="00F14A61">
          <w:rPr>
            <w:noProof/>
            <w:webHidden/>
          </w:rPr>
          <w:instrText xml:space="preserve"> PAGEREF _Toc163723301 \h </w:instrText>
        </w:r>
        <w:r w:rsidR="00F14A61">
          <w:rPr>
            <w:noProof/>
            <w:webHidden/>
          </w:rPr>
        </w:r>
        <w:r w:rsidR="00F14A61">
          <w:rPr>
            <w:noProof/>
            <w:webHidden/>
          </w:rPr>
          <w:fldChar w:fldCharType="separate"/>
        </w:r>
        <w:r w:rsidR="00BB0B83">
          <w:rPr>
            <w:noProof/>
            <w:webHidden/>
          </w:rPr>
          <w:t>47</w:t>
        </w:r>
        <w:r w:rsidR="00F14A61">
          <w:rPr>
            <w:noProof/>
            <w:webHidden/>
          </w:rPr>
          <w:fldChar w:fldCharType="end"/>
        </w:r>
      </w:hyperlink>
    </w:p>
    <w:p w14:paraId="097941D1" w14:textId="79B65AC9"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302" w:history="1">
        <w:r w:rsidR="00F14A61" w:rsidRPr="007F7964">
          <w:rPr>
            <w:rStyle w:val="Hyperlink"/>
            <w:rFonts w:cs="Microsoft YaHei" w:hint="eastAsia"/>
            <w:noProof/>
            <w:lang w:val="fr-FR" w:eastAsia="zh-CN"/>
          </w:rPr>
          <w:t>说明</w:t>
        </w:r>
        <w:r w:rsidR="00F14A61" w:rsidRPr="007F7964">
          <w:rPr>
            <w:rStyle w:val="Hyperlink"/>
            <w:noProof/>
            <w:lang w:eastAsia="zh-CN"/>
          </w:rPr>
          <w:t>19</w:t>
        </w:r>
        <w:r w:rsidR="00F14A61">
          <w:rPr>
            <w:rFonts w:asciiTheme="minorHAnsi" w:eastAsiaTheme="minorEastAsia" w:hAnsiTheme="minorHAnsi" w:cstheme="minorBidi"/>
            <w:noProof/>
            <w:kern w:val="2"/>
            <w:sz w:val="22"/>
            <w:szCs w:val="22"/>
            <w:lang w:eastAsia="zh-CN"/>
            <w14:ligatures w14:val="standardContextual"/>
          </w:rPr>
          <w:tab/>
        </w:r>
        <w:r w:rsidR="00F14A61" w:rsidRPr="007F7964">
          <w:rPr>
            <w:rStyle w:val="Hyperlink"/>
            <w:rFonts w:cs="Microsoft YaHei" w:hint="eastAsia"/>
            <w:noProof/>
            <w:lang w:val="fr-FR" w:eastAsia="zh-CN"/>
          </w:rPr>
          <w:t>准备金</w:t>
        </w:r>
        <w:r w:rsidR="00F14A61">
          <w:rPr>
            <w:noProof/>
            <w:webHidden/>
          </w:rPr>
          <w:tab/>
        </w:r>
        <w:r w:rsidR="001920D9">
          <w:rPr>
            <w:noProof/>
            <w:webHidden/>
          </w:rPr>
          <w:tab/>
        </w:r>
        <w:r w:rsidR="00F14A61">
          <w:rPr>
            <w:noProof/>
            <w:webHidden/>
          </w:rPr>
          <w:fldChar w:fldCharType="begin"/>
        </w:r>
        <w:r w:rsidR="00F14A61">
          <w:rPr>
            <w:noProof/>
            <w:webHidden/>
          </w:rPr>
          <w:instrText xml:space="preserve"> PAGEREF _Toc163723302 \h </w:instrText>
        </w:r>
        <w:r w:rsidR="00F14A61">
          <w:rPr>
            <w:noProof/>
            <w:webHidden/>
          </w:rPr>
        </w:r>
        <w:r w:rsidR="00F14A61">
          <w:rPr>
            <w:noProof/>
            <w:webHidden/>
          </w:rPr>
          <w:fldChar w:fldCharType="separate"/>
        </w:r>
        <w:r w:rsidR="00BB0B83">
          <w:rPr>
            <w:noProof/>
            <w:webHidden/>
          </w:rPr>
          <w:t>52</w:t>
        </w:r>
        <w:r w:rsidR="00F14A61">
          <w:rPr>
            <w:noProof/>
            <w:webHidden/>
          </w:rPr>
          <w:fldChar w:fldCharType="end"/>
        </w:r>
      </w:hyperlink>
    </w:p>
    <w:p w14:paraId="0BDEB044" w14:textId="38039D5A"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303" w:history="1">
        <w:r w:rsidR="00F14A61" w:rsidRPr="007F7964">
          <w:rPr>
            <w:rStyle w:val="Hyperlink"/>
            <w:rFonts w:cs="Microsoft YaHei" w:hint="eastAsia"/>
            <w:noProof/>
            <w:lang w:val="fr-FR"/>
          </w:rPr>
          <w:t>说明</w:t>
        </w:r>
        <w:r w:rsidR="00F14A61" w:rsidRPr="007F7964">
          <w:rPr>
            <w:rStyle w:val="Hyperlink"/>
            <w:rFonts w:cs="Microsoft YaHei"/>
            <w:noProof/>
            <w:lang w:val="fr-FR"/>
          </w:rPr>
          <w:t>20</w:t>
        </w:r>
        <w:r w:rsidR="00F14A61">
          <w:rPr>
            <w:rFonts w:asciiTheme="minorHAnsi" w:eastAsiaTheme="minorEastAsia" w:hAnsiTheme="minorHAnsi" w:cstheme="minorBidi"/>
            <w:noProof/>
            <w:kern w:val="2"/>
            <w:sz w:val="22"/>
            <w:szCs w:val="22"/>
            <w:lang w:eastAsia="zh-CN"/>
            <w14:ligatures w14:val="standardContextual"/>
          </w:rPr>
          <w:tab/>
        </w:r>
        <w:r w:rsidR="00F14A61" w:rsidRPr="007F7964">
          <w:rPr>
            <w:rStyle w:val="Hyperlink"/>
            <w:rFonts w:cs="Microsoft YaHei" w:hint="eastAsia"/>
            <w:noProof/>
            <w:lang w:val="fr-FR"/>
          </w:rPr>
          <w:t>其它债务</w:t>
        </w:r>
        <w:r w:rsidR="00F14A61">
          <w:rPr>
            <w:noProof/>
            <w:webHidden/>
          </w:rPr>
          <w:tab/>
        </w:r>
        <w:r w:rsidR="001920D9">
          <w:rPr>
            <w:noProof/>
            <w:webHidden/>
          </w:rPr>
          <w:tab/>
        </w:r>
        <w:r w:rsidR="00F14A61">
          <w:rPr>
            <w:noProof/>
            <w:webHidden/>
          </w:rPr>
          <w:fldChar w:fldCharType="begin"/>
        </w:r>
        <w:r w:rsidR="00F14A61">
          <w:rPr>
            <w:noProof/>
            <w:webHidden/>
          </w:rPr>
          <w:instrText xml:space="preserve"> PAGEREF _Toc163723303 \h </w:instrText>
        </w:r>
        <w:r w:rsidR="00F14A61">
          <w:rPr>
            <w:noProof/>
            <w:webHidden/>
          </w:rPr>
        </w:r>
        <w:r w:rsidR="00F14A61">
          <w:rPr>
            <w:noProof/>
            <w:webHidden/>
          </w:rPr>
          <w:fldChar w:fldCharType="separate"/>
        </w:r>
        <w:r w:rsidR="00BB0B83">
          <w:rPr>
            <w:noProof/>
            <w:webHidden/>
          </w:rPr>
          <w:t>53</w:t>
        </w:r>
        <w:r w:rsidR="00F14A61">
          <w:rPr>
            <w:noProof/>
            <w:webHidden/>
          </w:rPr>
          <w:fldChar w:fldCharType="end"/>
        </w:r>
      </w:hyperlink>
    </w:p>
    <w:p w14:paraId="791CE329" w14:textId="2532FC93"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304" w:history="1">
        <w:r w:rsidR="00F14A61" w:rsidRPr="007F7964">
          <w:rPr>
            <w:rStyle w:val="Hyperlink"/>
            <w:rFonts w:cs="Microsoft YaHei" w:hint="eastAsia"/>
            <w:noProof/>
            <w:lang w:val="fr-FR" w:eastAsia="zh-CN"/>
          </w:rPr>
          <w:t>说明</w:t>
        </w:r>
        <w:r w:rsidR="00F14A61" w:rsidRPr="007F7964">
          <w:rPr>
            <w:rStyle w:val="Hyperlink"/>
            <w:rFonts w:cs="Microsoft YaHei"/>
            <w:noProof/>
            <w:lang w:eastAsia="zh-CN"/>
          </w:rPr>
          <w:t>21</w:t>
        </w:r>
        <w:r w:rsidR="00F14A61">
          <w:rPr>
            <w:rFonts w:asciiTheme="minorHAnsi" w:eastAsiaTheme="minorEastAsia" w:hAnsiTheme="minorHAnsi" w:cstheme="minorBidi"/>
            <w:noProof/>
            <w:kern w:val="2"/>
            <w:sz w:val="22"/>
            <w:szCs w:val="22"/>
            <w:lang w:eastAsia="zh-CN"/>
            <w14:ligatures w14:val="standardContextual"/>
          </w:rPr>
          <w:tab/>
        </w:r>
        <w:r w:rsidR="00F14A61" w:rsidRPr="007F7964">
          <w:rPr>
            <w:rStyle w:val="Hyperlink"/>
            <w:rFonts w:cs="Microsoft YaHei" w:hint="eastAsia"/>
            <w:noProof/>
            <w:lang w:val="fr-FR" w:eastAsia="zh-CN"/>
          </w:rPr>
          <w:t>额外的预算外资金</w:t>
        </w:r>
        <w:r w:rsidR="00F14A61">
          <w:rPr>
            <w:noProof/>
            <w:webHidden/>
          </w:rPr>
          <w:tab/>
        </w:r>
        <w:r w:rsidR="001920D9">
          <w:rPr>
            <w:noProof/>
            <w:webHidden/>
          </w:rPr>
          <w:tab/>
        </w:r>
        <w:r w:rsidR="00F14A61">
          <w:rPr>
            <w:noProof/>
            <w:webHidden/>
          </w:rPr>
          <w:fldChar w:fldCharType="begin"/>
        </w:r>
        <w:r w:rsidR="00F14A61">
          <w:rPr>
            <w:noProof/>
            <w:webHidden/>
          </w:rPr>
          <w:instrText xml:space="preserve"> PAGEREF _Toc163723304 \h </w:instrText>
        </w:r>
        <w:r w:rsidR="00F14A61">
          <w:rPr>
            <w:noProof/>
            <w:webHidden/>
          </w:rPr>
        </w:r>
        <w:r w:rsidR="00F14A61">
          <w:rPr>
            <w:noProof/>
            <w:webHidden/>
          </w:rPr>
          <w:fldChar w:fldCharType="separate"/>
        </w:r>
        <w:r w:rsidR="00BB0B83">
          <w:rPr>
            <w:noProof/>
            <w:webHidden/>
          </w:rPr>
          <w:t>53</w:t>
        </w:r>
        <w:r w:rsidR="00F14A61">
          <w:rPr>
            <w:noProof/>
            <w:webHidden/>
          </w:rPr>
          <w:fldChar w:fldCharType="end"/>
        </w:r>
      </w:hyperlink>
    </w:p>
    <w:p w14:paraId="6443A084" w14:textId="7C0BB0F1"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305" w:history="1">
        <w:r w:rsidR="00F14A61" w:rsidRPr="007F7964">
          <w:rPr>
            <w:rStyle w:val="Hyperlink"/>
            <w:rFonts w:cs="Microsoft YaHei" w:hint="eastAsia"/>
            <w:noProof/>
            <w:lang w:val="fr-FR" w:eastAsia="zh-CN"/>
          </w:rPr>
          <w:t>说明</w:t>
        </w:r>
        <w:r w:rsidR="00F14A61" w:rsidRPr="007F7964">
          <w:rPr>
            <w:rStyle w:val="Hyperlink"/>
            <w:rFonts w:cs="Microsoft YaHei"/>
            <w:noProof/>
            <w:lang w:eastAsia="zh-CN"/>
          </w:rPr>
          <w:t>22</w:t>
        </w:r>
        <w:r w:rsidR="00F14A61">
          <w:rPr>
            <w:rFonts w:asciiTheme="minorHAnsi" w:eastAsiaTheme="minorEastAsia" w:hAnsiTheme="minorHAnsi" w:cstheme="minorBidi"/>
            <w:noProof/>
            <w:kern w:val="2"/>
            <w:sz w:val="22"/>
            <w:szCs w:val="22"/>
            <w:lang w:eastAsia="zh-CN"/>
            <w14:ligatures w14:val="standardContextual"/>
          </w:rPr>
          <w:tab/>
        </w:r>
        <w:r w:rsidR="00F14A61" w:rsidRPr="007F7964">
          <w:rPr>
            <w:rStyle w:val="Hyperlink"/>
            <w:rFonts w:hint="eastAsia"/>
            <w:bCs/>
            <w:noProof/>
            <w:lang w:val="en-US" w:eastAsia="zh-CN"/>
          </w:rPr>
          <w:t>分摊会费</w:t>
        </w:r>
        <w:r w:rsidR="00F14A61">
          <w:rPr>
            <w:noProof/>
            <w:webHidden/>
          </w:rPr>
          <w:tab/>
        </w:r>
        <w:r w:rsidR="001920D9">
          <w:rPr>
            <w:noProof/>
            <w:webHidden/>
          </w:rPr>
          <w:tab/>
        </w:r>
        <w:r w:rsidR="00F14A61">
          <w:rPr>
            <w:noProof/>
            <w:webHidden/>
          </w:rPr>
          <w:fldChar w:fldCharType="begin"/>
        </w:r>
        <w:r w:rsidR="00F14A61">
          <w:rPr>
            <w:noProof/>
            <w:webHidden/>
          </w:rPr>
          <w:instrText xml:space="preserve"> PAGEREF _Toc163723305 \h </w:instrText>
        </w:r>
        <w:r w:rsidR="00F14A61">
          <w:rPr>
            <w:noProof/>
            <w:webHidden/>
          </w:rPr>
        </w:r>
        <w:r w:rsidR="00F14A61">
          <w:rPr>
            <w:noProof/>
            <w:webHidden/>
          </w:rPr>
          <w:fldChar w:fldCharType="separate"/>
        </w:r>
        <w:r w:rsidR="00BB0B83">
          <w:rPr>
            <w:noProof/>
            <w:webHidden/>
          </w:rPr>
          <w:t>53</w:t>
        </w:r>
        <w:r w:rsidR="00F14A61">
          <w:rPr>
            <w:noProof/>
            <w:webHidden/>
          </w:rPr>
          <w:fldChar w:fldCharType="end"/>
        </w:r>
      </w:hyperlink>
    </w:p>
    <w:p w14:paraId="1171D547" w14:textId="1A391036"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306" w:history="1">
        <w:r w:rsidR="00F14A61" w:rsidRPr="007F7964">
          <w:rPr>
            <w:rStyle w:val="Hyperlink"/>
            <w:rFonts w:hint="eastAsia"/>
            <w:noProof/>
            <w:lang w:val="en-US" w:eastAsia="zh-CN"/>
          </w:rPr>
          <w:t>说明</w:t>
        </w:r>
        <w:r w:rsidR="00F14A61" w:rsidRPr="007F7964">
          <w:rPr>
            <w:rStyle w:val="Hyperlink"/>
            <w:noProof/>
            <w:lang w:val="en-US" w:eastAsia="zh-CN"/>
          </w:rPr>
          <w:t>23</w:t>
        </w:r>
        <w:r w:rsidR="00F14A61">
          <w:rPr>
            <w:rFonts w:asciiTheme="minorHAnsi" w:eastAsiaTheme="minorEastAsia" w:hAnsiTheme="minorHAnsi" w:cstheme="minorBidi"/>
            <w:noProof/>
            <w:kern w:val="2"/>
            <w:sz w:val="22"/>
            <w:szCs w:val="22"/>
            <w:lang w:eastAsia="zh-CN"/>
            <w14:ligatures w14:val="standardContextual"/>
          </w:rPr>
          <w:tab/>
        </w:r>
        <w:r w:rsidR="00F14A61" w:rsidRPr="007F7964">
          <w:rPr>
            <w:rStyle w:val="Hyperlink"/>
            <w:rFonts w:hint="eastAsia"/>
            <w:noProof/>
            <w:lang w:val="en-US" w:eastAsia="zh-CN"/>
          </w:rPr>
          <w:t>费用</w:t>
        </w:r>
        <w:r w:rsidR="00F14A61">
          <w:rPr>
            <w:noProof/>
            <w:webHidden/>
          </w:rPr>
          <w:tab/>
        </w:r>
        <w:r w:rsidR="001920D9">
          <w:rPr>
            <w:noProof/>
            <w:webHidden/>
          </w:rPr>
          <w:tab/>
        </w:r>
        <w:r w:rsidR="00F14A61">
          <w:rPr>
            <w:noProof/>
            <w:webHidden/>
          </w:rPr>
          <w:fldChar w:fldCharType="begin"/>
        </w:r>
        <w:r w:rsidR="00F14A61">
          <w:rPr>
            <w:noProof/>
            <w:webHidden/>
          </w:rPr>
          <w:instrText xml:space="preserve"> PAGEREF _Toc163723306 \h </w:instrText>
        </w:r>
        <w:r w:rsidR="00F14A61">
          <w:rPr>
            <w:noProof/>
            <w:webHidden/>
          </w:rPr>
        </w:r>
        <w:r w:rsidR="00F14A61">
          <w:rPr>
            <w:noProof/>
            <w:webHidden/>
          </w:rPr>
          <w:fldChar w:fldCharType="separate"/>
        </w:r>
        <w:r w:rsidR="00BB0B83">
          <w:rPr>
            <w:noProof/>
            <w:webHidden/>
          </w:rPr>
          <w:t>55</w:t>
        </w:r>
        <w:r w:rsidR="00F14A61">
          <w:rPr>
            <w:noProof/>
            <w:webHidden/>
          </w:rPr>
          <w:fldChar w:fldCharType="end"/>
        </w:r>
      </w:hyperlink>
    </w:p>
    <w:p w14:paraId="570FB8CB" w14:textId="30A84A85"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307" w:history="1">
        <w:r w:rsidR="00F14A61" w:rsidRPr="007F7964">
          <w:rPr>
            <w:rStyle w:val="Hyperlink"/>
            <w:rFonts w:hint="eastAsia"/>
            <w:noProof/>
            <w:lang w:val="en-US" w:eastAsia="zh-CN"/>
          </w:rPr>
          <w:t>说明</w:t>
        </w:r>
        <w:r w:rsidR="00F14A61" w:rsidRPr="007F7964">
          <w:rPr>
            <w:rStyle w:val="Hyperlink"/>
            <w:noProof/>
            <w:lang w:val="en-US" w:eastAsia="zh-CN"/>
          </w:rPr>
          <w:t>24</w:t>
        </w:r>
        <w:r w:rsidR="00F14A61">
          <w:rPr>
            <w:rFonts w:asciiTheme="minorHAnsi" w:eastAsiaTheme="minorEastAsia" w:hAnsiTheme="minorHAnsi" w:cstheme="minorBidi"/>
            <w:noProof/>
            <w:kern w:val="2"/>
            <w:sz w:val="22"/>
            <w:szCs w:val="22"/>
            <w:lang w:eastAsia="zh-CN"/>
            <w14:ligatures w14:val="standardContextual"/>
          </w:rPr>
          <w:tab/>
        </w:r>
        <w:r w:rsidR="00F14A61" w:rsidRPr="007F7964">
          <w:rPr>
            <w:rStyle w:val="Hyperlink"/>
            <w:rFonts w:hint="eastAsia"/>
            <w:noProof/>
            <w:lang w:val="en-US" w:eastAsia="zh-CN"/>
          </w:rPr>
          <w:t>分部门报告</w:t>
        </w:r>
        <w:r w:rsidR="00F14A61" w:rsidRPr="007F7964">
          <w:rPr>
            <w:rStyle w:val="Hyperlink"/>
            <w:noProof/>
            <w:lang w:val="en-US" w:eastAsia="zh-CN"/>
          </w:rPr>
          <w:t xml:space="preserve"> – 2022</w:t>
        </w:r>
        <w:r w:rsidR="00F14A61" w:rsidRPr="007F7964">
          <w:rPr>
            <w:rStyle w:val="Hyperlink"/>
            <w:rFonts w:hint="eastAsia"/>
            <w:noProof/>
            <w:lang w:val="en-US" w:eastAsia="zh-CN"/>
          </w:rPr>
          <w:t>年财务业绩报表</w:t>
        </w:r>
        <w:r w:rsidR="00F14A61">
          <w:rPr>
            <w:noProof/>
            <w:webHidden/>
          </w:rPr>
          <w:tab/>
        </w:r>
        <w:r w:rsidR="001920D9">
          <w:rPr>
            <w:noProof/>
            <w:webHidden/>
          </w:rPr>
          <w:tab/>
        </w:r>
        <w:r w:rsidR="00F14A61">
          <w:rPr>
            <w:noProof/>
            <w:webHidden/>
          </w:rPr>
          <w:fldChar w:fldCharType="begin"/>
        </w:r>
        <w:r w:rsidR="00F14A61">
          <w:rPr>
            <w:noProof/>
            <w:webHidden/>
          </w:rPr>
          <w:instrText xml:space="preserve"> PAGEREF _Toc163723307 \h </w:instrText>
        </w:r>
        <w:r w:rsidR="00F14A61">
          <w:rPr>
            <w:noProof/>
            <w:webHidden/>
          </w:rPr>
        </w:r>
        <w:r w:rsidR="00F14A61">
          <w:rPr>
            <w:noProof/>
            <w:webHidden/>
          </w:rPr>
          <w:fldChar w:fldCharType="separate"/>
        </w:r>
        <w:r w:rsidR="00BB0B83">
          <w:rPr>
            <w:noProof/>
            <w:webHidden/>
          </w:rPr>
          <w:t>57</w:t>
        </w:r>
        <w:r w:rsidR="00F14A61">
          <w:rPr>
            <w:noProof/>
            <w:webHidden/>
          </w:rPr>
          <w:fldChar w:fldCharType="end"/>
        </w:r>
      </w:hyperlink>
    </w:p>
    <w:p w14:paraId="249F1149" w14:textId="7A560A62"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309" w:history="1">
        <w:r w:rsidR="00F14A61" w:rsidRPr="007F7964">
          <w:rPr>
            <w:rStyle w:val="Hyperlink"/>
            <w:rFonts w:hint="eastAsia"/>
            <w:noProof/>
            <w:lang w:val="en-US" w:eastAsia="zh-CN"/>
          </w:rPr>
          <w:t>说明</w:t>
        </w:r>
        <w:r w:rsidR="00F14A61" w:rsidRPr="007F7964">
          <w:rPr>
            <w:rStyle w:val="Hyperlink"/>
            <w:noProof/>
            <w:lang w:val="en-US" w:eastAsia="zh-CN"/>
          </w:rPr>
          <w:t>25</w:t>
        </w:r>
        <w:r w:rsidR="00F14A61">
          <w:rPr>
            <w:rFonts w:asciiTheme="minorHAnsi" w:eastAsiaTheme="minorEastAsia" w:hAnsiTheme="minorHAnsi" w:cstheme="minorBidi"/>
            <w:noProof/>
            <w:kern w:val="2"/>
            <w:sz w:val="22"/>
            <w:szCs w:val="22"/>
            <w:lang w:eastAsia="zh-CN"/>
            <w14:ligatures w14:val="standardContextual"/>
          </w:rPr>
          <w:tab/>
        </w:r>
        <w:r w:rsidR="00F14A61" w:rsidRPr="007F7964">
          <w:rPr>
            <w:rStyle w:val="Hyperlink"/>
            <w:rFonts w:hint="eastAsia"/>
            <w:noProof/>
            <w:lang w:val="en-US" w:eastAsia="zh-CN"/>
          </w:rPr>
          <w:t>预算金额与实际发生金额的核对</w:t>
        </w:r>
        <w:r w:rsidR="00F14A61">
          <w:rPr>
            <w:noProof/>
            <w:webHidden/>
          </w:rPr>
          <w:tab/>
        </w:r>
        <w:r w:rsidR="001920D9">
          <w:rPr>
            <w:noProof/>
            <w:webHidden/>
          </w:rPr>
          <w:tab/>
        </w:r>
        <w:r w:rsidR="00F14A61">
          <w:rPr>
            <w:noProof/>
            <w:webHidden/>
          </w:rPr>
          <w:fldChar w:fldCharType="begin"/>
        </w:r>
        <w:r w:rsidR="00F14A61">
          <w:rPr>
            <w:noProof/>
            <w:webHidden/>
          </w:rPr>
          <w:instrText xml:space="preserve"> PAGEREF _Toc163723309 \h </w:instrText>
        </w:r>
        <w:r w:rsidR="00F14A61">
          <w:rPr>
            <w:noProof/>
            <w:webHidden/>
          </w:rPr>
        </w:r>
        <w:r w:rsidR="00F14A61">
          <w:rPr>
            <w:noProof/>
            <w:webHidden/>
          </w:rPr>
          <w:fldChar w:fldCharType="separate"/>
        </w:r>
        <w:r w:rsidR="00BB0B83">
          <w:rPr>
            <w:noProof/>
            <w:webHidden/>
          </w:rPr>
          <w:t>59</w:t>
        </w:r>
        <w:r w:rsidR="00F14A61">
          <w:rPr>
            <w:noProof/>
            <w:webHidden/>
          </w:rPr>
          <w:fldChar w:fldCharType="end"/>
        </w:r>
      </w:hyperlink>
    </w:p>
    <w:p w14:paraId="0566EE5F" w14:textId="1994389E"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310" w:history="1">
        <w:r w:rsidR="00F14A61" w:rsidRPr="007F7964">
          <w:rPr>
            <w:rStyle w:val="Hyperlink"/>
            <w:rFonts w:hint="eastAsia"/>
            <w:noProof/>
            <w:lang w:val="en-US" w:eastAsia="zh-CN"/>
          </w:rPr>
          <w:t>说明</w:t>
        </w:r>
        <w:r w:rsidR="00F14A61" w:rsidRPr="007F7964">
          <w:rPr>
            <w:rStyle w:val="Hyperlink"/>
            <w:noProof/>
            <w:lang w:val="en-US" w:eastAsia="zh-CN"/>
          </w:rPr>
          <w:t>26</w:t>
        </w:r>
        <w:r w:rsidR="00F14A61">
          <w:rPr>
            <w:rFonts w:asciiTheme="minorHAnsi" w:eastAsiaTheme="minorEastAsia" w:hAnsiTheme="minorHAnsi" w:cstheme="minorBidi"/>
            <w:noProof/>
            <w:kern w:val="2"/>
            <w:sz w:val="22"/>
            <w:szCs w:val="22"/>
            <w:lang w:eastAsia="zh-CN"/>
            <w14:ligatures w14:val="standardContextual"/>
          </w:rPr>
          <w:tab/>
        </w:r>
        <w:r w:rsidR="00F14A61" w:rsidRPr="007F7964">
          <w:rPr>
            <w:rStyle w:val="Hyperlink"/>
            <w:rFonts w:hint="eastAsia"/>
            <w:noProof/>
            <w:lang w:val="en-US" w:eastAsia="zh-CN"/>
          </w:rPr>
          <w:t>相关方的披露</w:t>
        </w:r>
        <w:r w:rsidR="00F14A61">
          <w:rPr>
            <w:noProof/>
            <w:webHidden/>
          </w:rPr>
          <w:tab/>
        </w:r>
        <w:r w:rsidR="001920D9">
          <w:rPr>
            <w:noProof/>
            <w:webHidden/>
          </w:rPr>
          <w:tab/>
        </w:r>
        <w:r w:rsidR="00F14A61">
          <w:rPr>
            <w:noProof/>
            <w:webHidden/>
          </w:rPr>
          <w:fldChar w:fldCharType="begin"/>
        </w:r>
        <w:r w:rsidR="00F14A61">
          <w:rPr>
            <w:noProof/>
            <w:webHidden/>
          </w:rPr>
          <w:instrText xml:space="preserve"> PAGEREF _Toc163723310 \h </w:instrText>
        </w:r>
        <w:r w:rsidR="00F14A61">
          <w:rPr>
            <w:noProof/>
            <w:webHidden/>
          </w:rPr>
        </w:r>
        <w:r w:rsidR="00F14A61">
          <w:rPr>
            <w:noProof/>
            <w:webHidden/>
          </w:rPr>
          <w:fldChar w:fldCharType="separate"/>
        </w:r>
        <w:r w:rsidR="00BB0B83">
          <w:rPr>
            <w:noProof/>
            <w:webHidden/>
          </w:rPr>
          <w:t>61</w:t>
        </w:r>
        <w:r w:rsidR="00F14A61">
          <w:rPr>
            <w:noProof/>
            <w:webHidden/>
          </w:rPr>
          <w:fldChar w:fldCharType="end"/>
        </w:r>
      </w:hyperlink>
    </w:p>
    <w:p w14:paraId="58D3659D" w14:textId="294BD051"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311" w:history="1">
        <w:r w:rsidR="00F14A61" w:rsidRPr="007F7964">
          <w:rPr>
            <w:rStyle w:val="Hyperlink"/>
            <w:rFonts w:hint="eastAsia"/>
            <w:noProof/>
            <w:lang w:val="en-US" w:eastAsia="zh-CN"/>
          </w:rPr>
          <w:t>说明</w:t>
        </w:r>
        <w:r w:rsidR="00F14A61" w:rsidRPr="007F7964">
          <w:rPr>
            <w:rStyle w:val="Hyperlink"/>
            <w:noProof/>
            <w:lang w:val="en-US" w:eastAsia="zh-CN"/>
          </w:rPr>
          <w:t>27</w:t>
        </w:r>
        <w:r w:rsidR="00F14A61">
          <w:rPr>
            <w:rFonts w:asciiTheme="minorHAnsi" w:eastAsiaTheme="minorEastAsia" w:hAnsiTheme="minorHAnsi" w:cstheme="minorBidi"/>
            <w:noProof/>
            <w:kern w:val="2"/>
            <w:sz w:val="22"/>
            <w:szCs w:val="22"/>
            <w:lang w:eastAsia="zh-CN"/>
            <w14:ligatures w14:val="standardContextual"/>
          </w:rPr>
          <w:tab/>
        </w:r>
        <w:r w:rsidR="00F14A61" w:rsidRPr="007F7964">
          <w:rPr>
            <w:rStyle w:val="Hyperlink"/>
            <w:rFonts w:hint="eastAsia"/>
            <w:noProof/>
            <w:lang w:val="en-US" w:eastAsia="zh-CN"/>
          </w:rPr>
          <w:t>未来的承诺</w:t>
        </w:r>
        <w:r w:rsidR="00F14A61">
          <w:rPr>
            <w:noProof/>
            <w:webHidden/>
          </w:rPr>
          <w:tab/>
        </w:r>
        <w:r w:rsidR="001920D9">
          <w:rPr>
            <w:noProof/>
            <w:webHidden/>
          </w:rPr>
          <w:tab/>
        </w:r>
        <w:r w:rsidR="00F14A61">
          <w:rPr>
            <w:noProof/>
            <w:webHidden/>
          </w:rPr>
          <w:fldChar w:fldCharType="begin"/>
        </w:r>
        <w:r w:rsidR="00F14A61">
          <w:rPr>
            <w:noProof/>
            <w:webHidden/>
          </w:rPr>
          <w:instrText xml:space="preserve"> PAGEREF _Toc163723311 \h </w:instrText>
        </w:r>
        <w:r w:rsidR="00F14A61">
          <w:rPr>
            <w:noProof/>
            <w:webHidden/>
          </w:rPr>
        </w:r>
        <w:r w:rsidR="00F14A61">
          <w:rPr>
            <w:noProof/>
            <w:webHidden/>
          </w:rPr>
          <w:fldChar w:fldCharType="separate"/>
        </w:r>
        <w:r w:rsidR="00BB0B83">
          <w:rPr>
            <w:noProof/>
            <w:webHidden/>
          </w:rPr>
          <w:t>61</w:t>
        </w:r>
        <w:r w:rsidR="00F14A61">
          <w:rPr>
            <w:noProof/>
            <w:webHidden/>
          </w:rPr>
          <w:fldChar w:fldCharType="end"/>
        </w:r>
      </w:hyperlink>
    </w:p>
    <w:p w14:paraId="40EE0D3B" w14:textId="3879D8CE"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312" w:history="1">
        <w:r w:rsidR="00F14A61" w:rsidRPr="007F7964">
          <w:rPr>
            <w:rStyle w:val="Hyperlink"/>
            <w:rFonts w:hint="eastAsia"/>
            <w:noProof/>
            <w:lang w:val="en-US" w:eastAsia="zh-CN"/>
          </w:rPr>
          <w:t>说明</w:t>
        </w:r>
        <w:r w:rsidR="00F14A61" w:rsidRPr="007F7964">
          <w:rPr>
            <w:rStyle w:val="Hyperlink"/>
            <w:noProof/>
            <w:lang w:val="en-US" w:eastAsia="zh-CN"/>
          </w:rPr>
          <w:t>28</w:t>
        </w:r>
        <w:r w:rsidR="00F14A61">
          <w:rPr>
            <w:rFonts w:asciiTheme="minorHAnsi" w:eastAsiaTheme="minorEastAsia" w:hAnsiTheme="minorHAnsi" w:cstheme="minorBidi"/>
            <w:noProof/>
            <w:kern w:val="2"/>
            <w:sz w:val="22"/>
            <w:szCs w:val="22"/>
            <w:lang w:eastAsia="zh-CN"/>
            <w14:ligatures w14:val="standardContextual"/>
          </w:rPr>
          <w:tab/>
        </w:r>
        <w:r w:rsidR="00F14A61" w:rsidRPr="007F7964">
          <w:rPr>
            <w:rStyle w:val="Hyperlink"/>
            <w:rFonts w:hint="eastAsia"/>
            <w:noProof/>
            <w:lang w:val="en-US" w:eastAsia="zh-CN"/>
          </w:rPr>
          <w:t>特惠补偿款</w:t>
        </w:r>
        <w:r w:rsidR="00F14A61">
          <w:rPr>
            <w:noProof/>
            <w:webHidden/>
          </w:rPr>
          <w:tab/>
        </w:r>
        <w:r w:rsidR="001920D9">
          <w:rPr>
            <w:noProof/>
            <w:webHidden/>
          </w:rPr>
          <w:tab/>
        </w:r>
        <w:r w:rsidR="00F14A61">
          <w:rPr>
            <w:noProof/>
            <w:webHidden/>
          </w:rPr>
          <w:fldChar w:fldCharType="begin"/>
        </w:r>
        <w:r w:rsidR="00F14A61">
          <w:rPr>
            <w:noProof/>
            <w:webHidden/>
          </w:rPr>
          <w:instrText xml:space="preserve"> PAGEREF _Toc163723312 \h </w:instrText>
        </w:r>
        <w:r w:rsidR="00F14A61">
          <w:rPr>
            <w:noProof/>
            <w:webHidden/>
          </w:rPr>
        </w:r>
        <w:r w:rsidR="00F14A61">
          <w:rPr>
            <w:noProof/>
            <w:webHidden/>
          </w:rPr>
          <w:fldChar w:fldCharType="separate"/>
        </w:r>
        <w:r w:rsidR="00BB0B83">
          <w:rPr>
            <w:noProof/>
            <w:webHidden/>
          </w:rPr>
          <w:t>61</w:t>
        </w:r>
        <w:r w:rsidR="00F14A61">
          <w:rPr>
            <w:noProof/>
            <w:webHidden/>
          </w:rPr>
          <w:fldChar w:fldCharType="end"/>
        </w:r>
      </w:hyperlink>
    </w:p>
    <w:p w14:paraId="077E5812" w14:textId="6B8F4D9D"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313" w:history="1">
        <w:r w:rsidR="00F14A61" w:rsidRPr="007F7964">
          <w:rPr>
            <w:rStyle w:val="Hyperlink"/>
            <w:rFonts w:hint="eastAsia"/>
            <w:noProof/>
            <w:lang w:val="en-US" w:eastAsia="zh-CN"/>
          </w:rPr>
          <w:t>说明</w:t>
        </w:r>
        <w:r w:rsidR="00F14A61" w:rsidRPr="007F7964">
          <w:rPr>
            <w:rStyle w:val="Hyperlink"/>
            <w:noProof/>
            <w:lang w:val="en-US" w:eastAsia="zh-CN"/>
          </w:rPr>
          <w:t>29</w:t>
        </w:r>
        <w:r w:rsidR="00F14A61">
          <w:rPr>
            <w:rFonts w:asciiTheme="minorHAnsi" w:eastAsiaTheme="minorEastAsia" w:hAnsiTheme="minorHAnsi" w:cstheme="minorBidi"/>
            <w:noProof/>
            <w:kern w:val="2"/>
            <w:sz w:val="22"/>
            <w:szCs w:val="22"/>
            <w:lang w:eastAsia="zh-CN"/>
            <w14:ligatures w14:val="standardContextual"/>
          </w:rPr>
          <w:tab/>
        </w:r>
        <w:r w:rsidR="00F14A61" w:rsidRPr="007F7964">
          <w:rPr>
            <w:rStyle w:val="Hyperlink"/>
            <w:rFonts w:hint="eastAsia"/>
            <w:noProof/>
            <w:lang w:val="en-US" w:eastAsia="zh-CN"/>
          </w:rPr>
          <w:t>报告日期之后出现的事件</w:t>
        </w:r>
        <w:r w:rsidR="00F14A61">
          <w:rPr>
            <w:noProof/>
            <w:webHidden/>
          </w:rPr>
          <w:tab/>
        </w:r>
        <w:r w:rsidR="001920D9">
          <w:rPr>
            <w:noProof/>
            <w:webHidden/>
          </w:rPr>
          <w:tab/>
        </w:r>
        <w:r w:rsidR="00F14A61">
          <w:rPr>
            <w:noProof/>
            <w:webHidden/>
          </w:rPr>
          <w:fldChar w:fldCharType="begin"/>
        </w:r>
        <w:r w:rsidR="00F14A61">
          <w:rPr>
            <w:noProof/>
            <w:webHidden/>
          </w:rPr>
          <w:instrText xml:space="preserve"> PAGEREF _Toc163723313 \h </w:instrText>
        </w:r>
        <w:r w:rsidR="00F14A61">
          <w:rPr>
            <w:noProof/>
            <w:webHidden/>
          </w:rPr>
        </w:r>
        <w:r w:rsidR="00F14A61">
          <w:rPr>
            <w:noProof/>
            <w:webHidden/>
          </w:rPr>
          <w:fldChar w:fldCharType="separate"/>
        </w:r>
        <w:r w:rsidR="00BB0B83">
          <w:rPr>
            <w:noProof/>
            <w:webHidden/>
          </w:rPr>
          <w:t>61</w:t>
        </w:r>
        <w:r w:rsidR="00F14A61">
          <w:rPr>
            <w:noProof/>
            <w:webHidden/>
          </w:rPr>
          <w:fldChar w:fldCharType="end"/>
        </w:r>
      </w:hyperlink>
    </w:p>
    <w:p w14:paraId="15055088" w14:textId="115D8867"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314" w:history="1">
        <w:r w:rsidR="00F14A61" w:rsidRPr="007F7964">
          <w:rPr>
            <w:rStyle w:val="Hyperlink"/>
            <w:rFonts w:hint="eastAsia"/>
            <w:noProof/>
            <w:lang w:val="en-US" w:eastAsia="zh-CN"/>
          </w:rPr>
          <w:t>说明</w:t>
        </w:r>
        <w:r w:rsidR="00F14A61" w:rsidRPr="007F7964">
          <w:rPr>
            <w:rStyle w:val="Hyperlink"/>
            <w:noProof/>
            <w:lang w:val="en-US" w:eastAsia="zh-CN"/>
          </w:rPr>
          <w:t>30</w:t>
        </w:r>
        <w:r w:rsidR="00F14A61">
          <w:rPr>
            <w:rFonts w:asciiTheme="minorHAnsi" w:eastAsiaTheme="minorEastAsia" w:hAnsiTheme="minorHAnsi" w:cstheme="minorBidi"/>
            <w:noProof/>
            <w:kern w:val="2"/>
            <w:sz w:val="22"/>
            <w:szCs w:val="22"/>
            <w:lang w:eastAsia="zh-CN"/>
            <w14:ligatures w14:val="standardContextual"/>
          </w:rPr>
          <w:tab/>
        </w:r>
        <w:r w:rsidR="00F14A61" w:rsidRPr="007F7964">
          <w:rPr>
            <w:rStyle w:val="Hyperlink"/>
            <w:rFonts w:hint="eastAsia"/>
            <w:noProof/>
            <w:lang w:val="en-US" w:eastAsia="zh-CN"/>
          </w:rPr>
          <w:t>会计估算的变更和错误</w:t>
        </w:r>
        <w:r w:rsidR="00F14A61">
          <w:rPr>
            <w:noProof/>
            <w:webHidden/>
          </w:rPr>
          <w:tab/>
        </w:r>
        <w:r w:rsidR="001920D9">
          <w:rPr>
            <w:noProof/>
            <w:webHidden/>
          </w:rPr>
          <w:tab/>
        </w:r>
        <w:r w:rsidR="00F14A61">
          <w:rPr>
            <w:noProof/>
            <w:webHidden/>
          </w:rPr>
          <w:fldChar w:fldCharType="begin"/>
        </w:r>
        <w:r w:rsidR="00F14A61">
          <w:rPr>
            <w:noProof/>
            <w:webHidden/>
          </w:rPr>
          <w:instrText xml:space="preserve"> PAGEREF _Toc163723314 \h </w:instrText>
        </w:r>
        <w:r w:rsidR="00F14A61">
          <w:rPr>
            <w:noProof/>
            <w:webHidden/>
          </w:rPr>
        </w:r>
        <w:r w:rsidR="00F14A61">
          <w:rPr>
            <w:noProof/>
            <w:webHidden/>
          </w:rPr>
          <w:fldChar w:fldCharType="separate"/>
        </w:r>
        <w:r w:rsidR="00BB0B83">
          <w:rPr>
            <w:noProof/>
            <w:webHidden/>
          </w:rPr>
          <w:t>62</w:t>
        </w:r>
        <w:r w:rsidR="00F14A61">
          <w:rPr>
            <w:noProof/>
            <w:webHidden/>
          </w:rPr>
          <w:fldChar w:fldCharType="end"/>
        </w:r>
      </w:hyperlink>
    </w:p>
    <w:p w14:paraId="7CEDDDB1" w14:textId="493FC561" w:rsidR="00F14A61" w:rsidRDefault="00CE269B" w:rsidP="00C129B0">
      <w:pPr>
        <w:pStyle w:val="TOC1"/>
        <w:tabs>
          <w:tab w:val="clear" w:pos="7938"/>
          <w:tab w:val="clear" w:pos="8789"/>
          <w:tab w:val="left" w:pos="1134"/>
          <w:tab w:val="left" w:leader="dot" w:pos="8222"/>
          <w:tab w:val="right" w:pos="9071"/>
        </w:tabs>
        <w:ind w:left="0" w:firstLine="0"/>
        <w:rPr>
          <w:rFonts w:asciiTheme="minorHAnsi" w:eastAsiaTheme="minorEastAsia" w:hAnsiTheme="minorHAnsi" w:cstheme="minorBidi"/>
          <w:noProof/>
          <w:kern w:val="2"/>
          <w:sz w:val="22"/>
          <w:szCs w:val="22"/>
          <w:lang w:eastAsia="zh-CN"/>
          <w14:ligatures w14:val="standardContextual"/>
        </w:rPr>
      </w:pPr>
      <w:hyperlink w:anchor="_Toc163723315" w:history="1">
        <w:r w:rsidR="00F14A61" w:rsidRPr="007F7964">
          <w:rPr>
            <w:rStyle w:val="Hyperlink"/>
            <w:rFonts w:hint="eastAsia"/>
            <w:noProof/>
            <w:lang w:eastAsia="zh-CN"/>
          </w:rPr>
          <w:t>附件</w:t>
        </w:r>
        <w:r w:rsidR="00F14A61" w:rsidRPr="007F7964">
          <w:rPr>
            <w:rStyle w:val="Hyperlink"/>
            <w:noProof/>
            <w:lang w:eastAsia="zh-CN"/>
          </w:rPr>
          <w:t>A</w:t>
        </w:r>
        <w:r w:rsidR="00C129B0" w:rsidRPr="00C129B0">
          <w:rPr>
            <w:noProof/>
          </w:rPr>
          <w:t xml:space="preserve"> – </w:t>
        </w:r>
      </w:hyperlink>
      <w:hyperlink w:anchor="_Toc163723316" w:history="1">
        <w:r w:rsidR="00F14A61" w:rsidRPr="007F7964">
          <w:rPr>
            <w:rStyle w:val="Hyperlink"/>
            <w:rFonts w:hint="eastAsia"/>
            <w:noProof/>
            <w:lang w:eastAsia="zh-CN"/>
          </w:rPr>
          <w:t>决议草案</w:t>
        </w:r>
        <w:r w:rsidR="00F14A61">
          <w:rPr>
            <w:noProof/>
            <w:webHidden/>
          </w:rPr>
          <w:tab/>
        </w:r>
        <w:r w:rsidR="001920D9">
          <w:rPr>
            <w:noProof/>
            <w:webHidden/>
          </w:rPr>
          <w:tab/>
        </w:r>
        <w:r w:rsidR="00F14A61">
          <w:rPr>
            <w:noProof/>
            <w:webHidden/>
          </w:rPr>
          <w:fldChar w:fldCharType="begin"/>
        </w:r>
        <w:r w:rsidR="00F14A61">
          <w:rPr>
            <w:noProof/>
            <w:webHidden/>
          </w:rPr>
          <w:instrText xml:space="preserve"> PAGEREF _Toc163723316 \h </w:instrText>
        </w:r>
        <w:r w:rsidR="00F14A61">
          <w:rPr>
            <w:noProof/>
            <w:webHidden/>
          </w:rPr>
        </w:r>
        <w:r w:rsidR="00F14A61">
          <w:rPr>
            <w:noProof/>
            <w:webHidden/>
          </w:rPr>
          <w:fldChar w:fldCharType="separate"/>
        </w:r>
        <w:r w:rsidR="00BB0B83">
          <w:rPr>
            <w:noProof/>
            <w:webHidden/>
          </w:rPr>
          <w:t>72</w:t>
        </w:r>
        <w:r w:rsidR="00F14A61">
          <w:rPr>
            <w:noProof/>
            <w:webHidden/>
          </w:rPr>
          <w:fldChar w:fldCharType="end"/>
        </w:r>
      </w:hyperlink>
    </w:p>
    <w:p w14:paraId="6FF5F4E3" w14:textId="4C5ECD2E" w:rsidR="00390AE4" w:rsidRPr="00390AE4" w:rsidRDefault="00187F43" w:rsidP="00C129B0">
      <w:pPr>
        <w:tabs>
          <w:tab w:val="right" w:leader="dot" w:pos="8222"/>
        </w:tabs>
      </w:pPr>
      <w:r w:rsidRPr="00E52A4A">
        <w:fldChar w:fldCharType="end"/>
      </w:r>
      <w:r w:rsidR="00390AE4" w:rsidRPr="00390AE4">
        <w:br w:type="page"/>
      </w:r>
    </w:p>
    <w:p w14:paraId="49C0945C" w14:textId="77777777" w:rsidR="00390AE4" w:rsidRPr="00390AE4" w:rsidRDefault="00390AE4" w:rsidP="00390AE4">
      <w:pPr>
        <w:pStyle w:val="Heading1"/>
        <w:rPr>
          <w:lang w:eastAsia="zh-CN"/>
        </w:rPr>
      </w:pPr>
      <w:bookmarkStart w:id="9" w:name="_Toc163723274"/>
      <w:bookmarkStart w:id="10" w:name="_Toc130976540"/>
      <w:bookmarkStart w:id="11" w:name="_Toc131156407"/>
      <w:r w:rsidRPr="00390AE4">
        <w:rPr>
          <w:rFonts w:hint="eastAsia"/>
          <w:lang w:eastAsia="zh-CN"/>
        </w:rPr>
        <w:lastRenderedPageBreak/>
        <w:t>财务报表分析</w:t>
      </w:r>
      <w:bookmarkEnd w:id="9"/>
    </w:p>
    <w:p w14:paraId="6CAA21C3" w14:textId="50E15FA6" w:rsidR="00390AE4" w:rsidRPr="00390AE4" w:rsidRDefault="00390AE4" w:rsidP="00C80556">
      <w:pPr>
        <w:pStyle w:val="Headingb"/>
        <w:spacing w:before="240" w:after="120"/>
        <w:rPr>
          <w:lang w:eastAsia="zh-CN"/>
        </w:rPr>
      </w:pPr>
      <w:r w:rsidRPr="00390AE4">
        <w:rPr>
          <w:rFonts w:hint="eastAsia"/>
          <w:lang w:eastAsia="zh-CN"/>
        </w:rPr>
        <w:t>引言</w:t>
      </w:r>
      <w:bookmarkEnd w:id="10"/>
      <w:bookmarkEnd w:id="11"/>
    </w:p>
    <w:p w14:paraId="55DE3824" w14:textId="77777777" w:rsidR="00390AE4" w:rsidRPr="00390AE4" w:rsidRDefault="00390AE4" w:rsidP="00390AE4">
      <w:pPr>
        <w:rPr>
          <w:lang w:eastAsia="zh-CN"/>
        </w:rPr>
      </w:pPr>
      <w:r w:rsidRPr="00390AE4">
        <w:rPr>
          <w:rFonts w:hint="eastAsia"/>
          <w:lang w:eastAsia="zh-CN"/>
        </w:rPr>
        <w:t>1</w:t>
      </w:r>
      <w:r w:rsidRPr="00390AE4">
        <w:rPr>
          <w:lang w:eastAsia="zh-CN"/>
        </w:rPr>
        <w:tab/>
      </w:r>
      <w:r w:rsidRPr="00390AE4">
        <w:rPr>
          <w:rFonts w:hint="eastAsia"/>
          <w:lang w:eastAsia="zh-CN"/>
        </w:rPr>
        <w:t>截至</w:t>
      </w:r>
      <w:r w:rsidRPr="00390AE4">
        <w:rPr>
          <w:rFonts w:hint="eastAsia"/>
          <w:lang w:eastAsia="zh-CN"/>
        </w:rPr>
        <w:t>2022</w:t>
      </w:r>
      <w:r w:rsidRPr="00390AE4">
        <w:rPr>
          <w:rFonts w:hint="eastAsia"/>
          <w:lang w:eastAsia="zh-CN"/>
        </w:rPr>
        <w:t>年</w:t>
      </w:r>
      <w:r w:rsidRPr="00390AE4">
        <w:rPr>
          <w:rFonts w:hint="eastAsia"/>
          <w:lang w:eastAsia="zh-CN"/>
        </w:rPr>
        <w:t>12</w:t>
      </w:r>
      <w:r w:rsidRPr="00390AE4">
        <w:rPr>
          <w:rFonts w:hint="eastAsia"/>
          <w:lang w:eastAsia="zh-CN"/>
        </w:rPr>
        <w:t>月</w:t>
      </w:r>
      <w:r w:rsidRPr="00390AE4">
        <w:rPr>
          <w:rFonts w:hint="eastAsia"/>
          <w:lang w:eastAsia="zh-CN"/>
        </w:rPr>
        <w:t>31</w:t>
      </w:r>
      <w:r w:rsidRPr="00390AE4">
        <w:rPr>
          <w:rFonts w:hint="eastAsia"/>
          <w:lang w:eastAsia="zh-CN"/>
        </w:rPr>
        <w:t>日的年度财务报表和财务工作报告是根据</w:t>
      </w:r>
      <w:r w:rsidRPr="00390AE4">
        <w:rPr>
          <w:rFonts w:hint="eastAsia"/>
          <w:lang w:eastAsia="zh-CN"/>
        </w:rPr>
        <w:t>2018</w:t>
      </w:r>
      <w:r w:rsidRPr="00390AE4">
        <w:rPr>
          <w:rFonts w:hint="eastAsia"/>
          <w:lang w:eastAsia="zh-CN"/>
        </w:rPr>
        <w:t>年版国际电联《财务规则》第</w:t>
      </w:r>
      <w:r w:rsidRPr="00390AE4">
        <w:rPr>
          <w:rFonts w:hint="eastAsia"/>
          <w:lang w:eastAsia="zh-CN"/>
        </w:rPr>
        <w:t>30</w:t>
      </w:r>
      <w:r w:rsidRPr="00390AE4">
        <w:rPr>
          <w:rFonts w:hint="eastAsia"/>
          <w:lang w:eastAsia="zh-CN"/>
        </w:rPr>
        <w:t>条提交的。</w:t>
      </w:r>
    </w:p>
    <w:p w14:paraId="681E8F51" w14:textId="711F40F6" w:rsidR="00390AE4" w:rsidRPr="00390AE4" w:rsidRDefault="00390AE4" w:rsidP="00390AE4">
      <w:pPr>
        <w:rPr>
          <w:lang w:eastAsia="zh-CN"/>
        </w:rPr>
      </w:pPr>
      <w:r w:rsidRPr="00390AE4">
        <w:rPr>
          <w:rFonts w:hint="eastAsia"/>
          <w:lang w:eastAsia="zh-CN"/>
        </w:rPr>
        <w:t>2</w:t>
      </w:r>
      <w:r w:rsidRPr="00390AE4">
        <w:rPr>
          <w:lang w:eastAsia="zh-CN"/>
        </w:rPr>
        <w:tab/>
      </w:r>
      <w:r w:rsidRPr="00390AE4">
        <w:rPr>
          <w:rFonts w:hint="eastAsia"/>
          <w:lang w:eastAsia="zh-CN"/>
        </w:rPr>
        <w:t>财务报表根据国际公共部门会计准则（</w:t>
      </w:r>
      <w:r w:rsidRPr="00390AE4">
        <w:rPr>
          <w:rFonts w:hint="eastAsia"/>
          <w:lang w:eastAsia="zh-CN"/>
        </w:rPr>
        <w:t>IPSAS</w:t>
      </w:r>
      <w:r w:rsidRPr="00390AE4">
        <w:rPr>
          <w:rFonts w:hint="eastAsia"/>
          <w:lang w:eastAsia="zh-CN"/>
        </w:rPr>
        <w:t>）制定，涵盖本组织的所有运作，包括由正常预算、预算外、经营和财务收入提供资金的业务。</w:t>
      </w:r>
    </w:p>
    <w:p w14:paraId="776D1161" w14:textId="77777777" w:rsidR="00390AE4" w:rsidRPr="00390AE4" w:rsidRDefault="00390AE4" w:rsidP="00390AE4">
      <w:pPr>
        <w:pStyle w:val="enumlev1"/>
        <w:rPr>
          <w:lang w:eastAsia="zh-CN"/>
        </w:rPr>
      </w:pPr>
      <w:r w:rsidRPr="00390AE4">
        <w:rPr>
          <w:rFonts w:hint="eastAsia"/>
          <w:lang w:eastAsia="zh-CN"/>
        </w:rPr>
        <w:t>a</w:t>
      </w:r>
      <w:r w:rsidRPr="00390AE4">
        <w:rPr>
          <w:lang w:eastAsia="zh-CN"/>
        </w:rPr>
        <w:t>)</w:t>
      </w:r>
      <w:r w:rsidRPr="00390AE4">
        <w:rPr>
          <w:lang w:eastAsia="zh-CN"/>
        </w:rPr>
        <w:tab/>
      </w:r>
      <w:r w:rsidRPr="00390AE4">
        <w:rPr>
          <w:rFonts w:hint="eastAsia"/>
          <w:lang w:eastAsia="zh-CN"/>
        </w:rPr>
        <w:t>《财务规则》规定了双年度财务周期；但是，根据</w:t>
      </w:r>
      <w:r w:rsidRPr="00390AE4">
        <w:rPr>
          <w:rFonts w:hint="eastAsia"/>
          <w:lang w:eastAsia="zh-CN"/>
        </w:rPr>
        <w:t>IPSAS</w:t>
      </w:r>
      <w:r w:rsidRPr="00390AE4">
        <w:rPr>
          <w:rFonts w:hint="eastAsia"/>
          <w:lang w:eastAsia="zh-CN"/>
        </w:rPr>
        <w:t>，需要提交年度财务报表。国际电联双年度预算是根据基于结果的预算格式编制的，其范围包括：</w:t>
      </w:r>
    </w:p>
    <w:p w14:paraId="2E40B937" w14:textId="6ABFFB51" w:rsidR="00390AE4" w:rsidRPr="00390AE4" w:rsidRDefault="00390AE4" w:rsidP="00390AE4">
      <w:pPr>
        <w:pStyle w:val="enumlev2"/>
        <w:rPr>
          <w:lang w:eastAsia="zh-CN"/>
        </w:rPr>
      </w:pPr>
      <w:bookmarkStart w:id="12" w:name="lt_pId012"/>
      <w:r w:rsidRPr="00390AE4">
        <w:rPr>
          <w:rFonts w:hint="eastAsia"/>
          <w:lang w:eastAsia="zh-CN"/>
        </w:rPr>
        <w:t>i</w:t>
      </w:r>
      <w:r w:rsidRPr="00390AE4">
        <w:rPr>
          <w:lang w:eastAsia="zh-CN"/>
        </w:rPr>
        <w:t>)</w:t>
      </w:r>
      <w:r w:rsidRPr="00390AE4">
        <w:rPr>
          <w:lang w:eastAsia="zh-CN"/>
        </w:rPr>
        <w:tab/>
      </w:r>
      <w:r w:rsidRPr="00390AE4">
        <w:rPr>
          <w:rFonts w:hint="eastAsia"/>
          <w:lang w:eastAsia="zh-CN"/>
        </w:rPr>
        <w:t>正常预算</w:t>
      </w:r>
      <w:r w:rsidR="00187F43">
        <w:rPr>
          <w:rFonts w:hint="eastAsia"/>
          <w:lang w:eastAsia="zh-CN"/>
        </w:rPr>
        <w:t xml:space="preserve"> </w:t>
      </w:r>
      <w:r w:rsidR="00187F43">
        <w:rPr>
          <w:lang w:eastAsia="zh-CN"/>
        </w:rPr>
        <w:t xml:space="preserve">– </w:t>
      </w:r>
      <w:proofErr w:type="gramStart"/>
      <w:r w:rsidRPr="00390AE4">
        <w:rPr>
          <w:rFonts w:hint="eastAsia"/>
          <w:lang w:eastAsia="zh-CN"/>
        </w:rPr>
        <w:t>成员国以及部门成员和部门准成员缴纳的会费；</w:t>
      </w:r>
      <w:bookmarkEnd w:id="12"/>
      <w:proofErr w:type="gramEnd"/>
    </w:p>
    <w:p w14:paraId="040E39F1" w14:textId="77777777" w:rsidR="00390AE4" w:rsidRPr="00390AE4" w:rsidRDefault="00390AE4" w:rsidP="00390AE4">
      <w:pPr>
        <w:pStyle w:val="enumlev2"/>
        <w:rPr>
          <w:lang w:eastAsia="zh-CN"/>
        </w:rPr>
      </w:pPr>
      <w:r w:rsidRPr="00390AE4">
        <w:rPr>
          <w:rFonts w:hint="eastAsia"/>
          <w:lang w:eastAsia="zh-CN"/>
        </w:rPr>
        <w:t>i</w:t>
      </w:r>
      <w:r w:rsidRPr="00390AE4">
        <w:rPr>
          <w:lang w:eastAsia="zh-CN"/>
        </w:rPr>
        <w:t>i)</w:t>
      </w:r>
      <w:r w:rsidRPr="00390AE4">
        <w:rPr>
          <w:lang w:eastAsia="zh-CN"/>
        </w:rPr>
        <w:tab/>
      </w:r>
      <w:r w:rsidRPr="00390AE4">
        <w:rPr>
          <w:rFonts w:hint="eastAsia"/>
          <w:lang w:eastAsia="zh-CN"/>
        </w:rPr>
        <w:t>成本回收收入（包括出版物、卫星网络申报资料、利息收入及其他创收活动）；如有必要，从储备金账目中提款。</w:t>
      </w:r>
    </w:p>
    <w:p w14:paraId="30D1868D" w14:textId="77777777" w:rsidR="00390AE4" w:rsidRPr="00390AE4" w:rsidRDefault="00390AE4" w:rsidP="00390AE4">
      <w:pPr>
        <w:pStyle w:val="enumlev1"/>
        <w:rPr>
          <w:lang w:eastAsia="zh-CN"/>
        </w:rPr>
      </w:pPr>
      <w:r w:rsidRPr="00390AE4">
        <w:rPr>
          <w:rFonts w:hint="eastAsia"/>
          <w:lang w:eastAsia="zh-CN"/>
        </w:rPr>
        <w:t>b</w:t>
      </w:r>
      <w:r w:rsidRPr="00390AE4">
        <w:rPr>
          <w:lang w:eastAsia="zh-CN"/>
        </w:rPr>
        <w:t>)</w:t>
      </w:r>
      <w:r w:rsidRPr="00390AE4">
        <w:rPr>
          <w:lang w:eastAsia="zh-CN"/>
        </w:rPr>
        <w:tab/>
      </w:r>
      <w:r w:rsidRPr="00390AE4">
        <w:rPr>
          <w:rFonts w:hint="eastAsia"/>
          <w:lang w:eastAsia="zh-CN"/>
        </w:rPr>
        <w:t>包括预算外资金在内的所有其他收入均不在国际电联预算项下报告。</w:t>
      </w:r>
    </w:p>
    <w:p w14:paraId="7123AB4F" w14:textId="7F3A6AF6" w:rsidR="00390AE4" w:rsidRPr="00390AE4" w:rsidRDefault="00390AE4" w:rsidP="00390AE4">
      <w:pPr>
        <w:rPr>
          <w:lang w:eastAsia="zh-CN"/>
        </w:rPr>
      </w:pPr>
      <w:bookmarkStart w:id="13" w:name="lt_pId015"/>
      <w:r w:rsidRPr="00390AE4">
        <w:rPr>
          <w:rFonts w:hint="eastAsia"/>
          <w:lang w:eastAsia="zh-CN"/>
        </w:rPr>
        <w:t>3</w:t>
      </w:r>
      <w:r w:rsidRPr="00390AE4">
        <w:rPr>
          <w:lang w:eastAsia="zh-CN"/>
        </w:rPr>
        <w:tab/>
      </w:r>
      <w:r w:rsidRPr="00390AE4">
        <w:rPr>
          <w:rFonts w:hint="eastAsia"/>
          <w:lang w:eastAsia="zh-CN"/>
        </w:rPr>
        <w:t>根据</w:t>
      </w:r>
      <w:r w:rsidRPr="00390AE4">
        <w:rPr>
          <w:rFonts w:hint="eastAsia"/>
          <w:lang w:eastAsia="zh-CN"/>
        </w:rPr>
        <w:t>IPSAS</w:t>
      </w:r>
      <w:r w:rsidRPr="00390AE4">
        <w:rPr>
          <w:rFonts w:hint="eastAsia"/>
          <w:lang w:eastAsia="zh-CN"/>
        </w:rPr>
        <w:t>报告财务报表对国际电联基于结果的预算的编制或报告没有影响，后者继续以经修改的现金制列报。由于预算和财务报表的基础不同，因此，预算与</w:t>
      </w:r>
      <w:r w:rsidRPr="00390AE4">
        <w:rPr>
          <w:rFonts w:hint="eastAsia"/>
          <w:lang w:eastAsia="zh-CN"/>
        </w:rPr>
        <w:t>IPSAS</w:t>
      </w:r>
      <w:r w:rsidRPr="00390AE4">
        <w:rPr>
          <w:rFonts w:hint="eastAsia"/>
          <w:lang w:eastAsia="zh-CN"/>
        </w:rPr>
        <w:t>财务业绩报表之间的调节情况列在报表五</w:t>
      </w:r>
      <w:r w:rsidR="003976A3">
        <w:rPr>
          <w:rFonts w:hint="eastAsia"/>
          <w:lang w:eastAsia="zh-CN"/>
        </w:rPr>
        <w:t xml:space="preserve"> </w:t>
      </w:r>
      <w:r w:rsidR="003976A3">
        <w:rPr>
          <w:lang w:eastAsia="zh-CN"/>
        </w:rPr>
        <w:t xml:space="preserve">– </w:t>
      </w:r>
      <w:r w:rsidRPr="00390AE4">
        <w:rPr>
          <w:rFonts w:hint="eastAsia"/>
          <w:lang w:eastAsia="zh-CN"/>
        </w:rPr>
        <w:t>预算与实际发生金额的比较报表的财务报表注</w:t>
      </w:r>
      <w:r w:rsidRPr="00390AE4">
        <w:rPr>
          <w:rFonts w:hint="eastAsia"/>
          <w:lang w:eastAsia="zh-CN"/>
        </w:rPr>
        <w:t>25</w:t>
      </w:r>
      <w:r w:rsidRPr="00390AE4">
        <w:rPr>
          <w:rFonts w:hint="eastAsia"/>
          <w:lang w:eastAsia="zh-CN"/>
        </w:rPr>
        <w:t>中。</w:t>
      </w:r>
      <w:bookmarkEnd w:id="13"/>
    </w:p>
    <w:p w14:paraId="006FD89C" w14:textId="77777777" w:rsidR="00390AE4" w:rsidRPr="00390AE4" w:rsidRDefault="00390AE4" w:rsidP="00C80556">
      <w:pPr>
        <w:pStyle w:val="Headingb"/>
        <w:spacing w:before="480"/>
        <w:rPr>
          <w:b w:val="0"/>
          <w:bCs/>
          <w:sz w:val="28"/>
          <w:szCs w:val="28"/>
          <w:lang w:eastAsia="zh-CN"/>
        </w:rPr>
      </w:pPr>
      <w:bookmarkStart w:id="14" w:name="lt_pId017"/>
      <w:r w:rsidRPr="00390AE4">
        <w:rPr>
          <w:bCs/>
          <w:sz w:val="28"/>
          <w:szCs w:val="28"/>
          <w:lang w:eastAsia="zh-CN"/>
        </w:rPr>
        <w:t>2022</w:t>
      </w:r>
      <w:bookmarkStart w:id="15" w:name="_Toc72744915"/>
      <w:bookmarkStart w:id="16" w:name="_Toc72747199"/>
      <w:bookmarkStart w:id="17" w:name="_Toc73460996"/>
      <w:bookmarkStart w:id="18" w:name="_Toc73518643"/>
      <w:bookmarkStart w:id="19" w:name="_Toc73519190"/>
      <w:bookmarkStart w:id="20" w:name="_Toc73636072"/>
      <w:bookmarkStart w:id="21" w:name="_Toc73636214"/>
      <w:bookmarkEnd w:id="14"/>
      <w:r w:rsidRPr="00390AE4">
        <w:rPr>
          <w:rFonts w:hint="eastAsia"/>
          <w:bCs/>
          <w:sz w:val="28"/>
          <w:szCs w:val="28"/>
          <w:lang w:eastAsia="zh-CN"/>
        </w:rPr>
        <w:t>年财务工作报告要点</w:t>
      </w:r>
      <w:bookmarkEnd w:id="15"/>
      <w:bookmarkEnd w:id="16"/>
      <w:bookmarkEnd w:id="17"/>
      <w:bookmarkEnd w:id="18"/>
      <w:bookmarkEnd w:id="19"/>
      <w:bookmarkEnd w:id="20"/>
      <w:bookmarkEnd w:id="21"/>
    </w:p>
    <w:p w14:paraId="5DD58328" w14:textId="77777777" w:rsidR="00390AE4" w:rsidRPr="00390AE4" w:rsidRDefault="00390AE4" w:rsidP="00390AE4">
      <w:pPr>
        <w:rPr>
          <w:lang w:eastAsia="zh-CN"/>
        </w:rPr>
      </w:pPr>
      <w:r w:rsidRPr="00390AE4">
        <w:rPr>
          <w:lang w:eastAsia="zh-CN"/>
        </w:rPr>
        <w:t>4</w:t>
      </w:r>
      <w:r w:rsidRPr="00390AE4">
        <w:rPr>
          <w:lang w:eastAsia="zh-CN"/>
        </w:rPr>
        <w:tab/>
      </w:r>
      <w:r w:rsidRPr="00390AE4">
        <w:rPr>
          <w:rFonts w:hint="eastAsia"/>
          <w:lang w:eastAsia="zh-CN"/>
        </w:rPr>
        <w:t>国际电联账目以瑞郎为单位，提交的财务报表包含国际电联的预算外活动。</w:t>
      </w:r>
    </w:p>
    <w:p w14:paraId="63156EFF" w14:textId="77777777" w:rsidR="00390AE4" w:rsidRPr="00390AE4" w:rsidRDefault="00390AE4" w:rsidP="00390AE4">
      <w:pPr>
        <w:rPr>
          <w:highlight w:val="cyan"/>
          <w:lang w:eastAsia="zh-CN"/>
        </w:rPr>
      </w:pPr>
      <w:r w:rsidRPr="00390AE4">
        <w:rPr>
          <w:rFonts w:hint="eastAsia"/>
          <w:lang w:eastAsia="zh-CN"/>
        </w:rPr>
        <w:t>5</w:t>
      </w:r>
      <w:r w:rsidRPr="00390AE4">
        <w:rPr>
          <w:lang w:eastAsia="zh-CN"/>
        </w:rPr>
        <w:tab/>
      </w:r>
      <w:r w:rsidRPr="00390AE4">
        <w:rPr>
          <w:rFonts w:hint="eastAsia"/>
          <w:lang w:eastAsia="zh-CN"/>
        </w:rPr>
        <w:t>以下表</w:t>
      </w:r>
      <w:r w:rsidRPr="00390AE4">
        <w:rPr>
          <w:lang w:eastAsia="zh-CN"/>
        </w:rPr>
        <w:t>1</w:t>
      </w:r>
      <w:r w:rsidRPr="00390AE4">
        <w:rPr>
          <w:rFonts w:hint="eastAsia"/>
          <w:lang w:eastAsia="zh-CN"/>
        </w:rPr>
        <w:t>归纳了与</w:t>
      </w:r>
      <w:r w:rsidRPr="00390AE4">
        <w:rPr>
          <w:lang w:eastAsia="zh-CN"/>
        </w:rPr>
        <w:t>2021</w:t>
      </w:r>
      <w:r w:rsidRPr="00390AE4">
        <w:rPr>
          <w:rFonts w:hint="eastAsia"/>
          <w:lang w:eastAsia="zh-CN"/>
        </w:rPr>
        <w:t>年相比的国际电联</w:t>
      </w:r>
      <w:r w:rsidRPr="00390AE4">
        <w:rPr>
          <w:lang w:eastAsia="zh-CN"/>
        </w:rPr>
        <w:t>2022</w:t>
      </w:r>
      <w:r w:rsidRPr="00390AE4">
        <w:rPr>
          <w:rFonts w:hint="eastAsia"/>
          <w:lang w:eastAsia="zh-CN"/>
        </w:rPr>
        <w:t>年财务状况。</w:t>
      </w:r>
    </w:p>
    <w:p w14:paraId="421ADC39" w14:textId="256538BE" w:rsidR="00390AE4" w:rsidRDefault="00390AE4" w:rsidP="00471901">
      <w:pPr>
        <w:pStyle w:val="Tabletitle"/>
        <w:rPr>
          <w:lang w:eastAsia="zh-CN"/>
        </w:rPr>
      </w:pPr>
      <w:r w:rsidRPr="00390AE4">
        <w:rPr>
          <w:rFonts w:hint="eastAsia"/>
          <w:lang w:eastAsia="zh-CN"/>
        </w:rPr>
        <w:t>表</w:t>
      </w:r>
      <w:r w:rsidRPr="00390AE4">
        <w:rPr>
          <w:rFonts w:hint="eastAsia"/>
          <w:lang w:eastAsia="zh-CN"/>
        </w:rPr>
        <w:t>1</w:t>
      </w:r>
      <w:r w:rsidR="002A6FE6" w:rsidRPr="00E52A4A">
        <w:t xml:space="preserve"> – </w:t>
      </w:r>
      <w:r w:rsidRPr="00857999">
        <w:rPr>
          <w:rFonts w:hint="eastAsia"/>
        </w:rPr>
        <w:t>2022</w:t>
      </w:r>
      <w:r w:rsidRPr="00857999">
        <w:rPr>
          <w:rFonts w:hint="eastAsia"/>
        </w:rPr>
        <w:t>年</w:t>
      </w:r>
      <w:r w:rsidRPr="00390AE4">
        <w:rPr>
          <w:rFonts w:hint="eastAsia"/>
          <w:lang w:eastAsia="zh-CN"/>
        </w:rPr>
        <w:t>和</w:t>
      </w:r>
      <w:r w:rsidRPr="00390AE4">
        <w:rPr>
          <w:rFonts w:hint="eastAsia"/>
          <w:lang w:eastAsia="zh-CN"/>
        </w:rPr>
        <w:t>2021</w:t>
      </w:r>
      <w:r w:rsidRPr="00390AE4">
        <w:rPr>
          <w:rFonts w:hint="eastAsia"/>
          <w:lang w:eastAsia="zh-CN"/>
        </w:rPr>
        <w:t>年的财务状况</w:t>
      </w:r>
    </w:p>
    <w:p w14:paraId="239E31FC" w14:textId="6355473B" w:rsidR="00390AE4" w:rsidRPr="00390AE4" w:rsidRDefault="00471901" w:rsidP="00187F43">
      <w:pPr>
        <w:pStyle w:val="Figure"/>
        <w:rPr>
          <w:lang w:eastAsia="zh-CN"/>
        </w:rPr>
      </w:pPr>
      <w:r w:rsidRPr="00471901">
        <w:rPr>
          <w:noProof/>
        </w:rPr>
        <w:drawing>
          <wp:inline distT="0" distB="0" distL="0" distR="0" wp14:anchorId="09EBED41" wp14:editId="7E5FC57C">
            <wp:extent cx="5049604" cy="1737442"/>
            <wp:effectExtent l="0" t="0" r="0" b="0"/>
            <wp:docPr id="797361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6165" cy="1743140"/>
                    </a:xfrm>
                    <a:prstGeom prst="rect">
                      <a:avLst/>
                    </a:prstGeom>
                    <a:noFill/>
                    <a:ln>
                      <a:noFill/>
                    </a:ln>
                  </pic:spPr>
                </pic:pic>
              </a:graphicData>
            </a:graphic>
          </wp:inline>
        </w:drawing>
      </w:r>
    </w:p>
    <w:p w14:paraId="06F0679E" w14:textId="698638FF" w:rsidR="00390AE4" w:rsidRPr="00390AE4" w:rsidRDefault="00390AE4" w:rsidP="00B5070D">
      <w:pPr>
        <w:spacing w:before="240"/>
        <w:rPr>
          <w:lang w:eastAsia="zh-CN"/>
        </w:rPr>
      </w:pPr>
      <w:r w:rsidRPr="00390AE4">
        <w:rPr>
          <w:rFonts w:hint="eastAsia"/>
          <w:lang w:eastAsia="zh-CN"/>
        </w:rPr>
        <w:t>6</w:t>
      </w:r>
      <w:r w:rsidRPr="00390AE4">
        <w:rPr>
          <w:lang w:eastAsia="zh-CN"/>
        </w:rPr>
        <w:tab/>
      </w:r>
      <w:r w:rsidRPr="00390AE4">
        <w:rPr>
          <w:rFonts w:hint="eastAsia"/>
          <w:lang w:eastAsia="zh-CN"/>
        </w:rPr>
        <w:t>如上文表</w:t>
      </w:r>
      <w:r w:rsidRPr="00390AE4">
        <w:rPr>
          <w:rFonts w:hint="eastAsia"/>
          <w:lang w:eastAsia="zh-CN"/>
        </w:rPr>
        <w:t>1</w:t>
      </w:r>
      <w:r w:rsidRPr="00390AE4">
        <w:rPr>
          <w:rFonts w:hint="eastAsia"/>
          <w:lang w:eastAsia="zh-CN"/>
        </w:rPr>
        <w:t>所示，</w:t>
      </w:r>
      <w:r w:rsidRPr="00390AE4">
        <w:rPr>
          <w:rFonts w:hint="eastAsia"/>
          <w:lang w:eastAsia="zh-CN"/>
        </w:rPr>
        <w:t>2022</w:t>
      </w:r>
      <w:r w:rsidRPr="00390AE4">
        <w:rPr>
          <w:rFonts w:hint="eastAsia"/>
          <w:lang w:eastAsia="zh-CN"/>
        </w:rPr>
        <w:t>年的总体收入比</w:t>
      </w:r>
      <w:r w:rsidRPr="00390AE4">
        <w:rPr>
          <w:rFonts w:hint="eastAsia"/>
          <w:lang w:eastAsia="zh-CN"/>
        </w:rPr>
        <w:t>2021</w:t>
      </w:r>
      <w:r w:rsidRPr="00390AE4">
        <w:rPr>
          <w:rFonts w:hint="eastAsia"/>
          <w:lang w:eastAsia="zh-CN"/>
        </w:rPr>
        <w:t>年减少了</w:t>
      </w:r>
      <w:r w:rsidRPr="00390AE4">
        <w:rPr>
          <w:rFonts w:hint="eastAsia"/>
          <w:lang w:eastAsia="zh-CN"/>
        </w:rPr>
        <w:t>520</w:t>
      </w:r>
      <w:r w:rsidRPr="00390AE4">
        <w:rPr>
          <w:rFonts w:hint="eastAsia"/>
          <w:lang w:eastAsia="zh-CN"/>
        </w:rPr>
        <w:t>万瑞郎。减少的原因是成本回收和财务收入减少了</w:t>
      </w:r>
      <w:r w:rsidRPr="00390AE4">
        <w:rPr>
          <w:rFonts w:hint="eastAsia"/>
          <w:lang w:eastAsia="zh-CN"/>
        </w:rPr>
        <w:t>1</w:t>
      </w:r>
      <w:r w:rsidR="00471901">
        <w:rPr>
          <w:lang w:eastAsia="zh-CN"/>
        </w:rPr>
        <w:t xml:space="preserve"> </w:t>
      </w:r>
      <w:r w:rsidRPr="00390AE4">
        <w:rPr>
          <w:rFonts w:hint="eastAsia"/>
          <w:lang w:eastAsia="zh-CN"/>
        </w:rPr>
        <w:t>100</w:t>
      </w:r>
      <w:r w:rsidRPr="00390AE4">
        <w:rPr>
          <w:rFonts w:hint="eastAsia"/>
          <w:lang w:eastAsia="zh-CN"/>
        </w:rPr>
        <w:t>万瑞郎，但分摊会费和预算外捐款的增加（</w:t>
      </w:r>
      <w:r w:rsidRPr="00390AE4">
        <w:rPr>
          <w:rFonts w:hint="eastAsia"/>
          <w:lang w:eastAsia="zh-CN"/>
        </w:rPr>
        <w:t>580</w:t>
      </w:r>
      <w:r w:rsidRPr="00390AE4">
        <w:rPr>
          <w:rFonts w:hint="eastAsia"/>
          <w:lang w:eastAsia="zh-CN"/>
        </w:rPr>
        <w:t>万瑞郎）抵消了减少的数额。与</w:t>
      </w:r>
      <w:r w:rsidRPr="00390AE4">
        <w:rPr>
          <w:rFonts w:hint="eastAsia"/>
          <w:lang w:eastAsia="zh-CN"/>
        </w:rPr>
        <w:t>2021</w:t>
      </w:r>
      <w:r w:rsidRPr="00390AE4">
        <w:rPr>
          <w:rFonts w:hint="eastAsia"/>
          <w:lang w:eastAsia="zh-CN"/>
        </w:rPr>
        <w:t>年相比，</w:t>
      </w:r>
      <w:r w:rsidRPr="00390AE4">
        <w:rPr>
          <w:rFonts w:hint="eastAsia"/>
          <w:lang w:eastAsia="zh-CN"/>
        </w:rPr>
        <w:t>2022</w:t>
      </w:r>
      <w:r w:rsidRPr="00390AE4">
        <w:rPr>
          <w:rFonts w:hint="eastAsia"/>
          <w:lang w:eastAsia="zh-CN"/>
        </w:rPr>
        <w:t>年的费用也增加了</w:t>
      </w:r>
      <w:r w:rsidRPr="00390AE4">
        <w:rPr>
          <w:rFonts w:hint="eastAsia"/>
          <w:lang w:eastAsia="zh-CN"/>
        </w:rPr>
        <w:t>590</w:t>
      </w:r>
      <w:r w:rsidRPr="00390AE4">
        <w:rPr>
          <w:rFonts w:hint="eastAsia"/>
          <w:lang w:eastAsia="zh-CN"/>
        </w:rPr>
        <w:t>万瑞郎，这主要是由于差旅、员工和其他运营费用的增加。以下各节对收入和支出进行了进一步分析。</w:t>
      </w:r>
    </w:p>
    <w:p w14:paraId="4FC3CE6C" w14:textId="5D458625" w:rsidR="00390AE4" w:rsidRPr="00390AE4" w:rsidRDefault="00390AE4" w:rsidP="00390AE4">
      <w:pPr>
        <w:rPr>
          <w:lang w:eastAsia="zh-CN"/>
        </w:rPr>
      </w:pPr>
      <w:r w:rsidRPr="00390AE4">
        <w:rPr>
          <w:lang w:eastAsia="zh-CN"/>
        </w:rPr>
        <w:t>7</w:t>
      </w:r>
      <w:r w:rsidRPr="00390AE4">
        <w:rPr>
          <w:lang w:eastAsia="zh-CN"/>
        </w:rPr>
        <w:tab/>
      </w:r>
      <w:r w:rsidRPr="00390AE4">
        <w:rPr>
          <w:rFonts w:hint="eastAsia"/>
          <w:lang w:eastAsia="zh-CN"/>
        </w:rPr>
        <w:t>国际电联资产减少了</w:t>
      </w:r>
      <w:r w:rsidRPr="00390AE4">
        <w:rPr>
          <w:rFonts w:hint="eastAsia"/>
          <w:lang w:eastAsia="zh-CN"/>
        </w:rPr>
        <w:t>1</w:t>
      </w:r>
      <w:r w:rsidR="00471901">
        <w:rPr>
          <w:lang w:eastAsia="zh-CN"/>
        </w:rPr>
        <w:t xml:space="preserve"> </w:t>
      </w:r>
      <w:r w:rsidRPr="00390AE4">
        <w:rPr>
          <w:rFonts w:hint="eastAsia"/>
          <w:lang w:eastAsia="zh-CN"/>
        </w:rPr>
        <w:t>970</w:t>
      </w:r>
      <w:r w:rsidRPr="00390AE4">
        <w:rPr>
          <w:rFonts w:hint="eastAsia"/>
          <w:lang w:eastAsia="zh-CN"/>
        </w:rPr>
        <w:t>万瑞郎，这主要是由于现金和现金等价物、投资及应收账款的减少造成的。负债减少了</w:t>
      </w:r>
      <w:r w:rsidRPr="00390AE4">
        <w:rPr>
          <w:rFonts w:hint="eastAsia"/>
          <w:lang w:eastAsia="zh-CN"/>
        </w:rPr>
        <w:t>2.174</w:t>
      </w:r>
      <w:r w:rsidRPr="00390AE4">
        <w:rPr>
          <w:rFonts w:hint="eastAsia"/>
          <w:lang w:eastAsia="zh-CN"/>
        </w:rPr>
        <w:t>亿瑞郎，这是由于贴现率变化造成了离职后健康保险（</w:t>
      </w:r>
      <w:r w:rsidRPr="00390AE4">
        <w:rPr>
          <w:rFonts w:hint="eastAsia"/>
          <w:lang w:eastAsia="zh-CN"/>
        </w:rPr>
        <w:t>ASHI</w:t>
      </w:r>
      <w:r w:rsidRPr="00390AE4">
        <w:rPr>
          <w:rFonts w:hint="eastAsia"/>
          <w:lang w:eastAsia="zh-CN"/>
        </w:rPr>
        <w:t>）基金金额的减少。</w:t>
      </w:r>
    </w:p>
    <w:p w14:paraId="258E1009" w14:textId="722388DB" w:rsidR="00390AE4" w:rsidRPr="00390AE4" w:rsidRDefault="00390AE4" w:rsidP="00390AE4">
      <w:pPr>
        <w:rPr>
          <w:lang w:eastAsia="zh-CN"/>
        </w:rPr>
      </w:pPr>
      <w:r w:rsidRPr="00390AE4">
        <w:rPr>
          <w:rFonts w:hint="eastAsia"/>
          <w:lang w:eastAsia="zh-CN"/>
        </w:rPr>
        <w:lastRenderedPageBreak/>
        <w:t>8</w:t>
      </w:r>
      <w:r w:rsidRPr="00390AE4">
        <w:rPr>
          <w:lang w:eastAsia="zh-CN"/>
        </w:rPr>
        <w:tab/>
      </w:r>
      <w:r w:rsidRPr="00390AE4">
        <w:rPr>
          <w:rFonts w:hint="eastAsia"/>
          <w:lang w:eastAsia="zh-CN"/>
        </w:rPr>
        <w:t>上述</w:t>
      </w:r>
      <w:r w:rsidRPr="00390AE4">
        <w:rPr>
          <w:rFonts w:hint="eastAsia"/>
          <w:lang w:eastAsia="zh-CN"/>
        </w:rPr>
        <w:t>2</w:t>
      </w:r>
      <w:r w:rsidR="00471901">
        <w:rPr>
          <w:lang w:eastAsia="zh-CN"/>
        </w:rPr>
        <w:t xml:space="preserve"> </w:t>
      </w:r>
      <w:r w:rsidRPr="00390AE4">
        <w:rPr>
          <w:rFonts w:hint="eastAsia"/>
          <w:lang w:eastAsia="zh-CN"/>
        </w:rPr>
        <w:t>440</w:t>
      </w:r>
      <w:r w:rsidRPr="00390AE4">
        <w:rPr>
          <w:rFonts w:hint="eastAsia"/>
          <w:lang w:eastAsia="zh-CN"/>
        </w:rPr>
        <w:t>万瑞郎的赤字是整个国际电联组织</w:t>
      </w:r>
      <w:r w:rsidRPr="00390AE4">
        <w:rPr>
          <w:rFonts w:hint="eastAsia"/>
          <w:lang w:eastAsia="zh-CN"/>
        </w:rPr>
        <w:t>2022</w:t>
      </w:r>
      <w:r w:rsidRPr="00390AE4">
        <w:rPr>
          <w:rFonts w:hint="eastAsia"/>
          <w:lang w:eastAsia="zh-CN"/>
        </w:rPr>
        <w:t>年开支超过收入的总额。但是，预算执行赤字为</w:t>
      </w:r>
      <w:r w:rsidRPr="00390AE4">
        <w:rPr>
          <w:rFonts w:hint="eastAsia"/>
          <w:lang w:eastAsia="zh-CN"/>
        </w:rPr>
        <w:t>480</w:t>
      </w:r>
      <w:r w:rsidRPr="00390AE4">
        <w:rPr>
          <w:rFonts w:hint="eastAsia"/>
          <w:lang w:eastAsia="zh-CN"/>
        </w:rPr>
        <w:t>万瑞郎，详情见报表五并在财务报表注</w:t>
      </w:r>
      <w:r w:rsidRPr="00390AE4">
        <w:rPr>
          <w:rFonts w:hint="eastAsia"/>
          <w:lang w:eastAsia="zh-CN"/>
        </w:rPr>
        <w:t>25</w:t>
      </w:r>
      <w:r w:rsidRPr="00390AE4">
        <w:rPr>
          <w:rFonts w:hint="eastAsia"/>
          <w:lang w:eastAsia="zh-CN"/>
        </w:rPr>
        <w:t>中做了进一步说明。下表</w:t>
      </w:r>
      <w:r w:rsidRPr="00390AE4">
        <w:rPr>
          <w:rFonts w:hint="eastAsia"/>
          <w:lang w:eastAsia="zh-CN"/>
        </w:rPr>
        <w:t>2</w:t>
      </w:r>
      <w:r w:rsidRPr="00390AE4">
        <w:rPr>
          <w:rFonts w:hint="eastAsia"/>
          <w:lang w:eastAsia="zh-CN"/>
        </w:rPr>
        <w:t>所示为用储备金和前几年资金节余消除预算赤字的情况。截至</w:t>
      </w:r>
      <w:r w:rsidRPr="00390AE4">
        <w:rPr>
          <w:rFonts w:hint="eastAsia"/>
          <w:lang w:eastAsia="zh-CN"/>
        </w:rPr>
        <w:t>2022</w:t>
      </w:r>
      <w:r w:rsidRPr="00390AE4">
        <w:rPr>
          <w:rFonts w:hint="eastAsia"/>
          <w:lang w:eastAsia="zh-CN"/>
        </w:rPr>
        <w:t>年</w:t>
      </w:r>
      <w:r w:rsidRPr="00390AE4">
        <w:rPr>
          <w:rFonts w:hint="eastAsia"/>
          <w:lang w:eastAsia="zh-CN"/>
        </w:rPr>
        <w:t>12</w:t>
      </w:r>
      <w:r w:rsidRPr="00390AE4">
        <w:rPr>
          <w:rFonts w:hint="eastAsia"/>
          <w:lang w:eastAsia="zh-CN"/>
        </w:rPr>
        <w:t>月</w:t>
      </w:r>
      <w:r w:rsidRPr="00390AE4">
        <w:rPr>
          <w:rFonts w:hint="eastAsia"/>
          <w:lang w:eastAsia="zh-CN"/>
        </w:rPr>
        <w:t>31</w:t>
      </w:r>
      <w:r w:rsidRPr="00390AE4">
        <w:rPr>
          <w:rFonts w:hint="eastAsia"/>
          <w:lang w:eastAsia="zh-CN"/>
        </w:rPr>
        <w:t>日，储备金余额为</w:t>
      </w:r>
      <w:r w:rsidRPr="00390AE4">
        <w:rPr>
          <w:rFonts w:hint="eastAsia"/>
          <w:lang w:eastAsia="zh-CN"/>
        </w:rPr>
        <w:t>2 840</w:t>
      </w:r>
      <w:r w:rsidRPr="00390AE4">
        <w:rPr>
          <w:rFonts w:hint="eastAsia"/>
          <w:lang w:eastAsia="zh-CN"/>
        </w:rPr>
        <w:t>万瑞郎。</w:t>
      </w:r>
    </w:p>
    <w:p w14:paraId="5609DDDE" w14:textId="77777777" w:rsidR="00390AE4" w:rsidRPr="00390AE4" w:rsidRDefault="00390AE4" w:rsidP="00471901">
      <w:pPr>
        <w:pStyle w:val="Tabletitle"/>
        <w:rPr>
          <w:lang w:eastAsia="zh-CN"/>
        </w:rPr>
      </w:pPr>
      <w:bookmarkStart w:id="22" w:name="_Hlk130992369"/>
      <w:bookmarkStart w:id="23" w:name="_Hlk39136047"/>
      <w:bookmarkStart w:id="24" w:name="_Hlk39136102"/>
      <w:r w:rsidRPr="00390AE4">
        <w:rPr>
          <w:rFonts w:hint="eastAsia"/>
          <w:lang w:eastAsia="zh-CN"/>
        </w:rPr>
        <w:t>表</w:t>
      </w:r>
      <w:r w:rsidRPr="00390AE4">
        <w:rPr>
          <w:rFonts w:hint="eastAsia"/>
          <w:lang w:eastAsia="zh-CN"/>
        </w:rPr>
        <w:t xml:space="preserve">2 </w:t>
      </w:r>
      <w:r w:rsidRPr="00390AE4">
        <w:rPr>
          <w:lang w:eastAsia="zh-CN"/>
        </w:rPr>
        <w:t>–</w:t>
      </w:r>
      <w:r w:rsidRPr="00390AE4">
        <w:rPr>
          <w:rFonts w:hint="eastAsia"/>
          <w:lang w:eastAsia="zh-CN"/>
        </w:rPr>
        <w:t xml:space="preserve"> 2022</w:t>
      </w:r>
      <w:r w:rsidRPr="00390AE4">
        <w:rPr>
          <w:rFonts w:hint="eastAsia"/>
          <w:lang w:eastAsia="zh-CN"/>
        </w:rPr>
        <w:t>年预算的融资</w:t>
      </w:r>
    </w:p>
    <w:p w14:paraId="53917B1E" w14:textId="05542203" w:rsidR="00390AE4" w:rsidRPr="00390AE4" w:rsidRDefault="00590F1D" w:rsidP="00187F43">
      <w:pPr>
        <w:pStyle w:val="Figure"/>
        <w:rPr>
          <w:lang w:eastAsia="zh-CN"/>
        </w:rPr>
      </w:pPr>
      <w:r w:rsidRPr="00590F1D">
        <w:rPr>
          <w:noProof/>
        </w:rPr>
        <w:drawing>
          <wp:inline distT="0" distB="0" distL="0" distR="0" wp14:anchorId="6D8A2926" wp14:editId="5ECD9C81">
            <wp:extent cx="4333461" cy="3521307"/>
            <wp:effectExtent l="0" t="0" r="0" b="3175"/>
            <wp:docPr id="8973490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8567" cy="3525456"/>
                    </a:xfrm>
                    <a:prstGeom prst="rect">
                      <a:avLst/>
                    </a:prstGeom>
                    <a:noFill/>
                    <a:ln>
                      <a:noFill/>
                    </a:ln>
                  </pic:spPr>
                </pic:pic>
              </a:graphicData>
            </a:graphic>
          </wp:inline>
        </w:drawing>
      </w:r>
    </w:p>
    <w:p w14:paraId="4FB9765F" w14:textId="77777777" w:rsidR="00390AE4" w:rsidRPr="00471901" w:rsidRDefault="00390AE4" w:rsidP="00C80556">
      <w:pPr>
        <w:pStyle w:val="Headingb"/>
        <w:spacing w:before="600"/>
        <w:rPr>
          <w:b w:val="0"/>
          <w:bCs/>
          <w:sz w:val="28"/>
          <w:szCs w:val="28"/>
          <w:lang w:eastAsia="zh-CN"/>
        </w:rPr>
      </w:pPr>
      <w:r w:rsidRPr="00471901">
        <w:rPr>
          <w:rFonts w:hint="eastAsia"/>
          <w:bCs/>
          <w:sz w:val="28"/>
          <w:szCs w:val="28"/>
          <w:lang w:eastAsia="zh-CN"/>
        </w:rPr>
        <w:t>财务业绩</w:t>
      </w:r>
    </w:p>
    <w:p w14:paraId="18FEFE2B" w14:textId="77777777" w:rsidR="00390AE4" w:rsidRPr="00390AE4" w:rsidRDefault="00390AE4" w:rsidP="00471901">
      <w:pPr>
        <w:pStyle w:val="Headingb"/>
        <w:rPr>
          <w:lang w:eastAsia="zh-CN"/>
        </w:rPr>
      </w:pPr>
      <w:r w:rsidRPr="00390AE4">
        <w:rPr>
          <w:rFonts w:hint="eastAsia"/>
          <w:lang w:eastAsia="zh-CN"/>
        </w:rPr>
        <w:t>收入</w:t>
      </w:r>
    </w:p>
    <w:bookmarkEnd w:id="22"/>
    <w:p w14:paraId="0969816E" w14:textId="77777777" w:rsidR="00390AE4" w:rsidRPr="00390AE4" w:rsidRDefault="00390AE4" w:rsidP="00390AE4">
      <w:pPr>
        <w:rPr>
          <w:lang w:eastAsia="zh-CN"/>
        </w:rPr>
      </w:pPr>
      <w:r w:rsidRPr="00390AE4">
        <w:rPr>
          <w:lang w:eastAsia="zh-CN"/>
        </w:rPr>
        <w:t>9</w:t>
      </w:r>
      <w:r w:rsidRPr="00390AE4">
        <w:rPr>
          <w:lang w:eastAsia="zh-CN"/>
        </w:rPr>
        <w:tab/>
      </w:r>
      <w:r w:rsidRPr="00390AE4">
        <w:rPr>
          <w:rFonts w:hint="eastAsia"/>
          <w:lang w:eastAsia="zh-CN"/>
        </w:rPr>
        <w:t>2022</w:t>
      </w:r>
      <w:r w:rsidRPr="00390AE4">
        <w:rPr>
          <w:rFonts w:hint="eastAsia"/>
          <w:lang w:eastAsia="zh-CN"/>
        </w:rPr>
        <w:t>年，国际电联收入达</w:t>
      </w:r>
      <w:r w:rsidRPr="00390AE4">
        <w:rPr>
          <w:rFonts w:hint="eastAsia"/>
          <w:lang w:eastAsia="zh-CN"/>
        </w:rPr>
        <w:t>1.724</w:t>
      </w:r>
      <w:r w:rsidRPr="00390AE4">
        <w:rPr>
          <w:rFonts w:hint="eastAsia"/>
          <w:lang w:eastAsia="zh-CN"/>
        </w:rPr>
        <w:t>亿瑞郎（</w:t>
      </w:r>
      <w:r w:rsidRPr="00390AE4">
        <w:rPr>
          <w:rFonts w:hint="eastAsia"/>
          <w:lang w:eastAsia="zh-CN"/>
        </w:rPr>
        <w:t>2021</w:t>
      </w:r>
      <w:r w:rsidRPr="00390AE4">
        <w:rPr>
          <w:rFonts w:hint="eastAsia"/>
          <w:lang w:eastAsia="zh-CN"/>
        </w:rPr>
        <w:t>年为</w:t>
      </w:r>
      <w:r w:rsidRPr="00390AE4">
        <w:rPr>
          <w:rFonts w:hint="eastAsia"/>
          <w:lang w:eastAsia="zh-CN"/>
        </w:rPr>
        <w:t>1.776</w:t>
      </w:r>
      <w:r w:rsidRPr="00390AE4">
        <w:rPr>
          <w:rFonts w:hint="eastAsia"/>
          <w:lang w:eastAsia="zh-CN"/>
        </w:rPr>
        <w:t>亿瑞郎）。下表</w:t>
      </w:r>
      <w:r w:rsidRPr="00390AE4">
        <w:rPr>
          <w:rFonts w:hint="eastAsia"/>
          <w:lang w:eastAsia="zh-CN"/>
        </w:rPr>
        <w:t>3</w:t>
      </w:r>
      <w:r w:rsidRPr="00390AE4">
        <w:rPr>
          <w:rFonts w:hint="eastAsia"/>
          <w:lang w:eastAsia="zh-CN"/>
        </w:rPr>
        <w:t>显示了</w:t>
      </w:r>
      <w:r w:rsidRPr="00390AE4">
        <w:rPr>
          <w:rFonts w:hint="eastAsia"/>
          <w:lang w:eastAsia="zh-CN"/>
        </w:rPr>
        <w:t>2022</w:t>
      </w:r>
      <w:r w:rsidRPr="00390AE4">
        <w:rPr>
          <w:rFonts w:hint="eastAsia"/>
          <w:lang w:eastAsia="zh-CN"/>
        </w:rPr>
        <w:t>年和</w:t>
      </w:r>
      <w:r w:rsidRPr="00390AE4">
        <w:rPr>
          <w:rFonts w:hint="eastAsia"/>
          <w:lang w:eastAsia="zh-CN"/>
        </w:rPr>
        <w:t>2021</w:t>
      </w:r>
      <w:r w:rsidRPr="00390AE4">
        <w:rPr>
          <w:rFonts w:hint="eastAsia"/>
          <w:lang w:eastAsia="zh-CN"/>
        </w:rPr>
        <w:t>年的主要收入来源。分摊会费和自愿捐款的收入增加了</w:t>
      </w:r>
      <w:r w:rsidRPr="00390AE4">
        <w:rPr>
          <w:rFonts w:hint="eastAsia"/>
          <w:lang w:eastAsia="zh-CN"/>
        </w:rPr>
        <w:t>580</w:t>
      </w:r>
      <w:r w:rsidRPr="00390AE4">
        <w:rPr>
          <w:rFonts w:hint="eastAsia"/>
          <w:lang w:eastAsia="zh-CN"/>
        </w:rPr>
        <w:t>万瑞郎。出版物和卫星网络申报资料减少了</w:t>
      </w:r>
      <w:r w:rsidRPr="00390AE4">
        <w:rPr>
          <w:rFonts w:hint="eastAsia"/>
          <w:lang w:eastAsia="zh-CN"/>
        </w:rPr>
        <w:t>580</w:t>
      </w:r>
      <w:r w:rsidRPr="00390AE4">
        <w:rPr>
          <w:rFonts w:hint="eastAsia"/>
          <w:lang w:eastAsia="zh-CN"/>
        </w:rPr>
        <w:t>万瑞郎，影响到已批准的国际电联</w:t>
      </w:r>
      <w:r w:rsidRPr="00390AE4">
        <w:rPr>
          <w:rFonts w:hint="eastAsia"/>
          <w:lang w:eastAsia="zh-CN"/>
        </w:rPr>
        <w:t>2022-2023</w:t>
      </w:r>
      <w:r w:rsidRPr="00390AE4">
        <w:rPr>
          <w:rFonts w:hint="eastAsia"/>
          <w:lang w:eastAsia="zh-CN"/>
        </w:rPr>
        <w:t>年预算的执行。其它收入减少了</w:t>
      </w:r>
      <w:r w:rsidRPr="00390AE4">
        <w:rPr>
          <w:rFonts w:hint="eastAsia"/>
          <w:lang w:eastAsia="zh-CN"/>
        </w:rPr>
        <w:t>520</w:t>
      </w:r>
      <w:r w:rsidRPr="00390AE4">
        <w:rPr>
          <w:rFonts w:hint="eastAsia"/>
          <w:lang w:eastAsia="zh-CN"/>
        </w:rPr>
        <w:t>万瑞郎，主要原因是正常预算的资金列账发生了变化。</w:t>
      </w:r>
    </w:p>
    <w:p w14:paraId="2F970937" w14:textId="46EC98E8" w:rsidR="00390AE4" w:rsidRPr="00390AE4" w:rsidRDefault="00390AE4" w:rsidP="00471901">
      <w:pPr>
        <w:pStyle w:val="Tabletitle"/>
      </w:pPr>
      <w:r w:rsidRPr="00390AE4">
        <w:rPr>
          <w:rFonts w:hint="eastAsia"/>
        </w:rPr>
        <w:lastRenderedPageBreak/>
        <w:t>表</w:t>
      </w:r>
      <w:r w:rsidRPr="00390AE4">
        <w:rPr>
          <w:rFonts w:hint="eastAsia"/>
        </w:rPr>
        <w:t xml:space="preserve">3 </w:t>
      </w:r>
      <w:r w:rsidRPr="00390AE4">
        <w:t>–</w:t>
      </w:r>
      <w:r w:rsidRPr="00390AE4">
        <w:rPr>
          <w:rFonts w:hint="eastAsia"/>
        </w:rPr>
        <w:t xml:space="preserve"> 2022</w:t>
      </w:r>
      <w:proofErr w:type="spellStart"/>
      <w:r w:rsidRPr="00390AE4">
        <w:rPr>
          <w:rFonts w:hint="eastAsia"/>
        </w:rPr>
        <w:t>年和</w:t>
      </w:r>
      <w:proofErr w:type="spellEnd"/>
      <w:r w:rsidRPr="00390AE4">
        <w:rPr>
          <w:rFonts w:hint="eastAsia"/>
        </w:rPr>
        <w:t>2021</w:t>
      </w:r>
      <w:proofErr w:type="spellStart"/>
      <w:r w:rsidRPr="00390AE4">
        <w:rPr>
          <w:rFonts w:hint="eastAsia"/>
        </w:rPr>
        <w:t>年的收入来源</w:t>
      </w:r>
      <w:proofErr w:type="spellEnd"/>
    </w:p>
    <w:p w14:paraId="50495BEB" w14:textId="51C8CAD3" w:rsidR="00390AE4" w:rsidRPr="00390AE4" w:rsidRDefault="000F4DE1" w:rsidP="00590F1D">
      <w:pPr>
        <w:pStyle w:val="Figure"/>
        <w:rPr>
          <w:lang w:eastAsia="zh-CN"/>
        </w:rPr>
      </w:pPr>
      <w:r w:rsidRPr="000F4DE1">
        <w:rPr>
          <w:noProof/>
        </w:rPr>
        <w:drawing>
          <wp:inline distT="0" distB="0" distL="0" distR="0" wp14:anchorId="4747C46C" wp14:editId="71666742">
            <wp:extent cx="5520690" cy="2449830"/>
            <wp:effectExtent l="0" t="0" r="3810" b="7620"/>
            <wp:docPr id="13897601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0690" cy="2449830"/>
                    </a:xfrm>
                    <a:prstGeom prst="rect">
                      <a:avLst/>
                    </a:prstGeom>
                    <a:noFill/>
                    <a:ln>
                      <a:noFill/>
                    </a:ln>
                  </pic:spPr>
                </pic:pic>
              </a:graphicData>
            </a:graphic>
          </wp:inline>
        </w:drawing>
      </w:r>
    </w:p>
    <w:p w14:paraId="69A25944" w14:textId="77CF2466" w:rsidR="00390AE4" w:rsidRPr="008A42FE" w:rsidRDefault="00390AE4" w:rsidP="00152A6A">
      <w:pPr>
        <w:pStyle w:val="Figuretitle"/>
        <w:spacing w:before="600"/>
      </w:pPr>
      <w:r w:rsidRPr="00390AE4">
        <w:rPr>
          <w:rFonts w:hint="eastAsia"/>
        </w:rPr>
        <w:t>图</w:t>
      </w:r>
      <w:r w:rsidRPr="00390AE4">
        <w:rPr>
          <w:rFonts w:hint="eastAsia"/>
        </w:rPr>
        <w:t>1</w:t>
      </w:r>
      <w:r w:rsidRPr="008A42FE">
        <w:rPr>
          <w:rFonts w:asciiTheme="minorHAnsi" w:hAnsiTheme="minorHAnsi" w:cstheme="minorHAnsi"/>
        </w:rPr>
        <w:t xml:space="preserve"> –</w:t>
      </w:r>
      <w:r w:rsidRPr="00390AE4">
        <w:rPr>
          <w:rFonts w:hint="eastAsia"/>
        </w:rPr>
        <w:t xml:space="preserve"> 2022</w:t>
      </w:r>
      <w:r w:rsidRPr="00390AE4">
        <w:rPr>
          <w:rFonts w:hint="eastAsia"/>
        </w:rPr>
        <w:t>年收入分析细分</w:t>
      </w:r>
    </w:p>
    <w:p w14:paraId="4F508EC8" w14:textId="42D83BDE" w:rsidR="008A42FE" w:rsidRDefault="008A42FE" w:rsidP="00590F1D">
      <w:pPr>
        <w:pStyle w:val="Figure"/>
        <w:rPr>
          <w:lang w:eastAsia="zh-CN"/>
        </w:rPr>
      </w:pPr>
      <w:bookmarkStart w:id="25" w:name="_Hlk39136284"/>
      <w:bookmarkEnd w:id="23"/>
      <w:bookmarkEnd w:id="24"/>
      <w:r>
        <w:rPr>
          <w:noProof/>
          <w:lang w:eastAsia="zh-CN"/>
        </w:rPr>
        <w:drawing>
          <wp:inline distT="0" distB="0" distL="0" distR="0" wp14:anchorId="07A1616F" wp14:editId="509607F7">
            <wp:extent cx="5016914" cy="2875836"/>
            <wp:effectExtent l="0" t="0" r="0" b="1270"/>
            <wp:docPr id="13433239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4325" cy="2908745"/>
                    </a:xfrm>
                    <a:prstGeom prst="rect">
                      <a:avLst/>
                    </a:prstGeom>
                    <a:noFill/>
                  </pic:spPr>
                </pic:pic>
              </a:graphicData>
            </a:graphic>
          </wp:inline>
        </w:drawing>
      </w:r>
    </w:p>
    <w:p w14:paraId="14477BB8" w14:textId="62192E92" w:rsidR="00390AE4" w:rsidRPr="00390AE4" w:rsidRDefault="008A42FE" w:rsidP="000A616D">
      <w:pPr>
        <w:spacing w:before="240"/>
        <w:rPr>
          <w:lang w:eastAsia="zh-CN"/>
        </w:rPr>
      </w:pPr>
      <w:r>
        <w:rPr>
          <w:rFonts w:hint="eastAsia"/>
          <w:lang w:eastAsia="zh-CN"/>
        </w:rPr>
        <w:t>1</w:t>
      </w:r>
      <w:r>
        <w:rPr>
          <w:lang w:eastAsia="zh-CN"/>
        </w:rPr>
        <w:t>0</w:t>
      </w:r>
      <w:r>
        <w:rPr>
          <w:lang w:eastAsia="zh-CN"/>
        </w:rPr>
        <w:tab/>
      </w:r>
      <w:r w:rsidR="00390AE4" w:rsidRPr="00390AE4">
        <w:rPr>
          <w:rFonts w:hint="eastAsia"/>
          <w:lang w:eastAsia="zh-CN"/>
        </w:rPr>
        <w:t>从上面图</w:t>
      </w:r>
      <w:r w:rsidR="00390AE4" w:rsidRPr="00390AE4">
        <w:rPr>
          <w:rFonts w:hint="eastAsia"/>
          <w:lang w:eastAsia="zh-CN"/>
        </w:rPr>
        <w:t>1</w:t>
      </w:r>
      <w:r w:rsidR="00390AE4" w:rsidRPr="00390AE4">
        <w:rPr>
          <w:rFonts w:hint="eastAsia"/>
          <w:lang w:eastAsia="zh-CN"/>
        </w:rPr>
        <w:t>可以看出，收入的主要来源来自分摊会费，占比为</w:t>
      </w:r>
      <w:r w:rsidR="00390AE4" w:rsidRPr="00390AE4">
        <w:rPr>
          <w:rFonts w:hint="eastAsia"/>
          <w:lang w:eastAsia="zh-CN"/>
        </w:rPr>
        <w:t>74%</w:t>
      </w:r>
      <w:r w:rsidR="00390AE4" w:rsidRPr="00390AE4">
        <w:rPr>
          <w:rFonts w:hint="eastAsia"/>
          <w:lang w:eastAsia="zh-CN"/>
        </w:rPr>
        <w:t>，其次是占</w:t>
      </w:r>
      <w:r w:rsidR="00390AE4" w:rsidRPr="00390AE4">
        <w:rPr>
          <w:rFonts w:hint="eastAsia"/>
          <w:lang w:eastAsia="zh-CN"/>
        </w:rPr>
        <w:t>16%</w:t>
      </w:r>
      <w:r w:rsidR="00390AE4" w:rsidRPr="00390AE4">
        <w:rPr>
          <w:rFonts w:hint="eastAsia"/>
          <w:lang w:eastAsia="zh-CN"/>
        </w:rPr>
        <w:t>的成本回收收入，主要包括出版物销售和卫星网络申报资料（</w:t>
      </w:r>
      <w:r w:rsidR="00390AE4" w:rsidRPr="00390AE4">
        <w:rPr>
          <w:rFonts w:hint="eastAsia"/>
          <w:lang w:eastAsia="zh-CN"/>
        </w:rPr>
        <w:t>SNF</w:t>
      </w:r>
      <w:r w:rsidR="00390AE4" w:rsidRPr="00390AE4">
        <w:rPr>
          <w:rFonts w:hint="eastAsia"/>
          <w:lang w:eastAsia="zh-CN"/>
        </w:rPr>
        <w:t>）。</w:t>
      </w:r>
    </w:p>
    <w:p w14:paraId="1561F88B" w14:textId="133D07F6" w:rsidR="00390AE4" w:rsidRPr="00390AE4" w:rsidRDefault="008A42FE" w:rsidP="00390AE4">
      <w:pPr>
        <w:rPr>
          <w:lang w:eastAsia="zh-CN"/>
        </w:rPr>
      </w:pPr>
      <w:r>
        <w:rPr>
          <w:lang w:eastAsia="zh-CN"/>
        </w:rPr>
        <w:t>11</w:t>
      </w:r>
      <w:r>
        <w:rPr>
          <w:lang w:eastAsia="zh-CN"/>
        </w:rPr>
        <w:tab/>
      </w:r>
      <w:r w:rsidR="00390AE4" w:rsidRPr="00390AE4">
        <w:rPr>
          <w:rFonts w:hint="eastAsia"/>
          <w:lang w:eastAsia="zh-CN"/>
        </w:rPr>
        <w:t>2022</w:t>
      </w:r>
      <w:r w:rsidR="00390AE4" w:rsidRPr="00390AE4">
        <w:rPr>
          <w:rFonts w:hint="eastAsia"/>
          <w:lang w:eastAsia="zh-CN"/>
        </w:rPr>
        <w:t>年确认的信托基金捐款（表</w:t>
      </w:r>
      <w:r w:rsidR="00390AE4" w:rsidRPr="00390AE4">
        <w:rPr>
          <w:rFonts w:hint="eastAsia"/>
          <w:lang w:eastAsia="zh-CN"/>
        </w:rPr>
        <w:t>3</w:t>
      </w:r>
      <w:r w:rsidR="00390AE4" w:rsidRPr="00390AE4">
        <w:rPr>
          <w:rFonts w:hint="eastAsia"/>
          <w:lang w:eastAsia="zh-CN"/>
        </w:rPr>
        <w:t>中记入预算外捐款）为</w:t>
      </w:r>
      <w:r w:rsidR="00390AE4" w:rsidRPr="00390AE4">
        <w:rPr>
          <w:rFonts w:hint="eastAsia"/>
          <w:lang w:eastAsia="zh-CN"/>
        </w:rPr>
        <w:t>1 400</w:t>
      </w:r>
      <w:r w:rsidR="00390AE4" w:rsidRPr="00390AE4">
        <w:rPr>
          <w:rFonts w:hint="eastAsia"/>
          <w:lang w:eastAsia="zh-CN"/>
        </w:rPr>
        <w:t>万瑞郎（</w:t>
      </w:r>
      <w:r w:rsidR="00390AE4" w:rsidRPr="00390AE4">
        <w:rPr>
          <w:rFonts w:hint="eastAsia"/>
          <w:lang w:eastAsia="zh-CN"/>
        </w:rPr>
        <w:t>2021</w:t>
      </w:r>
      <w:r w:rsidR="00390AE4" w:rsidRPr="00390AE4">
        <w:rPr>
          <w:rFonts w:hint="eastAsia"/>
          <w:lang w:eastAsia="zh-CN"/>
        </w:rPr>
        <w:t>年为</w:t>
      </w:r>
      <w:r w:rsidR="00390AE4" w:rsidRPr="00390AE4">
        <w:rPr>
          <w:rFonts w:hint="eastAsia"/>
          <w:lang w:eastAsia="zh-CN"/>
        </w:rPr>
        <w:t>1 130</w:t>
      </w:r>
      <w:r w:rsidR="00390AE4" w:rsidRPr="00390AE4">
        <w:rPr>
          <w:rFonts w:hint="eastAsia"/>
          <w:lang w:eastAsia="zh-CN"/>
        </w:rPr>
        <w:t>万瑞郎）。增加的原因是与</w:t>
      </w:r>
      <w:r w:rsidR="00390AE4" w:rsidRPr="00390AE4">
        <w:rPr>
          <w:rFonts w:hint="eastAsia"/>
          <w:lang w:eastAsia="zh-CN"/>
        </w:rPr>
        <w:t>2021</w:t>
      </w:r>
      <w:r w:rsidR="00390AE4" w:rsidRPr="00390AE4">
        <w:rPr>
          <w:rFonts w:hint="eastAsia"/>
          <w:lang w:eastAsia="zh-CN"/>
        </w:rPr>
        <w:t>年相比，</w:t>
      </w:r>
      <w:r w:rsidR="00390AE4" w:rsidRPr="00390AE4">
        <w:rPr>
          <w:rFonts w:hint="eastAsia"/>
          <w:lang w:eastAsia="zh-CN"/>
        </w:rPr>
        <w:t>2022</w:t>
      </w:r>
      <w:r w:rsidR="00390AE4" w:rsidRPr="00390AE4">
        <w:rPr>
          <w:rFonts w:hint="eastAsia"/>
          <w:lang w:eastAsia="zh-CN"/>
        </w:rPr>
        <w:t>年信托基金的执行率有所提高。</w:t>
      </w:r>
    </w:p>
    <w:p w14:paraId="6A88B6E6" w14:textId="5C9AE54C" w:rsidR="00390AE4" w:rsidRPr="00390AE4" w:rsidRDefault="008A42FE" w:rsidP="00390AE4">
      <w:pPr>
        <w:rPr>
          <w:lang w:eastAsia="zh-CN"/>
        </w:rPr>
      </w:pPr>
      <w:r>
        <w:rPr>
          <w:lang w:eastAsia="zh-CN"/>
        </w:rPr>
        <w:t>12</w:t>
      </w:r>
      <w:r>
        <w:rPr>
          <w:lang w:eastAsia="zh-CN"/>
        </w:rPr>
        <w:tab/>
      </w:r>
      <w:r w:rsidR="00390AE4" w:rsidRPr="00390AE4">
        <w:rPr>
          <w:rFonts w:hint="eastAsia"/>
          <w:lang w:eastAsia="zh-CN"/>
        </w:rPr>
        <w:t>表</w:t>
      </w:r>
      <w:r w:rsidR="00390AE4" w:rsidRPr="00390AE4">
        <w:rPr>
          <w:rFonts w:hint="eastAsia"/>
          <w:lang w:eastAsia="zh-CN"/>
        </w:rPr>
        <w:t>3</w:t>
      </w:r>
      <w:r w:rsidR="00390AE4" w:rsidRPr="00390AE4">
        <w:rPr>
          <w:rFonts w:hint="eastAsia"/>
          <w:lang w:eastAsia="zh-CN"/>
        </w:rPr>
        <w:t>中自愿捐款记入预算外捐款，</w:t>
      </w:r>
      <w:r w:rsidR="00390AE4" w:rsidRPr="00390AE4">
        <w:rPr>
          <w:rFonts w:hint="eastAsia"/>
          <w:lang w:eastAsia="zh-CN"/>
        </w:rPr>
        <w:t>2022</w:t>
      </w:r>
      <w:r w:rsidR="00390AE4" w:rsidRPr="00390AE4">
        <w:rPr>
          <w:rFonts w:hint="eastAsia"/>
          <w:lang w:eastAsia="zh-CN"/>
        </w:rPr>
        <w:t>年为</w:t>
      </w:r>
      <w:r w:rsidR="00390AE4" w:rsidRPr="00390AE4">
        <w:rPr>
          <w:rFonts w:hint="eastAsia"/>
          <w:lang w:eastAsia="zh-CN"/>
        </w:rPr>
        <w:t>400</w:t>
      </w:r>
      <w:r w:rsidR="00390AE4" w:rsidRPr="00390AE4">
        <w:rPr>
          <w:rFonts w:hint="eastAsia"/>
          <w:lang w:eastAsia="zh-CN"/>
        </w:rPr>
        <w:t>万瑞郎，</w:t>
      </w:r>
      <w:r w:rsidR="00390AE4" w:rsidRPr="00390AE4">
        <w:rPr>
          <w:rFonts w:hint="eastAsia"/>
          <w:lang w:eastAsia="zh-CN"/>
        </w:rPr>
        <w:t>2021</w:t>
      </w:r>
      <w:r w:rsidR="00390AE4" w:rsidRPr="00390AE4">
        <w:rPr>
          <w:rFonts w:hint="eastAsia"/>
          <w:lang w:eastAsia="zh-CN"/>
        </w:rPr>
        <w:t>年为</w:t>
      </w:r>
      <w:r w:rsidR="00390AE4" w:rsidRPr="00390AE4">
        <w:rPr>
          <w:rFonts w:hint="eastAsia"/>
          <w:lang w:eastAsia="zh-CN"/>
        </w:rPr>
        <w:t>290</w:t>
      </w:r>
      <w:r w:rsidR="00390AE4" w:rsidRPr="00390AE4">
        <w:rPr>
          <w:rFonts w:hint="eastAsia"/>
          <w:lang w:eastAsia="zh-CN"/>
        </w:rPr>
        <w:t>万瑞郎。有关预算外活动的更详细信息见</w:t>
      </w:r>
      <w:hyperlink r:id="rId13" w:history="1">
        <w:r w:rsidRPr="00E52A4A">
          <w:rPr>
            <w:rStyle w:val="Hyperlink"/>
            <w:lang w:eastAsia="zh-CN"/>
          </w:rPr>
          <w:t>C23 INF/1</w:t>
        </w:r>
        <w:r>
          <w:rPr>
            <w:rStyle w:val="Hyperlink"/>
            <w:lang w:eastAsia="zh-CN"/>
          </w:rPr>
          <w:t>2</w:t>
        </w:r>
        <w:r>
          <w:rPr>
            <w:rStyle w:val="Hyperlink"/>
            <w:rFonts w:hint="eastAsia"/>
            <w:lang w:eastAsia="zh-CN"/>
          </w:rPr>
          <w:t>号文件</w:t>
        </w:r>
      </w:hyperlink>
      <w:r w:rsidR="00390AE4" w:rsidRPr="00390AE4">
        <w:rPr>
          <w:rFonts w:hint="eastAsia"/>
          <w:lang w:eastAsia="zh-CN"/>
        </w:rPr>
        <w:t>。</w:t>
      </w:r>
    </w:p>
    <w:p w14:paraId="61268EEB" w14:textId="0448F306" w:rsidR="00390AE4" w:rsidRPr="00390AE4" w:rsidRDefault="008A42FE" w:rsidP="00390AE4">
      <w:pPr>
        <w:rPr>
          <w:lang w:eastAsia="zh-CN"/>
        </w:rPr>
      </w:pPr>
      <w:r>
        <w:rPr>
          <w:rFonts w:hint="eastAsia"/>
          <w:lang w:eastAsia="zh-CN"/>
        </w:rPr>
        <w:t>1</w:t>
      </w:r>
      <w:r>
        <w:rPr>
          <w:lang w:eastAsia="zh-CN"/>
        </w:rPr>
        <w:t>3</w:t>
      </w:r>
      <w:r>
        <w:rPr>
          <w:lang w:eastAsia="zh-CN"/>
        </w:rPr>
        <w:tab/>
      </w:r>
      <w:r w:rsidR="00390AE4" w:rsidRPr="00390AE4">
        <w:rPr>
          <w:rFonts w:hint="eastAsia"/>
          <w:lang w:eastAsia="zh-CN"/>
        </w:rPr>
        <w:t>信托基金（</w:t>
      </w:r>
      <w:r w:rsidR="00390AE4" w:rsidRPr="00390AE4">
        <w:rPr>
          <w:rFonts w:hint="eastAsia"/>
          <w:lang w:eastAsia="zh-CN"/>
        </w:rPr>
        <w:t>FIT</w:t>
      </w:r>
      <w:r w:rsidR="00390AE4" w:rsidRPr="00390AE4">
        <w:rPr>
          <w:rFonts w:hint="eastAsia"/>
          <w:lang w:eastAsia="zh-CN"/>
        </w:rPr>
        <w:t>）项目的实施在</w:t>
      </w:r>
      <w:r w:rsidR="00390AE4" w:rsidRPr="00390AE4">
        <w:rPr>
          <w:rFonts w:hint="eastAsia"/>
          <w:lang w:eastAsia="zh-CN"/>
        </w:rPr>
        <w:t>2022</w:t>
      </w:r>
      <w:r w:rsidR="00390AE4" w:rsidRPr="00390AE4">
        <w:rPr>
          <w:rFonts w:hint="eastAsia"/>
          <w:lang w:eastAsia="zh-CN"/>
        </w:rPr>
        <w:t>年生成支持费用收入</w:t>
      </w:r>
      <w:r w:rsidR="00390AE4" w:rsidRPr="00390AE4">
        <w:rPr>
          <w:rFonts w:hint="eastAsia"/>
          <w:lang w:eastAsia="zh-CN"/>
        </w:rPr>
        <w:t>941</w:t>
      </w:r>
      <w:r w:rsidR="006F051D">
        <w:rPr>
          <w:lang w:eastAsia="zh-CN"/>
        </w:rPr>
        <w:t xml:space="preserve"> </w:t>
      </w:r>
      <w:r w:rsidR="00390AE4" w:rsidRPr="00390AE4">
        <w:rPr>
          <w:rFonts w:hint="eastAsia"/>
          <w:lang w:eastAsia="zh-CN"/>
        </w:rPr>
        <w:t>000</w:t>
      </w:r>
      <w:r w:rsidR="00390AE4" w:rsidRPr="00390AE4">
        <w:rPr>
          <w:rFonts w:hint="eastAsia"/>
          <w:lang w:eastAsia="zh-CN"/>
        </w:rPr>
        <w:t>瑞郎（</w:t>
      </w:r>
      <w:r w:rsidR="00390AE4" w:rsidRPr="00390AE4">
        <w:rPr>
          <w:rFonts w:hint="eastAsia"/>
          <w:lang w:eastAsia="zh-CN"/>
        </w:rPr>
        <w:t>2021</w:t>
      </w:r>
      <w:r w:rsidR="00390AE4" w:rsidRPr="00390AE4">
        <w:rPr>
          <w:rFonts w:hint="eastAsia"/>
          <w:lang w:eastAsia="zh-CN"/>
        </w:rPr>
        <w:t>年为</w:t>
      </w:r>
      <w:r w:rsidR="00390AE4" w:rsidRPr="00390AE4">
        <w:rPr>
          <w:rFonts w:hint="eastAsia"/>
          <w:lang w:eastAsia="zh-CN"/>
        </w:rPr>
        <w:t>724</w:t>
      </w:r>
      <w:r w:rsidR="006F051D">
        <w:rPr>
          <w:lang w:eastAsia="zh-CN"/>
        </w:rPr>
        <w:t xml:space="preserve"> </w:t>
      </w:r>
      <w:r w:rsidR="00390AE4" w:rsidRPr="00390AE4">
        <w:rPr>
          <w:rFonts w:hint="eastAsia"/>
          <w:lang w:eastAsia="zh-CN"/>
        </w:rPr>
        <w:t>000</w:t>
      </w:r>
      <w:r w:rsidR="00390AE4" w:rsidRPr="00390AE4">
        <w:rPr>
          <w:rFonts w:hint="eastAsia"/>
          <w:lang w:eastAsia="zh-CN"/>
        </w:rPr>
        <w:t>瑞郎）。</w:t>
      </w:r>
    </w:p>
    <w:p w14:paraId="1F45C183" w14:textId="77777777" w:rsidR="00390AE4" w:rsidRPr="006F051D" w:rsidRDefault="00390AE4" w:rsidP="000A44B6">
      <w:pPr>
        <w:pStyle w:val="Headingb"/>
        <w:rPr>
          <w:b w:val="0"/>
          <w:bCs/>
          <w:sz w:val="28"/>
          <w:szCs w:val="28"/>
          <w:lang w:eastAsia="zh-CN"/>
        </w:rPr>
      </w:pPr>
      <w:r w:rsidRPr="006F051D">
        <w:rPr>
          <w:rFonts w:hint="eastAsia"/>
          <w:bCs/>
          <w:sz w:val="28"/>
          <w:szCs w:val="28"/>
          <w:lang w:eastAsia="zh-CN"/>
        </w:rPr>
        <w:lastRenderedPageBreak/>
        <w:t>支出</w:t>
      </w:r>
    </w:p>
    <w:p w14:paraId="51CCE3E5" w14:textId="6298EF7D" w:rsidR="00390AE4" w:rsidRPr="00390AE4" w:rsidRDefault="006F051D" w:rsidP="00390AE4">
      <w:pPr>
        <w:rPr>
          <w:lang w:eastAsia="zh-CN"/>
        </w:rPr>
      </w:pPr>
      <w:r>
        <w:rPr>
          <w:lang w:eastAsia="zh-CN"/>
        </w:rPr>
        <w:t>14</w:t>
      </w:r>
      <w:r>
        <w:rPr>
          <w:lang w:eastAsia="zh-CN"/>
        </w:rPr>
        <w:tab/>
      </w:r>
      <w:r w:rsidR="00390AE4" w:rsidRPr="00390AE4">
        <w:rPr>
          <w:rFonts w:hint="eastAsia"/>
          <w:lang w:eastAsia="zh-CN"/>
        </w:rPr>
        <w:t>2022</w:t>
      </w:r>
      <w:r w:rsidR="00390AE4" w:rsidRPr="00390AE4">
        <w:rPr>
          <w:rFonts w:hint="eastAsia"/>
          <w:lang w:eastAsia="zh-CN"/>
        </w:rPr>
        <w:t>年，国际电联支出达</w:t>
      </w:r>
      <w:r w:rsidR="00390AE4" w:rsidRPr="00390AE4">
        <w:rPr>
          <w:rFonts w:hint="eastAsia"/>
          <w:lang w:eastAsia="zh-CN"/>
        </w:rPr>
        <w:t>1.968</w:t>
      </w:r>
      <w:r w:rsidR="00390AE4" w:rsidRPr="00390AE4">
        <w:rPr>
          <w:rFonts w:hint="eastAsia"/>
          <w:lang w:eastAsia="zh-CN"/>
        </w:rPr>
        <w:t>亿瑞郎（</w:t>
      </w:r>
      <w:r w:rsidR="00390AE4" w:rsidRPr="00390AE4">
        <w:rPr>
          <w:rFonts w:hint="eastAsia"/>
          <w:lang w:eastAsia="zh-CN"/>
        </w:rPr>
        <w:t>2021</w:t>
      </w:r>
      <w:r w:rsidR="00390AE4" w:rsidRPr="00390AE4">
        <w:rPr>
          <w:rFonts w:hint="eastAsia"/>
          <w:lang w:eastAsia="zh-CN"/>
        </w:rPr>
        <w:t>年为</w:t>
      </w:r>
      <w:r w:rsidR="00390AE4" w:rsidRPr="00390AE4">
        <w:rPr>
          <w:rFonts w:hint="eastAsia"/>
          <w:lang w:eastAsia="zh-CN"/>
        </w:rPr>
        <w:t>1.909</w:t>
      </w:r>
      <w:r w:rsidR="00390AE4" w:rsidRPr="00390AE4">
        <w:rPr>
          <w:rFonts w:hint="eastAsia"/>
          <w:lang w:eastAsia="zh-CN"/>
        </w:rPr>
        <w:t>亿瑞郎），比</w:t>
      </w:r>
      <w:r w:rsidR="00390AE4" w:rsidRPr="00390AE4">
        <w:rPr>
          <w:rFonts w:hint="eastAsia"/>
          <w:lang w:eastAsia="zh-CN"/>
        </w:rPr>
        <w:t>2021</w:t>
      </w:r>
      <w:r w:rsidR="00390AE4" w:rsidRPr="00390AE4">
        <w:rPr>
          <w:rFonts w:hint="eastAsia"/>
          <w:lang w:eastAsia="zh-CN"/>
        </w:rPr>
        <w:t>年增长</w:t>
      </w:r>
      <w:r w:rsidR="00390AE4" w:rsidRPr="00390AE4">
        <w:rPr>
          <w:rFonts w:hint="eastAsia"/>
          <w:lang w:eastAsia="zh-CN"/>
        </w:rPr>
        <w:t>3.1%</w:t>
      </w:r>
      <w:r w:rsidR="00390AE4" w:rsidRPr="00390AE4">
        <w:rPr>
          <w:rFonts w:hint="eastAsia"/>
          <w:lang w:eastAsia="zh-CN"/>
        </w:rPr>
        <w:t>。表</w:t>
      </w:r>
      <w:r w:rsidR="00390AE4" w:rsidRPr="00390AE4">
        <w:rPr>
          <w:rFonts w:hint="eastAsia"/>
          <w:lang w:eastAsia="zh-CN"/>
        </w:rPr>
        <w:t>4</w:t>
      </w:r>
      <w:r w:rsidR="00390AE4" w:rsidRPr="00390AE4">
        <w:rPr>
          <w:rFonts w:hint="eastAsia"/>
          <w:lang w:eastAsia="zh-CN"/>
        </w:rPr>
        <w:t>显示了</w:t>
      </w:r>
      <w:r w:rsidR="00390AE4" w:rsidRPr="00390AE4">
        <w:rPr>
          <w:rFonts w:hint="eastAsia"/>
          <w:lang w:eastAsia="zh-CN"/>
        </w:rPr>
        <w:t>2022</w:t>
      </w:r>
      <w:r w:rsidR="00390AE4" w:rsidRPr="00390AE4">
        <w:rPr>
          <w:rFonts w:hint="eastAsia"/>
          <w:lang w:eastAsia="zh-CN"/>
        </w:rPr>
        <w:t>年相对于</w:t>
      </w:r>
      <w:r w:rsidR="00390AE4" w:rsidRPr="00390AE4">
        <w:rPr>
          <w:rFonts w:hint="eastAsia"/>
          <w:lang w:eastAsia="zh-CN"/>
        </w:rPr>
        <w:t>2021</w:t>
      </w:r>
      <w:r w:rsidR="00390AE4" w:rsidRPr="00390AE4">
        <w:rPr>
          <w:rFonts w:hint="eastAsia"/>
          <w:lang w:eastAsia="zh-CN"/>
        </w:rPr>
        <w:t>年的费用比较。这是</w:t>
      </w:r>
      <w:r w:rsidR="00390AE4" w:rsidRPr="00390AE4">
        <w:rPr>
          <w:rFonts w:hint="eastAsia"/>
          <w:lang w:eastAsia="zh-CN"/>
        </w:rPr>
        <w:t>ASHI</w:t>
      </w:r>
      <w:r w:rsidR="00390AE4" w:rsidRPr="00390AE4">
        <w:rPr>
          <w:rFonts w:hint="eastAsia"/>
          <w:lang w:eastAsia="zh-CN"/>
        </w:rPr>
        <w:t>收费下降，但一般事务类职员费用的上涨抵消了这一费用的结果。值得注意的是，最大的支出是</w:t>
      </w:r>
      <w:r w:rsidR="00390AE4" w:rsidRPr="00390AE4">
        <w:rPr>
          <w:rFonts w:hint="eastAsia"/>
          <w:lang w:eastAsia="zh-CN"/>
        </w:rPr>
        <w:t>2022</w:t>
      </w:r>
      <w:r w:rsidR="00390AE4" w:rsidRPr="00390AE4">
        <w:rPr>
          <w:rFonts w:hint="eastAsia"/>
          <w:lang w:eastAsia="zh-CN"/>
        </w:rPr>
        <w:t>年的员工费用，与</w:t>
      </w:r>
      <w:r w:rsidR="00390AE4" w:rsidRPr="00390AE4">
        <w:rPr>
          <w:rFonts w:hint="eastAsia"/>
          <w:lang w:eastAsia="zh-CN"/>
        </w:rPr>
        <w:t>2021</w:t>
      </w:r>
      <w:r w:rsidR="00390AE4" w:rsidRPr="00390AE4">
        <w:rPr>
          <w:rFonts w:hint="eastAsia"/>
          <w:lang w:eastAsia="zh-CN"/>
        </w:rPr>
        <w:t>年相比保持稳定。</w:t>
      </w:r>
      <w:r w:rsidR="00390AE4" w:rsidRPr="00390AE4">
        <w:rPr>
          <w:rFonts w:hint="eastAsia"/>
          <w:lang w:eastAsia="zh-CN"/>
        </w:rPr>
        <w:t>2022</w:t>
      </w:r>
      <w:r w:rsidR="00390AE4" w:rsidRPr="00390AE4">
        <w:rPr>
          <w:rFonts w:hint="eastAsia"/>
          <w:lang w:eastAsia="zh-CN"/>
        </w:rPr>
        <w:t>年的主要增长与差旅费用有关，该费用已增加到</w:t>
      </w:r>
      <w:r w:rsidR="00390AE4" w:rsidRPr="00390AE4">
        <w:rPr>
          <w:rFonts w:hint="eastAsia"/>
          <w:lang w:eastAsia="zh-CN"/>
        </w:rPr>
        <w:t>510</w:t>
      </w:r>
      <w:r w:rsidR="00390AE4" w:rsidRPr="00390AE4">
        <w:rPr>
          <w:rFonts w:hint="eastAsia"/>
          <w:lang w:eastAsia="zh-CN"/>
        </w:rPr>
        <w:t>万瑞郎），但尚未达到新冠疫情前的水平（</w:t>
      </w:r>
      <w:r w:rsidR="00390AE4" w:rsidRPr="00390AE4">
        <w:rPr>
          <w:rFonts w:hint="eastAsia"/>
          <w:lang w:eastAsia="zh-CN"/>
        </w:rPr>
        <w:t>2019</w:t>
      </w:r>
      <w:r w:rsidR="00390AE4" w:rsidRPr="00390AE4">
        <w:rPr>
          <w:rFonts w:hint="eastAsia"/>
          <w:lang w:eastAsia="zh-CN"/>
        </w:rPr>
        <w:t>年为</w:t>
      </w:r>
      <w:r w:rsidR="00390AE4" w:rsidRPr="00390AE4">
        <w:rPr>
          <w:rFonts w:hint="eastAsia"/>
          <w:lang w:eastAsia="zh-CN"/>
        </w:rPr>
        <w:t>770</w:t>
      </w:r>
      <w:r w:rsidR="00390AE4" w:rsidRPr="00390AE4">
        <w:rPr>
          <w:rFonts w:hint="eastAsia"/>
          <w:lang w:eastAsia="zh-CN"/>
        </w:rPr>
        <w:t>万瑞郎）。</w:t>
      </w:r>
    </w:p>
    <w:p w14:paraId="3C4FA6D4" w14:textId="77777777" w:rsidR="00390AE4" w:rsidRPr="00390AE4" w:rsidRDefault="00390AE4" w:rsidP="006F051D">
      <w:pPr>
        <w:pStyle w:val="Tabletitle"/>
        <w:rPr>
          <w:lang w:eastAsia="zh-CN"/>
        </w:rPr>
      </w:pPr>
      <w:r w:rsidRPr="00390AE4">
        <w:rPr>
          <w:rFonts w:hint="eastAsia"/>
          <w:lang w:eastAsia="zh-CN"/>
        </w:rPr>
        <w:t>表</w:t>
      </w:r>
      <w:r w:rsidRPr="00390AE4">
        <w:rPr>
          <w:rFonts w:hint="eastAsia"/>
          <w:lang w:eastAsia="zh-CN"/>
        </w:rPr>
        <w:t>4</w:t>
      </w:r>
      <w:r w:rsidRPr="006F051D">
        <w:rPr>
          <w:rFonts w:asciiTheme="minorHAnsi" w:hAnsiTheme="minorHAnsi" w:cstheme="minorHAnsi"/>
          <w:lang w:eastAsia="zh-CN"/>
        </w:rPr>
        <w:t xml:space="preserve"> –</w:t>
      </w:r>
      <w:r w:rsidRPr="00390AE4">
        <w:rPr>
          <w:rFonts w:hint="eastAsia"/>
          <w:lang w:eastAsia="zh-CN"/>
        </w:rPr>
        <w:t xml:space="preserve"> 2022</w:t>
      </w:r>
      <w:r w:rsidRPr="00390AE4">
        <w:rPr>
          <w:rFonts w:hint="eastAsia"/>
          <w:lang w:eastAsia="zh-CN"/>
        </w:rPr>
        <w:t>年相对于</w:t>
      </w:r>
      <w:r w:rsidRPr="00390AE4">
        <w:rPr>
          <w:rFonts w:hint="eastAsia"/>
          <w:lang w:eastAsia="zh-CN"/>
        </w:rPr>
        <w:t>2021</w:t>
      </w:r>
      <w:r w:rsidRPr="00390AE4">
        <w:rPr>
          <w:rFonts w:hint="eastAsia"/>
          <w:lang w:eastAsia="zh-CN"/>
        </w:rPr>
        <w:t>年的支出比较</w:t>
      </w:r>
    </w:p>
    <w:p w14:paraId="188D2629" w14:textId="0ADD7D6C" w:rsidR="00390AE4" w:rsidRPr="00390AE4" w:rsidRDefault="006F051D" w:rsidP="00590F1D">
      <w:pPr>
        <w:pStyle w:val="Figure"/>
      </w:pPr>
      <w:r w:rsidRPr="006F051D">
        <w:rPr>
          <w:noProof/>
        </w:rPr>
        <w:drawing>
          <wp:inline distT="0" distB="0" distL="0" distR="0" wp14:anchorId="31F381FF" wp14:editId="57CBA8FA">
            <wp:extent cx="5760085" cy="1855470"/>
            <wp:effectExtent l="0" t="0" r="0" b="0"/>
            <wp:docPr id="19310083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85" cy="1855470"/>
                    </a:xfrm>
                    <a:prstGeom prst="rect">
                      <a:avLst/>
                    </a:prstGeom>
                    <a:noFill/>
                    <a:ln>
                      <a:noFill/>
                    </a:ln>
                  </pic:spPr>
                </pic:pic>
              </a:graphicData>
            </a:graphic>
          </wp:inline>
        </w:drawing>
      </w:r>
      <w:bookmarkEnd w:id="25"/>
    </w:p>
    <w:p w14:paraId="4EB4D85E" w14:textId="77777777" w:rsidR="006F051D" w:rsidRDefault="006F051D" w:rsidP="00B5070D">
      <w:pPr>
        <w:spacing w:before="240"/>
        <w:rPr>
          <w:lang w:eastAsia="zh-CN"/>
        </w:rPr>
      </w:pPr>
      <w:r>
        <w:rPr>
          <w:rFonts w:hint="eastAsia"/>
          <w:lang w:eastAsia="zh-CN"/>
        </w:rPr>
        <w:t>1</w:t>
      </w:r>
      <w:r>
        <w:rPr>
          <w:lang w:eastAsia="zh-CN"/>
        </w:rPr>
        <w:t>5</w:t>
      </w:r>
      <w:r>
        <w:rPr>
          <w:lang w:eastAsia="zh-CN"/>
        </w:rPr>
        <w:tab/>
      </w:r>
      <w:r w:rsidR="00390AE4" w:rsidRPr="00390AE4">
        <w:rPr>
          <w:rFonts w:hint="eastAsia"/>
          <w:lang w:eastAsia="zh-CN"/>
        </w:rPr>
        <w:t>图</w:t>
      </w:r>
      <w:r w:rsidR="00390AE4" w:rsidRPr="00390AE4">
        <w:rPr>
          <w:rFonts w:hint="eastAsia"/>
          <w:lang w:eastAsia="zh-CN"/>
        </w:rPr>
        <w:t>2</w:t>
      </w:r>
      <w:r w:rsidR="00390AE4" w:rsidRPr="00390AE4">
        <w:rPr>
          <w:lang w:eastAsia="zh-CN"/>
        </w:rPr>
        <w:t>-</w:t>
      </w:r>
      <w:r w:rsidR="00390AE4" w:rsidRPr="00390AE4">
        <w:rPr>
          <w:rFonts w:hint="eastAsia"/>
          <w:lang w:eastAsia="zh-CN"/>
        </w:rPr>
        <w:t>2022</w:t>
      </w:r>
      <w:r w:rsidR="00390AE4" w:rsidRPr="00390AE4">
        <w:rPr>
          <w:rFonts w:hint="eastAsia"/>
          <w:lang w:eastAsia="zh-CN"/>
        </w:rPr>
        <w:t>年支出比较显示了</w:t>
      </w:r>
      <w:r w:rsidR="00390AE4" w:rsidRPr="00390AE4">
        <w:rPr>
          <w:rFonts w:hint="eastAsia"/>
          <w:lang w:eastAsia="zh-CN"/>
        </w:rPr>
        <w:t>2022</w:t>
      </w:r>
      <w:r w:rsidR="00390AE4" w:rsidRPr="00390AE4">
        <w:rPr>
          <w:rFonts w:hint="eastAsia"/>
          <w:lang w:eastAsia="zh-CN"/>
        </w:rPr>
        <w:t>年支出类型的细分，突显了国际电联人员费用水平较高，占所有费用的</w:t>
      </w:r>
      <w:r w:rsidR="00390AE4" w:rsidRPr="00390AE4">
        <w:rPr>
          <w:rFonts w:hint="eastAsia"/>
          <w:lang w:eastAsia="zh-CN"/>
        </w:rPr>
        <w:t>78%</w:t>
      </w:r>
      <w:r w:rsidR="00390AE4" w:rsidRPr="00390AE4">
        <w:rPr>
          <w:rFonts w:hint="eastAsia"/>
          <w:lang w:eastAsia="zh-CN"/>
        </w:rPr>
        <w:t>。合同服务为第二大支出类别，占</w:t>
      </w:r>
      <w:r w:rsidR="00390AE4" w:rsidRPr="00390AE4">
        <w:rPr>
          <w:rFonts w:hint="eastAsia"/>
          <w:lang w:eastAsia="zh-CN"/>
        </w:rPr>
        <w:t>10%</w:t>
      </w:r>
      <w:r w:rsidR="00390AE4" w:rsidRPr="00390AE4">
        <w:rPr>
          <w:rFonts w:hint="eastAsia"/>
          <w:lang w:eastAsia="zh-CN"/>
        </w:rPr>
        <w:t>，与</w:t>
      </w:r>
      <w:r w:rsidR="00390AE4" w:rsidRPr="00390AE4">
        <w:rPr>
          <w:rFonts w:hint="eastAsia"/>
          <w:lang w:eastAsia="zh-CN"/>
        </w:rPr>
        <w:t>2021</w:t>
      </w:r>
      <w:r w:rsidR="00390AE4" w:rsidRPr="00390AE4">
        <w:rPr>
          <w:rFonts w:hint="eastAsia"/>
          <w:lang w:eastAsia="zh-CN"/>
        </w:rPr>
        <w:t>年相当。</w:t>
      </w:r>
    </w:p>
    <w:p w14:paraId="169B44C9" w14:textId="0EAD1489" w:rsidR="00390AE4" w:rsidRPr="00390AE4" w:rsidRDefault="00390AE4" w:rsidP="0098613E">
      <w:pPr>
        <w:pStyle w:val="Figuretitle"/>
        <w:rPr>
          <w:lang w:eastAsia="zh-CN"/>
        </w:rPr>
      </w:pPr>
      <w:r w:rsidRPr="00390AE4">
        <w:rPr>
          <w:rFonts w:hint="eastAsia"/>
          <w:lang w:eastAsia="zh-CN"/>
        </w:rPr>
        <w:t>图</w:t>
      </w:r>
      <w:r w:rsidRPr="00390AE4">
        <w:rPr>
          <w:rFonts w:hint="eastAsia"/>
          <w:lang w:eastAsia="zh-CN"/>
        </w:rPr>
        <w:t xml:space="preserve">2 </w:t>
      </w:r>
      <w:r w:rsidRPr="00390AE4">
        <w:rPr>
          <w:lang w:eastAsia="zh-CN"/>
        </w:rPr>
        <w:t>–</w:t>
      </w:r>
      <w:r w:rsidRPr="00390AE4">
        <w:rPr>
          <w:rFonts w:hint="eastAsia"/>
          <w:lang w:eastAsia="zh-CN"/>
        </w:rPr>
        <w:t xml:space="preserve"> 2022</w:t>
      </w:r>
      <w:r w:rsidRPr="00390AE4">
        <w:rPr>
          <w:rFonts w:hint="eastAsia"/>
          <w:lang w:eastAsia="zh-CN"/>
        </w:rPr>
        <w:t>年支出（</w:t>
      </w:r>
      <w:r w:rsidRPr="00390AE4">
        <w:rPr>
          <w:rFonts w:hint="eastAsia"/>
          <w:lang w:eastAsia="zh-CN"/>
        </w:rPr>
        <w:t>1.968</w:t>
      </w:r>
      <w:r w:rsidRPr="00390AE4">
        <w:rPr>
          <w:rFonts w:hint="eastAsia"/>
          <w:lang w:eastAsia="zh-CN"/>
        </w:rPr>
        <w:t>亿瑞郎）构成</w:t>
      </w:r>
    </w:p>
    <w:p w14:paraId="7429EE75" w14:textId="0C6AFC28" w:rsidR="00390AE4" w:rsidRPr="00390AE4" w:rsidRDefault="000A1A40" w:rsidP="00B5070D">
      <w:pPr>
        <w:pStyle w:val="Figure"/>
        <w:keepNext w:val="0"/>
        <w:keepLines w:val="0"/>
      </w:pPr>
      <w:r>
        <w:rPr>
          <w:noProof/>
        </w:rPr>
        <w:drawing>
          <wp:inline distT="0" distB="0" distL="0" distR="0" wp14:anchorId="79E78302" wp14:editId="11C0E5D9">
            <wp:extent cx="5439097" cy="3180522"/>
            <wp:effectExtent l="0" t="0" r="0" b="1270"/>
            <wp:docPr id="136400621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8621" cy="3197786"/>
                    </a:xfrm>
                    <a:prstGeom prst="rect">
                      <a:avLst/>
                    </a:prstGeom>
                    <a:noFill/>
                  </pic:spPr>
                </pic:pic>
              </a:graphicData>
            </a:graphic>
          </wp:inline>
        </w:drawing>
      </w:r>
    </w:p>
    <w:p w14:paraId="07ADFC2A" w14:textId="77777777" w:rsidR="00390AE4" w:rsidRPr="0098613E" w:rsidRDefault="00390AE4" w:rsidP="00152A6A">
      <w:pPr>
        <w:pStyle w:val="Headingb"/>
        <w:pageBreakBefore/>
        <w:rPr>
          <w:b w:val="0"/>
          <w:bCs/>
          <w:sz w:val="28"/>
          <w:szCs w:val="28"/>
          <w:lang w:eastAsia="zh-CN"/>
        </w:rPr>
      </w:pPr>
      <w:r w:rsidRPr="0098613E">
        <w:rPr>
          <w:rFonts w:hint="eastAsia"/>
          <w:bCs/>
          <w:sz w:val="28"/>
          <w:szCs w:val="28"/>
          <w:lang w:eastAsia="zh-CN"/>
        </w:rPr>
        <w:lastRenderedPageBreak/>
        <w:t>财务状况</w:t>
      </w:r>
    </w:p>
    <w:p w14:paraId="54E36022" w14:textId="7965F17C" w:rsidR="00390AE4" w:rsidRPr="00390AE4" w:rsidRDefault="0098613E" w:rsidP="00390AE4">
      <w:pPr>
        <w:rPr>
          <w:lang w:eastAsia="zh-CN"/>
        </w:rPr>
      </w:pPr>
      <w:r>
        <w:rPr>
          <w:rFonts w:hint="eastAsia"/>
          <w:lang w:eastAsia="zh-CN"/>
        </w:rPr>
        <w:t>1</w:t>
      </w:r>
      <w:r>
        <w:rPr>
          <w:lang w:eastAsia="zh-CN"/>
        </w:rPr>
        <w:t>6</w:t>
      </w:r>
      <w:r>
        <w:rPr>
          <w:lang w:eastAsia="zh-CN"/>
        </w:rPr>
        <w:tab/>
      </w:r>
      <w:r w:rsidR="00390AE4" w:rsidRPr="00390AE4">
        <w:rPr>
          <w:rFonts w:hint="eastAsia"/>
          <w:lang w:eastAsia="zh-CN"/>
        </w:rPr>
        <w:t>如下文表</w:t>
      </w:r>
      <w:r w:rsidR="00390AE4" w:rsidRPr="00390AE4">
        <w:rPr>
          <w:rFonts w:hint="eastAsia"/>
          <w:lang w:eastAsia="zh-CN"/>
        </w:rPr>
        <w:t>5</w:t>
      </w:r>
      <w:r w:rsidR="00390AE4" w:rsidRPr="00390AE4">
        <w:rPr>
          <w:rFonts w:hint="eastAsia"/>
          <w:lang w:eastAsia="zh-CN"/>
        </w:rPr>
        <w:t>所示，截至</w:t>
      </w:r>
      <w:r w:rsidR="00390AE4" w:rsidRPr="00390AE4">
        <w:rPr>
          <w:rFonts w:hint="eastAsia"/>
          <w:lang w:eastAsia="zh-CN"/>
        </w:rPr>
        <w:t>2022</w:t>
      </w:r>
      <w:r w:rsidR="00390AE4" w:rsidRPr="00390AE4">
        <w:rPr>
          <w:rFonts w:hint="eastAsia"/>
          <w:lang w:eastAsia="zh-CN"/>
        </w:rPr>
        <w:t>年</w:t>
      </w:r>
      <w:r w:rsidR="00390AE4" w:rsidRPr="00390AE4">
        <w:rPr>
          <w:rFonts w:hint="eastAsia"/>
          <w:lang w:eastAsia="zh-CN"/>
        </w:rPr>
        <w:t>12</w:t>
      </w:r>
      <w:r w:rsidR="00390AE4" w:rsidRPr="00390AE4">
        <w:rPr>
          <w:rFonts w:hint="eastAsia"/>
          <w:lang w:eastAsia="zh-CN"/>
        </w:rPr>
        <w:t>月</w:t>
      </w:r>
      <w:r w:rsidR="00390AE4" w:rsidRPr="00390AE4">
        <w:rPr>
          <w:rFonts w:hint="eastAsia"/>
          <w:lang w:eastAsia="zh-CN"/>
        </w:rPr>
        <w:t>31</w:t>
      </w:r>
      <w:r w:rsidR="00390AE4" w:rsidRPr="00390AE4">
        <w:rPr>
          <w:rFonts w:hint="eastAsia"/>
          <w:lang w:eastAsia="zh-CN"/>
        </w:rPr>
        <w:t>日，国际电联的资产净值为负</w:t>
      </w:r>
      <w:r w:rsidR="00390AE4" w:rsidRPr="00390AE4">
        <w:rPr>
          <w:rFonts w:hint="eastAsia"/>
          <w:lang w:eastAsia="zh-CN"/>
        </w:rPr>
        <w:t>2.131</w:t>
      </w:r>
      <w:r w:rsidR="00390AE4" w:rsidRPr="00390AE4">
        <w:rPr>
          <w:rFonts w:hint="eastAsia"/>
          <w:lang w:eastAsia="zh-CN"/>
        </w:rPr>
        <w:t>亿瑞郎，总资产为</w:t>
      </w:r>
      <w:r w:rsidR="00390AE4" w:rsidRPr="00390AE4">
        <w:rPr>
          <w:rFonts w:hint="eastAsia"/>
          <w:lang w:eastAsia="zh-CN"/>
        </w:rPr>
        <w:t>3.179</w:t>
      </w:r>
      <w:r w:rsidR="00390AE4" w:rsidRPr="00390AE4">
        <w:rPr>
          <w:rFonts w:hint="eastAsia"/>
          <w:lang w:eastAsia="zh-CN"/>
        </w:rPr>
        <w:t>亿瑞郎，总负债为</w:t>
      </w:r>
      <w:proofErr w:type="gramStart"/>
      <w:r w:rsidR="00390AE4" w:rsidRPr="00390AE4">
        <w:rPr>
          <w:rFonts w:hint="eastAsia"/>
          <w:lang w:eastAsia="zh-CN"/>
        </w:rPr>
        <w:t>5.309</w:t>
      </w:r>
      <w:r w:rsidR="00390AE4" w:rsidRPr="00390AE4">
        <w:rPr>
          <w:rFonts w:hint="eastAsia"/>
          <w:lang w:eastAsia="zh-CN"/>
        </w:rPr>
        <w:t>亿瑞郎。与</w:t>
      </w:r>
      <w:proofErr w:type="gramEnd"/>
      <w:r w:rsidR="00390AE4" w:rsidRPr="00390AE4">
        <w:rPr>
          <w:rFonts w:hint="eastAsia"/>
          <w:lang w:eastAsia="zh-CN"/>
        </w:rPr>
        <w:t>2021</w:t>
      </w:r>
      <w:r w:rsidR="00390AE4" w:rsidRPr="00390AE4">
        <w:rPr>
          <w:rFonts w:hint="eastAsia"/>
          <w:lang w:eastAsia="zh-CN"/>
        </w:rPr>
        <w:t>年相比，净资产增加了</w:t>
      </w:r>
      <w:r w:rsidR="00390AE4" w:rsidRPr="00390AE4">
        <w:rPr>
          <w:rFonts w:hint="eastAsia"/>
          <w:lang w:eastAsia="zh-CN"/>
        </w:rPr>
        <w:t>1.977</w:t>
      </w:r>
      <w:r w:rsidR="00390AE4" w:rsidRPr="00390AE4">
        <w:rPr>
          <w:rFonts w:hint="eastAsia"/>
          <w:lang w:eastAsia="zh-CN"/>
        </w:rPr>
        <w:t>亿瑞郎。这是由于与</w:t>
      </w:r>
      <w:r w:rsidR="00390AE4" w:rsidRPr="00390AE4">
        <w:rPr>
          <w:rFonts w:hint="eastAsia"/>
          <w:lang w:eastAsia="zh-CN"/>
        </w:rPr>
        <w:t>2021</w:t>
      </w:r>
      <w:r w:rsidR="00390AE4" w:rsidRPr="00390AE4">
        <w:rPr>
          <w:rFonts w:hint="eastAsia"/>
          <w:lang w:eastAsia="zh-CN"/>
        </w:rPr>
        <w:t>年相比，</w:t>
      </w:r>
      <w:r w:rsidR="00390AE4" w:rsidRPr="00390AE4">
        <w:rPr>
          <w:rFonts w:hint="eastAsia"/>
          <w:lang w:eastAsia="zh-CN"/>
        </w:rPr>
        <w:t>2022</w:t>
      </w:r>
      <w:r w:rsidR="00390AE4" w:rsidRPr="00390AE4">
        <w:rPr>
          <w:rFonts w:hint="eastAsia"/>
          <w:lang w:eastAsia="zh-CN"/>
        </w:rPr>
        <w:t>年</w:t>
      </w:r>
      <w:r w:rsidR="00390AE4" w:rsidRPr="00390AE4">
        <w:rPr>
          <w:rFonts w:hint="eastAsia"/>
          <w:lang w:eastAsia="zh-CN"/>
        </w:rPr>
        <w:t>ASHI</w:t>
      </w:r>
      <w:r w:rsidR="00390AE4" w:rsidRPr="00390AE4">
        <w:rPr>
          <w:rFonts w:hint="eastAsia"/>
          <w:lang w:eastAsia="zh-CN"/>
        </w:rPr>
        <w:t>估值的假设发生了变化。然而，仍然存在很大的赤字。由于离职后健康保险（</w:t>
      </w:r>
      <w:r w:rsidR="00390AE4" w:rsidRPr="00390AE4">
        <w:rPr>
          <w:rFonts w:hint="eastAsia"/>
          <w:lang w:eastAsia="zh-CN"/>
        </w:rPr>
        <w:t>ASHI</w:t>
      </w:r>
      <w:r w:rsidR="00390AE4" w:rsidRPr="00390AE4">
        <w:rPr>
          <w:rFonts w:hint="eastAsia"/>
          <w:lang w:eastAsia="zh-CN"/>
        </w:rPr>
        <w:t>）基金的负债（</w:t>
      </w:r>
      <w:r w:rsidR="00390AE4" w:rsidRPr="00390AE4">
        <w:rPr>
          <w:rFonts w:hint="eastAsia"/>
          <w:lang w:eastAsia="zh-CN"/>
        </w:rPr>
        <w:t>3.441</w:t>
      </w:r>
      <w:r w:rsidR="00390AE4" w:rsidRPr="00390AE4">
        <w:rPr>
          <w:rFonts w:hint="eastAsia"/>
          <w:lang w:eastAsia="zh-CN"/>
        </w:rPr>
        <w:t>亿瑞郎），净资产将继续保持在</w:t>
      </w:r>
      <w:r w:rsidR="00390AE4" w:rsidRPr="00390AE4">
        <w:rPr>
          <w:rFonts w:hint="eastAsia"/>
          <w:lang w:eastAsia="zh-CN"/>
        </w:rPr>
        <w:t>2.131</w:t>
      </w:r>
      <w:r w:rsidR="00390AE4" w:rsidRPr="00390AE4">
        <w:rPr>
          <w:rFonts w:hint="eastAsia"/>
          <w:lang w:eastAsia="zh-CN"/>
        </w:rPr>
        <w:t>亿瑞郎的负值。研究解决职员长期福利模式是改变这一趋势的一项关键要求。</w:t>
      </w:r>
    </w:p>
    <w:p w14:paraId="3D8FA31F" w14:textId="56EE1117" w:rsidR="00390AE4" w:rsidRPr="00390AE4" w:rsidRDefault="00390AE4" w:rsidP="0098613E">
      <w:pPr>
        <w:pStyle w:val="Tabletitle"/>
        <w:rPr>
          <w:lang w:eastAsia="zh-CN"/>
        </w:rPr>
      </w:pPr>
      <w:r w:rsidRPr="00390AE4">
        <w:rPr>
          <w:rFonts w:hint="eastAsia"/>
          <w:lang w:eastAsia="zh-CN"/>
        </w:rPr>
        <w:t>表</w:t>
      </w:r>
      <w:r w:rsidRPr="00390AE4">
        <w:rPr>
          <w:rFonts w:hint="eastAsia"/>
          <w:lang w:eastAsia="zh-CN"/>
        </w:rPr>
        <w:t xml:space="preserve">5 </w:t>
      </w:r>
      <w:r w:rsidRPr="00390AE4">
        <w:rPr>
          <w:lang w:eastAsia="zh-CN"/>
        </w:rPr>
        <w:t>–</w:t>
      </w:r>
      <w:r w:rsidRPr="00390AE4">
        <w:rPr>
          <w:rFonts w:hint="eastAsia"/>
          <w:lang w:eastAsia="zh-CN"/>
        </w:rPr>
        <w:t xml:space="preserve"> </w:t>
      </w:r>
      <w:r w:rsidRPr="00390AE4">
        <w:rPr>
          <w:rFonts w:hint="eastAsia"/>
          <w:lang w:eastAsia="zh-CN"/>
        </w:rPr>
        <w:t>资产、负债、净资产和</w:t>
      </w:r>
      <w:r w:rsidRPr="00390AE4">
        <w:rPr>
          <w:lang w:eastAsia="zh-CN"/>
        </w:rPr>
        <w:t>ASHI</w:t>
      </w:r>
      <w:r w:rsidRPr="00390AE4">
        <w:rPr>
          <w:rFonts w:hint="eastAsia"/>
          <w:lang w:eastAsia="zh-CN"/>
        </w:rPr>
        <w:t>汇总表</w:t>
      </w:r>
    </w:p>
    <w:p w14:paraId="4A71B593" w14:textId="4A9A7916" w:rsidR="00390AE4" w:rsidRPr="00390AE4" w:rsidRDefault="0095742B" w:rsidP="000A1A40">
      <w:pPr>
        <w:pStyle w:val="Figure"/>
      </w:pPr>
      <w:r w:rsidRPr="0095742B">
        <w:rPr>
          <w:noProof/>
        </w:rPr>
        <w:drawing>
          <wp:inline distT="0" distB="0" distL="0" distR="0" wp14:anchorId="48913E07" wp14:editId="722DAE64">
            <wp:extent cx="5073015" cy="1256030"/>
            <wp:effectExtent l="0" t="0" r="0" b="1270"/>
            <wp:docPr id="172376884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73015" cy="1256030"/>
                    </a:xfrm>
                    <a:prstGeom prst="rect">
                      <a:avLst/>
                    </a:prstGeom>
                    <a:noFill/>
                    <a:ln>
                      <a:noFill/>
                    </a:ln>
                  </pic:spPr>
                </pic:pic>
              </a:graphicData>
            </a:graphic>
          </wp:inline>
        </w:drawing>
      </w:r>
    </w:p>
    <w:p w14:paraId="1806D40E" w14:textId="77777777" w:rsidR="00390AE4" w:rsidRPr="00390AE4" w:rsidRDefault="00390AE4" w:rsidP="00F1013F">
      <w:pPr>
        <w:pStyle w:val="Headingb"/>
        <w:rPr>
          <w:lang w:eastAsia="zh-CN"/>
        </w:rPr>
      </w:pPr>
      <w:r w:rsidRPr="00390AE4">
        <w:rPr>
          <w:rFonts w:hint="eastAsia"/>
          <w:lang w:eastAsia="zh-CN"/>
        </w:rPr>
        <w:t>资产</w:t>
      </w:r>
    </w:p>
    <w:p w14:paraId="5901E8B0" w14:textId="1C47A21E" w:rsidR="00390AE4" w:rsidRPr="00390AE4" w:rsidRDefault="00F1013F" w:rsidP="00390AE4">
      <w:pPr>
        <w:rPr>
          <w:lang w:eastAsia="zh-CN"/>
        </w:rPr>
      </w:pPr>
      <w:r>
        <w:rPr>
          <w:rFonts w:hint="eastAsia"/>
          <w:lang w:eastAsia="zh-CN"/>
        </w:rPr>
        <w:t>1</w:t>
      </w:r>
      <w:r>
        <w:rPr>
          <w:lang w:eastAsia="zh-CN"/>
        </w:rPr>
        <w:t>7</w:t>
      </w:r>
      <w:r>
        <w:rPr>
          <w:lang w:eastAsia="zh-CN"/>
        </w:rPr>
        <w:tab/>
      </w:r>
      <w:r w:rsidR="00390AE4" w:rsidRPr="00390AE4">
        <w:rPr>
          <w:rFonts w:hint="eastAsia"/>
          <w:lang w:eastAsia="zh-CN"/>
        </w:rPr>
        <w:t>流动资产减去流动负债后的金额为</w:t>
      </w:r>
      <w:r w:rsidR="00390AE4" w:rsidRPr="00390AE4">
        <w:rPr>
          <w:rFonts w:hint="eastAsia"/>
          <w:lang w:eastAsia="zh-CN"/>
        </w:rPr>
        <w:t>1.538</w:t>
      </w:r>
      <w:r w:rsidR="00390AE4" w:rsidRPr="00390AE4">
        <w:rPr>
          <w:rFonts w:hint="eastAsia"/>
          <w:lang w:eastAsia="zh-CN"/>
        </w:rPr>
        <w:t>亿瑞郎（</w:t>
      </w:r>
      <w:r w:rsidR="00390AE4" w:rsidRPr="00390AE4">
        <w:rPr>
          <w:rFonts w:hint="eastAsia"/>
          <w:lang w:eastAsia="zh-CN"/>
        </w:rPr>
        <w:t>2021</w:t>
      </w:r>
      <w:r w:rsidR="00390AE4" w:rsidRPr="00390AE4">
        <w:rPr>
          <w:rFonts w:hint="eastAsia"/>
          <w:lang w:eastAsia="zh-CN"/>
        </w:rPr>
        <w:t>年：</w:t>
      </w:r>
      <w:r w:rsidR="00390AE4" w:rsidRPr="00390AE4">
        <w:rPr>
          <w:rFonts w:hint="eastAsia"/>
          <w:lang w:eastAsia="zh-CN"/>
        </w:rPr>
        <w:t>1.718</w:t>
      </w:r>
      <w:r w:rsidR="00390AE4" w:rsidRPr="00390AE4">
        <w:rPr>
          <w:rFonts w:hint="eastAsia"/>
          <w:lang w:eastAsia="zh-CN"/>
        </w:rPr>
        <w:t>亿瑞郎），原因是存在大量现金和现金等价物。截至</w:t>
      </w:r>
      <w:r w:rsidR="00390AE4" w:rsidRPr="00390AE4">
        <w:rPr>
          <w:rFonts w:hint="eastAsia"/>
          <w:lang w:eastAsia="zh-CN"/>
        </w:rPr>
        <w:t>2022</w:t>
      </w:r>
      <w:r w:rsidR="00390AE4" w:rsidRPr="00390AE4">
        <w:rPr>
          <w:rFonts w:hint="eastAsia"/>
          <w:lang w:eastAsia="zh-CN"/>
        </w:rPr>
        <w:t>年</w:t>
      </w:r>
      <w:r w:rsidR="00390AE4" w:rsidRPr="00390AE4">
        <w:rPr>
          <w:rFonts w:hint="eastAsia"/>
          <w:lang w:eastAsia="zh-CN"/>
        </w:rPr>
        <w:t>12</w:t>
      </w:r>
      <w:r w:rsidR="00390AE4" w:rsidRPr="00390AE4">
        <w:rPr>
          <w:rFonts w:hint="eastAsia"/>
          <w:lang w:eastAsia="zh-CN"/>
        </w:rPr>
        <w:t>月</w:t>
      </w:r>
      <w:r w:rsidR="00390AE4" w:rsidRPr="00390AE4">
        <w:rPr>
          <w:rFonts w:hint="eastAsia"/>
          <w:lang w:eastAsia="zh-CN"/>
        </w:rPr>
        <w:t>31</w:t>
      </w:r>
      <w:r w:rsidR="00390AE4" w:rsidRPr="00390AE4">
        <w:rPr>
          <w:rFonts w:hint="eastAsia"/>
          <w:lang w:eastAsia="zh-CN"/>
        </w:rPr>
        <w:t>日，现金和现金等价物金额为</w:t>
      </w:r>
      <w:r w:rsidR="00390AE4" w:rsidRPr="00390AE4">
        <w:rPr>
          <w:rFonts w:hint="eastAsia"/>
          <w:lang w:eastAsia="zh-CN"/>
        </w:rPr>
        <w:t>1.939</w:t>
      </w:r>
      <w:r w:rsidR="00390AE4" w:rsidRPr="00390AE4">
        <w:rPr>
          <w:rFonts w:hint="eastAsia"/>
          <w:lang w:eastAsia="zh-CN"/>
        </w:rPr>
        <w:t>亿瑞郎，</w:t>
      </w:r>
      <w:r w:rsidR="00390AE4" w:rsidRPr="00390AE4">
        <w:rPr>
          <w:rFonts w:hint="eastAsia"/>
          <w:lang w:eastAsia="zh-CN"/>
        </w:rPr>
        <w:t>2021</w:t>
      </w:r>
      <w:r w:rsidR="00390AE4" w:rsidRPr="00390AE4">
        <w:rPr>
          <w:rFonts w:hint="eastAsia"/>
          <w:lang w:eastAsia="zh-CN"/>
        </w:rPr>
        <w:t>年为</w:t>
      </w:r>
      <w:r w:rsidR="00390AE4" w:rsidRPr="00390AE4">
        <w:rPr>
          <w:rFonts w:hint="eastAsia"/>
          <w:lang w:eastAsia="zh-CN"/>
        </w:rPr>
        <w:t>2.038</w:t>
      </w:r>
      <w:r w:rsidR="00390AE4" w:rsidRPr="00390AE4">
        <w:rPr>
          <w:rFonts w:hint="eastAsia"/>
          <w:lang w:eastAsia="zh-CN"/>
        </w:rPr>
        <w:t>亿瑞郎。</w:t>
      </w:r>
    </w:p>
    <w:p w14:paraId="2F3CCEBB" w14:textId="77777777" w:rsidR="00390AE4" w:rsidRPr="00390AE4" w:rsidRDefault="00390AE4" w:rsidP="00F1013F">
      <w:pPr>
        <w:pStyle w:val="Headingb"/>
        <w:rPr>
          <w:lang w:eastAsia="zh-CN"/>
        </w:rPr>
      </w:pPr>
      <w:r w:rsidRPr="00390AE4">
        <w:rPr>
          <w:rFonts w:hint="eastAsia"/>
          <w:lang w:eastAsia="zh-CN"/>
        </w:rPr>
        <w:t>应收分摊会费</w:t>
      </w:r>
    </w:p>
    <w:p w14:paraId="36086914" w14:textId="3076F2B7" w:rsidR="00390AE4" w:rsidRPr="00390AE4" w:rsidRDefault="00F1013F" w:rsidP="00390AE4">
      <w:pPr>
        <w:rPr>
          <w:lang w:eastAsia="zh-CN"/>
        </w:rPr>
      </w:pPr>
      <w:r>
        <w:rPr>
          <w:rFonts w:hint="eastAsia"/>
          <w:lang w:eastAsia="zh-CN"/>
        </w:rPr>
        <w:t>1</w:t>
      </w:r>
      <w:r>
        <w:rPr>
          <w:lang w:eastAsia="zh-CN"/>
        </w:rPr>
        <w:t>8</w:t>
      </w:r>
      <w:r>
        <w:rPr>
          <w:lang w:eastAsia="zh-CN"/>
        </w:rPr>
        <w:tab/>
      </w:r>
      <w:r w:rsidR="00390AE4" w:rsidRPr="00390AE4">
        <w:rPr>
          <w:rFonts w:hint="eastAsia"/>
          <w:lang w:eastAsia="zh-CN"/>
        </w:rPr>
        <w:t>分摊会费的收缴对流动资金状况有直接影响，因此对顺利执行本组织正常计划拨款极其重要。虽然全权代表大会批准储备基金运作的最低标准为</w:t>
      </w:r>
      <w:r w:rsidR="00390AE4" w:rsidRPr="00390AE4">
        <w:rPr>
          <w:rFonts w:hint="eastAsia"/>
          <w:lang w:eastAsia="zh-CN"/>
        </w:rPr>
        <w:t>6%</w:t>
      </w:r>
      <w:r w:rsidR="00390AE4" w:rsidRPr="00390AE4">
        <w:rPr>
          <w:rFonts w:hint="eastAsia"/>
          <w:lang w:eastAsia="zh-CN"/>
        </w:rPr>
        <w:t>（</w:t>
      </w:r>
      <w:r w:rsidR="00390AE4" w:rsidRPr="00390AE4">
        <w:rPr>
          <w:rFonts w:hint="eastAsia"/>
          <w:lang w:eastAsia="zh-CN"/>
        </w:rPr>
        <w:t>1</w:t>
      </w:r>
      <w:r>
        <w:rPr>
          <w:lang w:eastAsia="zh-CN"/>
        </w:rPr>
        <w:t xml:space="preserve"> </w:t>
      </w:r>
      <w:r w:rsidR="00390AE4" w:rsidRPr="00390AE4">
        <w:rPr>
          <w:rFonts w:hint="eastAsia"/>
          <w:lang w:eastAsia="zh-CN"/>
        </w:rPr>
        <w:t>000</w:t>
      </w:r>
      <w:r w:rsidR="00390AE4" w:rsidRPr="00390AE4">
        <w:rPr>
          <w:rFonts w:hint="eastAsia"/>
          <w:lang w:eastAsia="zh-CN"/>
        </w:rPr>
        <w:t>万瑞郎），但这仅意味着</w:t>
      </w:r>
      <w:r w:rsidR="00390AE4" w:rsidRPr="00390AE4">
        <w:rPr>
          <w:rFonts w:hint="eastAsia"/>
          <w:lang w:eastAsia="zh-CN"/>
        </w:rPr>
        <w:t>3</w:t>
      </w:r>
      <w:r w:rsidR="00390AE4" w:rsidRPr="00390AE4">
        <w:rPr>
          <w:rFonts w:hint="eastAsia"/>
          <w:lang w:eastAsia="zh-CN"/>
        </w:rPr>
        <w:t>周的支出（目前储备基金余额为</w:t>
      </w:r>
      <w:r w:rsidR="00390AE4" w:rsidRPr="00390AE4">
        <w:rPr>
          <w:rFonts w:hint="eastAsia"/>
          <w:lang w:eastAsia="zh-CN"/>
        </w:rPr>
        <w:t>2</w:t>
      </w:r>
      <w:r>
        <w:rPr>
          <w:lang w:eastAsia="zh-CN"/>
        </w:rPr>
        <w:t xml:space="preserve"> </w:t>
      </w:r>
      <w:r w:rsidR="00390AE4" w:rsidRPr="00390AE4">
        <w:rPr>
          <w:rFonts w:hint="eastAsia"/>
          <w:lang w:eastAsia="zh-CN"/>
        </w:rPr>
        <w:t>840</w:t>
      </w:r>
      <w:r w:rsidR="00390AE4" w:rsidRPr="00390AE4">
        <w:rPr>
          <w:rFonts w:hint="eastAsia"/>
          <w:lang w:eastAsia="zh-CN"/>
        </w:rPr>
        <w:t>万瑞郎，目前相当于</w:t>
      </w:r>
      <w:r w:rsidR="00390AE4" w:rsidRPr="00390AE4">
        <w:rPr>
          <w:rFonts w:hint="eastAsia"/>
          <w:lang w:eastAsia="zh-CN"/>
        </w:rPr>
        <w:t>2022</w:t>
      </w:r>
      <w:r w:rsidR="00390AE4" w:rsidRPr="00390AE4">
        <w:rPr>
          <w:rFonts w:hint="eastAsia"/>
          <w:lang w:eastAsia="zh-CN"/>
        </w:rPr>
        <w:t>年的</w:t>
      </w:r>
      <w:r w:rsidR="00390AE4" w:rsidRPr="00390AE4">
        <w:rPr>
          <w:rFonts w:hint="eastAsia"/>
          <w:lang w:eastAsia="zh-CN"/>
        </w:rPr>
        <w:t>7</w:t>
      </w:r>
      <w:r w:rsidR="00390AE4" w:rsidRPr="00390AE4">
        <w:rPr>
          <w:rFonts w:hint="eastAsia"/>
          <w:lang w:eastAsia="zh-CN"/>
        </w:rPr>
        <w:t>周支出）。这笔款项对于维持本组织的可运作性至关重要。截至</w:t>
      </w:r>
      <w:r w:rsidR="00390AE4" w:rsidRPr="00390AE4">
        <w:rPr>
          <w:rFonts w:hint="eastAsia"/>
          <w:lang w:eastAsia="zh-CN"/>
        </w:rPr>
        <w:t>2022</w:t>
      </w:r>
      <w:r w:rsidR="00390AE4" w:rsidRPr="00390AE4">
        <w:rPr>
          <w:rFonts w:hint="eastAsia"/>
          <w:lang w:eastAsia="zh-CN"/>
        </w:rPr>
        <w:t>年</w:t>
      </w:r>
      <w:r w:rsidR="00390AE4" w:rsidRPr="00390AE4">
        <w:rPr>
          <w:rFonts w:hint="eastAsia"/>
          <w:lang w:eastAsia="zh-CN"/>
        </w:rPr>
        <w:t>12</w:t>
      </w:r>
      <w:r w:rsidR="00390AE4" w:rsidRPr="00390AE4">
        <w:rPr>
          <w:rFonts w:hint="eastAsia"/>
          <w:lang w:eastAsia="zh-CN"/>
        </w:rPr>
        <w:t>月</w:t>
      </w:r>
      <w:r w:rsidR="00390AE4" w:rsidRPr="00390AE4">
        <w:rPr>
          <w:rFonts w:hint="eastAsia"/>
          <w:lang w:eastAsia="zh-CN"/>
        </w:rPr>
        <w:t>31</w:t>
      </w:r>
      <w:r w:rsidR="00390AE4" w:rsidRPr="00390AE4">
        <w:rPr>
          <w:rFonts w:hint="eastAsia"/>
          <w:lang w:eastAsia="zh-CN"/>
        </w:rPr>
        <w:t>日，本年度的收款率约为</w:t>
      </w:r>
      <w:r w:rsidR="00390AE4" w:rsidRPr="00390AE4">
        <w:rPr>
          <w:rFonts w:hint="eastAsia"/>
          <w:lang w:eastAsia="zh-CN"/>
        </w:rPr>
        <w:t>93%</w:t>
      </w:r>
      <w:r w:rsidR="00390AE4" w:rsidRPr="00390AE4">
        <w:rPr>
          <w:rFonts w:hint="eastAsia"/>
          <w:lang w:eastAsia="zh-CN"/>
        </w:rPr>
        <w:t>，而</w:t>
      </w:r>
      <w:r w:rsidR="00390AE4" w:rsidRPr="00390AE4">
        <w:rPr>
          <w:rFonts w:hint="eastAsia"/>
          <w:lang w:eastAsia="zh-CN"/>
        </w:rPr>
        <w:t>2021</w:t>
      </w:r>
      <w:r w:rsidR="00390AE4" w:rsidRPr="00390AE4">
        <w:rPr>
          <w:rFonts w:hint="eastAsia"/>
          <w:lang w:eastAsia="zh-CN"/>
        </w:rPr>
        <w:t>年</w:t>
      </w:r>
      <w:r w:rsidR="00390AE4" w:rsidRPr="00390AE4">
        <w:rPr>
          <w:rFonts w:hint="eastAsia"/>
          <w:lang w:eastAsia="zh-CN"/>
        </w:rPr>
        <w:t>12</w:t>
      </w:r>
      <w:r w:rsidR="00390AE4" w:rsidRPr="00390AE4">
        <w:rPr>
          <w:rFonts w:hint="eastAsia"/>
          <w:lang w:eastAsia="zh-CN"/>
        </w:rPr>
        <w:t>月为</w:t>
      </w:r>
      <w:r w:rsidR="00390AE4" w:rsidRPr="00390AE4">
        <w:rPr>
          <w:rFonts w:hint="eastAsia"/>
          <w:lang w:eastAsia="zh-CN"/>
        </w:rPr>
        <w:t>96%</w:t>
      </w:r>
      <w:r w:rsidR="00390AE4" w:rsidRPr="00390AE4">
        <w:rPr>
          <w:rFonts w:hint="eastAsia"/>
          <w:lang w:eastAsia="zh-CN"/>
        </w:rPr>
        <w:t>。</w:t>
      </w:r>
    </w:p>
    <w:p w14:paraId="415F180B" w14:textId="2C120354" w:rsidR="00390AE4" w:rsidRPr="00390AE4" w:rsidRDefault="00F1013F" w:rsidP="00390AE4">
      <w:pPr>
        <w:rPr>
          <w:lang w:eastAsia="zh-CN"/>
        </w:rPr>
      </w:pPr>
      <w:r>
        <w:rPr>
          <w:rFonts w:hint="eastAsia"/>
          <w:lang w:eastAsia="zh-CN"/>
        </w:rPr>
        <w:t>1</w:t>
      </w:r>
      <w:r>
        <w:rPr>
          <w:lang w:eastAsia="zh-CN"/>
        </w:rPr>
        <w:t>9</w:t>
      </w:r>
      <w:r>
        <w:rPr>
          <w:lang w:eastAsia="zh-CN"/>
        </w:rPr>
        <w:tab/>
      </w:r>
      <w:r w:rsidR="00390AE4" w:rsidRPr="00390AE4">
        <w:rPr>
          <w:rFonts w:hint="eastAsia"/>
          <w:lang w:eastAsia="zh-CN"/>
        </w:rPr>
        <w:t>应缴纳的分摊会费毛额应根据本组织的《组织法》和《财务规则》支付给本组织。但是，按照</w:t>
      </w:r>
      <w:r w:rsidR="00390AE4" w:rsidRPr="00390AE4">
        <w:rPr>
          <w:rFonts w:hint="eastAsia"/>
          <w:lang w:eastAsia="zh-CN"/>
        </w:rPr>
        <w:t>IPSAS</w:t>
      </w:r>
      <w:r w:rsidR="00390AE4" w:rsidRPr="00390AE4">
        <w:rPr>
          <w:rFonts w:hint="eastAsia"/>
          <w:lang w:eastAsia="zh-CN"/>
        </w:rPr>
        <w:t>的要求，当预计不会缴纳会费时，则根据《财务规则和财务细则》留出一笔备抵。</w:t>
      </w:r>
    </w:p>
    <w:p w14:paraId="782A3A88" w14:textId="77777777" w:rsidR="00390AE4" w:rsidRPr="00390AE4" w:rsidRDefault="00390AE4" w:rsidP="00F1013F">
      <w:pPr>
        <w:pStyle w:val="Headingb"/>
        <w:rPr>
          <w:lang w:eastAsia="zh-CN"/>
        </w:rPr>
      </w:pPr>
      <w:r w:rsidRPr="00390AE4">
        <w:rPr>
          <w:rFonts w:hint="eastAsia"/>
          <w:lang w:eastAsia="zh-CN"/>
        </w:rPr>
        <w:t>负债</w:t>
      </w:r>
    </w:p>
    <w:p w14:paraId="32C4461D" w14:textId="2D9718D7" w:rsidR="00390AE4" w:rsidRPr="00390AE4" w:rsidRDefault="00F1013F" w:rsidP="00390AE4">
      <w:pPr>
        <w:rPr>
          <w:lang w:eastAsia="zh-CN"/>
        </w:rPr>
      </w:pPr>
      <w:r>
        <w:rPr>
          <w:rFonts w:hint="eastAsia"/>
          <w:lang w:eastAsia="zh-CN"/>
        </w:rPr>
        <w:t>2</w:t>
      </w:r>
      <w:r>
        <w:rPr>
          <w:lang w:eastAsia="zh-CN"/>
        </w:rPr>
        <w:t>0</w:t>
      </w:r>
      <w:r>
        <w:rPr>
          <w:lang w:eastAsia="zh-CN"/>
        </w:rPr>
        <w:tab/>
      </w:r>
      <w:r w:rsidR="00390AE4" w:rsidRPr="00390AE4">
        <w:rPr>
          <w:rFonts w:hint="eastAsia"/>
          <w:lang w:eastAsia="zh-CN"/>
        </w:rPr>
        <w:t>截至</w:t>
      </w:r>
      <w:r w:rsidR="00390AE4" w:rsidRPr="00390AE4">
        <w:rPr>
          <w:rFonts w:hint="eastAsia"/>
          <w:lang w:eastAsia="zh-CN"/>
        </w:rPr>
        <w:t>2022</w:t>
      </w:r>
      <w:r w:rsidR="00390AE4" w:rsidRPr="00390AE4">
        <w:rPr>
          <w:rFonts w:hint="eastAsia"/>
          <w:lang w:eastAsia="zh-CN"/>
        </w:rPr>
        <w:t>年</w:t>
      </w:r>
      <w:r w:rsidR="00390AE4" w:rsidRPr="00390AE4">
        <w:rPr>
          <w:rFonts w:hint="eastAsia"/>
          <w:lang w:eastAsia="zh-CN"/>
        </w:rPr>
        <w:t>12</w:t>
      </w:r>
      <w:r w:rsidR="00390AE4" w:rsidRPr="00390AE4">
        <w:rPr>
          <w:rFonts w:hint="eastAsia"/>
          <w:lang w:eastAsia="zh-CN"/>
        </w:rPr>
        <w:t>月</w:t>
      </w:r>
      <w:r w:rsidR="00390AE4" w:rsidRPr="00390AE4">
        <w:rPr>
          <w:rFonts w:hint="eastAsia"/>
          <w:lang w:eastAsia="zh-CN"/>
        </w:rPr>
        <w:t>31</w:t>
      </w:r>
      <w:r w:rsidR="00390AE4" w:rsidRPr="00390AE4">
        <w:rPr>
          <w:rFonts w:hint="eastAsia"/>
          <w:lang w:eastAsia="zh-CN"/>
        </w:rPr>
        <w:t>日，总负债为</w:t>
      </w:r>
      <w:r w:rsidR="00390AE4" w:rsidRPr="00390AE4">
        <w:rPr>
          <w:rFonts w:hint="eastAsia"/>
          <w:lang w:eastAsia="zh-CN"/>
        </w:rPr>
        <w:t>5.309</w:t>
      </w:r>
      <w:r w:rsidR="00390AE4" w:rsidRPr="00390AE4">
        <w:rPr>
          <w:rFonts w:hint="eastAsia"/>
          <w:lang w:eastAsia="zh-CN"/>
        </w:rPr>
        <w:t>亿瑞郎（截至</w:t>
      </w:r>
      <w:r w:rsidR="00390AE4" w:rsidRPr="00390AE4">
        <w:rPr>
          <w:rFonts w:hint="eastAsia"/>
          <w:lang w:eastAsia="zh-CN"/>
        </w:rPr>
        <w:t>2021</w:t>
      </w:r>
      <w:r w:rsidR="00390AE4" w:rsidRPr="00390AE4">
        <w:rPr>
          <w:rFonts w:hint="eastAsia"/>
          <w:lang w:eastAsia="zh-CN"/>
        </w:rPr>
        <w:t>年</w:t>
      </w:r>
      <w:r w:rsidR="00390AE4" w:rsidRPr="00390AE4">
        <w:rPr>
          <w:rFonts w:hint="eastAsia"/>
          <w:lang w:eastAsia="zh-CN"/>
        </w:rPr>
        <w:t>12</w:t>
      </w:r>
      <w:r w:rsidR="00390AE4" w:rsidRPr="00390AE4">
        <w:rPr>
          <w:rFonts w:hint="eastAsia"/>
          <w:lang w:eastAsia="zh-CN"/>
        </w:rPr>
        <w:t>月</w:t>
      </w:r>
      <w:r w:rsidR="00390AE4" w:rsidRPr="00390AE4">
        <w:rPr>
          <w:rFonts w:hint="eastAsia"/>
          <w:lang w:eastAsia="zh-CN"/>
        </w:rPr>
        <w:t>31</w:t>
      </w:r>
      <w:r w:rsidR="00390AE4" w:rsidRPr="00390AE4">
        <w:rPr>
          <w:rFonts w:hint="eastAsia"/>
          <w:lang w:eastAsia="zh-CN"/>
        </w:rPr>
        <w:t>日为</w:t>
      </w:r>
      <w:r w:rsidR="00390AE4" w:rsidRPr="00390AE4">
        <w:rPr>
          <w:rFonts w:hint="eastAsia"/>
          <w:lang w:eastAsia="zh-CN"/>
        </w:rPr>
        <w:t>7.484</w:t>
      </w:r>
      <w:r w:rsidR="00390AE4" w:rsidRPr="00390AE4">
        <w:rPr>
          <w:rFonts w:hint="eastAsia"/>
          <w:lang w:eastAsia="zh-CN"/>
        </w:rPr>
        <w:t>亿瑞郎）。</w:t>
      </w:r>
    </w:p>
    <w:p w14:paraId="2EC289D2" w14:textId="77777777" w:rsidR="00390AE4" w:rsidRPr="00390AE4" w:rsidRDefault="00390AE4" w:rsidP="00F1013F">
      <w:pPr>
        <w:pStyle w:val="Headingb"/>
        <w:rPr>
          <w:lang w:eastAsia="zh-CN"/>
        </w:rPr>
      </w:pPr>
      <w:r w:rsidRPr="00390AE4">
        <w:rPr>
          <w:rFonts w:hint="eastAsia"/>
          <w:lang w:eastAsia="zh-CN"/>
        </w:rPr>
        <w:t>员工福利</w:t>
      </w:r>
    </w:p>
    <w:p w14:paraId="1BE0D729" w14:textId="6DDC4153" w:rsidR="00390AE4" w:rsidRPr="00390AE4" w:rsidRDefault="00F1013F" w:rsidP="00390AE4">
      <w:pPr>
        <w:rPr>
          <w:lang w:eastAsia="zh-CN"/>
        </w:rPr>
      </w:pPr>
      <w:bookmarkStart w:id="26" w:name="lt_pId079"/>
      <w:r>
        <w:rPr>
          <w:rFonts w:hint="eastAsia"/>
          <w:lang w:eastAsia="zh-CN"/>
        </w:rPr>
        <w:t>2</w:t>
      </w:r>
      <w:r>
        <w:rPr>
          <w:lang w:eastAsia="zh-CN"/>
        </w:rPr>
        <w:t>1</w:t>
      </w:r>
      <w:r>
        <w:rPr>
          <w:lang w:eastAsia="zh-CN"/>
        </w:rPr>
        <w:tab/>
      </w:r>
      <w:r w:rsidR="00390AE4" w:rsidRPr="00390AE4">
        <w:rPr>
          <w:rFonts w:hint="eastAsia"/>
          <w:lang w:eastAsia="zh-CN"/>
        </w:rPr>
        <w:t>最大的负债是职员和退休人员累积的未来职员福利。</w:t>
      </w:r>
      <w:bookmarkEnd w:id="26"/>
      <w:r w:rsidR="00390AE4" w:rsidRPr="00390AE4">
        <w:rPr>
          <w:rFonts w:hint="eastAsia"/>
          <w:lang w:eastAsia="zh-CN"/>
        </w:rPr>
        <w:t>截至</w:t>
      </w:r>
      <w:r w:rsidR="00390AE4" w:rsidRPr="00390AE4">
        <w:rPr>
          <w:rFonts w:hint="eastAsia"/>
          <w:lang w:eastAsia="zh-CN"/>
        </w:rPr>
        <w:t>2022</w:t>
      </w:r>
      <w:r w:rsidR="00390AE4" w:rsidRPr="00390AE4">
        <w:rPr>
          <w:rFonts w:hint="eastAsia"/>
          <w:lang w:eastAsia="zh-CN"/>
        </w:rPr>
        <w:t>年</w:t>
      </w:r>
      <w:r w:rsidR="00390AE4" w:rsidRPr="00390AE4">
        <w:rPr>
          <w:rFonts w:hint="eastAsia"/>
          <w:lang w:eastAsia="zh-CN"/>
        </w:rPr>
        <w:t>12</w:t>
      </w:r>
      <w:r w:rsidR="00390AE4" w:rsidRPr="00390AE4">
        <w:rPr>
          <w:rFonts w:hint="eastAsia"/>
          <w:lang w:eastAsia="zh-CN"/>
        </w:rPr>
        <w:t>月</w:t>
      </w:r>
      <w:r w:rsidR="00390AE4" w:rsidRPr="00390AE4">
        <w:rPr>
          <w:rFonts w:hint="eastAsia"/>
          <w:lang w:eastAsia="zh-CN"/>
        </w:rPr>
        <w:t>31</w:t>
      </w:r>
      <w:r w:rsidR="00390AE4" w:rsidRPr="00390AE4">
        <w:rPr>
          <w:rFonts w:hint="eastAsia"/>
          <w:lang w:eastAsia="zh-CN"/>
        </w:rPr>
        <w:t>日，仅离职后健康保险（</w:t>
      </w:r>
      <w:r w:rsidR="00390AE4" w:rsidRPr="00390AE4">
        <w:rPr>
          <w:rFonts w:hint="eastAsia"/>
          <w:lang w:eastAsia="zh-CN"/>
        </w:rPr>
        <w:t>ASHI</w:t>
      </w:r>
      <w:r w:rsidR="00390AE4" w:rsidRPr="00390AE4">
        <w:rPr>
          <w:rFonts w:hint="eastAsia"/>
          <w:lang w:eastAsia="zh-CN"/>
        </w:rPr>
        <w:t>）一项就占国际电联总负债的</w:t>
      </w:r>
      <w:r w:rsidR="00390AE4" w:rsidRPr="00390AE4">
        <w:rPr>
          <w:rFonts w:hint="eastAsia"/>
          <w:lang w:eastAsia="zh-CN"/>
        </w:rPr>
        <w:t>68%</w:t>
      </w:r>
      <w:r w:rsidR="00390AE4" w:rsidRPr="00390AE4">
        <w:rPr>
          <w:rFonts w:hint="eastAsia"/>
          <w:lang w:eastAsia="zh-CN"/>
        </w:rPr>
        <w:t>。然而，与</w:t>
      </w:r>
      <w:r w:rsidR="00390AE4" w:rsidRPr="00390AE4">
        <w:rPr>
          <w:rFonts w:hint="eastAsia"/>
          <w:lang w:eastAsia="zh-CN"/>
        </w:rPr>
        <w:t>2021</w:t>
      </w:r>
      <w:r w:rsidR="00390AE4" w:rsidRPr="00390AE4">
        <w:rPr>
          <w:rFonts w:hint="eastAsia"/>
          <w:lang w:eastAsia="zh-CN"/>
        </w:rPr>
        <w:t>年相比，</w:t>
      </w:r>
      <w:r w:rsidR="00390AE4" w:rsidRPr="00390AE4">
        <w:rPr>
          <w:rFonts w:hint="eastAsia"/>
          <w:lang w:eastAsia="zh-CN"/>
        </w:rPr>
        <w:t>2022</w:t>
      </w:r>
      <w:r w:rsidR="00390AE4" w:rsidRPr="00390AE4">
        <w:rPr>
          <w:rFonts w:hint="eastAsia"/>
          <w:lang w:eastAsia="zh-CN"/>
        </w:rPr>
        <w:t>年的</w:t>
      </w:r>
      <w:r w:rsidR="00390AE4" w:rsidRPr="00390AE4">
        <w:rPr>
          <w:rFonts w:hint="eastAsia"/>
          <w:lang w:eastAsia="zh-CN"/>
        </w:rPr>
        <w:t>ASHI</w:t>
      </w:r>
      <w:r w:rsidR="00390AE4" w:rsidRPr="00390AE4">
        <w:rPr>
          <w:rFonts w:hint="eastAsia"/>
          <w:lang w:eastAsia="zh-CN"/>
        </w:rPr>
        <w:t>负债减少了</w:t>
      </w:r>
      <w:r w:rsidR="00390AE4" w:rsidRPr="00390AE4">
        <w:rPr>
          <w:rFonts w:hint="eastAsia"/>
          <w:lang w:eastAsia="zh-CN"/>
        </w:rPr>
        <w:t>2.016</w:t>
      </w:r>
      <w:r w:rsidR="00390AE4" w:rsidRPr="00390AE4">
        <w:rPr>
          <w:rFonts w:hint="eastAsia"/>
          <w:lang w:eastAsia="zh-CN"/>
        </w:rPr>
        <w:t>亿瑞郎。这主要是由于全球利率提高导致的贴现率提高。</w:t>
      </w:r>
    </w:p>
    <w:p w14:paraId="0CA2A302" w14:textId="349A815E" w:rsidR="00390AE4" w:rsidRPr="00390AE4" w:rsidRDefault="00F1013F" w:rsidP="00390AE4">
      <w:pPr>
        <w:rPr>
          <w:lang w:eastAsia="zh-CN"/>
        </w:rPr>
      </w:pPr>
      <w:r>
        <w:rPr>
          <w:rFonts w:hint="eastAsia"/>
          <w:lang w:eastAsia="zh-CN"/>
        </w:rPr>
        <w:t>2</w:t>
      </w:r>
      <w:r>
        <w:rPr>
          <w:lang w:eastAsia="zh-CN"/>
        </w:rPr>
        <w:t>2</w:t>
      </w:r>
      <w:r>
        <w:rPr>
          <w:lang w:eastAsia="zh-CN"/>
        </w:rPr>
        <w:tab/>
      </w:r>
      <w:r w:rsidR="00390AE4" w:rsidRPr="00390AE4">
        <w:rPr>
          <w:rFonts w:hint="eastAsia"/>
          <w:lang w:eastAsia="zh-CN"/>
        </w:rPr>
        <w:t>国际电联以现收现付法为</w:t>
      </w:r>
      <w:r w:rsidR="00390AE4" w:rsidRPr="00390AE4">
        <w:rPr>
          <w:rFonts w:hint="eastAsia"/>
          <w:lang w:eastAsia="zh-CN"/>
        </w:rPr>
        <w:t>ASHI</w:t>
      </w:r>
      <w:r w:rsidR="00390AE4" w:rsidRPr="00390AE4">
        <w:rPr>
          <w:rFonts w:hint="eastAsia"/>
          <w:lang w:eastAsia="zh-CN"/>
        </w:rPr>
        <w:t>负债到期的付款提供资金。</w:t>
      </w:r>
      <w:r w:rsidR="00390AE4" w:rsidRPr="00390AE4">
        <w:rPr>
          <w:rFonts w:hint="eastAsia"/>
          <w:lang w:eastAsia="zh-CN"/>
        </w:rPr>
        <w:t>2022-2023</w:t>
      </w:r>
      <w:r w:rsidR="00390AE4" w:rsidRPr="00390AE4">
        <w:rPr>
          <w:rFonts w:hint="eastAsia"/>
          <w:lang w:eastAsia="zh-CN"/>
        </w:rPr>
        <w:t>年预算中的第</w:t>
      </w:r>
      <w:r w:rsidR="00390AE4" w:rsidRPr="00390AE4">
        <w:rPr>
          <w:rFonts w:hint="eastAsia"/>
          <w:lang w:eastAsia="zh-CN"/>
        </w:rPr>
        <w:t>1405</w:t>
      </w:r>
      <w:r w:rsidR="00390AE4" w:rsidRPr="00390AE4">
        <w:rPr>
          <w:rFonts w:hint="eastAsia"/>
          <w:lang w:eastAsia="zh-CN"/>
        </w:rPr>
        <w:t>号决议项下规定每年从储备金账目中提取</w:t>
      </w:r>
      <w:r w:rsidR="00390AE4" w:rsidRPr="00390AE4">
        <w:rPr>
          <w:rFonts w:hint="eastAsia"/>
          <w:lang w:eastAsia="zh-CN"/>
        </w:rPr>
        <w:t>100</w:t>
      </w:r>
      <w:r w:rsidR="00390AE4" w:rsidRPr="00390AE4">
        <w:rPr>
          <w:rFonts w:hint="eastAsia"/>
          <w:lang w:eastAsia="zh-CN"/>
        </w:rPr>
        <w:t>万瑞郎，为长期债务提供资金。按照</w:t>
      </w:r>
      <w:r w:rsidR="00390AE4" w:rsidRPr="00390AE4">
        <w:rPr>
          <w:rFonts w:hint="eastAsia"/>
          <w:lang w:eastAsia="zh-CN"/>
        </w:rPr>
        <w:t>IPSAS-39</w:t>
      </w:r>
      <w:r w:rsidR="00390AE4" w:rsidRPr="00390AE4">
        <w:rPr>
          <w:rFonts w:hint="eastAsia"/>
          <w:lang w:eastAsia="zh-CN"/>
        </w:rPr>
        <w:t>的规定，没有计划资产抵消负债。然而，截至</w:t>
      </w:r>
      <w:r w:rsidR="00390AE4" w:rsidRPr="00390AE4">
        <w:rPr>
          <w:rFonts w:hint="eastAsia"/>
          <w:lang w:eastAsia="zh-CN"/>
        </w:rPr>
        <w:t>2022</w:t>
      </w:r>
      <w:r w:rsidR="00390AE4" w:rsidRPr="00390AE4">
        <w:rPr>
          <w:rFonts w:hint="eastAsia"/>
          <w:lang w:eastAsia="zh-CN"/>
        </w:rPr>
        <w:t>年</w:t>
      </w:r>
      <w:r w:rsidR="00390AE4" w:rsidRPr="00390AE4">
        <w:rPr>
          <w:rFonts w:hint="eastAsia"/>
          <w:lang w:eastAsia="zh-CN"/>
        </w:rPr>
        <w:t>12</w:t>
      </w:r>
      <w:r w:rsidR="00390AE4" w:rsidRPr="00390AE4">
        <w:rPr>
          <w:rFonts w:hint="eastAsia"/>
          <w:lang w:eastAsia="zh-CN"/>
        </w:rPr>
        <w:t>月</w:t>
      </w:r>
      <w:r w:rsidR="00390AE4" w:rsidRPr="00390AE4">
        <w:rPr>
          <w:rFonts w:hint="eastAsia"/>
          <w:lang w:eastAsia="zh-CN"/>
        </w:rPr>
        <w:t>31</w:t>
      </w:r>
      <w:r w:rsidR="00390AE4" w:rsidRPr="00390AE4">
        <w:rPr>
          <w:rFonts w:hint="eastAsia"/>
          <w:lang w:eastAsia="zh-CN"/>
        </w:rPr>
        <w:t>日，</w:t>
      </w:r>
      <w:r w:rsidR="00390AE4" w:rsidRPr="00390AE4">
        <w:rPr>
          <w:rFonts w:hint="eastAsia"/>
          <w:lang w:eastAsia="zh-CN"/>
        </w:rPr>
        <w:t>ASHI</w:t>
      </w:r>
      <w:r w:rsidR="00390AE4" w:rsidRPr="00390AE4">
        <w:rPr>
          <w:rFonts w:hint="eastAsia"/>
          <w:lang w:eastAsia="zh-CN"/>
        </w:rPr>
        <w:t>专账中已累积了</w:t>
      </w:r>
      <w:r w:rsidR="00390AE4" w:rsidRPr="00390AE4">
        <w:rPr>
          <w:rFonts w:hint="eastAsia"/>
          <w:lang w:eastAsia="zh-CN"/>
        </w:rPr>
        <w:t>1</w:t>
      </w:r>
      <w:r>
        <w:rPr>
          <w:lang w:eastAsia="zh-CN"/>
        </w:rPr>
        <w:t xml:space="preserve"> </w:t>
      </w:r>
      <w:r w:rsidR="00390AE4" w:rsidRPr="00390AE4">
        <w:rPr>
          <w:lang w:eastAsia="zh-CN"/>
        </w:rPr>
        <w:t>400</w:t>
      </w:r>
      <w:r w:rsidR="00390AE4" w:rsidRPr="00390AE4">
        <w:rPr>
          <w:rFonts w:hint="eastAsia"/>
          <w:lang w:eastAsia="zh-CN"/>
        </w:rPr>
        <w:t>万瑞郎用于支付未来负债。</w:t>
      </w:r>
    </w:p>
    <w:p w14:paraId="5654430A" w14:textId="77777777" w:rsidR="00390AE4" w:rsidRPr="00390AE4" w:rsidRDefault="00390AE4" w:rsidP="00F1013F">
      <w:pPr>
        <w:pStyle w:val="Headingb"/>
        <w:rPr>
          <w:lang w:eastAsia="zh-CN"/>
        </w:rPr>
      </w:pPr>
      <w:r w:rsidRPr="00390AE4">
        <w:rPr>
          <w:rFonts w:hint="eastAsia"/>
          <w:lang w:eastAsia="zh-CN"/>
        </w:rPr>
        <w:lastRenderedPageBreak/>
        <w:t>长期借款</w:t>
      </w:r>
    </w:p>
    <w:p w14:paraId="0DF6A36E" w14:textId="78F25C2C" w:rsidR="00390AE4" w:rsidRPr="00390AE4" w:rsidRDefault="00F1013F" w:rsidP="00390AE4">
      <w:pPr>
        <w:rPr>
          <w:lang w:eastAsia="zh-CN"/>
        </w:rPr>
      </w:pPr>
      <w:r>
        <w:rPr>
          <w:rFonts w:hint="eastAsia"/>
          <w:lang w:eastAsia="zh-CN"/>
        </w:rPr>
        <w:t>2</w:t>
      </w:r>
      <w:r>
        <w:rPr>
          <w:lang w:eastAsia="zh-CN"/>
        </w:rPr>
        <w:t>3</w:t>
      </w:r>
      <w:r>
        <w:rPr>
          <w:lang w:eastAsia="zh-CN"/>
        </w:rPr>
        <w:tab/>
      </w:r>
      <w:r w:rsidR="00390AE4" w:rsidRPr="00390AE4">
        <w:rPr>
          <w:rFonts w:hint="eastAsia"/>
          <w:lang w:eastAsia="zh-CN"/>
        </w:rPr>
        <w:t>目前，国际电联从国际组织不动产基金会（</w:t>
      </w:r>
      <w:r w:rsidR="00390AE4" w:rsidRPr="00390AE4">
        <w:rPr>
          <w:rFonts w:hint="eastAsia"/>
          <w:lang w:eastAsia="zh-CN"/>
        </w:rPr>
        <w:t>FIPOI</w:t>
      </w:r>
      <w:r w:rsidR="00390AE4" w:rsidRPr="00390AE4">
        <w:rPr>
          <w:rFonts w:hint="eastAsia"/>
          <w:lang w:eastAsia="zh-CN"/>
        </w:rPr>
        <w:t>）获得了四笔无息贷款。截至</w:t>
      </w:r>
      <w:r w:rsidR="00390AE4" w:rsidRPr="00390AE4">
        <w:rPr>
          <w:rFonts w:hint="eastAsia"/>
          <w:lang w:eastAsia="zh-CN"/>
        </w:rPr>
        <w:t>2022</w:t>
      </w:r>
      <w:r w:rsidR="00390AE4" w:rsidRPr="00390AE4">
        <w:rPr>
          <w:rFonts w:hint="eastAsia"/>
          <w:lang w:eastAsia="zh-CN"/>
        </w:rPr>
        <w:t>年</w:t>
      </w:r>
      <w:r w:rsidR="00390AE4" w:rsidRPr="00390AE4">
        <w:rPr>
          <w:rFonts w:hint="eastAsia"/>
          <w:lang w:eastAsia="zh-CN"/>
        </w:rPr>
        <w:t>12</w:t>
      </w:r>
      <w:r w:rsidR="00390AE4" w:rsidRPr="00390AE4">
        <w:rPr>
          <w:rFonts w:hint="eastAsia"/>
          <w:lang w:eastAsia="zh-CN"/>
        </w:rPr>
        <w:t>月</w:t>
      </w:r>
      <w:r w:rsidR="00390AE4" w:rsidRPr="00390AE4">
        <w:rPr>
          <w:rFonts w:hint="eastAsia"/>
          <w:lang w:eastAsia="zh-CN"/>
        </w:rPr>
        <w:t>31</w:t>
      </w:r>
      <w:r w:rsidR="00390AE4" w:rsidRPr="00390AE4">
        <w:rPr>
          <w:rFonts w:hint="eastAsia"/>
          <w:lang w:eastAsia="zh-CN"/>
        </w:rPr>
        <w:t>日，其中三笔贷款按公允价值反映在财务报表中。第四笔贷款尚未确定还款时间表，因此在开始偿还该贷款之前按摊销成本估价。未偿金额的总面值为</w:t>
      </w:r>
      <w:r w:rsidR="00390AE4" w:rsidRPr="00390AE4">
        <w:rPr>
          <w:rFonts w:hint="eastAsia"/>
          <w:lang w:eastAsia="zh-CN"/>
        </w:rPr>
        <w:t>5</w:t>
      </w:r>
      <w:r>
        <w:rPr>
          <w:lang w:eastAsia="zh-CN"/>
        </w:rPr>
        <w:t xml:space="preserve"> </w:t>
      </w:r>
      <w:r w:rsidR="00390AE4" w:rsidRPr="00390AE4">
        <w:rPr>
          <w:rFonts w:hint="eastAsia"/>
          <w:lang w:eastAsia="zh-CN"/>
        </w:rPr>
        <w:t>450</w:t>
      </w:r>
      <w:r w:rsidR="00390AE4" w:rsidRPr="00390AE4">
        <w:rPr>
          <w:rFonts w:hint="eastAsia"/>
          <w:lang w:eastAsia="zh-CN"/>
        </w:rPr>
        <w:t>万瑞郎（如报表一所示，净现值为</w:t>
      </w:r>
      <w:r w:rsidR="00390AE4" w:rsidRPr="00390AE4">
        <w:rPr>
          <w:rFonts w:hint="eastAsia"/>
          <w:lang w:eastAsia="zh-CN"/>
        </w:rPr>
        <w:t>4</w:t>
      </w:r>
      <w:r>
        <w:rPr>
          <w:lang w:eastAsia="zh-CN"/>
        </w:rPr>
        <w:t xml:space="preserve"> </w:t>
      </w:r>
      <w:r w:rsidR="00390AE4" w:rsidRPr="00390AE4">
        <w:rPr>
          <w:rFonts w:hint="eastAsia"/>
          <w:lang w:eastAsia="zh-CN"/>
        </w:rPr>
        <w:t>830</w:t>
      </w:r>
      <w:r w:rsidR="00390AE4" w:rsidRPr="00390AE4">
        <w:rPr>
          <w:rFonts w:hint="eastAsia"/>
          <w:lang w:eastAsia="zh-CN"/>
        </w:rPr>
        <w:t>万瑞郎），其中</w:t>
      </w:r>
      <w:r w:rsidR="00390AE4" w:rsidRPr="00390AE4">
        <w:rPr>
          <w:rFonts w:hint="eastAsia"/>
          <w:lang w:eastAsia="zh-CN"/>
        </w:rPr>
        <w:t>3</w:t>
      </w:r>
      <w:r w:rsidR="00390AE4" w:rsidRPr="00390AE4">
        <w:rPr>
          <w:rFonts w:hint="eastAsia"/>
          <w:lang w:eastAsia="zh-CN"/>
        </w:rPr>
        <w:t>份为偿还现有办公楼，截至</w:t>
      </w:r>
      <w:r w:rsidR="00390AE4" w:rsidRPr="00390AE4">
        <w:rPr>
          <w:rFonts w:hint="eastAsia"/>
          <w:lang w:eastAsia="zh-CN"/>
        </w:rPr>
        <w:t>2022</w:t>
      </w:r>
      <w:r w:rsidR="00390AE4" w:rsidRPr="00390AE4">
        <w:rPr>
          <w:rFonts w:hint="eastAsia"/>
          <w:lang w:eastAsia="zh-CN"/>
        </w:rPr>
        <w:t>年</w:t>
      </w:r>
      <w:r w:rsidR="00390AE4" w:rsidRPr="00390AE4">
        <w:rPr>
          <w:rFonts w:hint="eastAsia"/>
          <w:lang w:eastAsia="zh-CN"/>
        </w:rPr>
        <w:t>12</w:t>
      </w:r>
      <w:r w:rsidR="00390AE4" w:rsidRPr="00390AE4">
        <w:rPr>
          <w:rFonts w:hint="eastAsia"/>
          <w:lang w:eastAsia="zh-CN"/>
        </w:rPr>
        <w:t>月</w:t>
      </w:r>
      <w:r w:rsidR="00390AE4" w:rsidRPr="00390AE4">
        <w:rPr>
          <w:rFonts w:hint="eastAsia"/>
          <w:lang w:eastAsia="zh-CN"/>
        </w:rPr>
        <w:t>31</w:t>
      </w:r>
      <w:r w:rsidR="00390AE4" w:rsidRPr="00390AE4">
        <w:rPr>
          <w:rFonts w:hint="eastAsia"/>
          <w:lang w:eastAsia="zh-CN"/>
        </w:rPr>
        <w:t>日的未偿款额为</w:t>
      </w:r>
      <w:r w:rsidR="00390AE4" w:rsidRPr="00390AE4">
        <w:rPr>
          <w:rFonts w:hint="eastAsia"/>
          <w:lang w:eastAsia="zh-CN"/>
        </w:rPr>
        <w:t>3</w:t>
      </w:r>
      <w:r>
        <w:rPr>
          <w:lang w:eastAsia="zh-CN"/>
        </w:rPr>
        <w:t xml:space="preserve"> </w:t>
      </w:r>
      <w:r w:rsidR="00390AE4" w:rsidRPr="00390AE4">
        <w:rPr>
          <w:rFonts w:hint="eastAsia"/>
          <w:lang w:eastAsia="zh-CN"/>
        </w:rPr>
        <w:t>500</w:t>
      </w:r>
      <w:r w:rsidR="00390AE4" w:rsidRPr="00390AE4">
        <w:rPr>
          <w:rFonts w:hint="eastAsia"/>
          <w:lang w:eastAsia="zh-CN"/>
        </w:rPr>
        <w:t>万瑞郎（现净值为</w:t>
      </w:r>
      <w:r w:rsidR="00390AE4" w:rsidRPr="00390AE4">
        <w:rPr>
          <w:rFonts w:hint="eastAsia"/>
          <w:lang w:eastAsia="zh-CN"/>
        </w:rPr>
        <w:t>2</w:t>
      </w:r>
      <w:r>
        <w:rPr>
          <w:lang w:eastAsia="zh-CN"/>
        </w:rPr>
        <w:t xml:space="preserve"> </w:t>
      </w:r>
      <w:r w:rsidR="00390AE4" w:rsidRPr="00390AE4">
        <w:rPr>
          <w:rFonts w:hint="eastAsia"/>
          <w:lang w:eastAsia="zh-CN"/>
        </w:rPr>
        <w:t>890</w:t>
      </w:r>
      <w:r w:rsidR="00390AE4" w:rsidRPr="00390AE4">
        <w:rPr>
          <w:rFonts w:hint="eastAsia"/>
          <w:lang w:eastAsia="zh-CN"/>
        </w:rPr>
        <w:t>万瑞郎）（原为</w:t>
      </w:r>
      <w:r w:rsidR="00390AE4" w:rsidRPr="00390AE4">
        <w:rPr>
          <w:rFonts w:hint="eastAsia"/>
          <w:lang w:eastAsia="zh-CN"/>
        </w:rPr>
        <w:t>6</w:t>
      </w:r>
      <w:r>
        <w:rPr>
          <w:lang w:eastAsia="zh-CN"/>
        </w:rPr>
        <w:t xml:space="preserve"> </w:t>
      </w:r>
      <w:r w:rsidR="00390AE4" w:rsidRPr="00390AE4">
        <w:rPr>
          <w:rFonts w:hint="eastAsia"/>
          <w:lang w:eastAsia="zh-CN"/>
        </w:rPr>
        <w:t>700</w:t>
      </w:r>
      <w:r w:rsidR="00390AE4" w:rsidRPr="00390AE4">
        <w:rPr>
          <w:rFonts w:hint="eastAsia"/>
          <w:lang w:eastAsia="zh-CN"/>
        </w:rPr>
        <w:t>万瑞郎）。这些贷款的还款期为一年，第一笔贷款（未偿金额为</w:t>
      </w:r>
      <w:r w:rsidR="00390AE4" w:rsidRPr="00390AE4">
        <w:rPr>
          <w:rFonts w:hint="eastAsia"/>
          <w:lang w:eastAsia="zh-CN"/>
        </w:rPr>
        <w:t>750</w:t>
      </w:r>
      <w:r w:rsidR="00390AE4" w:rsidRPr="00390AE4">
        <w:rPr>
          <w:rFonts w:hint="eastAsia"/>
          <w:lang w:eastAsia="zh-CN"/>
        </w:rPr>
        <w:t>万瑞郎）（现值净值为</w:t>
      </w:r>
      <w:r w:rsidR="00390AE4" w:rsidRPr="00390AE4">
        <w:rPr>
          <w:rFonts w:hint="eastAsia"/>
          <w:lang w:eastAsia="zh-CN"/>
        </w:rPr>
        <w:t>660</w:t>
      </w:r>
      <w:r w:rsidR="00390AE4" w:rsidRPr="00390AE4">
        <w:rPr>
          <w:rFonts w:hint="eastAsia"/>
          <w:lang w:eastAsia="zh-CN"/>
        </w:rPr>
        <w:t>万瑞郎）最后一期还款期至</w:t>
      </w:r>
      <w:r w:rsidR="00390AE4" w:rsidRPr="00390AE4">
        <w:rPr>
          <w:rFonts w:hint="eastAsia"/>
          <w:lang w:eastAsia="zh-CN"/>
        </w:rPr>
        <w:t>2039</w:t>
      </w:r>
      <w:r w:rsidR="00390AE4" w:rsidRPr="00390AE4">
        <w:rPr>
          <w:rFonts w:hint="eastAsia"/>
          <w:lang w:eastAsia="zh-CN"/>
        </w:rPr>
        <w:t>年，第</w:t>
      </w:r>
      <w:r w:rsidR="00390AE4" w:rsidRPr="00390AE4">
        <w:rPr>
          <w:rFonts w:hint="eastAsia"/>
          <w:lang w:eastAsia="zh-CN"/>
        </w:rPr>
        <w:t>2</w:t>
      </w:r>
      <w:r w:rsidR="00390AE4" w:rsidRPr="00390AE4">
        <w:rPr>
          <w:rFonts w:hint="eastAsia"/>
          <w:lang w:eastAsia="zh-CN"/>
        </w:rPr>
        <w:t>和第</w:t>
      </w:r>
      <w:r w:rsidR="00390AE4" w:rsidRPr="00390AE4">
        <w:rPr>
          <w:rFonts w:hint="eastAsia"/>
          <w:lang w:eastAsia="zh-CN"/>
        </w:rPr>
        <w:t>3</w:t>
      </w:r>
      <w:r w:rsidR="00390AE4" w:rsidRPr="00390AE4">
        <w:rPr>
          <w:rFonts w:hint="eastAsia"/>
          <w:lang w:eastAsia="zh-CN"/>
        </w:rPr>
        <w:t>笔贷款（未偿金额为</w:t>
      </w:r>
      <w:r w:rsidR="00390AE4" w:rsidRPr="00390AE4">
        <w:rPr>
          <w:rFonts w:hint="eastAsia"/>
          <w:lang w:eastAsia="zh-CN"/>
        </w:rPr>
        <w:t>2</w:t>
      </w:r>
      <w:r w:rsidR="00113660">
        <w:rPr>
          <w:lang w:eastAsia="zh-CN"/>
        </w:rPr>
        <w:t xml:space="preserve"> </w:t>
      </w:r>
      <w:r w:rsidR="00390AE4" w:rsidRPr="00390AE4">
        <w:rPr>
          <w:rFonts w:hint="eastAsia"/>
          <w:lang w:eastAsia="zh-CN"/>
        </w:rPr>
        <w:t>750</w:t>
      </w:r>
      <w:r w:rsidR="00390AE4" w:rsidRPr="00390AE4">
        <w:rPr>
          <w:rFonts w:hint="eastAsia"/>
          <w:lang w:eastAsia="zh-CN"/>
        </w:rPr>
        <w:t>万瑞郎）（现值净值为</w:t>
      </w:r>
      <w:r w:rsidR="00390AE4" w:rsidRPr="00390AE4">
        <w:rPr>
          <w:rFonts w:hint="eastAsia"/>
          <w:lang w:eastAsia="zh-CN"/>
        </w:rPr>
        <w:t>2 220</w:t>
      </w:r>
      <w:r w:rsidR="00390AE4" w:rsidRPr="00390AE4">
        <w:rPr>
          <w:rFonts w:hint="eastAsia"/>
          <w:lang w:eastAsia="zh-CN"/>
        </w:rPr>
        <w:t>万瑞郎）的最后一期还款期至</w:t>
      </w:r>
      <w:r w:rsidR="00390AE4" w:rsidRPr="00390AE4">
        <w:rPr>
          <w:rFonts w:hint="eastAsia"/>
          <w:lang w:eastAsia="zh-CN"/>
        </w:rPr>
        <w:t>2051</w:t>
      </w:r>
      <w:r w:rsidR="00390AE4" w:rsidRPr="00390AE4">
        <w:rPr>
          <w:rFonts w:hint="eastAsia"/>
          <w:lang w:eastAsia="zh-CN"/>
        </w:rPr>
        <w:t>年。第四笔贷款用于新办公楼项目，未偿还贷款额为</w:t>
      </w:r>
      <w:r w:rsidR="00390AE4" w:rsidRPr="00390AE4">
        <w:rPr>
          <w:rFonts w:hint="eastAsia"/>
          <w:lang w:eastAsia="zh-CN"/>
        </w:rPr>
        <w:t>1</w:t>
      </w:r>
      <w:r w:rsidR="00113660">
        <w:rPr>
          <w:lang w:eastAsia="zh-CN"/>
        </w:rPr>
        <w:t xml:space="preserve"> </w:t>
      </w:r>
      <w:r w:rsidR="00390AE4" w:rsidRPr="00390AE4">
        <w:rPr>
          <w:rFonts w:hint="eastAsia"/>
          <w:lang w:eastAsia="zh-CN"/>
        </w:rPr>
        <w:t>950</w:t>
      </w:r>
      <w:r w:rsidR="00390AE4" w:rsidRPr="00390AE4">
        <w:rPr>
          <w:rFonts w:hint="eastAsia"/>
          <w:lang w:eastAsia="zh-CN"/>
        </w:rPr>
        <w:t>万瑞郎。</w:t>
      </w:r>
    </w:p>
    <w:p w14:paraId="75131852" w14:textId="7E790A81" w:rsidR="00390AE4" w:rsidRPr="00390AE4" w:rsidRDefault="00113660" w:rsidP="00390AE4">
      <w:pPr>
        <w:rPr>
          <w:lang w:eastAsia="zh-CN"/>
        </w:rPr>
      </w:pPr>
      <w:r>
        <w:rPr>
          <w:rFonts w:hint="eastAsia"/>
          <w:lang w:eastAsia="zh-CN"/>
        </w:rPr>
        <w:t>2</w:t>
      </w:r>
      <w:r>
        <w:rPr>
          <w:lang w:eastAsia="zh-CN"/>
        </w:rPr>
        <w:t>4</w:t>
      </w:r>
      <w:r>
        <w:rPr>
          <w:lang w:eastAsia="zh-CN"/>
        </w:rPr>
        <w:tab/>
      </w:r>
      <w:r w:rsidR="00390AE4" w:rsidRPr="00390AE4">
        <w:rPr>
          <w:rFonts w:hint="eastAsia"/>
          <w:lang w:eastAsia="zh-CN"/>
        </w:rPr>
        <w:t>使用截至</w:t>
      </w:r>
      <w:r w:rsidR="00390AE4" w:rsidRPr="00390AE4">
        <w:rPr>
          <w:rFonts w:hint="eastAsia"/>
          <w:lang w:eastAsia="zh-CN"/>
        </w:rPr>
        <w:t>2022</w:t>
      </w:r>
      <w:r w:rsidR="00390AE4" w:rsidRPr="00390AE4">
        <w:rPr>
          <w:rFonts w:hint="eastAsia"/>
          <w:lang w:eastAsia="zh-CN"/>
        </w:rPr>
        <w:t>年</w:t>
      </w:r>
      <w:r w:rsidR="00390AE4" w:rsidRPr="00390AE4">
        <w:rPr>
          <w:rFonts w:hint="eastAsia"/>
          <w:lang w:eastAsia="zh-CN"/>
        </w:rPr>
        <w:t>12</w:t>
      </w:r>
      <w:r w:rsidR="00390AE4" w:rsidRPr="00390AE4">
        <w:rPr>
          <w:rFonts w:hint="eastAsia"/>
          <w:lang w:eastAsia="zh-CN"/>
        </w:rPr>
        <w:t>月的瑞士联邦</w:t>
      </w:r>
      <w:r w:rsidR="00390AE4" w:rsidRPr="00390AE4">
        <w:rPr>
          <w:rFonts w:hint="eastAsia"/>
          <w:lang w:eastAsia="zh-CN"/>
        </w:rPr>
        <w:t>30</w:t>
      </w:r>
      <w:r w:rsidR="00390AE4" w:rsidRPr="00390AE4">
        <w:rPr>
          <w:rFonts w:hint="eastAsia"/>
          <w:lang w:eastAsia="zh-CN"/>
        </w:rPr>
        <w:t>年期债券利率</w:t>
      </w:r>
      <w:r w:rsidR="00390AE4" w:rsidRPr="00390AE4">
        <w:rPr>
          <w:rFonts w:hint="eastAsia"/>
          <w:lang w:eastAsia="zh-CN"/>
        </w:rPr>
        <w:t>1.476%</w:t>
      </w:r>
      <w:r w:rsidR="00390AE4" w:rsidRPr="00390AE4">
        <w:rPr>
          <w:rFonts w:hint="eastAsia"/>
          <w:lang w:eastAsia="zh-CN"/>
        </w:rPr>
        <w:t>（</w:t>
      </w:r>
      <w:r w:rsidR="00390AE4" w:rsidRPr="00390AE4">
        <w:rPr>
          <w:rFonts w:hint="eastAsia"/>
          <w:lang w:eastAsia="zh-CN"/>
        </w:rPr>
        <w:t>2021</w:t>
      </w:r>
      <w:r w:rsidR="00390AE4" w:rsidRPr="00390AE4">
        <w:rPr>
          <w:rFonts w:hint="eastAsia"/>
          <w:lang w:eastAsia="zh-CN"/>
        </w:rPr>
        <w:t>年为</w:t>
      </w:r>
      <w:r w:rsidR="00534B63" w:rsidRPr="00624399">
        <w:rPr>
          <w:lang w:val="es-ES" w:eastAsia="zh-CN"/>
        </w:rPr>
        <w:t>−</w:t>
      </w:r>
      <w:r w:rsidR="00390AE4" w:rsidRPr="00390AE4">
        <w:rPr>
          <w:rFonts w:hint="eastAsia"/>
          <w:lang w:eastAsia="zh-CN"/>
        </w:rPr>
        <w:t>0.095%</w:t>
      </w:r>
      <w:r w:rsidR="00390AE4" w:rsidRPr="00390AE4">
        <w:rPr>
          <w:rFonts w:hint="eastAsia"/>
          <w:lang w:eastAsia="zh-CN"/>
        </w:rPr>
        <w:t>），前</w:t>
      </w:r>
      <w:r w:rsidR="00390AE4" w:rsidRPr="00390AE4">
        <w:rPr>
          <w:rFonts w:hint="eastAsia"/>
          <w:lang w:eastAsia="zh-CN"/>
        </w:rPr>
        <w:t>3</w:t>
      </w:r>
      <w:r w:rsidR="00390AE4" w:rsidRPr="00390AE4">
        <w:rPr>
          <w:rFonts w:hint="eastAsia"/>
          <w:lang w:eastAsia="zh-CN"/>
        </w:rPr>
        <w:t>笔贷款的未偿金额已贴现。</w:t>
      </w:r>
    </w:p>
    <w:p w14:paraId="1F059502" w14:textId="62CC11E5" w:rsidR="00390AE4" w:rsidRPr="00390AE4" w:rsidRDefault="00390AE4" w:rsidP="00113660">
      <w:pPr>
        <w:pStyle w:val="Headingb"/>
        <w:rPr>
          <w:lang w:eastAsia="zh-CN"/>
        </w:rPr>
      </w:pPr>
      <w:r w:rsidRPr="00390AE4">
        <w:rPr>
          <w:rFonts w:hint="eastAsia"/>
          <w:lang w:eastAsia="zh-CN"/>
        </w:rPr>
        <w:t>预算结果与</w:t>
      </w:r>
      <w:r w:rsidRPr="00390AE4">
        <w:rPr>
          <w:rFonts w:hint="eastAsia"/>
          <w:lang w:eastAsia="zh-CN"/>
        </w:rPr>
        <w:t>IPSAS</w:t>
      </w:r>
      <w:r w:rsidRPr="00390AE4">
        <w:rPr>
          <w:rFonts w:hint="eastAsia"/>
          <w:lang w:eastAsia="zh-CN"/>
        </w:rPr>
        <w:t>结果</w:t>
      </w:r>
    </w:p>
    <w:p w14:paraId="04AEBCDB" w14:textId="6705ABC1" w:rsidR="00390AE4" w:rsidRPr="00390AE4" w:rsidRDefault="00113660" w:rsidP="00390AE4">
      <w:pPr>
        <w:rPr>
          <w:lang w:eastAsia="zh-CN"/>
        </w:rPr>
      </w:pPr>
      <w:r>
        <w:rPr>
          <w:rFonts w:hint="eastAsia"/>
          <w:lang w:eastAsia="zh-CN"/>
        </w:rPr>
        <w:t>2</w:t>
      </w:r>
      <w:r>
        <w:rPr>
          <w:lang w:eastAsia="zh-CN"/>
        </w:rPr>
        <w:t>5</w:t>
      </w:r>
      <w:r>
        <w:rPr>
          <w:lang w:eastAsia="zh-CN"/>
        </w:rPr>
        <w:tab/>
      </w:r>
      <w:r w:rsidR="00390AE4" w:rsidRPr="00390AE4">
        <w:rPr>
          <w:rFonts w:hint="eastAsia"/>
          <w:lang w:eastAsia="zh-CN"/>
        </w:rPr>
        <w:t>财务报表的报表五是根据国际电联预算框架的正常预算编制的，介绍了在经修改的现金基础上正常预算拨款的使用情况。在此基础上，本组织在正常预算拨款中超支</w:t>
      </w:r>
      <w:r w:rsidR="00390AE4" w:rsidRPr="00390AE4">
        <w:rPr>
          <w:rFonts w:hint="eastAsia"/>
          <w:lang w:eastAsia="zh-CN"/>
        </w:rPr>
        <w:t>480</w:t>
      </w:r>
      <w:r w:rsidR="00390AE4" w:rsidRPr="00390AE4">
        <w:rPr>
          <w:rFonts w:hint="eastAsia"/>
          <w:lang w:eastAsia="zh-CN"/>
        </w:rPr>
        <w:t>万瑞士法郎，这笔资金已按照上文表</w:t>
      </w:r>
      <w:r w:rsidR="00390AE4" w:rsidRPr="00390AE4">
        <w:rPr>
          <w:rFonts w:hint="eastAsia"/>
          <w:lang w:eastAsia="zh-CN"/>
        </w:rPr>
        <w:t>2</w:t>
      </w:r>
      <w:r w:rsidR="00390AE4" w:rsidRPr="00390AE4">
        <w:rPr>
          <w:rFonts w:hint="eastAsia"/>
          <w:lang w:eastAsia="zh-CN"/>
        </w:rPr>
        <w:t>提供。</w:t>
      </w:r>
    </w:p>
    <w:p w14:paraId="2F220EA2" w14:textId="256CCB9D" w:rsidR="00390AE4" w:rsidRPr="00390AE4" w:rsidRDefault="00113660" w:rsidP="00390AE4">
      <w:pPr>
        <w:rPr>
          <w:lang w:eastAsia="zh-CN"/>
        </w:rPr>
      </w:pPr>
      <w:r>
        <w:rPr>
          <w:rFonts w:hint="eastAsia"/>
          <w:lang w:eastAsia="zh-CN"/>
        </w:rPr>
        <w:t>2</w:t>
      </w:r>
      <w:r>
        <w:rPr>
          <w:lang w:eastAsia="zh-CN"/>
        </w:rPr>
        <w:t>6</w:t>
      </w:r>
      <w:r>
        <w:rPr>
          <w:lang w:eastAsia="zh-CN"/>
        </w:rPr>
        <w:tab/>
      </w:r>
      <w:r w:rsidR="00390AE4" w:rsidRPr="00390AE4">
        <w:rPr>
          <w:rFonts w:hint="eastAsia"/>
          <w:lang w:eastAsia="zh-CN"/>
        </w:rPr>
        <w:t>财务报表中包含预算结果与</w:t>
      </w:r>
      <w:r w:rsidR="00390AE4" w:rsidRPr="00390AE4">
        <w:rPr>
          <w:rFonts w:hint="eastAsia"/>
          <w:lang w:eastAsia="zh-CN"/>
        </w:rPr>
        <w:t>IPSAS</w:t>
      </w:r>
      <w:r w:rsidR="00390AE4" w:rsidRPr="00390AE4">
        <w:rPr>
          <w:rFonts w:hint="eastAsia"/>
          <w:lang w:eastAsia="zh-CN"/>
        </w:rPr>
        <w:t>结果之间的核对（报表五）。值得注意的是，财务业绩报表（报表二）包括预算未包含的其它领域，如自愿捐款、折旧和其它实体差异。报表五突出显示了该组织预算与总体收支之间的重大差异。</w:t>
      </w:r>
    </w:p>
    <w:p w14:paraId="48981A11" w14:textId="77777777" w:rsidR="00390AE4" w:rsidRPr="00390AE4" w:rsidRDefault="00390AE4" w:rsidP="00113660">
      <w:pPr>
        <w:pStyle w:val="Headingb"/>
        <w:rPr>
          <w:lang w:eastAsia="zh-CN"/>
        </w:rPr>
      </w:pPr>
      <w:bookmarkStart w:id="27" w:name="_Toc72744921"/>
      <w:bookmarkStart w:id="28" w:name="_Toc72747205"/>
      <w:bookmarkStart w:id="29" w:name="_Toc73461007"/>
      <w:bookmarkStart w:id="30" w:name="_Toc73518654"/>
      <w:bookmarkStart w:id="31" w:name="_Toc73518801"/>
      <w:bookmarkStart w:id="32" w:name="_Toc73519201"/>
      <w:bookmarkStart w:id="33" w:name="_Toc73636083"/>
      <w:bookmarkStart w:id="34" w:name="_Toc73636225"/>
      <w:bookmarkStart w:id="35" w:name="lt_pId100"/>
      <w:r w:rsidRPr="00390AE4">
        <w:rPr>
          <w:rFonts w:hint="eastAsia"/>
          <w:lang w:eastAsia="zh-CN"/>
        </w:rPr>
        <w:t>责任</w:t>
      </w:r>
      <w:bookmarkEnd w:id="27"/>
      <w:bookmarkEnd w:id="28"/>
      <w:bookmarkEnd w:id="29"/>
      <w:bookmarkEnd w:id="30"/>
      <w:bookmarkEnd w:id="31"/>
      <w:bookmarkEnd w:id="32"/>
      <w:bookmarkEnd w:id="33"/>
      <w:bookmarkEnd w:id="34"/>
    </w:p>
    <w:bookmarkEnd w:id="35"/>
    <w:p w14:paraId="0E2CE761" w14:textId="337CA264" w:rsidR="00390AE4" w:rsidRPr="00390AE4" w:rsidRDefault="00113660" w:rsidP="00390AE4">
      <w:pPr>
        <w:rPr>
          <w:lang w:eastAsia="zh-CN"/>
        </w:rPr>
      </w:pPr>
      <w:r>
        <w:rPr>
          <w:rFonts w:hint="eastAsia"/>
          <w:lang w:eastAsia="zh-CN"/>
        </w:rPr>
        <w:t>2</w:t>
      </w:r>
      <w:r>
        <w:rPr>
          <w:lang w:eastAsia="zh-CN"/>
        </w:rPr>
        <w:t>7</w:t>
      </w:r>
      <w:r>
        <w:rPr>
          <w:lang w:eastAsia="zh-CN"/>
        </w:rPr>
        <w:tab/>
      </w:r>
      <w:r w:rsidR="00390AE4" w:rsidRPr="00390AE4">
        <w:rPr>
          <w:rFonts w:hint="eastAsia"/>
          <w:lang w:eastAsia="zh-CN"/>
        </w:rPr>
        <w:t>根据国际电联《财务规则》第</w:t>
      </w:r>
      <w:r w:rsidR="00390AE4" w:rsidRPr="00390AE4">
        <w:rPr>
          <w:lang w:eastAsia="zh-CN"/>
        </w:rPr>
        <w:t>30</w:t>
      </w:r>
      <w:r w:rsidR="00390AE4" w:rsidRPr="00390AE4">
        <w:rPr>
          <w:rFonts w:hint="eastAsia"/>
          <w:lang w:eastAsia="zh-CN"/>
        </w:rPr>
        <w:t>条的规定，根据</w:t>
      </w:r>
      <w:r w:rsidR="00390AE4" w:rsidRPr="00390AE4">
        <w:rPr>
          <w:lang w:eastAsia="zh-CN"/>
        </w:rPr>
        <w:t>IPSAS</w:t>
      </w:r>
      <w:r w:rsidR="00390AE4" w:rsidRPr="00390AE4">
        <w:rPr>
          <w:rFonts w:hint="eastAsia"/>
          <w:lang w:eastAsia="zh-CN"/>
        </w:rPr>
        <w:t>编制了以下财务报表。这些财务报表及其注释构成本文件不可分割的部分，准确反映了国际电联截至</w:t>
      </w:r>
      <w:r w:rsidR="00390AE4" w:rsidRPr="00390AE4">
        <w:rPr>
          <w:lang w:eastAsia="zh-CN"/>
        </w:rPr>
        <w:t>2022</w:t>
      </w:r>
      <w:r w:rsidR="00390AE4" w:rsidRPr="00390AE4">
        <w:rPr>
          <w:rFonts w:hint="eastAsia"/>
          <w:lang w:eastAsia="zh-CN"/>
        </w:rPr>
        <w:t>年</w:t>
      </w:r>
      <w:r w:rsidR="00390AE4" w:rsidRPr="00390AE4">
        <w:rPr>
          <w:lang w:eastAsia="zh-CN"/>
        </w:rPr>
        <w:t>12</w:t>
      </w:r>
      <w:r w:rsidR="00390AE4" w:rsidRPr="00390AE4">
        <w:rPr>
          <w:rFonts w:hint="eastAsia"/>
          <w:lang w:eastAsia="zh-CN"/>
        </w:rPr>
        <w:t>月</w:t>
      </w:r>
      <w:r w:rsidR="00390AE4" w:rsidRPr="00390AE4">
        <w:rPr>
          <w:lang w:eastAsia="zh-CN"/>
        </w:rPr>
        <w:t>31</w:t>
      </w:r>
      <w:r w:rsidR="00390AE4" w:rsidRPr="00390AE4">
        <w:rPr>
          <w:rFonts w:hint="eastAsia"/>
          <w:lang w:eastAsia="zh-CN"/>
        </w:rPr>
        <w:t>日的财务状况。</w:t>
      </w:r>
    </w:p>
    <w:p w14:paraId="6BB5289C" w14:textId="13A9FA4D" w:rsidR="00390AE4" w:rsidRPr="00390AE4" w:rsidRDefault="00390AE4" w:rsidP="00390AE4">
      <w:pPr>
        <w:rPr>
          <w:highlight w:val="green"/>
          <w:lang w:eastAsia="zh-CN"/>
        </w:rPr>
      </w:pPr>
      <w:r w:rsidRPr="00390AE4">
        <w:rPr>
          <w:rFonts w:hint="eastAsia"/>
          <w:lang w:eastAsia="zh-CN"/>
        </w:rPr>
        <w:t>一</w:t>
      </w:r>
      <w:r w:rsidRPr="00390AE4">
        <w:rPr>
          <w:lang w:eastAsia="zh-CN"/>
        </w:rPr>
        <w:tab/>
      </w:r>
      <w:r w:rsidRPr="00390AE4">
        <w:rPr>
          <w:rFonts w:hint="eastAsia"/>
          <w:lang w:eastAsia="zh-CN"/>
        </w:rPr>
        <w:t>财务状况表</w:t>
      </w:r>
      <w:r w:rsidRPr="00390AE4">
        <w:rPr>
          <w:rFonts w:hint="eastAsia"/>
          <w:lang w:eastAsia="zh-CN"/>
        </w:rPr>
        <w:t xml:space="preserve"> </w:t>
      </w:r>
      <w:r w:rsidRPr="00390AE4">
        <w:rPr>
          <w:lang w:eastAsia="zh-CN"/>
        </w:rPr>
        <w:t xml:space="preserve">– </w:t>
      </w:r>
      <w:r w:rsidRPr="00390AE4">
        <w:rPr>
          <w:rFonts w:hint="eastAsia"/>
          <w:lang w:eastAsia="zh-CN"/>
        </w:rPr>
        <w:t>截至</w:t>
      </w:r>
      <w:r w:rsidRPr="00390AE4">
        <w:rPr>
          <w:lang w:eastAsia="zh-CN"/>
        </w:rPr>
        <w:t>2022</w:t>
      </w:r>
      <w:r w:rsidRPr="00390AE4">
        <w:rPr>
          <w:rFonts w:hint="eastAsia"/>
          <w:lang w:eastAsia="zh-CN"/>
        </w:rPr>
        <w:t>年</w:t>
      </w:r>
      <w:r w:rsidRPr="00390AE4">
        <w:rPr>
          <w:lang w:eastAsia="zh-CN"/>
        </w:rPr>
        <w:t>12</w:t>
      </w:r>
      <w:r w:rsidRPr="00390AE4">
        <w:rPr>
          <w:rFonts w:hint="eastAsia"/>
          <w:lang w:eastAsia="zh-CN"/>
        </w:rPr>
        <w:t>月</w:t>
      </w:r>
      <w:r w:rsidRPr="00390AE4">
        <w:rPr>
          <w:lang w:eastAsia="zh-CN"/>
        </w:rPr>
        <w:t>31</w:t>
      </w:r>
      <w:r w:rsidR="00113660">
        <w:rPr>
          <w:rFonts w:hint="eastAsia"/>
          <w:lang w:eastAsia="zh-CN"/>
        </w:rPr>
        <w:t>日</w:t>
      </w:r>
    </w:p>
    <w:p w14:paraId="1FE3E79A" w14:textId="77777777" w:rsidR="00390AE4" w:rsidRPr="00390AE4" w:rsidRDefault="00390AE4" w:rsidP="00390AE4">
      <w:pPr>
        <w:rPr>
          <w:highlight w:val="green"/>
          <w:lang w:eastAsia="zh-CN"/>
        </w:rPr>
      </w:pPr>
      <w:r w:rsidRPr="00390AE4">
        <w:rPr>
          <w:rFonts w:hint="eastAsia"/>
          <w:lang w:eastAsia="zh-CN"/>
        </w:rPr>
        <w:t>二</w:t>
      </w:r>
      <w:r w:rsidRPr="00390AE4">
        <w:rPr>
          <w:lang w:eastAsia="zh-CN"/>
        </w:rPr>
        <w:tab/>
        <w:t>2022</w:t>
      </w:r>
      <w:r w:rsidRPr="00390AE4">
        <w:rPr>
          <w:rFonts w:hint="eastAsia"/>
          <w:lang w:eastAsia="zh-CN"/>
        </w:rPr>
        <w:t>年</w:t>
      </w:r>
      <w:r w:rsidRPr="00390AE4">
        <w:rPr>
          <w:lang w:eastAsia="zh-CN"/>
        </w:rPr>
        <w:t>12</w:t>
      </w:r>
      <w:r w:rsidRPr="00390AE4">
        <w:rPr>
          <w:rFonts w:hint="eastAsia"/>
          <w:lang w:eastAsia="zh-CN"/>
        </w:rPr>
        <w:t>月</w:t>
      </w:r>
      <w:r w:rsidRPr="00390AE4">
        <w:rPr>
          <w:lang w:eastAsia="zh-CN"/>
        </w:rPr>
        <w:t>31</w:t>
      </w:r>
      <w:r w:rsidRPr="00390AE4">
        <w:rPr>
          <w:rFonts w:hint="eastAsia"/>
          <w:lang w:eastAsia="zh-CN"/>
        </w:rPr>
        <w:t>日结束的该年财务业绩表</w:t>
      </w:r>
    </w:p>
    <w:p w14:paraId="0538CD66" w14:textId="77777777" w:rsidR="00390AE4" w:rsidRPr="00390AE4" w:rsidRDefault="00390AE4" w:rsidP="00390AE4">
      <w:pPr>
        <w:rPr>
          <w:highlight w:val="green"/>
          <w:lang w:eastAsia="zh-CN"/>
        </w:rPr>
      </w:pPr>
      <w:r w:rsidRPr="00390AE4">
        <w:rPr>
          <w:rFonts w:hint="eastAsia"/>
          <w:lang w:eastAsia="zh-CN"/>
        </w:rPr>
        <w:t>三</w:t>
      </w:r>
      <w:r w:rsidRPr="00390AE4">
        <w:rPr>
          <w:lang w:eastAsia="zh-CN"/>
        </w:rPr>
        <w:tab/>
        <w:t>2022</w:t>
      </w:r>
      <w:r w:rsidRPr="00390AE4">
        <w:rPr>
          <w:rFonts w:hint="eastAsia"/>
          <w:lang w:eastAsia="zh-CN"/>
        </w:rPr>
        <w:t>年</w:t>
      </w:r>
      <w:r w:rsidRPr="00390AE4">
        <w:rPr>
          <w:lang w:eastAsia="zh-CN"/>
        </w:rPr>
        <w:t>12</w:t>
      </w:r>
      <w:r w:rsidRPr="00390AE4">
        <w:rPr>
          <w:rFonts w:hint="eastAsia"/>
          <w:lang w:eastAsia="zh-CN"/>
        </w:rPr>
        <w:t>月</w:t>
      </w:r>
      <w:r w:rsidRPr="00390AE4">
        <w:rPr>
          <w:lang w:eastAsia="zh-CN"/>
        </w:rPr>
        <w:t>31</w:t>
      </w:r>
      <w:r w:rsidRPr="00390AE4">
        <w:rPr>
          <w:rFonts w:hint="eastAsia"/>
          <w:lang w:eastAsia="zh-CN"/>
        </w:rPr>
        <w:t>日结束的该年资产净值变化表</w:t>
      </w:r>
    </w:p>
    <w:p w14:paraId="6F2C7C59" w14:textId="77777777" w:rsidR="00390AE4" w:rsidRPr="00390AE4" w:rsidRDefault="00390AE4" w:rsidP="00390AE4">
      <w:pPr>
        <w:rPr>
          <w:highlight w:val="green"/>
          <w:lang w:eastAsia="zh-CN"/>
        </w:rPr>
      </w:pPr>
      <w:r w:rsidRPr="00390AE4">
        <w:rPr>
          <w:rFonts w:hint="eastAsia"/>
          <w:lang w:eastAsia="zh-CN"/>
        </w:rPr>
        <w:t>四</w:t>
      </w:r>
      <w:r w:rsidRPr="00390AE4">
        <w:rPr>
          <w:lang w:eastAsia="zh-CN"/>
        </w:rPr>
        <w:tab/>
        <w:t>2022</w:t>
      </w:r>
      <w:r w:rsidRPr="00390AE4">
        <w:rPr>
          <w:rFonts w:hint="eastAsia"/>
          <w:lang w:eastAsia="zh-CN"/>
        </w:rPr>
        <w:t>年</w:t>
      </w:r>
      <w:r w:rsidRPr="00390AE4">
        <w:rPr>
          <w:lang w:eastAsia="zh-CN"/>
        </w:rPr>
        <w:t>12</w:t>
      </w:r>
      <w:r w:rsidRPr="00390AE4">
        <w:rPr>
          <w:rFonts w:hint="eastAsia"/>
          <w:lang w:eastAsia="zh-CN"/>
        </w:rPr>
        <w:t>月</w:t>
      </w:r>
      <w:r w:rsidRPr="00390AE4">
        <w:rPr>
          <w:lang w:eastAsia="zh-CN"/>
        </w:rPr>
        <w:t>31</w:t>
      </w:r>
      <w:r w:rsidRPr="00390AE4">
        <w:rPr>
          <w:rFonts w:hint="eastAsia"/>
          <w:lang w:eastAsia="zh-CN"/>
        </w:rPr>
        <w:t>日结束的该年现金流表</w:t>
      </w:r>
    </w:p>
    <w:p w14:paraId="7E01E0C7" w14:textId="7AF4130B" w:rsidR="00390AE4" w:rsidRPr="00113660" w:rsidRDefault="00390AE4" w:rsidP="00390AE4">
      <w:pPr>
        <w:rPr>
          <w:highlight w:val="green"/>
          <w:lang w:eastAsia="zh-CN"/>
        </w:rPr>
      </w:pPr>
      <w:r w:rsidRPr="00390AE4">
        <w:rPr>
          <w:rFonts w:hint="eastAsia"/>
          <w:lang w:eastAsia="zh-CN"/>
        </w:rPr>
        <w:t>五</w:t>
      </w:r>
      <w:r w:rsidRPr="00390AE4">
        <w:rPr>
          <w:lang w:eastAsia="zh-CN"/>
        </w:rPr>
        <w:tab/>
        <w:t>2022</w:t>
      </w:r>
      <w:r w:rsidRPr="00390AE4">
        <w:rPr>
          <w:rFonts w:hint="eastAsia"/>
          <w:lang w:eastAsia="zh-CN"/>
        </w:rPr>
        <w:t>年</w:t>
      </w:r>
      <w:r w:rsidRPr="00390AE4">
        <w:rPr>
          <w:lang w:eastAsia="zh-CN"/>
        </w:rPr>
        <w:t>12</w:t>
      </w:r>
      <w:r w:rsidRPr="00390AE4">
        <w:rPr>
          <w:rFonts w:hint="eastAsia"/>
          <w:lang w:eastAsia="zh-CN"/>
        </w:rPr>
        <w:t>月</w:t>
      </w:r>
      <w:r w:rsidRPr="00390AE4">
        <w:rPr>
          <w:lang w:eastAsia="zh-CN"/>
        </w:rPr>
        <w:t>31</w:t>
      </w:r>
      <w:r w:rsidRPr="00390AE4">
        <w:rPr>
          <w:rFonts w:hint="eastAsia"/>
          <w:lang w:eastAsia="zh-CN"/>
        </w:rPr>
        <w:t>日结束的该年预算金额与实际发生金额的对比表</w:t>
      </w:r>
    </w:p>
    <w:p w14:paraId="455CF333" w14:textId="008B7A3F" w:rsidR="00390AE4" w:rsidRPr="00390AE4" w:rsidRDefault="00390AE4" w:rsidP="0095742B">
      <w:pPr>
        <w:pStyle w:val="Headingb"/>
        <w:spacing w:before="480"/>
        <w:rPr>
          <w:lang w:eastAsia="zh-CN"/>
        </w:rPr>
      </w:pPr>
      <w:r w:rsidRPr="00390AE4">
        <w:rPr>
          <w:rFonts w:hint="eastAsia"/>
          <w:lang w:eastAsia="zh-CN"/>
        </w:rPr>
        <w:t>国际电联的外部审计</w:t>
      </w:r>
    </w:p>
    <w:p w14:paraId="19EABC9A" w14:textId="3E617194" w:rsidR="00390AE4" w:rsidRPr="00390AE4" w:rsidRDefault="00113660" w:rsidP="00390AE4">
      <w:pPr>
        <w:rPr>
          <w:lang w:eastAsia="zh-CN"/>
        </w:rPr>
      </w:pPr>
      <w:r>
        <w:rPr>
          <w:rFonts w:hint="eastAsia"/>
          <w:lang w:eastAsia="zh-CN"/>
        </w:rPr>
        <w:t>2</w:t>
      </w:r>
      <w:r>
        <w:rPr>
          <w:lang w:eastAsia="zh-CN"/>
        </w:rPr>
        <w:t>8</w:t>
      </w:r>
      <w:r>
        <w:rPr>
          <w:lang w:eastAsia="zh-CN"/>
        </w:rPr>
        <w:tab/>
      </w:r>
      <w:r w:rsidR="00390AE4" w:rsidRPr="00390AE4">
        <w:rPr>
          <w:rFonts w:hint="eastAsia"/>
          <w:lang w:eastAsia="zh-CN"/>
        </w:rPr>
        <w:t>根据《财务规则和财务细则》第</w:t>
      </w:r>
      <w:r w:rsidR="00390AE4" w:rsidRPr="00390AE4">
        <w:rPr>
          <w:rFonts w:hint="eastAsia"/>
          <w:lang w:eastAsia="zh-CN"/>
        </w:rPr>
        <w:t>28</w:t>
      </w:r>
      <w:r w:rsidR="00390AE4" w:rsidRPr="00390AE4">
        <w:rPr>
          <w:rFonts w:hint="eastAsia"/>
          <w:lang w:eastAsia="zh-CN"/>
        </w:rPr>
        <w:t>条以及理事会</w:t>
      </w:r>
      <w:r w:rsidR="00390AE4" w:rsidRPr="00390AE4">
        <w:rPr>
          <w:rFonts w:hint="eastAsia"/>
          <w:lang w:eastAsia="zh-CN"/>
        </w:rPr>
        <w:t>2020</w:t>
      </w:r>
      <w:r w:rsidR="00390AE4" w:rsidRPr="00390AE4">
        <w:rPr>
          <w:rFonts w:hint="eastAsia"/>
          <w:lang w:eastAsia="zh-CN"/>
        </w:rPr>
        <w:t>年会议第二次虚拟磋商会做出的第</w:t>
      </w:r>
      <w:r w:rsidR="00390AE4" w:rsidRPr="00390AE4">
        <w:rPr>
          <w:rFonts w:hint="eastAsia"/>
          <w:lang w:eastAsia="zh-CN"/>
        </w:rPr>
        <w:t>621</w:t>
      </w:r>
      <w:r w:rsidR="00390AE4" w:rsidRPr="00390AE4">
        <w:rPr>
          <w:rFonts w:hint="eastAsia"/>
          <w:lang w:eastAsia="zh-CN"/>
        </w:rPr>
        <w:t>号决定，大不列颠及北爱尔兰联合王国国家审计署按照全权代表大会决定的方式被任命为国际电联账目的外部审计员，任期四年。</w:t>
      </w:r>
    </w:p>
    <w:p w14:paraId="5D5227F3" w14:textId="77777777" w:rsidR="00390AE4" w:rsidRPr="00390AE4" w:rsidRDefault="00390AE4" w:rsidP="00390AE4">
      <w:pPr>
        <w:rPr>
          <w:lang w:eastAsia="zh-CN"/>
        </w:rPr>
      </w:pPr>
      <w:r w:rsidRPr="00390AE4">
        <w:rPr>
          <w:lang w:eastAsia="zh-CN"/>
        </w:rPr>
        <w:br w:type="page"/>
      </w:r>
    </w:p>
    <w:p w14:paraId="61A5D444" w14:textId="77777777" w:rsidR="00390AE4" w:rsidRPr="00390AE4" w:rsidRDefault="00390AE4" w:rsidP="00322D62">
      <w:pPr>
        <w:spacing w:before="480"/>
        <w:jc w:val="center"/>
      </w:pPr>
      <w:bookmarkStart w:id="36" w:name="CurrentLocation"/>
      <w:bookmarkStart w:id="37" w:name="_Toc131156412"/>
      <w:bookmarkStart w:id="38" w:name="_Toc130976544"/>
      <w:bookmarkStart w:id="39" w:name="_Toc131156411"/>
      <w:bookmarkEnd w:id="36"/>
      <w:r w:rsidRPr="00390AE4">
        <w:rPr>
          <w:noProof/>
        </w:rPr>
        <w:lastRenderedPageBreak/>
        <w:drawing>
          <wp:inline distT="0" distB="0" distL="0" distR="0" wp14:anchorId="13893FF0" wp14:editId="136692B0">
            <wp:extent cx="682402" cy="720000"/>
            <wp:effectExtent l="0" t="0" r="3810" b="4445"/>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p w14:paraId="60CF6EE4" w14:textId="77777777" w:rsidR="00390AE4" w:rsidRPr="00113660" w:rsidRDefault="00390AE4" w:rsidP="000A1A40">
      <w:pPr>
        <w:spacing w:before="2280"/>
        <w:jc w:val="center"/>
        <w:rPr>
          <w:b/>
          <w:bCs/>
          <w:sz w:val="28"/>
          <w:szCs w:val="28"/>
          <w:highlight w:val="green"/>
          <w:lang w:eastAsia="zh-CN"/>
        </w:rPr>
      </w:pPr>
      <w:bookmarkStart w:id="40" w:name="_Toc482892533"/>
      <w:bookmarkStart w:id="41" w:name="_Toc358364826"/>
      <w:bookmarkStart w:id="42" w:name="_Toc511116004"/>
      <w:bookmarkStart w:id="43" w:name="_Toc41905283"/>
      <w:bookmarkStart w:id="44" w:name="_Toc41905746"/>
      <w:bookmarkStart w:id="45" w:name="_Toc41905834"/>
      <w:bookmarkStart w:id="46" w:name="_Toc41907963"/>
      <w:bookmarkStart w:id="47" w:name="_Toc72747208"/>
      <w:bookmarkStart w:id="48" w:name="_Toc73356638"/>
      <w:bookmarkStart w:id="49" w:name="_Toc73461010"/>
      <w:bookmarkStart w:id="50" w:name="_Toc73518657"/>
      <w:bookmarkStart w:id="51" w:name="_Toc73518804"/>
      <w:bookmarkStart w:id="52" w:name="_Toc73519204"/>
      <w:bookmarkStart w:id="53" w:name="_Toc73636086"/>
      <w:bookmarkStart w:id="54" w:name="_Toc73636228"/>
      <w:bookmarkStart w:id="55" w:name="_Toc110264992"/>
      <w:bookmarkStart w:id="56" w:name="_Toc110265211"/>
      <w:bookmarkStart w:id="57" w:name="_Toc110265677"/>
      <w:bookmarkStart w:id="58" w:name="_Toc110330231"/>
      <w:r w:rsidRPr="00113660">
        <w:rPr>
          <w:b/>
          <w:bCs/>
          <w:sz w:val="28"/>
          <w:szCs w:val="28"/>
          <w:lang w:eastAsia="zh-CN"/>
        </w:rPr>
        <w:t>2022</w:t>
      </w:r>
      <w:r w:rsidRPr="00113660">
        <w:rPr>
          <w:rFonts w:hint="eastAsia"/>
          <w:b/>
          <w:bCs/>
          <w:sz w:val="28"/>
          <w:szCs w:val="28"/>
          <w:lang w:eastAsia="zh-CN"/>
        </w:rPr>
        <w:t>年内部控制声明</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196BBA5D" w14:textId="77777777" w:rsidR="00390AE4" w:rsidRPr="00322D62" w:rsidRDefault="00390AE4" w:rsidP="000A1A40">
      <w:pPr>
        <w:spacing w:before="600"/>
        <w:jc w:val="center"/>
        <w:rPr>
          <w:b/>
          <w:bCs/>
          <w:szCs w:val="24"/>
          <w:lang w:eastAsia="zh-CN"/>
        </w:rPr>
      </w:pPr>
      <w:bookmarkStart w:id="59" w:name="lt_pId115"/>
      <w:r w:rsidRPr="00322D62">
        <w:rPr>
          <w:rFonts w:hint="eastAsia"/>
          <w:b/>
          <w:bCs/>
          <w:szCs w:val="24"/>
          <w:lang w:eastAsia="zh-CN"/>
        </w:rPr>
        <w:t>国际电信联盟，日内瓦</w:t>
      </w:r>
      <w:bookmarkEnd w:id="59"/>
    </w:p>
    <w:bookmarkEnd w:id="37"/>
    <w:p w14:paraId="32146C69" w14:textId="77777777" w:rsidR="00390AE4" w:rsidRPr="00390AE4" w:rsidRDefault="00390AE4" w:rsidP="00390AE4">
      <w:pPr>
        <w:rPr>
          <w:lang w:eastAsia="zh-CN"/>
        </w:rPr>
      </w:pPr>
      <w:r w:rsidRPr="00390AE4">
        <w:rPr>
          <w:lang w:eastAsia="zh-CN"/>
        </w:rPr>
        <w:br w:type="page"/>
      </w:r>
    </w:p>
    <w:p w14:paraId="2CB99F3F" w14:textId="755F022F" w:rsidR="00390AE4" w:rsidRPr="00113660" w:rsidRDefault="00390AE4" w:rsidP="00113660">
      <w:pPr>
        <w:pStyle w:val="Heading1"/>
        <w:jc w:val="center"/>
        <w:rPr>
          <w:lang w:eastAsia="zh-CN"/>
        </w:rPr>
      </w:pPr>
      <w:bookmarkStart w:id="60" w:name="_Toc163723275"/>
      <w:r w:rsidRPr="00113660">
        <w:rPr>
          <w:lang w:eastAsia="zh-CN"/>
        </w:rPr>
        <w:lastRenderedPageBreak/>
        <w:t>2022</w:t>
      </w:r>
      <w:r w:rsidRPr="00113660">
        <w:rPr>
          <w:rFonts w:hint="eastAsia"/>
          <w:lang w:eastAsia="zh-CN"/>
        </w:rPr>
        <w:t>年内部控制声明</w:t>
      </w:r>
      <w:bookmarkEnd w:id="60"/>
    </w:p>
    <w:p w14:paraId="07986A30" w14:textId="32F33348" w:rsidR="00390AE4" w:rsidRPr="00390AE4" w:rsidRDefault="00390AE4" w:rsidP="00113660">
      <w:pPr>
        <w:pStyle w:val="Headingb"/>
        <w:rPr>
          <w:lang w:eastAsia="zh-CN"/>
        </w:rPr>
      </w:pPr>
      <w:bookmarkStart w:id="61" w:name="_Toc72744923"/>
      <w:bookmarkStart w:id="62" w:name="_Toc72747209"/>
      <w:bookmarkStart w:id="63" w:name="_Toc73461011"/>
      <w:bookmarkStart w:id="64" w:name="_Toc73518658"/>
      <w:bookmarkStart w:id="65" w:name="_Toc73518805"/>
      <w:bookmarkStart w:id="66" w:name="_Toc73519205"/>
      <w:bookmarkStart w:id="67" w:name="_Toc73636087"/>
      <w:bookmarkStart w:id="68" w:name="_Toc73636229"/>
      <w:r w:rsidRPr="00390AE4">
        <w:rPr>
          <w:rFonts w:hint="eastAsia"/>
          <w:lang w:eastAsia="zh-CN"/>
        </w:rPr>
        <w:t>职责范围</w:t>
      </w:r>
      <w:bookmarkEnd w:id="61"/>
      <w:bookmarkEnd w:id="62"/>
      <w:bookmarkEnd w:id="63"/>
      <w:bookmarkEnd w:id="64"/>
      <w:bookmarkEnd w:id="65"/>
      <w:bookmarkEnd w:id="66"/>
      <w:bookmarkEnd w:id="67"/>
      <w:bookmarkEnd w:id="68"/>
    </w:p>
    <w:p w14:paraId="7B2E6E25" w14:textId="6F6E3132" w:rsidR="00390AE4" w:rsidRPr="00390AE4" w:rsidRDefault="00390AE4" w:rsidP="00113660">
      <w:pPr>
        <w:ind w:firstLineChars="200" w:firstLine="480"/>
        <w:rPr>
          <w:lang w:eastAsia="zh-CN"/>
        </w:rPr>
      </w:pPr>
      <w:r w:rsidRPr="00390AE4">
        <w:rPr>
          <w:rFonts w:hint="eastAsia"/>
          <w:lang w:eastAsia="zh-CN"/>
        </w:rPr>
        <w:t>作为秘书长，我负责国际电联的行政管理；履行其职责并执行相关计划及其它活动。根据赋予我的职责，特别是《组织法》（第</w:t>
      </w:r>
      <w:r w:rsidRPr="00390AE4">
        <w:rPr>
          <w:rFonts w:hint="eastAsia"/>
          <w:lang w:eastAsia="zh-CN"/>
        </w:rPr>
        <w:t>11</w:t>
      </w:r>
      <w:r w:rsidRPr="00390AE4">
        <w:rPr>
          <w:rFonts w:hint="eastAsia"/>
          <w:lang w:eastAsia="zh-CN"/>
        </w:rPr>
        <w:t>条）第</w:t>
      </w:r>
      <w:r w:rsidRPr="00390AE4">
        <w:rPr>
          <w:rFonts w:hint="eastAsia"/>
          <w:lang w:eastAsia="zh-CN"/>
        </w:rPr>
        <w:t>73</w:t>
      </w:r>
      <w:r w:rsidRPr="00390AE4">
        <w:rPr>
          <w:rFonts w:hint="eastAsia"/>
          <w:lang w:eastAsia="zh-CN"/>
        </w:rPr>
        <w:t>之二和第</w:t>
      </w:r>
      <w:r w:rsidRPr="00390AE4">
        <w:rPr>
          <w:rFonts w:hint="eastAsia"/>
          <w:lang w:eastAsia="zh-CN"/>
        </w:rPr>
        <w:t>75</w:t>
      </w:r>
      <w:r w:rsidRPr="00390AE4">
        <w:rPr>
          <w:rFonts w:hint="eastAsia"/>
          <w:lang w:eastAsia="zh-CN"/>
        </w:rPr>
        <w:t>款以及《财务规则和财务细则》第</w:t>
      </w:r>
      <w:r w:rsidRPr="00390AE4">
        <w:rPr>
          <w:rFonts w:hint="eastAsia"/>
          <w:lang w:eastAsia="zh-CN"/>
        </w:rPr>
        <w:t>1</w:t>
      </w:r>
      <w:r w:rsidRPr="00390AE4">
        <w:rPr>
          <w:rFonts w:hint="eastAsia"/>
          <w:lang w:eastAsia="zh-CN"/>
        </w:rPr>
        <w:t>、</w:t>
      </w:r>
      <w:r w:rsidRPr="00390AE4">
        <w:rPr>
          <w:rFonts w:hint="eastAsia"/>
          <w:lang w:eastAsia="zh-CN"/>
        </w:rPr>
        <w:t>10</w:t>
      </w:r>
      <w:r w:rsidRPr="00390AE4">
        <w:rPr>
          <w:rFonts w:hint="eastAsia"/>
          <w:lang w:eastAsia="zh-CN"/>
        </w:rPr>
        <w:t>、</w:t>
      </w:r>
      <w:r w:rsidRPr="00390AE4">
        <w:rPr>
          <w:rFonts w:hint="eastAsia"/>
          <w:lang w:eastAsia="zh-CN"/>
        </w:rPr>
        <w:t>16</w:t>
      </w:r>
      <w:r w:rsidRPr="00390AE4">
        <w:rPr>
          <w:rFonts w:hint="eastAsia"/>
          <w:lang w:eastAsia="zh-CN"/>
        </w:rPr>
        <w:t>、</w:t>
      </w:r>
      <w:r w:rsidRPr="00390AE4">
        <w:rPr>
          <w:rFonts w:hint="eastAsia"/>
          <w:lang w:eastAsia="zh-CN"/>
        </w:rPr>
        <w:t>28</w:t>
      </w:r>
      <w:r w:rsidRPr="00390AE4">
        <w:rPr>
          <w:rFonts w:hint="eastAsia"/>
          <w:lang w:eastAsia="zh-CN"/>
        </w:rPr>
        <w:t>、</w:t>
      </w:r>
      <w:r w:rsidRPr="00390AE4">
        <w:rPr>
          <w:rFonts w:hint="eastAsia"/>
          <w:lang w:eastAsia="zh-CN"/>
        </w:rPr>
        <w:t>29</w:t>
      </w:r>
      <w:r w:rsidRPr="00390AE4">
        <w:rPr>
          <w:rFonts w:hint="eastAsia"/>
          <w:lang w:eastAsia="zh-CN"/>
        </w:rPr>
        <w:t>和</w:t>
      </w:r>
      <w:r w:rsidRPr="00390AE4">
        <w:rPr>
          <w:rFonts w:hint="eastAsia"/>
          <w:lang w:eastAsia="zh-CN"/>
        </w:rPr>
        <w:t>30</w:t>
      </w:r>
      <w:r w:rsidRPr="00390AE4">
        <w:rPr>
          <w:rFonts w:hint="eastAsia"/>
          <w:lang w:eastAsia="zh-CN"/>
        </w:rPr>
        <w:t>条赋予我的职责，涉及维护一个健全的内部控制机制，以便合理保证目标的实现并协助确保可靠的财务和非财务报告，有效和高效的运作，并遵守规则、细则、行政规定和政策，包括防范和发现欺诈活动。</w:t>
      </w:r>
    </w:p>
    <w:p w14:paraId="43F49441" w14:textId="71623EA0" w:rsidR="00390AE4" w:rsidRPr="00390AE4" w:rsidRDefault="00390AE4" w:rsidP="00113660">
      <w:pPr>
        <w:pStyle w:val="Headingb"/>
        <w:rPr>
          <w:highlight w:val="green"/>
          <w:lang w:eastAsia="zh-CN"/>
        </w:rPr>
      </w:pPr>
      <w:bookmarkStart w:id="69" w:name="_Toc72744924"/>
      <w:bookmarkStart w:id="70" w:name="_Toc72747210"/>
      <w:bookmarkStart w:id="71" w:name="_Toc73461012"/>
      <w:bookmarkStart w:id="72" w:name="_Toc73518659"/>
      <w:bookmarkStart w:id="73" w:name="_Toc73518806"/>
      <w:bookmarkStart w:id="74" w:name="_Toc73519206"/>
      <w:bookmarkStart w:id="75" w:name="_Toc73636088"/>
      <w:bookmarkStart w:id="76" w:name="_Toc73636230"/>
      <w:r w:rsidRPr="00390AE4">
        <w:rPr>
          <w:rFonts w:hint="eastAsia"/>
          <w:lang w:eastAsia="zh-CN"/>
        </w:rPr>
        <w:t>内部控制体系的宗旨</w:t>
      </w:r>
      <w:bookmarkEnd w:id="69"/>
      <w:bookmarkEnd w:id="70"/>
      <w:bookmarkEnd w:id="71"/>
      <w:bookmarkEnd w:id="72"/>
      <w:bookmarkEnd w:id="73"/>
      <w:bookmarkEnd w:id="74"/>
      <w:bookmarkEnd w:id="75"/>
      <w:bookmarkEnd w:id="76"/>
    </w:p>
    <w:p w14:paraId="18E86306" w14:textId="77777777" w:rsidR="00390AE4" w:rsidRPr="00390AE4" w:rsidRDefault="00390AE4" w:rsidP="00113660">
      <w:pPr>
        <w:ind w:firstLineChars="200" w:firstLine="480"/>
        <w:rPr>
          <w:lang w:eastAsia="zh-CN"/>
        </w:rPr>
      </w:pPr>
      <w:bookmarkStart w:id="77" w:name="lt_pId123"/>
      <w:r w:rsidRPr="00390AE4">
        <w:rPr>
          <w:rFonts w:hint="eastAsia"/>
          <w:lang w:eastAsia="zh-CN"/>
        </w:rPr>
        <w:t>内部控制体系旨在降低并管理影响实现国际电联宗旨和目标的风险，而不是消除这类风险。因此，该体系只能提供一定程度但并非绝对的有效性保障。</w:t>
      </w:r>
      <w:bookmarkEnd w:id="77"/>
      <w:r w:rsidRPr="00113660">
        <w:rPr>
          <w:rFonts w:hint="eastAsia"/>
          <w:lang w:eastAsia="zh-CN"/>
        </w:rPr>
        <w:t>它</w:t>
      </w:r>
      <w:r w:rsidRPr="00390AE4">
        <w:rPr>
          <w:rFonts w:hint="eastAsia"/>
          <w:lang w:eastAsia="zh-CN"/>
        </w:rPr>
        <w:t>依据持续用于确定主要风险的程序，评估这些风险的性质和范围，以实现高效、有效和经济的管理。</w:t>
      </w:r>
    </w:p>
    <w:p w14:paraId="262B95C1" w14:textId="77777777" w:rsidR="00390AE4" w:rsidRPr="00390AE4" w:rsidRDefault="00390AE4" w:rsidP="00113660">
      <w:pPr>
        <w:ind w:firstLineChars="200" w:firstLine="480"/>
        <w:rPr>
          <w:lang w:eastAsia="zh-CN"/>
        </w:rPr>
      </w:pPr>
      <w:r w:rsidRPr="00390AE4">
        <w:rPr>
          <w:rFonts w:hint="eastAsia"/>
          <w:lang w:eastAsia="zh-CN"/>
        </w:rPr>
        <w:t>国际电联理事会、秘书长、高级管理层和其他职员承诺实施内部控制机制，将其作为内部控制机制不可分割的一部分，目的是确保实现以下目标：</w:t>
      </w:r>
    </w:p>
    <w:p w14:paraId="711CC5E8" w14:textId="678225D2" w:rsidR="00390AE4" w:rsidRPr="00390AE4" w:rsidRDefault="00113660" w:rsidP="000A44B6">
      <w:pPr>
        <w:pStyle w:val="enumlev1"/>
        <w:rPr>
          <w:lang w:eastAsia="zh-CN"/>
        </w:rPr>
      </w:pPr>
      <w:r>
        <w:rPr>
          <w:rFonts w:hint="eastAsia"/>
          <w:lang w:eastAsia="zh-CN"/>
        </w:rPr>
        <w:t>a</w:t>
      </w:r>
      <w:r>
        <w:rPr>
          <w:lang w:eastAsia="zh-CN"/>
        </w:rPr>
        <w:t>)</w:t>
      </w:r>
      <w:r>
        <w:rPr>
          <w:lang w:eastAsia="zh-CN"/>
        </w:rPr>
        <w:tab/>
      </w:r>
      <w:r w:rsidR="00390AE4" w:rsidRPr="00390AE4">
        <w:rPr>
          <w:rFonts w:hint="eastAsia"/>
          <w:lang w:eastAsia="zh-CN"/>
        </w:rPr>
        <w:t>运作和财产保护的有效性和效率</w:t>
      </w:r>
      <w:r w:rsidR="000A1A40">
        <w:rPr>
          <w:rFonts w:hint="eastAsia"/>
          <w:lang w:eastAsia="zh-CN"/>
        </w:rPr>
        <w:t>；</w:t>
      </w:r>
    </w:p>
    <w:p w14:paraId="77E14958" w14:textId="78DC7D90" w:rsidR="00390AE4" w:rsidRPr="00390AE4" w:rsidRDefault="00113660" w:rsidP="000A44B6">
      <w:pPr>
        <w:pStyle w:val="enumlev1"/>
        <w:rPr>
          <w:lang w:eastAsia="zh-CN"/>
        </w:rPr>
      </w:pPr>
      <w:r>
        <w:rPr>
          <w:rFonts w:hint="eastAsia"/>
          <w:lang w:eastAsia="zh-CN"/>
        </w:rPr>
        <w:t>b</w:t>
      </w:r>
      <w:r>
        <w:rPr>
          <w:lang w:eastAsia="zh-CN"/>
        </w:rPr>
        <w:t>)</w:t>
      </w:r>
      <w:r>
        <w:rPr>
          <w:lang w:eastAsia="zh-CN"/>
        </w:rPr>
        <w:tab/>
      </w:r>
      <w:r w:rsidR="00390AE4" w:rsidRPr="00390AE4">
        <w:rPr>
          <w:rFonts w:hint="eastAsia"/>
          <w:lang w:eastAsia="zh-CN"/>
        </w:rPr>
        <w:t>财务信息的可靠性和及时性；和</w:t>
      </w:r>
    </w:p>
    <w:p w14:paraId="3CD514E4" w14:textId="4FAEC479" w:rsidR="00390AE4" w:rsidRPr="00390AE4" w:rsidRDefault="00113660" w:rsidP="000A44B6">
      <w:pPr>
        <w:pStyle w:val="enumlev1"/>
        <w:rPr>
          <w:lang w:eastAsia="zh-CN"/>
        </w:rPr>
      </w:pPr>
      <w:r>
        <w:rPr>
          <w:rFonts w:hint="eastAsia"/>
          <w:lang w:eastAsia="zh-CN"/>
        </w:rPr>
        <w:t>c</w:t>
      </w:r>
      <w:r>
        <w:rPr>
          <w:lang w:eastAsia="zh-CN"/>
        </w:rPr>
        <w:t>)</w:t>
      </w:r>
      <w:r>
        <w:rPr>
          <w:lang w:eastAsia="zh-CN"/>
        </w:rPr>
        <w:tab/>
      </w:r>
      <w:r w:rsidR="00390AE4" w:rsidRPr="00390AE4">
        <w:rPr>
          <w:rFonts w:hint="eastAsia"/>
          <w:lang w:eastAsia="zh-CN"/>
        </w:rPr>
        <w:t>符合可适用的国际电联规则和细则。</w:t>
      </w:r>
    </w:p>
    <w:p w14:paraId="75FA6D3F" w14:textId="7EB42D3F" w:rsidR="00390AE4" w:rsidRPr="00390AE4" w:rsidRDefault="00390AE4" w:rsidP="00FC322E">
      <w:pPr>
        <w:ind w:firstLineChars="200" w:firstLine="480"/>
        <w:rPr>
          <w:lang w:eastAsia="zh-CN"/>
        </w:rPr>
      </w:pPr>
      <w:r w:rsidRPr="00390AE4">
        <w:rPr>
          <w:rFonts w:hint="eastAsia"/>
          <w:lang w:eastAsia="zh-CN"/>
        </w:rPr>
        <w:t>如上所述，我目前关于国际电联内部控制程序的声明适用于截止于</w:t>
      </w:r>
      <w:r w:rsidRPr="00390AE4">
        <w:rPr>
          <w:rFonts w:hint="eastAsia"/>
          <w:lang w:eastAsia="zh-CN"/>
        </w:rPr>
        <w:t>2022</w:t>
      </w:r>
      <w:r w:rsidRPr="00390AE4">
        <w:rPr>
          <w:rFonts w:hint="eastAsia"/>
          <w:lang w:eastAsia="zh-CN"/>
        </w:rPr>
        <w:t>年</w:t>
      </w:r>
      <w:r w:rsidRPr="00390AE4">
        <w:rPr>
          <w:rFonts w:hint="eastAsia"/>
          <w:lang w:eastAsia="zh-CN"/>
        </w:rPr>
        <w:t>12</w:t>
      </w:r>
      <w:r w:rsidRPr="00390AE4">
        <w:rPr>
          <w:rFonts w:hint="eastAsia"/>
          <w:lang w:eastAsia="zh-CN"/>
        </w:rPr>
        <w:t>月</w:t>
      </w:r>
      <w:r w:rsidRPr="00390AE4">
        <w:rPr>
          <w:rFonts w:hint="eastAsia"/>
          <w:lang w:eastAsia="zh-CN"/>
        </w:rPr>
        <w:t>31</w:t>
      </w:r>
      <w:r w:rsidRPr="00390AE4">
        <w:rPr>
          <w:rFonts w:hint="eastAsia"/>
          <w:lang w:eastAsia="zh-CN"/>
        </w:rPr>
        <w:t>日的年度，并截至本组织</w:t>
      </w:r>
      <w:r w:rsidRPr="00390AE4">
        <w:rPr>
          <w:rFonts w:hint="eastAsia"/>
          <w:lang w:eastAsia="zh-CN"/>
        </w:rPr>
        <w:t>2022</w:t>
      </w:r>
      <w:r w:rsidRPr="00390AE4">
        <w:rPr>
          <w:rFonts w:hint="eastAsia"/>
          <w:lang w:eastAsia="zh-CN"/>
        </w:rPr>
        <w:t>年财务报表批准之日。</w:t>
      </w:r>
    </w:p>
    <w:p w14:paraId="1B9AA2C3" w14:textId="6138BB2D" w:rsidR="00390AE4" w:rsidRPr="00390AE4" w:rsidRDefault="00390AE4" w:rsidP="00FC322E">
      <w:pPr>
        <w:pStyle w:val="Headingb"/>
        <w:rPr>
          <w:lang w:eastAsia="zh-CN"/>
        </w:rPr>
      </w:pPr>
      <w:r w:rsidRPr="00390AE4">
        <w:rPr>
          <w:rFonts w:hint="eastAsia"/>
          <w:lang w:eastAsia="zh-CN"/>
        </w:rPr>
        <w:t>风险管理和控制框架</w:t>
      </w:r>
    </w:p>
    <w:p w14:paraId="66E5FD04" w14:textId="58719FC3" w:rsidR="00390AE4" w:rsidRPr="00390AE4" w:rsidRDefault="00390AE4" w:rsidP="00FC322E">
      <w:pPr>
        <w:ind w:firstLineChars="200" w:firstLine="480"/>
        <w:rPr>
          <w:lang w:eastAsia="zh-CN"/>
        </w:rPr>
      </w:pPr>
      <w:r w:rsidRPr="00390AE4">
        <w:rPr>
          <w:rFonts w:hint="eastAsia"/>
          <w:lang w:eastAsia="zh-CN"/>
        </w:rPr>
        <w:t>自</w:t>
      </w:r>
      <w:r w:rsidRPr="00390AE4">
        <w:rPr>
          <w:rFonts w:hint="eastAsia"/>
          <w:lang w:eastAsia="zh-CN"/>
        </w:rPr>
        <w:t>2023</w:t>
      </w:r>
      <w:r w:rsidRPr="00390AE4">
        <w:rPr>
          <w:rFonts w:hint="eastAsia"/>
          <w:lang w:eastAsia="zh-CN"/>
        </w:rPr>
        <w:t>年</w:t>
      </w:r>
      <w:r w:rsidRPr="00390AE4">
        <w:rPr>
          <w:rFonts w:hint="eastAsia"/>
          <w:lang w:eastAsia="zh-CN"/>
        </w:rPr>
        <w:t>1</w:t>
      </w:r>
      <w:r w:rsidRPr="00390AE4">
        <w:rPr>
          <w:rFonts w:hint="eastAsia"/>
          <w:lang w:eastAsia="zh-CN"/>
        </w:rPr>
        <w:t>月</w:t>
      </w:r>
      <w:r w:rsidRPr="00390AE4">
        <w:rPr>
          <w:rFonts w:hint="eastAsia"/>
          <w:lang w:eastAsia="zh-CN"/>
        </w:rPr>
        <w:t>1</w:t>
      </w:r>
      <w:r w:rsidRPr="00390AE4">
        <w:rPr>
          <w:rFonts w:hint="eastAsia"/>
          <w:lang w:eastAsia="zh-CN"/>
        </w:rPr>
        <w:t>日就任秘书长以来，我一直在努力确保内部控制系统在未来更好地满足国际电联的需求。这项工作将随着本组织需求的演变而继续进行。特别是，现已制定了一份转型路线图，以确保在我任职期间行政和支持职能、相关程序和内部控制得到大幅改善。</w:t>
      </w:r>
    </w:p>
    <w:p w14:paraId="4CD01CB6" w14:textId="0C6E288A" w:rsidR="00390AE4" w:rsidRPr="00390AE4" w:rsidRDefault="00390AE4" w:rsidP="00B50665">
      <w:pPr>
        <w:ind w:firstLineChars="200" w:firstLine="480"/>
        <w:rPr>
          <w:lang w:eastAsia="zh-CN"/>
        </w:rPr>
      </w:pPr>
      <w:r w:rsidRPr="00390AE4">
        <w:rPr>
          <w:rFonts w:hint="eastAsia"/>
          <w:lang w:eastAsia="zh-CN"/>
        </w:rPr>
        <w:t>与此同时，在国际电联理事会于</w:t>
      </w:r>
      <w:r w:rsidRPr="00390AE4">
        <w:rPr>
          <w:rFonts w:hint="eastAsia"/>
          <w:lang w:eastAsia="zh-CN"/>
        </w:rPr>
        <w:t>2023</w:t>
      </w:r>
      <w:r w:rsidRPr="00390AE4">
        <w:rPr>
          <w:rFonts w:hint="eastAsia"/>
          <w:lang w:eastAsia="zh-CN"/>
        </w:rPr>
        <w:t>年</w:t>
      </w:r>
      <w:r w:rsidRPr="00390AE4">
        <w:rPr>
          <w:rFonts w:hint="eastAsia"/>
          <w:lang w:eastAsia="zh-CN"/>
        </w:rPr>
        <w:t>7</w:t>
      </w:r>
      <w:r w:rsidRPr="00390AE4">
        <w:rPr>
          <w:rFonts w:hint="eastAsia"/>
          <w:lang w:eastAsia="zh-CN"/>
        </w:rPr>
        <w:t>月批准后，我正在成立一个包括内部审计、调查和评估职能的监督部门，以进一步加强控制，增强透明度和问责制，并推动本组织不断学习和发展的文化。根据《财务规则》（第</w:t>
      </w:r>
      <w:r w:rsidRPr="00390AE4">
        <w:rPr>
          <w:rFonts w:hint="eastAsia"/>
          <w:lang w:eastAsia="zh-CN"/>
        </w:rPr>
        <w:t>1</w:t>
      </w:r>
      <w:r w:rsidRPr="00390AE4">
        <w:rPr>
          <w:rFonts w:hint="eastAsia"/>
          <w:lang w:eastAsia="zh-CN"/>
        </w:rPr>
        <w:t>条）、《人事规则》和《人事细则》，我已将权力和责任授予选任官员、各部门负责人和处室负责人。国际电联的每个人在内部控制中发挥着不同程度的作用。</w:t>
      </w:r>
    </w:p>
    <w:p w14:paraId="497E7D6A" w14:textId="77777777" w:rsidR="00390AE4" w:rsidRPr="00390AE4" w:rsidRDefault="00390AE4" w:rsidP="00FC322E">
      <w:pPr>
        <w:ind w:firstLineChars="200" w:firstLine="480"/>
        <w:rPr>
          <w:lang w:eastAsia="zh-CN"/>
        </w:rPr>
      </w:pPr>
      <w:r w:rsidRPr="00390AE4">
        <w:rPr>
          <w:rFonts w:hint="eastAsia"/>
          <w:lang w:eastAsia="zh-CN"/>
        </w:rPr>
        <w:t>高层管理人员负责在各自职责范围内的各项活动中有效运用和改进内部控制。我从选任官员、各部门负责人、处室负责人那里得到保证，通过签署内部代表书确认，他们按照国际电联内部控制框架（包括其监管框架）适当地履行了下放的财务权力和职责。此外，在此过程之后，编制了一份自我评估问卷，侧重于上述内部控制目标。</w:t>
      </w:r>
    </w:p>
    <w:p w14:paraId="22AECC93" w14:textId="2108A66C" w:rsidR="00390AE4" w:rsidRPr="00390AE4" w:rsidRDefault="00390AE4" w:rsidP="00FC322E">
      <w:pPr>
        <w:ind w:firstLineChars="200" w:firstLine="480"/>
        <w:rPr>
          <w:lang w:eastAsia="zh-CN"/>
        </w:rPr>
      </w:pPr>
      <w:bookmarkStart w:id="78" w:name="lt_pId141"/>
      <w:r w:rsidRPr="00390AE4">
        <w:rPr>
          <w:rFonts w:hint="eastAsia"/>
          <w:lang w:eastAsia="zh-CN"/>
        </w:rPr>
        <w:t>理事会在</w:t>
      </w:r>
      <w:r w:rsidRPr="00390AE4">
        <w:rPr>
          <w:rFonts w:hint="eastAsia"/>
          <w:lang w:eastAsia="zh-CN"/>
        </w:rPr>
        <w:t>2022</w:t>
      </w:r>
      <w:r w:rsidRPr="00390AE4">
        <w:rPr>
          <w:rFonts w:hint="eastAsia"/>
          <w:lang w:eastAsia="zh-CN"/>
        </w:rPr>
        <w:t>年</w:t>
      </w:r>
      <w:r w:rsidRPr="00390AE4">
        <w:rPr>
          <w:rFonts w:hint="eastAsia"/>
          <w:lang w:eastAsia="zh-CN"/>
        </w:rPr>
        <w:t>3</w:t>
      </w:r>
      <w:r w:rsidRPr="00390AE4">
        <w:rPr>
          <w:rFonts w:hint="eastAsia"/>
          <w:lang w:eastAsia="zh-CN"/>
        </w:rPr>
        <w:t>月的会议上批准了一种新的问责框架模式。正在改进管理概览，以提供来自</w:t>
      </w:r>
      <w:r w:rsidRPr="00390AE4">
        <w:rPr>
          <w:rFonts w:hint="eastAsia"/>
          <w:lang w:eastAsia="zh-CN"/>
        </w:rPr>
        <w:t>ERP</w:t>
      </w:r>
      <w:r w:rsidRPr="00390AE4">
        <w:rPr>
          <w:rFonts w:hint="eastAsia"/>
          <w:lang w:eastAsia="zh-CN"/>
        </w:rPr>
        <w:t>和其他报告的实时业务数据，以及趋势分析和其他报告。</w:t>
      </w:r>
      <w:bookmarkEnd w:id="78"/>
      <w:r w:rsidRPr="00390AE4">
        <w:rPr>
          <w:rFonts w:hint="eastAsia"/>
          <w:lang w:eastAsia="zh-CN"/>
        </w:rPr>
        <w:t>这些报告将定期与协调委员会（</w:t>
      </w:r>
      <w:r w:rsidRPr="00390AE4">
        <w:rPr>
          <w:rFonts w:hint="eastAsia"/>
          <w:lang w:eastAsia="zh-CN"/>
        </w:rPr>
        <w:t>CoCo</w:t>
      </w:r>
      <w:r w:rsidRPr="00390AE4">
        <w:rPr>
          <w:rFonts w:hint="eastAsia"/>
          <w:lang w:eastAsia="zh-CN"/>
        </w:rPr>
        <w:t>）、管理协调组（</w:t>
      </w:r>
      <w:r w:rsidRPr="00390AE4">
        <w:rPr>
          <w:rFonts w:hint="eastAsia"/>
          <w:lang w:eastAsia="zh-CN"/>
        </w:rPr>
        <w:t>MCG</w:t>
      </w:r>
      <w:r w:rsidRPr="00390AE4">
        <w:rPr>
          <w:rFonts w:hint="eastAsia"/>
          <w:lang w:eastAsia="zh-CN"/>
        </w:rPr>
        <w:t>）和国际电联监督机构分享并讨论。</w:t>
      </w:r>
    </w:p>
    <w:p w14:paraId="26EADC5A" w14:textId="77777777" w:rsidR="00390AE4" w:rsidRPr="00390AE4" w:rsidRDefault="00390AE4" w:rsidP="00FC322E">
      <w:pPr>
        <w:ind w:firstLineChars="200" w:firstLine="480"/>
        <w:rPr>
          <w:lang w:eastAsia="zh-CN"/>
        </w:rPr>
      </w:pPr>
      <w:r w:rsidRPr="00390AE4">
        <w:rPr>
          <w:rFonts w:hint="eastAsia"/>
          <w:lang w:eastAsia="zh-CN"/>
        </w:rPr>
        <w:t>内部审计处、联检组（</w:t>
      </w:r>
      <w:r w:rsidRPr="00390AE4">
        <w:rPr>
          <w:rFonts w:hint="eastAsia"/>
          <w:lang w:eastAsia="zh-CN"/>
        </w:rPr>
        <w:t>JIU</w:t>
      </w:r>
      <w:r w:rsidRPr="00390AE4">
        <w:rPr>
          <w:rFonts w:hint="eastAsia"/>
          <w:lang w:eastAsia="zh-CN"/>
        </w:rPr>
        <w:t>）、独立管理顾问委员会（</w:t>
      </w:r>
      <w:r w:rsidRPr="00390AE4">
        <w:rPr>
          <w:rFonts w:hint="eastAsia"/>
          <w:lang w:eastAsia="zh-CN"/>
        </w:rPr>
        <w:t>IMAC</w:t>
      </w:r>
      <w:r w:rsidRPr="00390AE4">
        <w:rPr>
          <w:rFonts w:hint="eastAsia"/>
          <w:lang w:eastAsia="zh-CN"/>
        </w:rPr>
        <w:t>）和外部审计员发表了一些建议。这些建议源自对合规性和控制有效性的独立审查和审计。秘书长注意到有必要加强监督，确保及时落实这些建议。</w:t>
      </w:r>
    </w:p>
    <w:p w14:paraId="6DCE928D" w14:textId="374FC67D" w:rsidR="00390AE4" w:rsidRPr="00390AE4" w:rsidRDefault="00390AE4" w:rsidP="00FC322E">
      <w:pPr>
        <w:pStyle w:val="Headingb"/>
        <w:rPr>
          <w:lang w:eastAsia="zh-CN"/>
        </w:rPr>
      </w:pPr>
      <w:bookmarkStart w:id="79" w:name="_Toc72744926"/>
      <w:bookmarkStart w:id="80" w:name="_Toc72747212"/>
      <w:bookmarkStart w:id="81" w:name="_Toc73461014"/>
      <w:bookmarkStart w:id="82" w:name="_Toc73518661"/>
      <w:bookmarkStart w:id="83" w:name="_Toc73518808"/>
      <w:bookmarkStart w:id="84" w:name="_Toc73519208"/>
      <w:bookmarkStart w:id="85" w:name="_Toc73636090"/>
      <w:bookmarkStart w:id="86" w:name="_Toc73636232"/>
      <w:bookmarkStart w:id="87" w:name="lt_pId146"/>
      <w:r w:rsidRPr="00390AE4">
        <w:rPr>
          <w:rFonts w:hint="eastAsia"/>
          <w:lang w:eastAsia="zh-CN"/>
        </w:rPr>
        <w:lastRenderedPageBreak/>
        <w:t>有效性审议</w:t>
      </w:r>
      <w:bookmarkEnd w:id="79"/>
      <w:bookmarkEnd w:id="80"/>
      <w:bookmarkEnd w:id="81"/>
      <w:bookmarkEnd w:id="82"/>
      <w:bookmarkEnd w:id="83"/>
      <w:bookmarkEnd w:id="84"/>
      <w:bookmarkEnd w:id="85"/>
      <w:bookmarkEnd w:id="86"/>
    </w:p>
    <w:bookmarkEnd w:id="87"/>
    <w:p w14:paraId="2AFFAD67" w14:textId="64AFF11F" w:rsidR="00390AE4" w:rsidRPr="00390AE4" w:rsidRDefault="00390AE4" w:rsidP="00FC322E">
      <w:pPr>
        <w:ind w:firstLineChars="200" w:firstLine="480"/>
        <w:rPr>
          <w:lang w:eastAsia="zh-CN"/>
        </w:rPr>
      </w:pPr>
      <w:r w:rsidRPr="00390AE4">
        <w:rPr>
          <w:rFonts w:hint="eastAsia"/>
          <w:lang w:eastAsia="zh-CN"/>
        </w:rPr>
        <w:t>2020</w:t>
      </w:r>
      <w:r w:rsidRPr="00390AE4">
        <w:rPr>
          <w:rFonts w:hint="eastAsia"/>
          <w:lang w:eastAsia="zh-CN"/>
        </w:rPr>
        <w:t>年</w:t>
      </w:r>
      <w:r w:rsidRPr="00390AE4">
        <w:rPr>
          <w:rFonts w:hint="eastAsia"/>
          <w:lang w:eastAsia="zh-CN"/>
        </w:rPr>
        <w:t>11</w:t>
      </w:r>
      <w:r w:rsidRPr="00390AE4">
        <w:rPr>
          <w:rFonts w:hint="eastAsia"/>
          <w:lang w:eastAsia="zh-CN"/>
        </w:rPr>
        <w:t>月，国际电联管理层设立了组织合规信息概览，以跟踪外部审计员、</w:t>
      </w:r>
      <w:r w:rsidRPr="00390AE4">
        <w:rPr>
          <w:rFonts w:hint="eastAsia"/>
          <w:lang w:eastAsia="zh-CN"/>
        </w:rPr>
        <w:t>IMAC</w:t>
      </w:r>
      <w:r w:rsidRPr="00390AE4">
        <w:rPr>
          <w:rFonts w:hint="eastAsia"/>
          <w:lang w:eastAsia="zh-CN"/>
        </w:rPr>
        <w:t>、联检组和内部审计处提出的监督建议。该工具有助于国际电联管理层和国际电联监督机构获得与每项建议相关的风险比较信息，清晰、实时地了解建议的落实情况及其实施进展或降低残余风险的措施。截至</w:t>
      </w:r>
      <w:r w:rsidRPr="00390AE4">
        <w:rPr>
          <w:rFonts w:hint="eastAsia"/>
          <w:lang w:eastAsia="zh-CN"/>
        </w:rPr>
        <w:t>2022</w:t>
      </w:r>
      <w:r w:rsidRPr="00390AE4">
        <w:rPr>
          <w:rFonts w:hint="eastAsia"/>
          <w:lang w:eastAsia="zh-CN"/>
        </w:rPr>
        <w:t>年底，内部审计处、外部审计员和独立管理顾问委员会（</w:t>
      </w:r>
      <w:r w:rsidRPr="00390AE4">
        <w:rPr>
          <w:rFonts w:hint="eastAsia"/>
          <w:lang w:eastAsia="zh-CN"/>
        </w:rPr>
        <w:t>IMAC</w:t>
      </w:r>
      <w:r w:rsidRPr="00390AE4">
        <w:rPr>
          <w:rFonts w:hint="eastAsia"/>
          <w:lang w:eastAsia="zh-CN"/>
        </w:rPr>
        <w:t>）所有相关建议的落实率为</w:t>
      </w:r>
      <w:r w:rsidRPr="00390AE4">
        <w:rPr>
          <w:rFonts w:hint="eastAsia"/>
          <w:lang w:eastAsia="zh-CN"/>
        </w:rPr>
        <w:t>70%</w:t>
      </w:r>
      <w:r w:rsidRPr="00390AE4">
        <w:rPr>
          <w:rFonts w:hint="eastAsia"/>
          <w:lang w:eastAsia="zh-CN"/>
        </w:rPr>
        <w:t>，其中包括法务审计建议。</w:t>
      </w:r>
    </w:p>
    <w:p w14:paraId="3D6F0962" w14:textId="056FC84D" w:rsidR="00390AE4" w:rsidRPr="00390AE4" w:rsidRDefault="00390AE4" w:rsidP="00FC322E">
      <w:pPr>
        <w:ind w:firstLineChars="200" w:firstLine="480"/>
        <w:rPr>
          <w:lang w:eastAsia="zh-CN"/>
        </w:rPr>
      </w:pPr>
      <w:r w:rsidRPr="00390AE4">
        <w:rPr>
          <w:rFonts w:hint="eastAsia"/>
          <w:lang w:eastAsia="zh-CN"/>
        </w:rPr>
        <w:t>为发现关键性组织风险，已制定了风险管理框架。然而，风险管理程序和相关系统开发尚未完成。这项工作需要在</w:t>
      </w:r>
      <w:r w:rsidRPr="00390AE4">
        <w:rPr>
          <w:rFonts w:hint="eastAsia"/>
          <w:lang w:eastAsia="zh-CN"/>
        </w:rPr>
        <w:t>2023</w:t>
      </w:r>
      <w:r w:rsidRPr="00390AE4">
        <w:rPr>
          <w:rFonts w:hint="eastAsia"/>
          <w:lang w:eastAsia="zh-CN"/>
        </w:rPr>
        <w:t>年及以后继续进行，以便风险识别、相关分析和风险缓解流程到位。</w:t>
      </w:r>
    </w:p>
    <w:p w14:paraId="79611E89" w14:textId="4CC142D2" w:rsidR="00390AE4" w:rsidRPr="00390AE4" w:rsidRDefault="00390AE4" w:rsidP="00FC322E">
      <w:pPr>
        <w:ind w:firstLineChars="200" w:firstLine="480"/>
        <w:rPr>
          <w:lang w:eastAsia="zh-CN"/>
        </w:rPr>
      </w:pPr>
      <w:bookmarkStart w:id="88" w:name="lt_pId153"/>
      <w:r w:rsidRPr="00390AE4">
        <w:rPr>
          <w:lang w:eastAsia="zh-CN"/>
        </w:rPr>
        <w:t>2019</w:t>
      </w:r>
      <w:r w:rsidRPr="00390AE4">
        <w:rPr>
          <w:lang w:eastAsia="zh-CN"/>
        </w:rPr>
        <w:t>年</w:t>
      </w:r>
      <w:r w:rsidRPr="00390AE4">
        <w:rPr>
          <w:lang w:eastAsia="zh-CN"/>
        </w:rPr>
        <w:t>5</w:t>
      </w:r>
      <w:r w:rsidRPr="00390AE4">
        <w:rPr>
          <w:lang w:eastAsia="zh-CN"/>
        </w:rPr>
        <w:t>月</w:t>
      </w:r>
      <w:r w:rsidRPr="00390AE4">
        <w:rPr>
          <w:lang w:eastAsia="zh-CN"/>
        </w:rPr>
        <w:t>2</w:t>
      </w:r>
      <w:r w:rsidRPr="00390AE4">
        <w:rPr>
          <w:lang w:eastAsia="zh-CN"/>
        </w:rPr>
        <w:t>日发布</w:t>
      </w:r>
      <w:r w:rsidRPr="00390AE4">
        <w:rPr>
          <w:rFonts w:hint="eastAsia"/>
          <w:lang w:eastAsia="zh-CN"/>
        </w:rPr>
        <w:t>了（第</w:t>
      </w:r>
      <w:r w:rsidRPr="00FC322E">
        <w:rPr>
          <w:lang w:eastAsia="zh-CN"/>
        </w:rPr>
        <w:t>19/09</w:t>
      </w:r>
      <w:r w:rsidRPr="00390AE4">
        <w:rPr>
          <w:rFonts w:hint="eastAsia"/>
          <w:lang w:eastAsia="zh-CN"/>
        </w:rPr>
        <w:t>号）行政规定，涉及</w:t>
      </w:r>
      <w:r w:rsidRPr="00390AE4">
        <w:rPr>
          <w:lang w:eastAsia="zh-CN"/>
        </w:rPr>
        <w:t>国际电联反</w:t>
      </w:r>
      <w:r w:rsidRPr="00390AE4">
        <w:rPr>
          <w:rFonts w:hint="eastAsia"/>
          <w:lang w:eastAsia="zh-CN"/>
        </w:rPr>
        <w:t>欺诈</w:t>
      </w:r>
      <w:r w:rsidRPr="00390AE4">
        <w:rPr>
          <w:lang w:eastAsia="zh-CN"/>
        </w:rPr>
        <w:t>和其他</w:t>
      </w:r>
      <w:r w:rsidRPr="00390AE4">
        <w:rPr>
          <w:rFonts w:hint="eastAsia"/>
          <w:lang w:eastAsia="zh-CN"/>
        </w:rPr>
        <w:t>明令禁止行为的</w:t>
      </w:r>
      <w:r w:rsidRPr="00390AE4">
        <w:rPr>
          <w:lang w:eastAsia="zh-CN"/>
        </w:rPr>
        <w:t>政策</w:t>
      </w:r>
      <w:r w:rsidRPr="00390AE4">
        <w:rPr>
          <w:rFonts w:hint="eastAsia"/>
          <w:lang w:eastAsia="zh-CN"/>
        </w:rPr>
        <w:t>（简称“</w:t>
      </w:r>
      <w:r w:rsidRPr="00390AE4">
        <w:rPr>
          <w:lang w:eastAsia="zh-CN"/>
        </w:rPr>
        <w:t>政策</w:t>
      </w:r>
      <w:r w:rsidRPr="00390AE4">
        <w:rPr>
          <w:rFonts w:hint="eastAsia"/>
          <w:lang w:eastAsia="zh-CN"/>
        </w:rPr>
        <w:t>”）</w:t>
      </w:r>
      <w:r w:rsidRPr="00390AE4">
        <w:rPr>
          <w:lang w:eastAsia="zh-CN"/>
        </w:rPr>
        <w:t>，概述了国际电联为防止、发现和应对包括</w:t>
      </w:r>
      <w:r w:rsidRPr="00390AE4">
        <w:rPr>
          <w:rFonts w:hint="eastAsia"/>
          <w:lang w:eastAsia="zh-CN"/>
        </w:rPr>
        <w:t>欺诈和其他明令禁止做法</w:t>
      </w:r>
      <w:r w:rsidRPr="00390AE4">
        <w:rPr>
          <w:lang w:eastAsia="zh-CN"/>
        </w:rPr>
        <w:t>而采取的</w:t>
      </w:r>
      <w:r w:rsidRPr="00390AE4">
        <w:rPr>
          <w:rFonts w:hint="eastAsia"/>
          <w:lang w:eastAsia="zh-CN"/>
        </w:rPr>
        <w:t>原则</w:t>
      </w:r>
      <w:r w:rsidRPr="00390AE4">
        <w:rPr>
          <w:lang w:eastAsia="zh-CN"/>
        </w:rPr>
        <w:t>和程序。</w:t>
      </w:r>
      <w:bookmarkEnd w:id="88"/>
      <w:r w:rsidRPr="00390AE4">
        <w:rPr>
          <w:rFonts w:hint="eastAsia"/>
          <w:lang w:eastAsia="zh-CN"/>
        </w:rPr>
        <w:t>该政策反映了国际电联坚持道德规范、透明度和问责制最高标准的承诺，指出国际电联人员有义务报告信息或证据，以支持对欺诈、腐败和其他被明令禁止行为的合理怀疑，并且当这样做时，将免受打击报复。</w:t>
      </w:r>
    </w:p>
    <w:p w14:paraId="523E21B9" w14:textId="2D2D5D83" w:rsidR="00390AE4" w:rsidRPr="00390AE4" w:rsidRDefault="00390AE4" w:rsidP="00FC322E">
      <w:pPr>
        <w:ind w:firstLineChars="200" w:firstLine="480"/>
        <w:rPr>
          <w:lang w:eastAsia="zh-CN"/>
        </w:rPr>
      </w:pPr>
      <w:r w:rsidRPr="00390AE4">
        <w:rPr>
          <w:rFonts w:hint="eastAsia"/>
          <w:lang w:eastAsia="zh-CN"/>
        </w:rPr>
        <w:t>2019</w:t>
      </w:r>
      <w:r w:rsidRPr="00390AE4">
        <w:rPr>
          <w:rFonts w:hint="eastAsia"/>
          <w:lang w:eastAsia="zh-CN"/>
        </w:rPr>
        <w:t>年</w:t>
      </w:r>
      <w:r w:rsidRPr="00390AE4">
        <w:rPr>
          <w:rFonts w:hint="eastAsia"/>
          <w:lang w:eastAsia="zh-CN"/>
        </w:rPr>
        <w:t>5</w:t>
      </w:r>
      <w:r w:rsidRPr="00390AE4">
        <w:rPr>
          <w:rFonts w:hint="eastAsia"/>
          <w:lang w:eastAsia="zh-CN"/>
        </w:rPr>
        <w:t>月</w:t>
      </w:r>
      <w:r w:rsidRPr="00390AE4">
        <w:rPr>
          <w:rFonts w:hint="eastAsia"/>
          <w:lang w:eastAsia="zh-CN"/>
        </w:rPr>
        <w:t>2</w:t>
      </w:r>
      <w:r w:rsidRPr="00390AE4">
        <w:rPr>
          <w:rFonts w:hint="eastAsia"/>
          <w:lang w:eastAsia="zh-CN"/>
        </w:rPr>
        <w:t>日发布的有关国际电联《调查指导原则》的（第</w:t>
      </w:r>
      <w:r w:rsidRPr="00390AE4">
        <w:rPr>
          <w:rFonts w:hint="eastAsia"/>
          <w:lang w:eastAsia="zh-CN"/>
        </w:rPr>
        <w:t>19/10</w:t>
      </w:r>
      <w:r w:rsidRPr="00390AE4">
        <w:rPr>
          <w:rFonts w:hint="eastAsia"/>
          <w:lang w:eastAsia="zh-CN"/>
        </w:rPr>
        <w:t>号）行政规定包含调查程序，包括防止未经授权披露保密信息并确保对涉嫌欺诈案件做出迅速响应的措施。但是，这些准则需要修订，因为设立监督处之后，调查程序将进行调整。</w:t>
      </w:r>
    </w:p>
    <w:p w14:paraId="34A0A1F4" w14:textId="77777777" w:rsidR="00390AE4" w:rsidRPr="00390AE4" w:rsidRDefault="00390AE4" w:rsidP="00FC322E">
      <w:pPr>
        <w:ind w:firstLineChars="200" w:firstLine="480"/>
        <w:rPr>
          <w:lang w:eastAsia="zh-CN"/>
        </w:rPr>
      </w:pPr>
      <w:bookmarkStart w:id="89" w:name="lt_pId157"/>
      <w:r w:rsidRPr="00390AE4">
        <w:rPr>
          <w:rFonts w:hint="eastAsia"/>
          <w:lang w:eastAsia="zh-CN"/>
        </w:rPr>
        <w:t>2</w:t>
      </w:r>
      <w:r w:rsidRPr="00390AE4">
        <w:rPr>
          <w:lang w:eastAsia="zh-CN"/>
        </w:rPr>
        <w:t>022</w:t>
      </w:r>
      <w:r w:rsidRPr="00390AE4">
        <w:rPr>
          <w:rFonts w:hint="eastAsia"/>
          <w:lang w:eastAsia="zh-CN"/>
        </w:rPr>
        <w:t>年，</w:t>
      </w:r>
      <w:r w:rsidRPr="00390AE4">
        <w:rPr>
          <w:lang w:eastAsia="zh-CN"/>
        </w:rPr>
        <w:t>在</w:t>
      </w:r>
      <w:r w:rsidRPr="00390AE4">
        <w:rPr>
          <w:rFonts w:hint="eastAsia"/>
          <w:lang w:eastAsia="zh-CN"/>
        </w:rPr>
        <w:t>电信发展局</w:t>
      </w:r>
      <w:r w:rsidRPr="00390AE4">
        <w:rPr>
          <w:lang w:eastAsia="zh-CN"/>
        </w:rPr>
        <w:t>和总秘书处</w:t>
      </w:r>
      <w:r w:rsidRPr="00390AE4">
        <w:rPr>
          <w:rFonts w:hint="eastAsia"/>
          <w:lang w:eastAsia="zh-CN"/>
        </w:rPr>
        <w:t>两个</w:t>
      </w:r>
      <w:r w:rsidRPr="00390AE4">
        <w:rPr>
          <w:lang w:eastAsia="zh-CN"/>
        </w:rPr>
        <w:t>部门所有利益攸关方的参与下，</w:t>
      </w:r>
      <w:r w:rsidRPr="00390AE4">
        <w:rPr>
          <w:rFonts w:hint="eastAsia"/>
          <w:lang w:eastAsia="zh-CN"/>
        </w:rPr>
        <w:t>2</w:t>
      </w:r>
      <w:r w:rsidRPr="00390AE4">
        <w:rPr>
          <w:lang w:eastAsia="zh-CN"/>
        </w:rPr>
        <w:t>019</w:t>
      </w:r>
      <w:r w:rsidRPr="00390AE4">
        <w:rPr>
          <w:rFonts w:hint="eastAsia"/>
          <w:lang w:eastAsia="zh-CN"/>
        </w:rPr>
        <w:t>年成立的</w:t>
      </w:r>
      <w:r w:rsidRPr="00390AE4">
        <w:rPr>
          <w:lang w:eastAsia="zh-CN"/>
        </w:rPr>
        <w:t>关于加强</w:t>
      </w:r>
      <w:r w:rsidRPr="00390AE4">
        <w:rPr>
          <w:rFonts w:hint="eastAsia"/>
          <w:lang w:eastAsia="zh-CN"/>
        </w:rPr>
        <w:t>（</w:t>
      </w:r>
      <w:r w:rsidRPr="00390AE4">
        <w:rPr>
          <w:lang w:eastAsia="zh-CN"/>
        </w:rPr>
        <w:t>总部和区域</w:t>
      </w:r>
      <w:r w:rsidRPr="00390AE4">
        <w:rPr>
          <w:rFonts w:hint="eastAsia"/>
          <w:lang w:eastAsia="zh-CN"/>
        </w:rPr>
        <w:t>代表处</w:t>
      </w:r>
      <w:r w:rsidRPr="00390AE4">
        <w:rPr>
          <w:lang w:eastAsia="zh-CN"/>
        </w:rPr>
        <w:t>/</w:t>
      </w:r>
      <w:r w:rsidRPr="00390AE4">
        <w:rPr>
          <w:lang w:eastAsia="zh-CN"/>
        </w:rPr>
        <w:t>地区办事</w:t>
      </w:r>
      <w:r w:rsidRPr="00390AE4">
        <w:rPr>
          <w:rFonts w:hint="eastAsia"/>
          <w:lang w:eastAsia="zh-CN"/>
        </w:rPr>
        <w:t>处）</w:t>
      </w:r>
      <w:r w:rsidRPr="00390AE4">
        <w:rPr>
          <w:lang w:eastAsia="zh-CN"/>
        </w:rPr>
        <w:t>内部控制的内部</w:t>
      </w:r>
      <w:r w:rsidRPr="00390AE4">
        <w:rPr>
          <w:rFonts w:hint="eastAsia"/>
          <w:lang w:eastAsia="zh-CN"/>
        </w:rPr>
        <w:t>控制</w:t>
      </w:r>
      <w:r w:rsidRPr="00390AE4">
        <w:rPr>
          <w:lang w:eastAsia="zh-CN"/>
        </w:rPr>
        <w:t>工作组</w:t>
      </w:r>
      <w:r w:rsidRPr="00390AE4">
        <w:rPr>
          <w:rFonts w:hint="eastAsia"/>
          <w:lang w:eastAsia="zh-CN"/>
        </w:rPr>
        <w:t>继续开展工作</w:t>
      </w:r>
      <w:r w:rsidRPr="00390AE4">
        <w:rPr>
          <w:lang w:eastAsia="zh-CN"/>
        </w:rPr>
        <w:t>。</w:t>
      </w:r>
      <w:bookmarkEnd w:id="89"/>
      <w:r w:rsidRPr="00390AE4">
        <w:rPr>
          <w:rFonts w:hint="eastAsia"/>
          <w:lang w:eastAsia="zh-CN"/>
        </w:rPr>
        <w:t>该组的职责是协调制定和落实电信发展局行动计划和总秘书处其他相关服务，并研究内部和外部审计提出的所有初步调查结果</w:t>
      </w:r>
      <w:r w:rsidRPr="00390AE4">
        <w:rPr>
          <w:rFonts w:hint="eastAsia"/>
          <w:lang w:eastAsia="zh-CN"/>
        </w:rPr>
        <w:t>/</w:t>
      </w:r>
      <w:r w:rsidRPr="00390AE4">
        <w:rPr>
          <w:rFonts w:hint="eastAsia"/>
          <w:lang w:eastAsia="zh-CN"/>
        </w:rPr>
        <w:t>建议。作为建议的一部分，实施了以下系统和措施：</w:t>
      </w:r>
    </w:p>
    <w:p w14:paraId="1171EF20" w14:textId="77777777" w:rsidR="00390AE4" w:rsidRPr="00390AE4" w:rsidRDefault="00390AE4" w:rsidP="000A44B6">
      <w:pPr>
        <w:pStyle w:val="enumlev1"/>
        <w:rPr>
          <w:lang w:eastAsia="zh-CN"/>
        </w:rPr>
      </w:pPr>
      <w:r w:rsidRPr="00390AE4">
        <w:rPr>
          <w:lang w:eastAsia="zh-CN"/>
        </w:rPr>
        <w:t>•</w:t>
      </w:r>
      <w:r w:rsidRPr="00390AE4">
        <w:rPr>
          <w:lang w:eastAsia="zh-CN"/>
        </w:rPr>
        <w:tab/>
      </w:r>
      <w:proofErr w:type="gramStart"/>
      <w:r w:rsidRPr="00390AE4">
        <w:rPr>
          <w:rFonts w:hint="eastAsia"/>
          <w:lang w:eastAsia="zh-CN"/>
        </w:rPr>
        <w:t>新的电子招聘系统和</w:t>
      </w:r>
      <w:r w:rsidRPr="00390AE4">
        <w:rPr>
          <w:lang w:eastAsia="zh-CN"/>
        </w:rPr>
        <w:t>竞争性顾问遴选程</w:t>
      </w:r>
      <w:r w:rsidRPr="00390AE4">
        <w:rPr>
          <w:rFonts w:hint="eastAsia"/>
          <w:lang w:eastAsia="zh-CN"/>
        </w:rPr>
        <w:t>序；</w:t>
      </w:r>
      <w:proofErr w:type="gramEnd"/>
    </w:p>
    <w:p w14:paraId="5AEF5E2A" w14:textId="77777777" w:rsidR="00390AE4" w:rsidRPr="00390AE4" w:rsidRDefault="00390AE4" w:rsidP="000A44B6">
      <w:pPr>
        <w:pStyle w:val="enumlev1"/>
        <w:rPr>
          <w:lang w:eastAsia="zh-CN"/>
        </w:rPr>
      </w:pPr>
      <w:r w:rsidRPr="00390AE4">
        <w:rPr>
          <w:lang w:eastAsia="zh-CN"/>
        </w:rPr>
        <w:t>•</w:t>
      </w:r>
      <w:r w:rsidRPr="00390AE4">
        <w:rPr>
          <w:lang w:eastAsia="zh-CN"/>
        </w:rPr>
        <w:tab/>
      </w:r>
      <w:r w:rsidRPr="00390AE4">
        <w:rPr>
          <w:rFonts w:hint="eastAsia"/>
          <w:lang w:eastAsia="zh-CN"/>
        </w:rPr>
        <w:t>改善对使用顾问的管理和控制；</w:t>
      </w:r>
    </w:p>
    <w:p w14:paraId="2BFC4C4C" w14:textId="77777777" w:rsidR="00390AE4" w:rsidRPr="00390AE4" w:rsidRDefault="00390AE4" w:rsidP="000A44B6">
      <w:pPr>
        <w:pStyle w:val="enumlev1"/>
        <w:rPr>
          <w:lang w:eastAsia="zh-CN"/>
        </w:rPr>
      </w:pPr>
      <w:r w:rsidRPr="00390AE4">
        <w:rPr>
          <w:lang w:eastAsia="zh-CN"/>
        </w:rPr>
        <w:t>•</w:t>
      </w:r>
      <w:r w:rsidRPr="00390AE4">
        <w:rPr>
          <w:lang w:eastAsia="zh-CN"/>
        </w:rPr>
        <w:tab/>
      </w:r>
      <w:r w:rsidRPr="00390AE4">
        <w:rPr>
          <w:rFonts w:hint="eastAsia"/>
          <w:lang w:eastAsia="zh-CN"/>
        </w:rPr>
        <w:t>电信发展局的通用信息技术系统；以及</w:t>
      </w:r>
    </w:p>
    <w:p w14:paraId="0B6A96C2" w14:textId="406941A8" w:rsidR="00390AE4" w:rsidRPr="00390AE4" w:rsidRDefault="00390AE4" w:rsidP="000A44B6">
      <w:pPr>
        <w:pStyle w:val="enumlev1"/>
        <w:rPr>
          <w:lang w:eastAsia="zh-CN"/>
        </w:rPr>
      </w:pPr>
      <w:r w:rsidRPr="00390AE4">
        <w:rPr>
          <w:lang w:eastAsia="zh-CN"/>
        </w:rPr>
        <w:t>•</w:t>
      </w:r>
      <w:r w:rsidRPr="00390AE4">
        <w:rPr>
          <w:lang w:eastAsia="zh-CN"/>
        </w:rPr>
        <w:tab/>
      </w:r>
      <w:r w:rsidRPr="00390AE4">
        <w:rPr>
          <w:rFonts w:hint="eastAsia"/>
          <w:lang w:eastAsia="zh-CN"/>
        </w:rPr>
        <w:t>问责制框架。</w:t>
      </w:r>
    </w:p>
    <w:p w14:paraId="13263E56" w14:textId="77777777" w:rsidR="00390AE4" w:rsidRPr="00390AE4" w:rsidRDefault="00390AE4" w:rsidP="00FC322E">
      <w:pPr>
        <w:ind w:firstLineChars="200" w:firstLine="480"/>
        <w:rPr>
          <w:lang w:eastAsia="zh-CN"/>
        </w:rPr>
      </w:pPr>
      <w:r w:rsidRPr="00390AE4">
        <w:rPr>
          <w:rFonts w:hint="eastAsia"/>
          <w:lang w:eastAsia="zh-CN"/>
        </w:rPr>
        <w:t>2022</w:t>
      </w:r>
      <w:r w:rsidRPr="00390AE4">
        <w:rPr>
          <w:rFonts w:hint="eastAsia"/>
          <w:lang w:eastAsia="zh-CN"/>
        </w:rPr>
        <w:t>年期间，调查科开展了以下活动：</w:t>
      </w:r>
    </w:p>
    <w:p w14:paraId="3D322303" w14:textId="68DA5145" w:rsidR="00390AE4" w:rsidRPr="00390AE4" w:rsidRDefault="00FC322E" w:rsidP="00FC322E">
      <w:pPr>
        <w:pStyle w:val="enumlev1"/>
        <w:rPr>
          <w:lang w:eastAsia="zh-CN"/>
        </w:rPr>
      </w:pPr>
      <w:r>
        <w:rPr>
          <w:lang w:eastAsia="zh-CN"/>
        </w:rPr>
        <w:t>a)</w:t>
      </w:r>
      <w:r>
        <w:rPr>
          <w:lang w:eastAsia="zh-CN"/>
        </w:rPr>
        <w:tab/>
      </w:r>
      <w:r w:rsidR="00390AE4" w:rsidRPr="00390AE4">
        <w:rPr>
          <w:rFonts w:hint="eastAsia"/>
          <w:lang w:eastAsia="zh-CN"/>
        </w:rPr>
        <w:t>9</w:t>
      </w:r>
      <w:r w:rsidR="00390AE4" w:rsidRPr="00390AE4">
        <w:rPr>
          <w:rFonts w:hint="eastAsia"/>
          <w:lang w:eastAsia="zh-CN"/>
        </w:rPr>
        <w:t>起</w:t>
      </w:r>
      <w:r w:rsidR="00390AE4" w:rsidRPr="00390AE4">
        <w:rPr>
          <w:rFonts w:hint="eastAsia"/>
          <w:lang w:eastAsia="zh-CN"/>
        </w:rPr>
        <w:t>2021</w:t>
      </w:r>
      <w:r w:rsidR="00390AE4" w:rsidRPr="00390AE4">
        <w:rPr>
          <w:rFonts w:hint="eastAsia"/>
          <w:lang w:eastAsia="zh-CN"/>
        </w:rPr>
        <w:t>年结转的未决案件和</w:t>
      </w:r>
      <w:r w:rsidR="00390AE4" w:rsidRPr="00390AE4">
        <w:rPr>
          <w:rFonts w:hint="eastAsia"/>
          <w:lang w:eastAsia="zh-CN"/>
        </w:rPr>
        <w:t>4</w:t>
      </w:r>
      <w:r w:rsidR="00390AE4" w:rsidRPr="00390AE4">
        <w:rPr>
          <w:rFonts w:hint="eastAsia"/>
          <w:lang w:eastAsia="zh-CN"/>
        </w:rPr>
        <w:t>起新案件已分配给调查科。在已结案的</w:t>
      </w:r>
      <w:r w:rsidR="00390AE4" w:rsidRPr="00390AE4">
        <w:rPr>
          <w:rFonts w:hint="eastAsia"/>
          <w:lang w:eastAsia="zh-CN"/>
        </w:rPr>
        <w:t>9</w:t>
      </w:r>
      <w:r w:rsidR="00390AE4" w:rsidRPr="00390AE4">
        <w:rPr>
          <w:rFonts w:hint="eastAsia"/>
          <w:lang w:eastAsia="zh-CN"/>
        </w:rPr>
        <w:t>起案件中，</w:t>
      </w:r>
      <w:r w:rsidR="00390AE4" w:rsidRPr="00390AE4">
        <w:rPr>
          <w:rFonts w:hint="eastAsia"/>
          <w:lang w:eastAsia="zh-CN"/>
        </w:rPr>
        <w:t>7</w:t>
      </w:r>
      <w:r w:rsidR="00390AE4" w:rsidRPr="00390AE4">
        <w:rPr>
          <w:rFonts w:hint="eastAsia"/>
          <w:lang w:eastAsia="zh-CN"/>
        </w:rPr>
        <w:t>起证据不足，其余</w:t>
      </w:r>
      <w:r w:rsidR="00390AE4" w:rsidRPr="00390AE4">
        <w:rPr>
          <w:rFonts w:hint="eastAsia"/>
          <w:lang w:eastAsia="zh-CN"/>
        </w:rPr>
        <w:t>2</w:t>
      </w:r>
      <w:r w:rsidR="00390AE4" w:rsidRPr="00390AE4">
        <w:rPr>
          <w:rFonts w:hint="eastAsia"/>
          <w:lang w:eastAsia="zh-CN"/>
        </w:rPr>
        <w:t>起已移交秘书长采取纪律行动。</w:t>
      </w:r>
    </w:p>
    <w:p w14:paraId="15C3B029" w14:textId="1C17DA03" w:rsidR="00390AE4" w:rsidRPr="00FC322E" w:rsidRDefault="00FC322E" w:rsidP="00FC322E">
      <w:pPr>
        <w:pStyle w:val="enumlev1"/>
        <w:rPr>
          <w:highlight w:val="yellow"/>
          <w:lang w:eastAsia="zh-CN"/>
        </w:rPr>
      </w:pPr>
      <w:r>
        <w:rPr>
          <w:rFonts w:hint="eastAsia"/>
          <w:lang w:eastAsia="zh-CN"/>
        </w:rPr>
        <w:t>b</w:t>
      </w:r>
      <w:r>
        <w:rPr>
          <w:lang w:eastAsia="zh-CN"/>
        </w:rPr>
        <w:t>)</w:t>
      </w:r>
      <w:r>
        <w:rPr>
          <w:lang w:eastAsia="zh-CN"/>
        </w:rPr>
        <w:tab/>
      </w:r>
      <w:r w:rsidR="00390AE4" w:rsidRPr="00390AE4">
        <w:rPr>
          <w:rFonts w:hint="eastAsia"/>
          <w:lang w:eastAsia="zh-CN"/>
        </w:rPr>
        <w:t>在所调查的案件中，没有一起给国际电联造成损害的财务欺诈得到确认和证实，且无需调查处通知外部审计员（根据国际电联《财务规则》第</w:t>
      </w:r>
      <w:r w:rsidR="00390AE4" w:rsidRPr="00390AE4">
        <w:rPr>
          <w:rFonts w:hint="eastAsia"/>
          <w:lang w:eastAsia="zh-CN"/>
        </w:rPr>
        <w:t>28.9</w:t>
      </w:r>
      <w:r w:rsidR="00390AE4" w:rsidRPr="00390AE4">
        <w:rPr>
          <w:rFonts w:hint="eastAsia"/>
          <w:lang w:eastAsia="zh-CN"/>
        </w:rPr>
        <w:t>条）。所有已结案件均未发现造成经济损失。</w:t>
      </w:r>
    </w:p>
    <w:p w14:paraId="1F9273EA" w14:textId="5A137064" w:rsidR="00390AE4" w:rsidRPr="00390AE4" w:rsidRDefault="00390AE4" w:rsidP="00FC322E">
      <w:pPr>
        <w:ind w:firstLineChars="200" w:firstLine="480"/>
        <w:rPr>
          <w:lang w:eastAsia="zh-CN"/>
        </w:rPr>
      </w:pPr>
      <w:r w:rsidRPr="00390AE4">
        <w:rPr>
          <w:rFonts w:hint="eastAsia"/>
          <w:lang w:eastAsia="zh-CN"/>
        </w:rPr>
        <w:t>外部审计员已就内部控制提出了若干建议。国际电联外部审计员提出的所有建议均已登记在国际电联合规信息概览中，并正在进行重新评估，同时正酌情对行动计划进行适当复审，以弥补任何已确定的不足之处，确保不断改进。理事会财务和人力资源工作组（</w:t>
      </w:r>
      <w:r w:rsidRPr="00390AE4">
        <w:rPr>
          <w:rFonts w:hint="eastAsia"/>
          <w:lang w:eastAsia="zh-CN"/>
        </w:rPr>
        <w:t>CWG-FHR</w:t>
      </w:r>
      <w:r w:rsidRPr="00390AE4">
        <w:rPr>
          <w:rFonts w:hint="eastAsia"/>
          <w:lang w:eastAsia="zh-CN"/>
        </w:rPr>
        <w:t>）将跟进管理层对这些建议的回应。</w:t>
      </w:r>
    </w:p>
    <w:p w14:paraId="50759F7D" w14:textId="77777777" w:rsidR="00390AE4" w:rsidRPr="00390AE4" w:rsidRDefault="00390AE4" w:rsidP="00FC322E">
      <w:pPr>
        <w:ind w:firstLineChars="200" w:firstLine="480"/>
        <w:rPr>
          <w:lang w:eastAsia="zh-CN"/>
        </w:rPr>
      </w:pPr>
      <w:r w:rsidRPr="00390AE4">
        <w:rPr>
          <w:rFonts w:hint="eastAsia"/>
          <w:lang w:eastAsia="zh-CN"/>
        </w:rPr>
        <w:t>我已注意到内部审计员的审计结果，即需要改善若干审计领域的治理、风险管理和几项控制的有效性。已经并将继续采取行动，加强总部和驻地办事处的内部控制并减少风险。</w:t>
      </w:r>
    </w:p>
    <w:p w14:paraId="52AAB274" w14:textId="36CB9B39" w:rsidR="00390AE4" w:rsidRPr="00390AE4" w:rsidRDefault="00390AE4" w:rsidP="00FC322E">
      <w:pPr>
        <w:ind w:firstLineChars="200" w:firstLine="480"/>
        <w:rPr>
          <w:lang w:eastAsia="zh-CN"/>
        </w:rPr>
      </w:pPr>
      <w:r w:rsidRPr="00390AE4">
        <w:rPr>
          <w:rFonts w:hint="eastAsia"/>
          <w:lang w:eastAsia="zh-CN"/>
        </w:rPr>
        <w:lastRenderedPageBreak/>
        <w:t>独立管理顾问委员会（</w:t>
      </w:r>
      <w:r w:rsidRPr="00390AE4">
        <w:rPr>
          <w:lang w:eastAsia="zh-CN"/>
        </w:rPr>
        <w:t>IMAC</w:t>
      </w:r>
      <w:r w:rsidRPr="00390AE4">
        <w:rPr>
          <w:rFonts w:hint="eastAsia"/>
          <w:lang w:eastAsia="zh-CN"/>
        </w:rPr>
        <w:t>）以专家顾问身份帮助秘书长和理事会履行其管理职责，包括确保国际电联内部控制体系、风险管理和管理流程的有效运作。我亦得到了该委员会的意见和建议。</w:t>
      </w:r>
    </w:p>
    <w:p w14:paraId="2EB89056" w14:textId="3C0EACF4" w:rsidR="00390AE4" w:rsidRPr="00390AE4" w:rsidRDefault="00390AE4" w:rsidP="00FC322E">
      <w:pPr>
        <w:ind w:firstLineChars="200" w:firstLine="480"/>
        <w:rPr>
          <w:lang w:eastAsia="zh-CN"/>
        </w:rPr>
      </w:pPr>
      <w:r w:rsidRPr="00390AE4">
        <w:rPr>
          <w:rFonts w:hint="eastAsia"/>
          <w:lang w:eastAsia="zh-CN"/>
        </w:rPr>
        <w:t>在副秘书长的监督下，</w:t>
      </w:r>
      <w:r w:rsidRPr="00390AE4">
        <w:rPr>
          <w:rFonts w:hint="eastAsia"/>
          <w:lang w:eastAsia="zh-CN"/>
        </w:rPr>
        <w:t>2023</w:t>
      </w:r>
      <w:r w:rsidRPr="00390AE4">
        <w:rPr>
          <w:rFonts w:hint="eastAsia"/>
          <w:lang w:eastAsia="zh-CN"/>
        </w:rPr>
        <w:t>年将重新评估包括业务风险管理、业务智能化和分析能力在内的主要组织职能，以便建立一个综合风险管理、内部控制和合规职能，并将</w:t>
      </w:r>
      <w:r w:rsidRPr="00390AE4">
        <w:rPr>
          <w:rFonts w:hint="eastAsia"/>
          <w:lang w:eastAsia="zh-CN"/>
        </w:rPr>
        <w:t>WGIC</w:t>
      </w:r>
      <w:r w:rsidRPr="00390AE4">
        <w:rPr>
          <w:rFonts w:hint="eastAsia"/>
          <w:lang w:eastAsia="zh-CN"/>
        </w:rPr>
        <w:t>的工作扩大到整个组织。</w:t>
      </w:r>
    </w:p>
    <w:p w14:paraId="27462994" w14:textId="42C8FB4D" w:rsidR="00390AE4" w:rsidRPr="00390AE4" w:rsidRDefault="00390AE4" w:rsidP="00FC322E">
      <w:pPr>
        <w:pStyle w:val="Headingb"/>
        <w:rPr>
          <w:lang w:eastAsia="zh-CN"/>
        </w:rPr>
      </w:pPr>
      <w:bookmarkStart w:id="90" w:name="lt_pId176"/>
      <w:r w:rsidRPr="00390AE4">
        <w:rPr>
          <w:rFonts w:hint="eastAsia"/>
          <w:lang w:eastAsia="zh-CN"/>
        </w:rPr>
        <w:t>本年度内出现的内部控制问题</w:t>
      </w:r>
      <w:bookmarkEnd w:id="90"/>
    </w:p>
    <w:p w14:paraId="49B5D5D4" w14:textId="77777777" w:rsidR="00390AE4" w:rsidRPr="00390AE4" w:rsidRDefault="00390AE4" w:rsidP="00FC322E">
      <w:pPr>
        <w:ind w:firstLineChars="200" w:firstLine="480"/>
        <w:rPr>
          <w:lang w:eastAsia="zh-CN"/>
        </w:rPr>
      </w:pPr>
      <w:bookmarkStart w:id="91" w:name="_Hlk159593487"/>
      <w:r w:rsidRPr="00390AE4">
        <w:rPr>
          <w:rFonts w:hint="eastAsia"/>
          <w:lang w:eastAsia="zh-CN"/>
        </w:rPr>
        <w:t>选任官员、部门负责人、各处和各科负责人的答复认为，支持代表书的</w:t>
      </w:r>
      <w:r w:rsidRPr="00390AE4">
        <w:rPr>
          <w:rFonts w:hint="eastAsia"/>
          <w:lang w:eastAsia="zh-CN"/>
        </w:rPr>
        <w:t>2022</w:t>
      </w:r>
      <w:r w:rsidRPr="00390AE4">
        <w:rPr>
          <w:rFonts w:hint="eastAsia"/>
          <w:lang w:eastAsia="zh-CN"/>
        </w:rPr>
        <w:t>年自我评估问卷对于确定改进机会很有价值。应注意以下几点：</w:t>
      </w:r>
    </w:p>
    <w:p w14:paraId="5FD8EF4B" w14:textId="63FE5DC5" w:rsidR="00390AE4" w:rsidRPr="00390AE4" w:rsidRDefault="00BA17D4" w:rsidP="00BA17D4">
      <w:pPr>
        <w:pStyle w:val="enumlev1"/>
        <w:rPr>
          <w:lang w:eastAsia="zh-CN"/>
        </w:rPr>
      </w:pPr>
      <w:r w:rsidRPr="00E52A4A">
        <w:rPr>
          <w:lang w:eastAsia="zh-CN"/>
        </w:rPr>
        <w:t>a)</w:t>
      </w:r>
      <w:r w:rsidRPr="00E52A4A">
        <w:rPr>
          <w:lang w:eastAsia="zh-CN"/>
        </w:rPr>
        <w:tab/>
      </w:r>
      <w:r w:rsidR="00390AE4" w:rsidRPr="00390AE4">
        <w:rPr>
          <w:lang w:eastAsia="zh-CN"/>
        </w:rPr>
        <w:t>2014</w:t>
      </w:r>
      <w:r w:rsidR="00390AE4" w:rsidRPr="00390AE4">
        <w:rPr>
          <w:rFonts w:hint="eastAsia"/>
          <w:lang w:eastAsia="zh-CN"/>
        </w:rPr>
        <w:t>年，时任秘书长做出决定，根据《财务规则》第</w:t>
      </w:r>
      <w:r w:rsidR="00390AE4" w:rsidRPr="00390AE4">
        <w:rPr>
          <w:lang w:eastAsia="zh-CN"/>
        </w:rPr>
        <w:t>10.4</w:t>
      </w:r>
      <w:r w:rsidR="00390AE4" w:rsidRPr="00390AE4">
        <w:rPr>
          <w:rFonts w:hint="eastAsia"/>
          <w:lang w:eastAsia="zh-CN"/>
        </w:rPr>
        <w:t>条（“秘书长可以从国际电联的利益出发支付他认为必要的补偿款。有关此类支付的报表须纳入《财务工作报告》中”），任何选任官员在离职时都将收到相当于每任期两个月基薪的酌情付款。对于离任秘书长而言，这笔酌情付款的上限为六个月的基薪。</w:t>
      </w:r>
      <w:r w:rsidR="00390AE4" w:rsidRPr="00390AE4">
        <w:rPr>
          <w:lang w:eastAsia="zh-CN"/>
        </w:rPr>
        <w:t>2018</w:t>
      </w:r>
      <w:r w:rsidR="00390AE4" w:rsidRPr="00390AE4">
        <w:rPr>
          <w:rFonts w:hint="eastAsia"/>
          <w:lang w:eastAsia="zh-CN"/>
        </w:rPr>
        <w:t>年和</w:t>
      </w:r>
      <w:r w:rsidR="00390AE4" w:rsidRPr="00390AE4">
        <w:rPr>
          <w:lang w:eastAsia="zh-CN"/>
        </w:rPr>
        <w:t>2022</w:t>
      </w:r>
      <w:r w:rsidR="00390AE4" w:rsidRPr="00390AE4">
        <w:rPr>
          <w:rFonts w:hint="eastAsia"/>
          <w:lang w:eastAsia="zh-CN"/>
        </w:rPr>
        <w:t>年延续了这一做法。因此，自</w:t>
      </w:r>
      <w:r w:rsidR="00390AE4" w:rsidRPr="00390AE4">
        <w:rPr>
          <w:lang w:eastAsia="zh-CN"/>
        </w:rPr>
        <w:t>2014</w:t>
      </w:r>
      <w:r w:rsidR="00390AE4" w:rsidRPr="00390AE4">
        <w:rPr>
          <w:rFonts w:hint="eastAsia"/>
          <w:lang w:eastAsia="zh-CN"/>
        </w:rPr>
        <w:t>年以来，已向离任的选任官员酌情支付了以下款项：</w:t>
      </w:r>
    </w:p>
    <w:p w14:paraId="206102D0" w14:textId="39DF0A6B" w:rsidR="00390AE4" w:rsidRPr="00390AE4" w:rsidRDefault="00FC322E" w:rsidP="00BA17D4">
      <w:pPr>
        <w:pStyle w:val="enumlev2"/>
        <w:rPr>
          <w:highlight w:val="green"/>
          <w:lang w:eastAsia="zh-CN"/>
        </w:rPr>
      </w:pPr>
      <w:r w:rsidRPr="00E52A4A">
        <w:rPr>
          <w:lang w:eastAsia="zh-CN"/>
        </w:rPr>
        <w:t>•</w:t>
      </w:r>
      <w:r w:rsidRPr="00E52A4A">
        <w:rPr>
          <w:lang w:eastAsia="zh-CN"/>
        </w:rPr>
        <w:tab/>
      </w:r>
      <w:r w:rsidR="00390AE4" w:rsidRPr="00390AE4">
        <w:rPr>
          <w:lang w:eastAsia="zh-CN"/>
        </w:rPr>
        <w:t>2014</w:t>
      </w:r>
      <w:r w:rsidR="00390AE4" w:rsidRPr="00390AE4">
        <w:rPr>
          <w:rFonts w:hint="eastAsia"/>
          <w:lang w:eastAsia="zh-CN"/>
        </w:rPr>
        <w:t>年：秘书长收到的特惠补偿款为六个月的最后基薪，即</w:t>
      </w:r>
      <w:r w:rsidR="00390AE4" w:rsidRPr="00390AE4">
        <w:rPr>
          <w:lang w:eastAsia="zh-CN"/>
        </w:rPr>
        <w:t>79 698</w:t>
      </w:r>
      <w:r w:rsidR="00390AE4" w:rsidRPr="00390AE4">
        <w:rPr>
          <w:rFonts w:hint="eastAsia"/>
          <w:lang w:eastAsia="zh-CN"/>
        </w:rPr>
        <w:t>瑞郎；</w:t>
      </w:r>
    </w:p>
    <w:p w14:paraId="44B5B4FD" w14:textId="7333AB03" w:rsidR="00390AE4" w:rsidRPr="00390AE4" w:rsidRDefault="00FC322E" w:rsidP="00BA17D4">
      <w:pPr>
        <w:pStyle w:val="enumlev2"/>
        <w:rPr>
          <w:highlight w:val="green"/>
          <w:lang w:eastAsia="zh-CN"/>
        </w:rPr>
      </w:pPr>
      <w:r w:rsidRPr="00E52A4A">
        <w:rPr>
          <w:lang w:eastAsia="zh-CN"/>
        </w:rPr>
        <w:t>•</w:t>
      </w:r>
      <w:r w:rsidRPr="00E52A4A">
        <w:rPr>
          <w:lang w:eastAsia="zh-CN"/>
        </w:rPr>
        <w:tab/>
      </w:r>
      <w:r w:rsidR="00390AE4" w:rsidRPr="00390AE4">
        <w:rPr>
          <w:lang w:eastAsia="zh-CN"/>
        </w:rPr>
        <w:t>2018</w:t>
      </w:r>
      <w:r w:rsidR="00390AE4" w:rsidRPr="00390AE4">
        <w:rPr>
          <w:rFonts w:hint="eastAsia"/>
          <w:lang w:eastAsia="zh-CN"/>
        </w:rPr>
        <w:t>年：无线电通信局和电信发展局主任每人收到的款项均相当于各自四个月的最后基薪，即每人</w:t>
      </w:r>
      <w:r w:rsidR="00390AE4" w:rsidRPr="00390AE4">
        <w:rPr>
          <w:lang w:eastAsia="zh-CN"/>
        </w:rPr>
        <w:t>52 092</w:t>
      </w:r>
      <w:r w:rsidR="00390AE4" w:rsidRPr="00390AE4">
        <w:rPr>
          <w:rFonts w:hint="eastAsia"/>
          <w:lang w:eastAsia="zh-CN"/>
        </w:rPr>
        <w:t>瑞郎；</w:t>
      </w:r>
    </w:p>
    <w:p w14:paraId="677460F1" w14:textId="60B6FB9D" w:rsidR="00390AE4" w:rsidRPr="00FC322E" w:rsidRDefault="00FC322E" w:rsidP="00BA17D4">
      <w:pPr>
        <w:pStyle w:val="enumlev2"/>
        <w:rPr>
          <w:highlight w:val="green"/>
          <w:lang w:eastAsia="zh-CN"/>
        </w:rPr>
      </w:pPr>
      <w:r w:rsidRPr="00E52A4A">
        <w:rPr>
          <w:lang w:eastAsia="zh-CN"/>
        </w:rPr>
        <w:t>•</w:t>
      </w:r>
      <w:r w:rsidRPr="00E52A4A">
        <w:rPr>
          <w:lang w:eastAsia="zh-CN"/>
        </w:rPr>
        <w:tab/>
      </w:r>
      <w:r w:rsidR="00390AE4" w:rsidRPr="00390AE4">
        <w:rPr>
          <w:lang w:eastAsia="zh-CN"/>
        </w:rPr>
        <w:t>2022</w:t>
      </w:r>
      <w:r w:rsidR="00390AE4" w:rsidRPr="00390AE4">
        <w:rPr>
          <w:rFonts w:hint="eastAsia"/>
          <w:lang w:eastAsia="zh-CN"/>
        </w:rPr>
        <w:t>年：秘书长收到的款项相当于其六个月的最后基薪，即</w:t>
      </w:r>
      <w:r w:rsidR="00390AE4" w:rsidRPr="00390AE4">
        <w:rPr>
          <w:lang w:eastAsia="zh-CN"/>
        </w:rPr>
        <w:t>83 701</w:t>
      </w:r>
      <w:r w:rsidR="00390AE4" w:rsidRPr="00390AE4">
        <w:rPr>
          <w:rFonts w:hint="eastAsia"/>
          <w:lang w:eastAsia="zh-CN"/>
        </w:rPr>
        <w:t>瑞郎；副秘书长收到的款项相当于其六个月的最后基薪，即</w:t>
      </w:r>
      <w:r w:rsidR="00390AE4" w:rsidRPr="00390AE4">
        <w:rPr>
          <w:lang w:eastAsia="zh-CN"/>
        </w:rPr>
        <w:t>76 830</w:t>
      </w:r>
      <w:r w:rsidR="00390AE4" w:rsidRPr="00390AE4">
        <w:rPr>
          <w:rFonts w:hint="eastAsia"/>
          <w:lang w:eastAsia="zh-CN"/>
        </w:rPr>
        <w:t>瑞郎（减去购买</w:t>
      </w:r>
      <w:r w:rsidR="00390AE4" w:rsidRPr="00390AE4">
        <w:rPr>
          <w:rFonts w:hint="eastAsia"/>
          <w:lang w:eastAsia="zh-CN"/>
        </w:rPr>
        <w:t>IT</w:t>
      </w:r>
      <w:r w:rsidR="00390AE4" w:rsidRPr="00390AE4">
        <w:rPr>
          <w:rFonts w:hint="eastAsia"/>
          <w:lang w:eastAsia="zh-CN"/>
        </w:rPr>
        <w:t>设备扣除金额</w:t>
      </w:r>
      <w:r w:rsidR="00390AE4" w:rsidRPr="00390AE4">
        <w:rPr>
          <w:rFonts w:hint="eastAsia"/>
          <w:lang w:eastAsia="zh-CN"/>
        </w:rPr>
        <w:t>3 528</w:t>
      </w:r>
      <w:r w:rsidR="00390AE4" w:rsidRPr="00390AE4">
        <w:rPr>
          <w:rFonts w:hint="eastAsia"/>
          <w:lang w:eastAsia="zh-CN"/>
        </w:rPr>
        <w:t>瑞郎）；电信标准化局主任收到的款项相当于其四个月的最后基薪，即</w:t>
      </w:r>
      <w:r w:rsidR="00390AE4" w:rsidRPr="00390AE4">
        <w:rPr>
          <w:lang w:eastAsia="zh-CN"/>
        </w:rPr>
        <w:t>51 220</w:t>
      </w:r>
      <w:r w:rsidR="00390AE4" w:rsidRPr="00390AE4">
        <w:rPr>
          <w:rFonts w:hint="eastAsia"/>
          <w:lang w:eastAsia="zh-CN"/>
        </w:rPr>
        <w:t>瑞郎。</w:t>
      </w:r>
    </w:p>
    <w:p w14:paraId="07C31280" w14:textId="7915F5F8" w:rsidR="00390AE4" w:rsidRPr="00390AE4" w:rsidRDefault="00390AE4" w:rsidP="00B50665">
      <w:pPr>
        <w:ind w:firstLineChars="200" w:firstLine="480"/>
        <w:rPr>
          <w:lang w:eastAsia="zh-CN"/>
        </w:rPr>
      </w:pPr>
      <w:bookmarkStart w:id="92" w:name="lt_pId190"/>
      <w:r w:rsidRPr="00390AE4">
        <w:rPr>
          <w:lang w:eastAsia="zh-CN"/>
        </w:rPr>
        <w:t>2023</w:t>
      </w:r>
      <w:r w:rsidRPr="00390AE4">
        <w:rPr>
          <w:rFonts w:hint="eastAsia"/>
          <w:lang w:eastAsia="zh-CN"/>
        </w:rPr>
        <w:t>年</w:t>
      </w:r>
      <w:r w:rsidRPr="00390AE4">
        <w:rPr>
          <w:lang w:eastAsia="zh-CN"/>
        </w:rPr>
        <w:t>2</w:t>
      </w:r>
      <w:r w:rsidRPr="00390AE4">
        <w:rPr>
          <w:rFonts w:hint="eastAsia"/>
          <w:lang w:eastAsia="zh-CN"/>
        </w:rPr>
        <w:t>月，一名举报人引发对此事的关注，并提请秘书长、道德规范办公室和其他监督机构注意该问题。经与国际电联法律顾问进行磋商，以确定根据国际电联《财务规则》和《人事规则》，这些支付是否具有法律依据，磋商后确认这些付款不符合国际电联《财务规则》中规定的特惠补偿款定义，因为这些付款对国际电联而言，既非必要，亦无益处。秘书长在与</w:t>
      </w:r>
      <w:r w:rsidRPr="00390AE4">
        <w:rPr>
          <w:lang w:eastAsia="zh-CN"/>
        </w:rPr>
        <w:t>IMAC</w:t>
      </w:r>
      <w:r w:rsidRPr="00390AE4">
        <w:rPr>
          <w:rFonts w:hint="eastAsia"/>
          <w:lang w:eastAsia="zh-CN"/>
        </w:rPr>
        <w:t>和外部审计员磋商后决定，取消此项付款，立即生效。</w:t>
      </w:r>
      <w:bookmarkEnd w:id="92"/>
      <w:r w:rsidRPr="00390AE4">
        <w:rPr>
          <w:rFonts w:hint="eastAsia"/>
          <w:lang w:eastAsia="zh-CN"/>
        </w:rPr>
        <w:t>我已注意到外部审计员对这些交易的保留意见。</w:t>
      </w:r>
    </w:p>
    <w:p w14:paraId="61A9775D" w14:textId="5A8A2201" w:rsidR="00390AE4" w:rsidRPr="00390AE4" w:rsidRDefault="00390AE4" w:rsidP="00B50665">
      <w:pPr>
        <w:ind w:firstLineChars="200" w:firstLine="480"/>
        <w:rPr>
          <w:lang w:eastAsia="zh-CN"/>
        </w:rPr>
      </w:pPr>
      <w:r w:rsidRPr="00390AE4">
        <w:rPr>
          <w:rFonts w:hint="eastAsia"/>
          <w:lang w:eastAsia="zh-CN"/>
        </w:rPr>
        <w:t>秘书长已将这一问题提请理事会注意，以便理事会了解情况并予以指导。此外，为加强国际电联内部的良好治理和控制机制，秘书长建议理事会立即废除有关此类付款的第</w:t>
      </w:r>
      <w:r w:rsidRPr="00390AE4">
        <w:rPr>
          <w:rFonts w:hint="eastAsia"/>
          <w:lang w:eastAsia="zh-CN"/>
        </w:rPr>
        <w:t>10.4</w:t>
      </w:r>
      <w:r w:rsidRPr="00390AE4">
        <w:rPr>
          <w:rFonts w:hint="eastAsia"/>
          <w:lang w:eastAsia="zh-CN"/>
        </w:rPr>
        <w:t>条是恰当的。此建议已得到批准；</w:t>
      </w:r>
    </w:p>
    <w:p w14:paraId="3D5513D6" w14:textId="52C2168F" w:rsidR="00390AE4" w:rsidRPr="00390AE4" w:rsidRDefault="00FC322E" w:rsidP="00FC322E">
      <w:pPr>
        <w:pStyle w:val="enumlev1"/>
        <w:rPr>
          <w:lang w:eastAsia="zh-CN"/>
        </w:rPr>
      </w:pPr>
      <w:bookmarkStart w:id="93" w:name="lt_pId193"/>
      <w:r>
        <w:rPr>
          <w:lang w:eastAsia="zh-CN"/>
        </w:rPr>
        <w:t>b)</w:t>
      </w:r>
      <w:r>
        <w:rPr>
          <w:lang w:eastAsia="zh-CN"/>
        </w:rPr>
        <w:tab/>
      </w:r>
      <w:r w:rsidR="00390AE4" w:rsidRPr="00390AE4">
        <w:rPr>
          <w:rFonts w:hint="eastAsia"/>
          <w:lang w:eastAsia="zh-CN"/>
        </w:rPr>
        <w:t>理事会</w:t>
      </w:r>
      <w:r w:rsidR="00390AE4" w:rsidRPr="00390AE4">
        <w:rPr>
          <w:rFonts w:hint="eastAsia"/>
          <w:lang w:eastAsia="zh-CN"/>
        </w:rPr>
        <w:t>2023</w:t>
      </w:r>
      <w:r w:rsidR="00390AE4" w:rsidRPr="00390AE4">
        <w:rPr>
          <w:rFonts w:hint="eastAsia"/>
          <w:lang w:eastAsia="zh-CN"/>
        </w:rPr>
        <w:t>年</w:t>
      </w:r>
      <w:r w:rsidR="00390AE4" w:rsidRPr="00390AE4">
        <w:rPr>
          <w:rFonts w:hint="eastAsia"/>
          <w:lang w:eastAsia="zh-CN"/>
        </w:rPr>
        <w:t>7</w:t>
      </w:r>
      <w:r w:rsidR="00390AE4" w:rsidRPr="00390AE4">
        <w:rPr>
          <w:rFonts w:hint="eastAsia"/>
          <w:lang w:eastAsia="zh-CN"/>
        </w:rPr>
        <w:t>月会议和</w:t>
      </w:r>
      <w:r w:rsidR="00390AE4" w:rsidRPr="00390AE4">
        <w:rPr>
          <w:rFonts w:hint="eastAsia"/>
          <w:lang w:eastAsia="zh-CN"/>
        </w:rPr>
        <w:t>10</w:t>
      </w:r>
      <w:r w:rsidR="00390AE4" w:rsidRPr="00390AE4">
        <w:rPr>
          <w:rFonts w:hint="eastAsia"/>
          <w:lang w:eastAsia="zh-CN"/>
        </w:rPr>
        <w:t>月理事会增开会议讨论了新办公楼项目。</w:t>
      </w:r>
      <w:bookmarkStart w:id="94" w:name="lt_pId195"/>
      <w:bookmarkEnd w:id="93"/>
      <w:r w:rsidR="00390AE4" w:rsidRPr="00390AE4">
        <w:rPr>
          <w:lang w:eastAsia="zh-CN"/>
        </w:rPr>
        <w:t>秘书处采取</w:t>
      </w:r>
      <w:r w:rsidR="00390AE4" w:rsidRPr="00390AE4">
        <w:rPr>
          <w:rFonts w:hint="eastAsia"/>
          <w:lang w:eastAsia="zh-CN"/>
        </w:rPr>
        <w:t>了</w:t>
      </w:r>
      <w:r w:rsidR="00390AE4" w:rsidRPr="00390AE4">
        <w:rPr>
          <w:lang w:eastAsia="zh-CN"/>
        </w:rPr>
        <w:t>必要措施，在发放建筑许可所允许的总体参数范围内，重新评估新办公楼的现有设计和技术规划，目的是尽可能使项目费用与目前批准的预算保持一致。</w:t>
      </w:r>
      <w:bookmarkEnd w:id="91"/>
      <w:bookmarkEnd w:id="94"/>
      <w:r w:rsidR="00390AE4" w:rsidRPr="00390AE4">
        <w:rPr>
          <w:rFonts w:hint="eastAsia"/>
          <w:lang w:eastAsia="zh-CN"/>
        </w:rPr>
        <w:t>这项工作证实，在目前的项目设计中重新界定范围不会提高项目效率。</w:t>
      </w:r>
      <w:r w:rsidR="00390AE4" w:rsidRPr="00390AE4">
        <w:rPr>
          <w:rFonts w:hint="eastAsia"/>
          <w:lang w:eastAsia="zh-CN"/>
        </w:rPr>
        <w:t>2023</w:t>
      </w:r>
      <w:r w:rsidR="00390AE4" w:rsidRPr="00390AE4">
        <w:rPr>
          <w:rFonts w:hint="eastAsia"/>
          <w:lang w:eastAsia="zh-CN"/>
        </w:rPr>
        <w:t>年</w:t>
      </w:r>
      <w:r w:rsidR="00390AE4" w:rsidRPr="00390AE4">
        <w:rPr>
          <w:rFonts w:hint="eastAsia"/>
          <w:lang w:eastAsia="zh-CN"/>
        </w:rPr>
        <w:t>10</w:t>
      </w:r>
      <w:r w:rsidR="00390AE4" w:rsidRPr="00390AE4">
        <w:rPr>
          <w:rFonts w:hint="eastAsia"/>
          <w:lang w:eastAsia="zh-CN"/>
        </w:rPr>
        <w:t>月理事会增开会议请秘书处及时就两种情况采取行动：</w:t>
      </w:r>
      <w:r w:rsidR="00390AE4" w:rsidRPr="00390AE4">
        <w:rPr>
          <w:rFonts w:hint="eastAsia"/>
          <w:lang w:eastAsia="zh-CN"/>
        </w:rPr>
        <w:t>A</w:t>
      </w:r>
      <w:r>
        <w:rPr>
          <w:rFonts w:hint="eastAsia"/>
          <w:lang w:eastAsia="zh-CN"/>
        </w:rPr>
        <w:t>)</w:t>
      </w:r>
      <w:r>
        <w:rPr>
          <w:lang w:eastAsia="zh-CN"/>
        </w:rPr>
        <w:t xml:space="preserve"> </w:t>
      </w:r>
      <w:r w:rsidR="00390AE4" w:rsidRPr="00390AE4">
        <w:rPr>
          <w:rFonts w:hint="eastAsia"/>
          <w:lang w:eastAsia="zh-CN"/>
        </w:rPr>
        <w:t>调查如何确保获得预算超支的资金，以及</w:t>
      </w:r>
      <w:r w:rsidR="00390AE4" w:rsidRPr="00390AE4">
        <w:rPr>
          <w:rFonts w:hint="eastAsia"/>
          <w:lang w:eastAsia="zh-CN"/>
        </w:rPr>
        <w:t>B</w:t>
      </w:r>
      <w:r>
        <w:rPr>
          <w:rFonts w:hint="eastAsia"/>
          <w:lang w:eastAsia="zh-CN"/>
        </w:rPr>
        <w:t>)</w:t>
      </w:r>
      <w:r>
        <w:rPr>
          <w:lang w:eastAsia="zh-CN"/>
        </w:rPr>
        <w:t xml:space="preserve"> </w:t>
      </w:r>
      <w:r w:rsidR="00390AE4" w:rsidRPr="00390AE4">
        <w:rPr>
          <w:rFonts w:hint="eastAsia"/>
          <w:lang w:eastAsia="zh-CN"/>
        </w:rPr>
        <w:t>调查如何重新调整设计以适应剩余的已批准预算。将按照理事会的建议对正在开展的活动进行监督，以确保及时实施具有成本效益的解决方案；</w:t>
      </w:r>
    </w:p>
    <w:p w14:paraId="03E6C58C" w14:textId="2DAA985F" w:rsidR="00390AE4" w:rsidRPr="00390AE4" w:rsidRDefault="00FC322E" w:rsidP="00BA17D4">
      <w:pPr>
        <w:pStyle w:val="enumlev1"/>
        <w:rPr>
          <w:lang w:eastAsia="zh-CN"/>
        </w:rPr>
      </w:pPr>
      <w:r>
        <w:rPr>
          <w:lang w:eastAsia="zh-CN"/>
        </w:rPr>
        <w:t>c)</w:t>
      </w:r>
      <w:r>
        <w:rPr>
          <w:lang w:eastAsia="zh-CN"/>
        </w:rPr>
        <w:tab/>
      </w:r>
      <w:r w:rsidR="00390AE4" w:rsidRPr="00390AE4">
        <w:rPr>
          <w:rFonts w:hint="eastAsia"/>
          <w:lang w:eastAsia="zh-CN"/>
        </w:rPr>
        <w:t>为有效捕捉风险，需要在全组织范围内完成风险管理程序制定工作和风险登记册的维护。在国际电联各个层面实施企业风险管理依然是秘书长建立一个更高</w:t>
      </w:r>
      <w:r w:rsidR="00390AE4" w:rsidRPr="00390AE4">
        <w:rPr>
          <w:rFonts w:hint="eastAsia"/>
          <w:lang w:eastAsia="zh-CN"/>
        </w:rPr>
        <w:lastRenderedPageBreak/>
        <w:t>效、更有效、更透明和更负责的组织愿景中的一个关键要素。为确保完成这项任务还需要开展大量工作；</w:t>
      </w:r>
    </w:p>
    <w:p w14:paraId="4735464E" w14:textId="2C75FA5B" w:rsidR="00390AE4" w:rsidRPr="00390AE4" w:rsidRDefault="00FC322E" w:rsidP="00BA17D4">
      <w:pPr>
        <w:pStyle w:val="enumlev1"/>
        <w:rPr>
          <w:lang w:eastAsia="zh-CN"/>
        </w:rPr>
      </w:pPr>
      <w:r>
        <w:rPr>
          <w:lang w:eastAsia="zh-CN"/>
        </w:rPr>
        <w:t>d)</w:t>
      </w:r>
      <w:r>
        <w:rPr>
          <w:lang w:eastAsia="zh-CN"/>
        </w:rPr>
        <w:tab/>
      </w:r>
      <w:r w:rsidR="00390AE4" w:rsidRPr="00390AE4">
        <w:rPr>
          <w:rFonts w:hint="eastAsia"/>
          <w:lang w:eastAsia="zh-CN"/>
        </w:rPr>
        <w:t>遵守提前购票政策。秘书长继续在上届领导班子所开展工作的基础上再接再厉，确保以更有效和更具成本效益的方式管理差旅。现已制定了国际电联各部门的差旅计划并计算了成本，并将定期监督；</w:t>
      </w:r>
    </w:p>
    <w:p w14:paraId="61D6EBE3" w14:textId="1BB6DD6F" w:rsidR="00390AE4" w:rsidRPr="00390AE4" w:rsidRDefault="00FC322E" w:rsidP="00BA17D4">
      <w:pPr>
        <w:pStyle w:val="enumlev1"/>
        <w:rPr>
          <w:lang w:eastAsia="zh-CN"/>
        </w:rPr>
      </w:pPr>
      <w:r>
        <w:rPr>
          <w:lang w:eastAsia="zh-CN"/>
        </w:rPr>
        <w:t>e)</w:t>
      </w:r>
      <w:r>
        <w:rPr>
          <w:lang w:eastAsia="zh-CN"/>
        </w:rPr>
        <w:tab/>
      </w:r>
      <w:r w:rsidR="00390AE4" w:rsidRPr="00390AE4">
        <w:rPr>
          <w:rFonts w:hint="eastAsia"/>
          <w:lang w:eastAsia="zh-CN"/>
        </w:rPr>
        <w:t>实施与人才获取和学习以及技能开发相关的人力资源程序。秘书长致力于继续加强招聘框架，使本组织能够以快速、高效、公平和专业的方式在广泛的地域基础上物色、吸引和获取各种人才，以有效完成各项职责活动</w:t>
      </w:r>
      <w:r>
        <w:rPr>
          <w:rFonts w:hint="eastAsia"/>
          <w:lang w:eastAsia="zh-CN"/>
        </w:rPr>
        <w:t>；</w:t>
      </w:r>
    </w:p>
    <w:p w14:paraId="0D243D3B" w14:textId="68B3EF54" w:rsidR="00390AE4" w:rsidRPr="00390AE4" w:rsidRDefault="00FC322E" w:rsidP="00BA17D4">
      <w:pPr>
        <w:pStyle w:val="enumlev1"/>
        <w:rPr>
          <w:lang w:eastAsia="zh-CN"/>
        </w:rPr>
      </w:pPr>
      <w:r>
        <w:rPr>
          <w:lang w:eastAsia="zh-CN"/>
        </w:rPr>
        <w:t>f)</w:t>
      </w:r>
      <w:r>
        <w:rPr>
          <w:lang w:eastAsia="zh-CN"/>
        </w:rPr>
        <w:tab/>
      </w:r>
      <w:r w:rsidR="00390AE4" w:rsidRPr="00390AE4">
        <w:rPr>
          <w:rFonts w:hint="eastAsia"/>
          <w:lang w:eastAsia="zh-CN"/>
        </w:rPr>
        <w:t>落实个人数据保护和隐私原则。本组织已最终确定其关于数据隐私和保护的政策，随后将制定一项全面的隐私和保护方案。相关数据控制方将负责在相应系统中嵌入经批准的数据保护和隐私控制</w:t>
      </w:r>
      <w:r>
        <w:rPr>
          <w:rFonts w:hint="eastAsia"/>
          <w:lang w:eastAsia="zh-CN"/>
        </w:rPr>
        <w:t>；</w:t>
      </w:r>
      <w:r w:rsidR="00390AE4" w:rsidRPr="00390AE4">
        <w:rPr>
          <w:rFonts w:hint="eastAsia"/>
          <w:lang w:eastAsia="zh-CN"/>
        </w:rPr>
        <w:t>和</w:t>
      </w:r>
    </w:p>
    <w:p w14:paraId="3D76DB3A" w14:textId="5159B32E" w:rsidR="00390AE4" w:rsidRPr="00390AE4" w:rsidRDefault="00FC322E" w:rsidP="00BA17D4">
      <w:pPr>
        <w:pStyle w:val="enumlev1"/>
        <w:rPr>
          <w:lang w:eastAsia="zh-CN"/>
        </w:rPr>
      </w:pPr>
      <w:r>
        <w:rPr>
          <w:lang w:eastAsia="zh-CN"/>
        </w:rPr>
        <w:t>g)</w:t>
      </w:r>
      <w:r>
        <w:rPr>
          <w:lang w:eastAsia="zh-CN"/>
        </w:rPr>
        <w:tab/>
      </w:r>
      <w:r w:rsidR="00390AE4" w:rsidRPr="00390AE4">
        <w:rPr>
          <w:rFonts w:hint="eastAsia"/>
          <w:lang w:eastAsia="zh-CN"/>
        </w:rPr>
        <w:t>国际电联管理层承认关键财务数据以及财务专业知识和健全的程序对于编制正确全面的财务报表至关重要，重点是完善财务报告并确保符合</w:t>
      </w:r>
      <w:r w:rsidR="00390AE4" w:rsidRPr="00390AE4">
        <w:rPr>
          <w:rFonts w:hint="eastAsia"/>
          <w:lang w:eastAsia="zh-CN"/>
        </w:rPr>
        <w:t>IPSAS</w:t>
      </w:r>
      <w:r w:rsidR="00390AE4" w:rsidRPr="00390AE4">
        <w:rPr>
          <w:rFonts w:hint="eastAsia"/>
          <w:lang w:eastAsia="zh-CN"/>
        </w:rPr>
        <w:t>。</w:t>
      </w:r>
      <w:r w:rsidR="00390AE4" w:rsidRPr="00390AE4">
        <w:rPr>
          <w:rFonts w:hint="eastAsia"/>
          <w:lang w:eastAsia="zh-CN"/>
        </w:rPr>
        <w:t>2023</w:t>
      </w:r>
      <w:r w:rsidR="00390AE4" w:rsidRPr="00390AE4">
        <w:rPr>
          <w:rFonts w:hint="eastAsia"/>
          <w:lang w:eastAsia="zh-CN"/>
        </w:rPr>
        <w:t>年，鉴于外部审计指出的</w:t>
      </w:r>
      <w:r w:rsidR="00390AE4" w:rsidRPr="00390AE4">
        <w:rPr>
          <w:rFonts w:hint="eastAsia"/>
          <w:lang w:eastAsia="zh-CN"/>
        </w:rPr>
        <w:t>2022</w:t>
      </w:r>
      <w:r w:rsidR="00390AE4" w:rsidRPr="00390AE4">
        <w:rPr>
          <w:rFonts w:hint="eastAsia"/>
          <w:lang w:eastAsia="zh-CN"/>
        </w:rPr>
        <w:t>年财务报表存在明显缺陷，以及基本财务工作文件存在差距，我们聘请了外部顾问，并在很大程度上依赖财务团队的奉献精神来纠正这些差异并使我们的记录达到标准。考虑到外部审计员提出的关注、起草可审计财务报表的拖延以及国际电联面临的声誉风险，上述工作必不可少。在更新和调整所有财务记录并使之与当前账目差额保持一致方面所做的共同努力，已可保财务报表具有可审计的质量。我们将继续重点严格管理所有账目，特别是确保精确评估未付的应付账目、应收账款和预算外资金。这种勤勉不仅对于准确呈现资产和负债至关重要，而且对于加强我们的基本财务流程和会计框架也至关重要。此外，尽管付出的努力大大提高了账目的质量，但仍需继续开展大量工作，以确保将适当做法可持续地贯彻到国际电联的财务管理中，并确保</w:t>
      </w:r>
      <w:r w:rsidR="00390AE4" w:rsidRPr="00390AE4">
        <w:rPr>
          <w:rFonts w:hint="eastAsia"/>
          <w:lang w:eastAsia="zh-CN"/>
        </w:rPr>
        <w:t>2023</w:t>
      </w:r>
      <w:r w:rsidR="00390AE4" w:rsidRPr="00390AE4">
        <w:rPr>
          <w:rFonts w:hint="eastAsia"/>
          <w:lang w:eastAsia="zh-CN"/>
        </w:rPr>
        <w:t>年及以后的账目制定达到所要求的质量水平。财务管理的能力和专门知识也需要大力加强。</w:t>
      </w:r>
    </w:p>
    <w:p w14:paraId="09B3E603" w14:textId="696614DC" w:rsidR="00390AE4" w:rsidRPr="00390AE4" w:rsidRDefault="00390AE4" w:rsidP="00FC322E">
      <w:pPr>
        <w:pStyle w:val="Headingb"/>
        <w:rPr>
          <w:lang w:eastAsia="zh-CN"/>
        </w:rPr>
      </w:pPr>
      <w:r w:rsidRPr="00390AE4">
        <w:rPr>
          <w:rFonts w:hint="eastAsia"/>
          <w:lang w:eastAsia="zh-CN"/>
        </w:rPr>
        <w:t>结论</w:t>
      </w:r>
    </w:p>
    <w:p w14:paraId="6C9DA4B5" w14:textId="0C3B3CF4" w:rsidR="00390AE4" w:rsidRPr="00390AE4" w:rsidRDefault="00390AE4" w:rsidP="00FC322E">
      <w:pPr>
        <w:ind w:firstLineChars="200" w:firstLine="480"/>
        <w:rPr>
          <w:lang w:eastAsia="zh-CN"/>
        </w:rPr>
      </w:pPr>
      <w:r w:rsidRPr="00390AE4">
        <w:rPr>
          <w:rFonts w:hint="eastAsia"/>
          <w:lang w:eastAsia="zh-CN"/>
        </w:rPr>
        <w:t>我致力于建立一个不仅在外部交付，而且在内部交付方面皆表现卓越的组织，一个我们的成员和我们的员工可以信任的组织。</w:t>
      </w:r>
    </w:p>
    <w:p w14:paraId="6F503CC1" w14:textId="579E07E0" w:rsidR="00390AE4" w:rsidRPr="00390AE4" w:rsidRDefault="00390AE4" w:rsidP="00FC322E">
      <w:pPr>
        <w:ind w:firstLineChars="200" w:firstLine="480"/>
        <w:rPr>
          <w:lang w:eastAsia="zh-CN"/>
        </w:rPr>
      </w:pPr>
      <w:r w:rsidRPr="00390AE4">
        <w:rPr>
          <w:rFonts w:hint="eastAsia"/>
          <w:lang w:eastAsia="zh-CN"/>
        </w:rPr>
        <w:t>如上所述，我于</w:t>
      </w:r>
      <w:r w:rsidRPr="00390AE4">
        <w:rPr>
          <w:rFonts w:hint="eastAsia"/>
          <w:lang w:eastAsia="zh-CN"/>
        </w:rPr>
        <w:t>2023</w:t>
      </w:r>
      <w:r w:rsidRPr="00390AE4">
        <w:rPr>
          <w:rFonts w:hint="eastAsia"/>
          <w:lang w:eastAsia="zh-CN"/>
        </w:rPr>
        <w:t>年</w:t>
      </w:r>
      <w:r w:rsidRPr="00390AE4">
        <w:rPr>
          <w:rFonts w:hint="eastAsia"/>
          <w:lang w:eastAsia="zh-CN"/>
        </w:rPr>
        <w:t>1</w:t>
      </w:r>
      <w:r w:rsidRPr="00390AE4">
        <w:rPr>
          <w:rFonts w:hint="eastAsia"/>
          <w:lang w:eastAsia="zh-CN"/>
        </w:rPr>
        <w:t>月上任，因此，我依赖在此之前已有的内部控制框架以及上届领导班子做出的决定。从我上任伊始，就必须定下“高层基调”，确保内部控制的薄弱环节得到解决。高层管理人员将致力于审议并加强我们的内部控制框架，以确保该框架得到落实并适应国际电联不断变化的需求。</w:t>
      </w:r>
    </w:p>
    <w:p w14:paraId="16176AA9" w14:textId="64A0EECB" w:rsidR="00390AE4" w:rsidRPr="00390AE4" w:rsidRDefault="00390AE4" w:rsidP="00FC322E">
      <w:pPr>
        <w:ind w:firstLineChars="200" w:firstLine="480"/>
        <w:rPr>
          <w:lang w:eastAsia="zh-CN"/>
        </w:rPr>
      </w:pPr>
      <w:r w:rsidRPr="00390AE4">
        <w:rPr>
          <w:rFonts w:hint="eastAsia"/>
          <w:lang w:eastAsia="zh-CN"/>
        </w:rPr>
        <w:t>这项工作将通过内部转型团队进一步加强，该团队已在</w:t>
      </w:r>
      <w:r w:rsidRPr="00390AE4">
        <w:rPr>
          <w:rFonts w:hint="eastAsia"/>
          <w:lang w:eastAsia="zh-CN"/>
        </w:rPr>
        <w:t>2023</w:t>
      </w:r>
      <w:r w:rsidRPr="00390AE4">
        <w:rPr>
          <w:rFonts w:hint="eastAsia"/>
          <w:lang w:eastAsia="zh-CN"/>
        </w:rPr>
        <w:t>年</w:t>
      </w:r>
      <w:r w:rsidRPr="00390AE4">
        <w:rPr>
          <w:rFonts w:hint="eastAsia"/>
          <w:lang w:eastAsia="zh-CN"/>
        </w:rPr>
        <w:t>7</w:t>
      </w:r>
      <w:r w:rsidRPr="00390AE4">
        <w:rPr>
          <w:rFonts w:hint="eastAsia"/>
          <w:lang w:eastAsia="zh-CN"/>
        </w:rPr>
        <w:t>月理事会期间批准设立。该团队将确定需改进的领域，确定关键风险并向理事会报告，同时实施必要的变革，以加强我们的内部控制并改进相关流程，特别是在财务职能部门。</w:t>
      </w:r>
    </w:p>
    <w:p w14:paraId="4ECA85E2" w14:textId="77777777" w:rsidR="00FC322E" w:rsidRDefault="00390AE4" w:rsidP="00FC322E">
      <w:pPr>
        <w:ind w:firstLineChars="200" w:firstLine="480"/>
        <w:rPr>
          <w:lang w:eastAsia="zh-CN"/>
        </w:rPr>
      </w:pPr>
      <w:r w:rsidRPr="00390AE4">
        <w:rPr>
          <w:rFonts w:hint="eastAsia"/>
          <w:lang w:eastAsia="zh-CN"/>
        </w:rPr>
        <w:t>我期待着与相关利益攸关方（包括理事会、外部审计、独立管理顾问委员会、其他选任官员、各部门负责人以及各处室或科室负责人）合作，确保内部控制框架符合国际电联的战略方向并支持我们实现可靠的财务和非财务报告、运作有效性、问责制、合规性以及预防和发现欺诈活动的目标。</w:t>
      </w:r>
    </w:p>
    <w:p w14:paraId="41ED49CA" w14:textId="04FA2913" w:rsidR="00390AE4" w:rsidRPr="00390AE4" w:rsidRDefault="00390AE4" w:rsidP="00FC322E">
      <w:pPr>
        <w:ind w:firstLineChars="200" w:firstLine="480"/>
        <w:rPr>
          <w:lang w:eastAsia="zh-CN"/>
        </w:rPr>
      </w:pPr>
      <w:r w:rsidRPr="00390AE4">
        <w:rPr>
          <w:rFonts w:hint="eastAsia"/>
          <w:lang w:eastAsia="zh-CN"/>
        </w:rPr>
        <w:t>此外，我确认，我将确保与所有未来的国际电联领导班子成员进行正式、彻底和恰当的过渡和交接。</w:t>
      </w:r>
    </w:p>
    <w:p w14:paraId="49A6CF37" w14:textId="12046295" w:rsidR="00390AE4" w:rsidRPr="00390AE4" w:rsidRDefault="00390AE4" w:rsidP="00BA17D4">
      <w:pPr>
        <w:ind w:firstLineChars="200" w:firstLine="480"/>
        <w:rPr>
          <w:lang w:eastAsia="zh-CN"/>
        </w:rPr>
      </w:pPr>
      <w:r w:rsidRPr="00390AE4">
        <w:rPr>
          <w:rFonts w:hint="eastAsia"/>
          <w:lang w:eastAsia="zh-CN"/>
        </w:rPr>
        <w:lastRenderedPageBreak/>
        <w:t>有鉴于此，国际电联必须在未来几年进一步完善其内部控制程序。根据可用的知识和信息，对于截至</w:t>
      </w:r>
      <w:r w:rsidRPr="00390AE4">
        <w:rPr>
          <w:rFonts w:hint="eastAsia"/>
          <w:lang w:eastAsia="zh-CN"/>
        </w:rPr>
        <w:t>2022</w:t>
      </w:r>
      <w:r w:rsidRPr="00390AE4">
        <w:rPr>
          <w:rFonts w:hint="eastAsia"/>
          <w:lang w:eastAsia="zh-CN"/>
        </w:rPr>
        <w:t>年</w:t>
      </w:r>
      <w:r w:rsidRPr="00390AE4">
        <w:rPr>
          <w:rFonts w:hint="eastAsia"/>
          <w:lang w:eastAsia="zh-CN"/>
        </w:rPr>
        <w:t>12</w:t>
      </w:r>
      <w:r w:rsidRPr="00390AE4">
        <w:rPr>
          <w:rFonts w:hint="eastAsia"/>
          <w:lang w:eastAsia="zh-CN"/>
        </w:rPr>
        <w:t>月</w:t>
      </w:r>
      <w:r w:rsidRPr="00390AE4">
        <w:rPr>
          <w:rFonts w:hint="eastAsia"/>
          <w:lang w:eastAsia="zh-CN"/>
        </w:rPr>
        <w:t>31</w:t>
      </w:r>
      <w:r w:rsidRPr="00390AE4">
        <w:rPr>
          <w:rFonts w:hint="eastAsia"/>
          <w:lang w:eastAsia="zh-CN"/>
        </w:rPr>
        <w:t>日的年度，国际电联关键流程的内部控制系统存在重大缺陷，需要加以解决。鉴于修正财务报表的工作已于</w:t>
      </w:r>
      <w:r w:rsidRPr="00390AE4">
        <w:rPr>
          <w:rFonts w:hint="eastAsia"/>
          <w:lang w:eastAsia="zh-CN"/>
        </w:rPr>
        <w:t>2023</w:t>
      </w:r>
      <w:r w:rsidRPr="00390AE4">
        <w:rPr>
          <w:rFonts w:hint="eastAsia"/>
          <w:lang w:eastAsia="zh-CN"/>
        </w:rPr>
        <w:t>年</w:t>
      </w:r>
      <w:r w:rsidRPr="00390AE4">
        <w:rPr>
          <w:rFonts w:hint="eastAsia"/>
          <w:lang w:eastAsia="zh-CN"/>
        </w:rPr>
        <w:t>11</w:t>
      </w:r>
      <w:r w:rsidRPr="00390AE4">
        <w:rPr>
          <w:rFonts w:hint="eastAsia"/>
          <w:lang w:eastAsia="zh-CN"/>
        </w:rPr>
        <w:t>月结束，我的结论是，在批准财务报表之日，国际电联已建立了相对有效的关键程序内部控制体系。然而，仍需努力确保不断改进。</w:t>
      </w:r>
    </w:p>
    <w:p w14:paraId="1F684BA5" w14:textId="6CFB2597" w:rsidR="00390AE4" w:rsidRPr="00390AE4" w:rsidRDefault="00FC322E" w:rsidP="00433447">
      <w:pPr>
        <w:spacing w:before="240"/>
        <w:rPr>
          <w:lang w:eastAsia="zh-CN"/>
        </w:rPr>
      </w:pPr>
      <w:r w:rsidRPr="00E52A4A">
        <w:rPr>
          <w:noProof/>
        </w:rPr>
        <w:drawing>
          <wp:inline distT="0" distB="0" distL="0" distR="0" wp14:anchorId="79DDF1C3" wp14:editId="5290B2DC">
            <wp:extent cx="1666875" cy="647700"/>
            <wp:effectExtent l="0" t="0" r="9525" b="0"/>
            <wp:docPr id="19" name="Picture 19" descr="A blue line drawn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ue line drawn on a white surface&#10;&#10;Description automatically generated"/>
                    <pic:cNvPicPr/>
                  </pic:nvPicPr>
                  <pic:blipFill>
                    <a:blip r:embed="rId18"/>
                    <a:stretch>
                      <a:fillRect/>
                    </a:stretch>
                  </pic:blipFill>
                  <pic:spPr>
                    <a:xfrm>
                      <a:off x="0" y="0"/>
                      <a:ext cx="1666875" cy="647700"/>
                    </a:xfrm>
                    <a:prstGeom prst="rect">
                      <a:avLst/>
                    </a:prstGeom>
                  </pic:spPr>
                </pic:pic>
              </a:graphicData>
            </a:graphic>
          </wp:inline>
        </w:drawing>
      </w:r>
    </w:p>
    <w:p w14:paraId="7ACB3886" w14:textId="762EE77E" w:rsidR="00390AE4" w:rsidRPr="00390AE4" w:rsidRDefault="00390AE4" w:rsidP="00433447">
      <w:pPr>
        <w:spacing w:before="240" w:after="120"/>
        <w:rPr>
          <w:lang w:eastAsia="zh-CN"/>
        </w:rPr>
      </w:pPr>
      <w:bookmarkStart w:id="95" w:name="lt_pId230"/>
      <w:r w:rsidRPr="00390AE4">
        <w:rPr>
          <w:rFonts w:hint="eastAsia"/>
          <w:lang w:eastAsia="zh-CN"/>
        </w:rPr>
        <w:t>秘书长</w:t>
      </w:r>
      <w:bookmarkStart w:id="96" w:name="lt_pId231"/>
      <w:bookmarkEnd w:id="95"/>
      <w:r w:rsidR="00433447">
        <w:rPr>
          <w:lang w:eastAsia="zh-CN"/>
        </w:rPr>
        <w:br/>
      </w:r>
      <w:r w:rsidRPr="00390AE4">
        <w:rPr>
          <w:rFonts w:hint="eastAsia"/>
          <w:lang w:eastAsia="zh-CN"/>
        </w:rPr>
        <w:t>多琳</w:t>
      </w:r>
      <w:r w:rsidRPr="00FC322E">
        <w:rPr>
          <w:rFonts w:asciiTheme="minorHAnsi" w:hAnsiTheme="minorHAnsi" w:cstheme="minorHAnsi"/>
          <w:lang w:eastAsia="zh-CN"/>
        </w:rPr>
        <w:t>·</w:t>
      </w:r>
      <w:r w:rsidRPr="00390AE4">
        <w:rPr>
          <w:rFonts w:hint="eastAsia"/>
          <w:lang w:eastAsia="zh-CN"/>
        </w:rPr>
        <w:t>伯格丹</w:t>
      </w:r>
      <w:r w:rsidRPr="00390AE4">
        <w:rPr>
          <w:rFonts w:hint="eastAsia"/>
          <w:lang w:eastAsia="zh-CN"/>
        </w:rPr>
        <w:t>-</w:t>
      </w:r>
      <w:r w:rsidRPr="00390AE4">
        <w:rPr>
          <w:rFonts w:hint="eastAsia"/>
          <w:lang w:eastAsia="zh-CN"/>
        </w:rPr>
        <w:t>马丁</w:t>
      </w:r>
      <w:bookmarkEnd w:id="96"/>
    </w:p>
    <w:p w14:paraId="61446CA8" w14:textId="77777777" w:rsidR="00390AE4" w:rsidRPr="00390AE4" w:rsidRDefault="00390AE4" w:rsidP="00FC322E">
      <w:pPr>
        <w:spacing w:before="480"/>
        <w:rPr>
          <w:lang w:eastAsia="zh-CN"/>
        </w:rPr>
      </w:pPr>
      <w:bookmarkStart w:id="97" w:name="lt_pId232"/>
      <w:r w:rsidRPr="00390AE4">
        <w:rPr>
          <w:rFonts w:hint="eastAsia"/>
          <w:lang w:eastAsia="zh-CN"/>
        </w:rPr>
        <w:t>2024</w:t>
      </w:r>
      <w:r w:rsidRPr="00390AE4">
        <w:rPr>
          <w:rFonts w:hint="eastAsia"/>
          <w:lang w:eastAsia="zh-CN"/>
        </w:rPr>
        <w:t>年</w:t>
      </w:r>
      <w:r w:rsidRPr="00390AE4">
        <w:rPr>
          <w:rFonts w:hint="eastAsia"/>
          <w:lang w:eastAsia="zh-CN"/>
        </w:rPr>
        <w:t>1</w:t>
      </w:r>
      <w:r w:rsidRPr="00390AE4">
        <w:rPr>
          <w:rFonts w:hint="eastAsia"/>
          <w:lang w:eastAsia="zh-CN"/>
        </w:rPr>
        <w:t>月</w:t>
      </w:r>
      <w:r w:rsidRPr="00390AE4">
        <w:rPr>
          <w:rFonts w:hint="eastAsia"/>
          <w:lang w:eastAsia="zh-CN"/>
        </w:rPr>
        <w:t>24</w:t>
      </w:r>
      <w:r w:rsidRPr="00390AE4">
        <w:rPr>
          <w:rFonts w:hint="eastAsia"/>
          <w:lang w:eastAsia="zh-CN"/>
        </w:rPr>
        <w:t>日，日内瓦</w:t>
      </w:r>
      <w:bookmarkEnd w:id="97"/>
    </w:p>
    <w:p w14:paraId="19094C2A" w14:textId="77777777" w:rsidR="00390AE4" w:rsidRPr="00390AE4" w:rsidRDefault="00390AE4" w:rsidP="00390AE4">
      <w:pPr>
        <w:rPr>
          <w:lang w:eastAsia="zh-CN"/>
        </w:rPr>
      </w:pPr>
    </w:p>
    <w:p w14:paraId="14BBA6A6" w14:textId="77777777" w:rsidR="00390AE4" w:rsidRPr="00390AE4" w:rsidRDefault="00390AE4" w:rsidP="00390AE4">
      <w:pPr>
        <w:rPr>
          <w:lang w:eastAsia="zh-CN"/>
        </w:rPr>
      </w:pPr>
      <w:r w:rsidRPr="00390AE4">
        <w:rPr>
          <w:lang w:eastAsia="zh-CN"/>
        </w:rPr>
        <w:br w:type="page"/>
      </w:r>
    </w:p>
    <w:p w14:paraId="7DF4FB67" w14:textId="77777777" w:rsidR="00390AE4" w:rsidRPr="00390AE4" w:rsidRDefault="00390AE4" w:rsidP="00FC322E">
      <w:pPr>
        <w:pStyle w:val="Heading1"/>
        <w:rPr>
          <w:lang w:eastAsia="zh-CN"/>
        </w:rPr>
      </w:pPr>
      <w:bookmarkStart w:id="98" w:name="_Toc163723276"/>
      <w:bookmarkEnd w:id="38"/>
      <w:bookmarkEnd w:id="39"/>
      <w:r w:rsidRPr="00390AE4">
        <w:rPr>
          <w:rFonts w:hint="eastAsia"/>
          <w:lang w:eastAsia="zh-CN"/>
        </w:rPr>
        <w:lastRenderedPageBreak/>
        <w:t>独立审计员提交国际电信联盟的报告</w:t>
      </w:r>
      <w:bookmarkEnd w:id="98"/>
    </w:p>
    <w:p w14:paraId="3A5D9B19" w14:textId="77777777" w:rsidR="00390AE4" w:rsidRPr="00390AE4" w:rsidRDefault="00390AE4" w:rsidP="008A7244">
      <w:pPr>
        <w:pStyle w:val="Headingb"/>
        <w:rPr>
          <w:lang w:eastAsia="zh-CN"/>
        </w:rPr>
      </w:pPr>
      <w:r w:rsidRPr="00390AE4">
        <w:rPr>
          <w:rFonts w:hint="eastAsia"/>
          <w:lang w:eastAsia="zh-CN"/>
        </w:rPr>
        <w:t>有关财务报表的意见</w:t>
      </w:r>
    </w:p>
    <w:p w14:paraId="3413F183" w14:textId="77777777" w:rsidR="00390AE4" w:rsidRPr="00390AE4" w:rsidRDefault="00390AE4" w:rsidP="008A7244">
      <w:pPr>
        <w:ind w:firstLineChars="200" w:firstLine="480"/>
        <w:rPr>
          <w:lang w:eastAsia="zh-CN"/>
        </w:rPr>
      </w:pPr>
      <w:r w:rsidRPr="00390AE4">
        <w:rPr>
          <w:rFonts w:hint="eastAsia"/>
          <w:lang w:eastAsia="zh-CN"/>
        </w:rPr>
        <w:t>本人审计了国际电信联盟截至</w:t>
      </w:r>
      <w:r w:rsidRPr="00390AE4">
        <w:rPr>
          <w:rFonts w:hint="eastAsia"/>
          <w:lang w:eastAsia="zh-CN"/>
        </w:rPr>
        <w:t>2022</w:t>
      </w:r>
      <w:r w:rsidRPr="00390AE4">
        <w:rPr>
          <w:rFonts w:hint="eastAsia"/>
          <w:lang w:eastAsia="zh-CN"/>
        </w:rPr>
        <w:t>年</w:t>
      </w:r>
      <w:r w:rsidRPr="00390AE4">
        <w:rPr>
          <w:rFonts w:hint="eastAsia"/>
          <w:lang w:eastAsia="zh-CN"/>
        </w:rPr>
        <w:t>12</w:t>
      </w:r>
      <w:r w:rsidRPr="00390AE4">
        <w:rPr>
          <w:rFonts w:hint="eastAsia"/>
          <w:lang w:eastAsia="zh-CN"/>
        </w:rPr>
        <w:t>月</w:t>
      </w:r>
      <w:r w:rsidRPr="00390AE4">
        <w:rPr>
          <w:rFonts w:hint="eastAsia"/>
          <w:lang w:eastAsia="zh-CN"/>
        </w:rPr>
        <w:t>31</w:t>
      </w:r>
      <w:r w:rsidRPr="00390AE4">
        <w:rPr>
          <w:rFonts w:hint="eastAsia"/>
          <w:lang w:eastAsia="zh-CN"/>
        </w:rPr>
        <w:t>日的财务报表，其中包括截至</w:t>
      </w:r>
      <w:r w:rsidRPr="00390AE4">
        <w:rPr>
          <w:rFonts w:hint="eastAsia"/>
          <w:lang w:eastAsia="zh-CN"/>
        </w:rPr>
        <w:t>2022</w:t>
      </w:r>
      <w:r w:rsidRPr="00390AE4">
        <w:rPr>
          <w:rFonts w:hint="eastAsia"/>
          <w:lang w:eastAsia="zh-CN"/>
        </w:rPr>
        <w:t>年</w:t>
      </w:r>
      <w:r w:rsidRPr="00390AE4">
        <w:rPr>
          <w:rFonts w:hint="eastAsia"/>
          <w:lang w:eastAsia="zh-CN"/>
        </w:rPr>
        <w:t>12</w:t>
      </w:r>
      <w:r w:rsidRPr="00390AE4">
        <w:rPr>
          <w:rFonts w:hint="eastAsia"/>
          <w:lang w:eastAsia="zh-CN"/>
        </w:rPr>
        <w:t>月</w:t>
      </w:r>
      <w:r w:rsidRPr="00390AE4">
        <w:rPr>
          <w:rFonts w:hint="eastAsia"/>
          <w:lang w:eastAsia="zh-CN"/>
        </w:rPr>
        <w:t>31</w:t>
      </w:r>
      <w:r w:rsidRPr="00390AE4">
        <w:rPr>
          <w:rFonts w:hint="eastAsia"/>
          <w:lang w:eastAsia="zh-CN"/>
        </w:rPr>
        <w:t>日的财务状况报表；财务业绩表、资产净值变化表、现金流报表、预算和该年年底实际发生金额比较表；以及相关附注，包括重要的会计政策。</w:t>
      </w:r>
    </w:p>
    <w:p w14:paraId="7C2509D9" w14:textId="77777777" w:rsidR="00390AE4" w:rsidRPr="00390AE4" w:rsidRDefault="00390AE4" w:rsidP="008A7244">
      <w:pPr>
        <w:ind w:firstLineChars="200" w:firstLine="480"/>
        <w:rPr>
          <w:lang w:eastAsia="zh-CN"/>
        </w:rPr>
      </w:pPr>
      <w:r w:rsidRPr="00390AE4">
        <w:rPr>
          <w:rFonts w:hint="eastAsia"/>
          <w:lang w:eastAsia="zh-CN"/>
        </w:rPr>
        <w:t>在编制报告时采用的财务报告框架是适用法律和国际公共部门会计准则委员会制定和批准的《国际公共部门会计准则》。</w:t>
      </w:r>
    </w:p>
    <w:p w14:paraId="33F7D32D" w14:textId="77777777" w:rsidR="00390AE4" w:rsidRPr="00390AE4" w:rsidRDefault="00390AE4" w:rsidP="008A7244">
      <w:pPr>
        <w:ind w:firstLineChars="200" w:firstLine="480"/>
        <w:rPr>
          <w:lang w:eastAsia="zh-CN"/>
        </w:rPr>
      </w:pPr>
      <w:r w:rsidRPr="00390AE4">
        <w:rPr>
          <w:rFonts w:hint="eastAsia"/>
          <w:lang w:eastAsia="zh-CN"/>
        </w:rPr>
        <w:t>我认为，根据《国际公共部门会计准则》，随附的财务报表在所有主要方面公允地反映了国际电信联盟截至</w:t>
      </w:r>
      <w:r w:rsidRPr="00390AE4">
        <w:rPr>
          <w:rFonts w:hint="eastAsia"/>
          <w:lang w:eastAsia="zh-CN"/>
        </w:rPr>
        <w:t>2022</w:t>
      </w:r>
      <w:r w:rsidRPr="00390AE4">
        <w:rPr>
          <w:rFonts w:hint="eastAsia"/>
          <w:lang w:eastAsia="zh-CN"/>
        </w:rPr>
        <w:t>年</w:t>
      </w:r>
      <w:r w:rsidRPr="00390AE4">
        <w:rPr>
          <w:rFonts w:hint="eastAsia"/>
          <w:lang w:eastAsia="zh-CN"/>
        </w:rPr>
        <w:t>12</w:t>
      </w:r>
      <w:r w:rsidRPr="00390AE4">
        <w:rPr>
          <w:rFonts w:hint="eastAsia"/>
          <w:lang w:eastAsia="zh-CN"/>
        </w:rPr>
        <w:t>月</w:t>
      </w:r>
      <w:r w:rsidRPr="00390AE4">
        <w:rPr>
          <w:rFonts w:hint="eastAsia"/>
          <w:lang w:eastAsia="zh-CN"/>
        </w:rPr>
        <w:t>31</w:t>
      </w:r>
      <w:r w:rsidRPr="00390AE4">
        <w:rPr>
          <w:rFonts w:hint="eastAsia"/>
          <w:lang w:eastAsia="zh-CN"/>
        </w:rPr>
        <w:t>日的财务状况及其在该日结束的一年内的财务业绩和现金流。</w:t>
      </w:r>
    </w:p>
    <w:p w14:paraId="456D3D3D" w14:textId="77777777" w:rsidR="00390AE4" w:rsidRPr="00390AE4" w:rsidRDefault="00390AE4" w:rsidP="008A7244">
      <w:pPr>
        <w:pStyle w:val="Headingb"/>
        <w:rPr>
          <w:lang w:eastAsia="zh-CN"/>
        </w:rPr>
      </w:pPr>
      <w:r w:rsidRPr="00390AE4">
        <w:rPr>
          <w:rFonts w:hint="eastAsia"/>
          <w:lang w:eastAsia="zh-CN"/>
        </w:rPr>
        <w:t>关于合规性的保留意见</w:t>
      </w:r>
    </w:p>
    <w:p w14:paraId="0AD3297A" w14:textId="77777777" w:rsidR="00390AE4" w:rsidRPr="00390AE4" w:rsidRDefault="00390AE4" w:rsidP="008A7244">
      <w:pPr>
        <w:ind w:firstLineChars="200" w:firstLine="480"/>
        <w:rPr>
          <w:lang w:eastAsia="zh-CN"/>
        </w:rPr>
      </w:pPr>
      <w:r w:rsidRPr="00390AE4">
        <w:rPr>
          <w:rFonts w:hint="eastAsia"/>
          <w:lang w:eastAsia="zh-CN"/>
        </w:rPr>
        <w:t>我认为，除在我的报告“</w:t>
      </w:r>
      <w:bookmarkStart w:id="99" w:name="_Hlk161841119"/>
      <w:r w:rsidRPr="00BA17D4">
        <w:rPr>
          <w:rFonts w:ascii="STKaiti" w:eastAsia="STKaiti" w:hAnsi="STKaiti" w:hint="eastAsia"/>
          <w:lang w:eastAsia="zh-CN"/>
        </w:rPr>
        <w:t>关于合规性保留意见的依据</w:t>
      </w:r>
      <w:bookmarkEnd w:id="99"/>
      <w:r w:rsidRPr="00390AE4">
        <w:rPr>
          <w:rFonts w:hint="eastAsia"/>
          <w:lang w:eastAsia="zh-CN"/>
        </w:rPr>
        <w:t>”一节中所述问题的影响外，收支均用于国际电信联盟理事会计划的目的，财务交易符合国际电信联盟的《财务规则》。我的保留意见情况述于我所附的详式审计报告中，并于</w:t>
      </w:r>
      <w:r w:rsidRPr="00390AE4">
        <w:rPr>
          <w:rFonts w:hint="eastAsia"/>
          <w:lang w:eastAsia="zh-CN"/>
        </w:rPr>
        <w:t>2023</w:t>
      </w:r>
      <w:r w:rsidRPr="00390AE4">
        <w:rPr>
          <w:rFonts w:hint="eastAsia"/>
          <w:lang w:eastAsia="zh-CN"/>
        </w:rPr>
        <w:t>年</w:t>
      </w:r>
      <w:r w:rsidRPr="00390AE4">
        <w:rPr>
          <w:rFonts w:hint="eastAsia"/>
          <w:lang w:eastAsia="zh-CN"/>
        </w:rPr>
        <w:t>7</w:t>
      </w:r>
      <w:r w:rsidRPr="00390AE4">
        <w:rPr>
          <w:rFonts w:hint="eastAsia"/>
          <w:lang w:eastAsia="zh-CN"/>
        </w:rPr>
        <w:t>月向理事会重点介绍了这一情况。</w:t>
      </w:r>
    </w:p>
    <w:p w14:paraId="61EAD867" w14:textId="77777777" w:rsidR="00390AE4" w:rsidRPr="00390AE4" w:rsidRDefault="00390AE4" w:rsidP="008A7244">
      <w:pPr>
        <w:pStyle w:val="Headingb"/>
        <w:rPr>
          <w:lang w:eastAsia="zh-CN"/>
        </w:rPr>
      </w:pPr>
      <w:bookmarkStart w:id="100" w:name="lt_pId241"/>
      <w:r w:rsidRPr="00390AE4">
        <w:rPr>
          <w:rFonts w:hint="eastAsia"/>
          <w:lang w:eastAsia="zh-CN"/>
        </w:rPr>
        <w:t>关于合规性保留意见的依据</w:t>
      </w:r>
      <w:bookmarkEnd w:id="100"/>
    </w:p>
    <w:p w14:paraId="097CD245" w14:textId="29E366C9" w:rsidR="00390AE4" w:rsidRPr="00390AE4" w:rsidRDefault="00390AE4" w:rsidP="008A7244">
      <w:pPr>
        <w:ind w:firstLineChars="200" w:firstLine="480"/>
        <w:rPr>
          <w:lang w:eastAsia="zh-CN"/>
        </w:rPr>
      </w:pPr>
      <w:bookmarkStart w:id="101" w:name="lt_pId242"/>
      <w:r w:rsidRPr="00390AE4">
        <w:rPr>
          <w:rFonts w:hint="eastAsia"/>
          <w:lang w:eastAsia="zh-CN"/>
        </w:rPr>
        <w:t>2022</w:t>
      </w:r>
      <w:r w:rsidRPr="00390AE4">
        <w:rPr>
          <w:rFonts w:hint="eastAsia"/>
          <w:lang w:eastAsia="zh-CN"/>
        </w:rPr>
        <w:t>年，国际电信联盟产生了</w:t>
      </w:r>
      <w:r w:rsidRPr="00390AE4">
        <w:rPr>
          <w:rFonts w:hint="eastAsia"/>
          <w:lang w:eastAsia="zh-CN"/>
        </w:rPr>
        <w:t>211</w:t>
      </w:r>
      <w:r w:rsidR="00BA17D4">
        <w:rPr>
          <w:lang w:eastAsia="zh-CN"/>
        </w:rPr>
        <w:t xml:space="preserve"> </w:t>
      </w:r>
      <w:r w:rsidRPr="00390AE4">
        <w:rPr>
          <w:rFonts w:hint="eastAsia"/>
          <w:lang w:eastAsia="zh-CN"/>
        </w:rPr>
        <w:t>751</w:t>
      </w:r>
      <w:r w:rsidRPr="00390AE4">
        <w:rPr>
          <w:rFonts w:hint="eastAsia"/>
          <w:lang w:eastAsia="zh-CN"/>
        </w:rPr>
        <w:t>瑞郎与向前选任官员付款有关的支出，不符合国际电信联盟《财务规则》第</w:t>
      </w:r>
      <w:r w:rsidRPr="00390AE4">
        <w:rPr>
          <w:rFonts w:hint="eastAsia"/>
          <w:lang w:eastAsia="zh-CN"/>
        </w:rPr>
        <w:t>10.4</w:t>
      </w:r>
      <w:r w:rsidRPr="00390AE4">
        <w:rPr>
          <w:rFonts w:hint="eastAsia"/>
          <w:lang w:eastAsia="zh-CN"/>
        </w:rPr>
        <w:t>条中的特惠补偿款定义。我认为这些数额对我合规性的看法很重要。</w:t>
      </w:r>
      <w:bookmarkEnd w:id="101"/>
      <w:r w:rsidRPr="00390AE4">
        <w:rPr>
          <w:lang w:eastAsia="zh-CN"/>
        </w:rPr>
        <w:t>在我看来</w:t>
      </w:r>
      <w:r w:rsidRPr="00390AE4">
        <w:rPr>
          <w:rFonts w:hint="eastAsia"/>
          <w:lang w:eastAsia="zh-CN"/>
        </w:rPr>
        <w:t>，</w:t>
      </w:r>
      <w:r w:rsidRPr="00390AE4">
        <w:rPr>
          <w:lang w:eastAsia="zh-CN"/>
        </w:rPr>
        <w:t>这些付款不符合国际电联《财务规则》有关定特惠补偿款的定义，因为这不是必要的，也不符合国际电联的利益，因此，根据国际电联《财务规则》或《人事规则》，没有支付依据。</w:t>
      </w:r>
    </w:p>
    <w:p w14:paraId="149B554B" w14:textId="77777777" w:rsidR="00390AE4" w:rsidRPr="00390AE4" w:rsidRDefault="00390AE4" w:rsidP="008A7244">
      <w:pPr>
        <w:pStyle w:val="Headingb"/>
        <w:rPr>
          <w:lang w:eastAsia="zh-CN"/>
        </w:rPr>
      </w:pPr>
      <w:r w:rsidRPr="00390AE4">
        <w:rPr>
          <w:rFonts w:hint="eastAsia"/>
          <w:lang w:eastAsia="zh-CN"/>
        </w:rPr>
        <w:t>意见的依据</w:t>
      </w:r>
    </w:p>
    <w:p w14:paraId="2623E8E0" w14:textId="77777777" w:rsidR="00390AE4" w:rsidRPr="00390AE4" w:rsidRDefault="00390AE4" w:rsidP="008A7244">
      <w:pPr>
        <w:ind w:firstLineChars="200" w:firstLine="480"/>
        <w:rPr>
          <w:lang w:eastAsia="zh-CN"/>
        </w:rPr>
      </w:pPr>
      <w:r w:rsidRPr="00390AE4">
        <w:rPr>
          <w:rFonts w:hint="eastAsia"/>
          <w:lang w:eastAsia="zh-CN"/>
        </w:rPr>
        <w:t>我的审计是根据《国际审计准则》（</w:t>
      </w:r>
      <w:r w:rsidRPr="00390AE4">
        <w:rPr>
          <w:rFonts w:hint="eastAsia"/>
          <w:lang w:eastAsia="zh-CN"/>
        </w:rPr>
        <w:t>ISA</w:t>
      </w:r>
      <w:r w:rsidRPr="00390AE4">
        <w:rPr>
          <w:rFonts w:hint="eastAsia"/>
          <w:lang w:eastAsia="zh-CN"/>
        </w:rPr>
        <w:t>）以及国际电信联盟《财务规则和财务细则》进行的。我的合规性审计是利用《国际审计准则》中规定的原则进行的。我的报告中“</w:t>
      </w:r>
      <w:r w:rsidRPr="00DA68F6">
        <w:rPr>
          <w:rFonts w:ascii="STKaiti" w:eastAsia="STKaiti" w:hAnsi="STKaiti" w:hint="eastAsia"/>
          <w:lang w:eastAsia="zh-CN"/>
        </w:rPr>
        <w:t>审计员对财务报表审计的责任</w:t>
      </w:r>
      <w:r w:rsidRPr="00390AE4">
        <w:rPr>
          <w:rFonts w:hint="eastAsia"/>
          <w:lang w:eastAsia="zh-CN"/>
        </w:rPr>
        <w:t>”一节进一步说明了我根据这些标准应承担的责任。</w:t>
      </w:r>
    </w:p>
    <w:p w14:paraId="4AA9AFEB" w14:textId="352BE058" w:rsidR="00390AE4" w:rsidRPr="00390AE4" w:rsidRDefault="00390AE4" w:rsidP="008A7244">
      <w:pPr>
        <w:ind w:firstLineChars="200" w:firstLine="480"/>
        <w:rPr>
          <w:lang w:eastAsia="zh-CN"/>
        </w:rPr>
      </w:pPr>
      <w:r w:rsidRPr="00390AE4">
        <w:rPr>
          <w:rFonts w:hint="eastAsia"/>
          <w:lang w:eastAsia="zh-CN"/>
        </w:rPr>
        <w:t>根据国际会计师道德标准理事会的《职业会计师道德准则》（</w:t>
      </w:r>
      <w:r w:rsidRPr="00390AE4">
        <w:rPr>
          <w:rFonts w:hint="eastAsia"/>
          <w:lang w:eastAsia="zh-CN"/>
        </w:rPr>
        <w:t>IESBA</w:t>
      </w:r>
      <w:r w:rsidRPr="00390AE4">
        <w:rPr>
          <w:rFonts w:hint="eastAsia"/>
          <w:lang w:eastAsia="zh-CN"/>
        </w:rPr>
        <w:t>准则），我独立于国际电信联盟，并且根据这些要求和</w:t>
      </w:r>
      <w:r w:rsidRPr="00390AE4">
        <w:rPr>
          <w:rFonts w:hint="eastAsia"/>
          <w:lang w:eastAsia="zh-CN"/>
        </w:rPr>
        <w:t>IESBA</w:t>
      </w:r>
      <w:r w:rsidRPr="00390AE4">
        <w:rPr>
          <w:rFonts w:hint="eastAsia"/>
          <w:lang w:eastAsia="zh-CN"/>
        </w:rPr>
        <w:t>准则，我履行了我的其他道德责任。我认为，我所获得的审计证据是充分和适当的，可以为我的意见提供依据。</w:t>
      </w:r>
    </w:p>
    <w:p w14:paraId="6ACE9C57" w14:textId="77777777" w:rsidR="00390AE4" w:rsidRPr="00390AE4" w:rsidRDefault="00390AE4" w:rsidP="008A7244">
      <w:pPr>
        <w:pStyle w:val="Headingb"/>
        <w:rPr>
          <w:lang w:eastAsia="zh-CN"/>
        </w:rPr>
      </w:pPr>
      <w:r w:rsidRPr="00390AE4">
        <w:rPr>
          <w:rFonts w:hint="eastAsia"/>
          <w:lang w:eastAsia="zh-CN"/>
        </w:rPr>
        <w:t>其他信息</w:t>
      </w:r>
    </w:p>
    <w:p w14:paraId="1350AADF" w14:textId="77777777" w:rsidR="00390AE4" w:rsidRPr="00390AE4" w:rsidRDefault="00390AE4" w:rsidP="008A7244">
      <w:pPr>
        <w:ind w:firstLineChars="200" w:firstLine="480"/>
        <w:rPr>
          <w:lang w:eastAsia="zh-CN"/>
        </w:rPr>
      </w:pPr>
      <w:r w:rsidRPr="00390AE4">
        <w:rPr>
          <w:rFonts w:hint="eastAsia"/>
          <w:lang w:eastAsia="zh-CN"/>
        </w:rPr>
        <w:t>管理层负责其他信息。其他信息包括年度财务工作报告中所包含的信息，但不包括财务报表和我的审计报告。</w:t>
      </w:r>
    </w:p>
    <w:p w14:paraId="18B7EAD5" w14:textId="77777777" w:rsidR="00390AE4" w:rsidRPr="00390AE4" w:rsidRDefault="00390AE4" w:rsidP="008A7244">
      <w:pPr>
        <w:ind w:firstLineChars="200" w:firstLine="480"/>
        <w:rPr>
          <w:lang w:eastAsia="zh-CN"/>
        </w:rPr>
      </w:pPr>
      <w:r w:rsidRPr="00390AE4">
        <w:rPr>
          <w:rFonts w:hint="eastAsia"/>
          <w:lang w:eastAsia="zh-CN"/>
        </w:rPr>
        <w:t>我对财务报表的意见不包括其他信息，且除非在我的报告中另有明确说明，否则我不对此做出任何形式的鉴证结论。</w:t>
      </w:r>
    </w:p>
    <w:p w14:paraId="62B89B3C" w14:textId="77777777" w:rsidR="00390AE4" w:rsidRPr="00390AE4" w:rsidRDefault="00390AE4" w:rsidP="008A7244">
      <w:pPr>
        <w:ind w:firstLineChars="200" w:firstLine="480"/>
        <w:rPr>
          <w:lang w:eastAsia="zh-CN"/>
        </w:rPr>
      </w:pPr>
      <w:r w:rsidRPr="00390AE4">
        <w:rPr>
          <w:rFonts w:hint="eastAsia"/>
          <w:lang w:eastAsia="zh-CN"/>
        </w:rPr>
        <w:t>我的职责在于阅读这些其他信息，并在此过程中考虑这些其他信息是否与财务报表明显不符，或我们通过审计或其他途径获得的知识是否有重大错报之嫌。</w:t>
      </w:r>
    </w:p>
    <w:p w14:paraId="5F282CEE" w14:textId="77777777" w:rsidR="00390AE4" w:rsidRPr="00390AE4" w:rsidRDefault="00390AE4" w:rsidP="008A7244">
      <w:pPr>
        <w:ind w:firstLineChars="200" w:firstLine="480"/>
        <w:rPr>
          <w:lang w:eastAsia="zh-CN"/>
        </w:rPr>
      </w:pPr>
      <w:r w:rsidRPr="00390AE4">
        <w:rPr>
          <w:rFonts w:hint="eastAsia"/>
          <w:lang w:eastAsia="zh-CN"/>
        </w:rPr>
        <w:lastRenderedPageBreak/>
        <w:t>如果我发现这种重大不一致或明显的重大错报，我必须确定这是否在财务报表本身中造成了重大错报。如果根据我所进行的工作，我得出结论认为这些其他信息存在重大错误陈述，我必须报告这一事实。</w:t>
      </w:r>
    </w:p>
    <w:p w14:paraId="23508206" w14:textId="77777777" w:rsidR="00390AE4" w:rsidRPr="00390AE4" w:rsidRDefault="00390AE4" w:rsidP="008A7244">
      <w:pPr>
        <w:ind w:firstLineChars="200" w:firstLine="480"/>
        <w:rPr>
          <w:lang w:eastAsia="zh-CN"/>
        </w:rPr>
      </w:pPr>
      <w:r w:rsidRPr="00390AE4">
        <w:rPr>
          <w:rFonts w:hint="eastAsia"/>
          <w:lang w:eastAsia="zh-CN"/>
        </w:rPr>
        <w:t>在这方面，我没有可报告事项。</w:t>
      </w:r>
    </w:p>
    <w:p w14:paraId="6298F8AB" w14:textId="77777777" w:rsidR="00390AE4" w:rsidRPr="00390AE4" w:rsidRDefault="00390AE4" w:rsidP="008A7244">
      <w:pPr>
        <w:pStyle w:val="Headingb"/>
        <w:rPr>
          <w:lang w:eastAsia="zh-CN"/>
        </w:rPr>
      </w:pPr>
      <w:r w:rsidRPr="00390AE4">
        <w:rPr>
          <w:rFonts w:hint="eastAsia"/>
          <w:lang w:eastAsia="zh-CN"/>
        </w:rPr>
        <w:t>我作为例外报告的事项</w:t>
      </w:r>
    </w:p>
    <w:p w14:paraId="2188A5D1" w14:textId="77777777" w:rsidR="00390AE4" w:rsidRPr="00390AE4" w:rsidRDefault="00390AE4" w:rsidP="008A7244">
      <w:pPr>
        <w:ind w:firstLineChars="200" w:firstLine="480"/>
        <w:rPr>
          <w:lang w:eastAsia="zh-CN"/>
        </w:rPr>
      </w:pPr>
      <w:r w:rsidRPr="00390AE4">
        <w:rPr>
          <w:rFonts w:hint="eastAsia"/>
          <w:lang w:eastAsia="zh-CN"/>
        </w:rPr>
        <w:t>对于以下事项，我没有可报告事项，如果我认为：</w:t>
      </w:r>
    </w:p>
    <w:p w14:paraId="124E19C5" w14:textId="1505162E" w:rsidR="00390AE4" w:rsidRPr="00390AE4" w:rsidRDefault="00390AE4" w:rsidP="008A7244">
      <w:pPr>
        <w:pStyle w:val="enumlev1"/>
        <w:rPr>
          <w:lang w:eastAsia="zh-CN"/>
        </w:rPr>
      </w:pPr>
      <w:r w:rsidRPr="00390AE4">
        <w:rPr>
          <w:lang w:eastAsia="zh-CN"/>
        </w:rPr>
        <w:t>•</w:t>
      </w:r>
      <w:r w:rsidR="008A7244">
        <w:rPr>
          <w:lang w:eastAsia="zh-CN"/>
        </w:rPr>
        <w:tab/>
      </w:r>
      <w:r w:rsidRPr="00390AE4">
        <w:rPr>
          <w:rFonts w:hint="eastAsia"/>
          <w:lang w:eastAsia="zh-CN"/>
        </w:rPr>
        <w:t>国际电信联盟没有保存适当的会计记录，或没有从任何第三方收到适当的审计报告；</w:t>
      </w:r>
    </w:p>
    <w:p w14:paraId="593F620C" w14:textId="7F308FD0" w:rsidR="00390AE4" w:rsidRPr="00390AE4" w:rsidRDefault="00390AE4" w:rsidP="008A7244">
      <w:pPr>
        <w:pStyle w:val="enumlev1"/>
        <w:rPr>
          <w:lang w:eastAsia="zh-CN"/>
        </w:rPr>
      </w:pPr>
      <w:r w:rsidRPr="00390AE4">
        <w:rPr>
          <w:lang w:eastAsia="zh-CN"/>
        </w:rPr>
        <w:t>•</w:t>
      </w:r>
      <w:r w:rsidR="008A7244">
        <w:rPr>
          <w:lang w:eastAsia="zh-CN"/>
        </w:rPr>
        <w:tab/>
      </w:r>
      <w:r w:rsidRPr="00390AE4">
        <w:rPr>
          <w:rFonts w:hint="eastAsia"/>
          <w:lang w:eastAsia="zh-CN"/>
        </w:rPr>
        <w:t>本人没有得到我认为审计所需的全部资料和解释；</w:t>
      </w:r>
    </w:p>
    <w:p w14:paraId="6FA14B23" w14:textId="050A2C1B" w:rsidR="00390AE4" w:rsidRPr="00390AE4" w:rsidRDefault="00390AE4" w:rsidP="008A7244">
      <w:pPr>
        <w:pStyle w:val="enumlev1"/>
        <w:rPr>
          <w:lang w:eastAsia="zh-CN"/>
        </w:rPr>
      </w:pPr>
      <w:r w:rsidRPr="00390AE4">
        <w:rPr>
          <w:lang w:eastAsia="zh-CN"/>
        </w:rPr>
        <w:t>•</w:t>
      </w:r>
      <w:r w:rsidR="008A7244">
        <w:rPr>
          <w:lang w:eastAsia="zh-CN"/>
        </w:rPr>
        <w:tab/>
      </w:r>
      <w:r w:rsidRPr="00390AE4">
        <w:rPr>
          <w:rFonts w:hint="eastAsia"/>
          <w:lang w:eastAsia="zh-CN"/>
        </w:rPr>
        <w:t>年度财务工作报告中提供的信息与财务报表及审计过程中获得的信息不一致；或</w:t>
      </w:r>
    </w:p>
    <w:p w14:paraId="19CC6352" w14:textId="724ABFED" w:rsidR="00390AE4" w:rsidRPr="00390AE4" w:rsidRDefault="00390AE4" w:rsidP="008A7244">
      <w:pPr>
        <w:pStyle w:val="enumlev1"/>
        <w:rPr>
          <w:lang w:eastAsia="zh-CN"/>
        </w:rPr>
      </w:pPr>
      <w:r w:rsidRPr="00390AE4">
        <w:rPr>
          <w:lang w:eastAsia="zh-CN"/>
        </w:rPr>
        <w:t>•</w:t>
      </w:r>
      <w:r w:rsidR="008A7244">
        <w:rPr>
          <w:lang w:eastAsia="zh-CN"/>
        </w:rPr>
        <w:tab/>
      </w:r>
      <w:r w:rsidRPr="00390AE4">
        <w:rPr>
          <w:rFonts w:hint="eastAsia"/>
          <w:lang w:eastAsia="zh-CN"/>
        </w:rPr>
        <w:t>我被要求就国际电信联盟《财务规则》有关外部审计的附加职责范围中列出的其它事宜做出报告。</w:t>
      </w:r>
    </w:p>
    <w:p w14:paraId="510AFFF4" w14:textId="77777777" w:rsidR="00390AE4" w:rsidRPr="00390AE4" w:rsidRDefault="00390AE4" w:rsidP="008A7244">
      <w:pPr>
        <w:pStyle w:val="Headingb"/>
        <w:rPr>
          <w:lang w:eastAsia="zh-CN"/>
        </w:rPr>
      </w:pPr>
      <w:bookmarkStart w:id="102" w:name="_Toc358299076"/>
      <w:bookmarkStart w:id="103" w:name="_Toc358300572"/>
      <w:r w:rsidRPr="00390AE4">
        <w:rPr>
          <w:lang w:eastAsia="zh-CN"/>
        </w:rPr>
        <w:t>秘书长</w:t>
      </w:r>
      <w:r w:rsidRPr="00390AE4">
        <w:rPr>
          <w:rFonts w:hint="eastAsia"/>
          <w:lang w:eastAsia="zh-CN"/>
        </w:rPr>
        <w:t>在</w:t>
      </w:r>
      <w:r w:rsidRPr="00390AE4">
        <w:rPr>
          <w:lang w:eastAsia="zh-CN"/>
        </w:rPr>
        <w:t>财务报表</w:t>
      </w:r>
      <w:r w:rsidRPr="00390AE4">
        <w:rPr>
          <w:rFonts w:hint="eastAsia"/>
          <w:lang w:eastAsia="zh-CN"/>
        </w:rPr>
        <w:t>方面</w:t>
      </w:r>
      <w:r w:rsidRPr="00390AE4">
        <w:rPr>
          <w:lang w:eastAsia="zh-CN"/>
        </w:rPr>
        <w:t>的职责</w:t>
      </w:r>
      <w:bookmarkEnd w:id="102"/>
      <w:bookmarkEnd w:id="103"/>
    </w:p>
    <w:p w14:paraId="2E0A1234" w14:textId="77777777" w:rsidR="00390AE4" w:rsidRPr="00390AE4" w:rsidRDefault="00390AE4" w:rsidP="008A7244">
      <w:pPr>
        <w:ind w:firstLineChars="200" w:firstLine="480"/>
        <w:rPr>
          <w:lang w:eastAsia="zh-CN"/>
        </w:rPr>
      </w:pPr>
      <w:r w:rsidRPr="00390AE4">
        <w:rPr>
          <w:lang w:eastAsia="zh-CN"/>
        </w:rPr>
        <w:t>秘书长有责任按照</w:t>
      </w:r>
      <w:r w:rsidRPr="00390AE4">
        <w:rPr>
          <w:rFonts w:hint="eastAsia"/>
          <w:lang w:eastAsia="zh-CN"/>
        </w:rPr>
        <w:t>《</w:t>
      </w:r>
      <w:r w:rsidRPr="00390AE4">
        <w:rPr>
          <w:lang w:eastAsia="zh-CN"/>
        </w:rPr>
        <w:t>国际公共部门会计准则</w:t>
      </w:r>
      <w:r w:rsidRPr="00390AE4">
        <w:rPr>
          <w:rFonts w:hint="eastAsia"/>
          <w:lang w:eastAsia="zh-CN"/>
        </w:rPr>
        <w:t>》</w:t>
      </w:r>
      <w:r w:rsidRPr="00390AE4">
        <w:rPr>
          <w:lang w:eastAsia="zh-CN"/>
        </w:rPr>
        <w:t>起草并</w:t>
      </w:r>
      <w:r w:rsidRPr="00390AE4">
        <w:rPr>
          <w:rFonts w:hint="eastAsia"/>
          <w:lang w:eastAsia="zh-CN"/>
        </w:rPr>
        <w:t>公允地</w:t>
      </w:r>
      <w:r w:rsidRPr="00390AE4">
        <w:rPr>
          <w:lang w:eastAsia="zh-CN"/>
        </w:rPr>
        <w:t>呈现财务报表</w:t>
      </w:r>
      <w:r w:rsidRPr="00390AE4">
        <w:rPr>
          <w:rFonts w:hint="eastAsia"/>
          <w:lang w:eastAsia="zh-CN"/>
        </w:rPr>
        <w:t>及秘书长认为必要的内控机制，确保财务报表的编制不会因欺骗或失误造成重大错报。</w:t>
      </w:r>
    </w:p>
    <w:p w14:paraId="53691135" w14:textId="77777777" w:rsidR="00390AE4" w:rsidRPr="00390AE4" w:rsidRDefault="00390AE4" w:rsidP="008A7244">
      <w:pPr>
        <w:ind w:firstLineChars="200" w:firstLine="480"/>
        <w:rPr>
          <w:lang w:eastAsia="zh-CN"/>
        </w:rPr>
      </w:pPr>
      <w:bookmarkStart w:id="104" w:name="lt_pId271"/>
      <w:r w:rsidRPr="00390AE4">
        <w:rPr>
          <w:rFonts w:hint="eastAsia"/>
          <w:lang w:eastAsia="zh-CN"/>
        </w:rPr>
        <w:t>在编制财务报表时，秘书长负责评估国际电信联盟持续运作的能力，酌情披露与持续运作组织有关的事项，并采用持续运作会计基础，除非秘书长或打算对国际电信联盟进行清算或停止运作，或除此之外别无其他现实的选择。</w:t>
      </w:r>
      <w:bookmarkEnd w:id="104"/>
    </w:p>
    <w:p w14:paraId="471053C7" w14:textId="0B338992" w:rsidR="00390AE4" w:rsidRPr="008A7244" w:rsidRDefault="00390AE4" w:rsidP="008A7244">
      <w:pPr>
        <w:ind w:firstLineChars="200" w:firstLine="480"/>
        <w:rPr>
          <w:highlight w:val="cyan"/>
          <w:lang w:eastAsia="zh-CN"/>
        </w:rPr>
      </w:pPr>
      <w:r w:rsidRPr="00390AE4">
        <w:rPr>
          <w:rFonts w:hint="eastAsia"/>
          <w:lang w:eastAsia="zh-CN"/>
        </w:rPr>
        <w:t>秘书长负责监督国际电联的财务报告程序。</w:t>
      </w:r>
    </w:p>
    <w:p w14:paraId="586ACD5D" w14:textId="77777777" w:rsidR="00390AE4" w:rsidRPr="00390AE4" w:rsidRDefault="00390AE4" w:rsidP="008A7244">
      <w:pPr>
        <w:pStyle w:val="Headingb"/>
        <w:rPr>
          <w:lang w:eastAsia="zh-CN"/>
        </w:rPr>
      </w:pPr>
      <w:bookmarkStart w:id="105" w:name="lt_pId274"/>
      <w:r w:rsidRPr="00390AE4">
        <w:rPr>
          <w:rFonts w:hint="eastAsia"/>
          <w:lang w:eastAsia="zh-CN"/>
        </w:rPr>
        <w:t>审计员在财务报表审计方面的职责</w:t>
      </w:r>
    </w:p>
    <w:bookmarkEnd w:id="105"/>
    <w:p w14:paraId="14554673" w14:textId="77777777" w:rsidR="00390AE4" w:rsidRPr="00390AE4" w:rsidRDefault="00390AE4" w:rsidP="008A7244">
      <w:pPr>
        <w:ind w:firstLineChars="200" w:firstLine="480"/>
        <w:rPr>
          <w:lang w:eastAsia="zh-CN"/>
        </w:rPr>
      </w:pPr>
      <w:r w:rsidRPr="00390AE4">
        <w:rPr>
          <w:rFonts w:hint="eastAsia"/>
          <w:lang w:eastAsia="zh-CN"/>
        </w:rPr>
        <w:t>我的职责是合理确保财务报表在整体上没有因诈骗或失误引起的重大错报，并发表包含我意见的审计报告。合理确保是高层次的保证，但并不能保证根据</w:t>
      </w:r>
      <w:r w:rsidRPr="00390AE4">
        <w:rPr>
          <w:rFonts w:hint="eastAsia"/>
          <w:lang w:eastAsia="zh-CN"/>
        </w:rPr>
        <w:t>ISA</w:t>
      </w:r>
      <w:r w:rsidRPr="00390AE4">
        <w:rPr>
          <w:rFonts w:hint="eastAsia"/>
          <w:lang w:eastAsia="zh-CN"/>
        </w:rPr>
        <w:t>开展的审计总能发现存在的重大错报。欺骗或失误都会造成错报，如果有理由认为它们会单独或总体影响用户依据这些财务报表做出经济决策，则可被视为重大错报。</w:t>
      </w:r>
    </w:p>
    <w:p w14:paraId="267C5F34" w14:textId="77777777" w:rsidR="00390AE4" w:rsidRPr="00390AE4" w:rsidRDefault="00390AE4" w:rsidP="008A7244">
      <w:pPr>
        <w:ind w:firstLineChars="200" w:firstLine="480"/>
        <w:rPr>
          <w:highlight w:val="green"/>
          <w:lang w:eastAsia="zh-CN"/>
        </w:rPr>
      </w:pPr>
      <w:r w:rsidRPr="00390AE4">
        <w:rPr>
          <w:rFonts w:hint="eastAsia"/>
          <w:lang w:eastAsia="zh-CN"/>
        </w:rPr>
        <w:t>作为根据</w:t>
      </w:r>
      <w:r w:rsidRPr="00390AE4">
        <w:rPr>
          <w:rFonts w:hint="eastAsia"/>
          <w:lang w:eastAsia="zh-CN"/>
        </w:rPr>
        <w:t>ISA</w:t>
      </w:r>
      <w:r w:rsidRPr="00390AE4">
        <w:rPr>
          <w:rFonts w:hint="eastAsia"/>
          <w:lang w:eastAsia="zh-CN"/>
        </w:rPr>
        <w:t>开展的审计的一部分，我在审计过程中进行专业判断并保持专业质疑精神。我也：</w:t>
      </w:r>
    </w:p>
    <w:p w14:paraId="0C5D14ED" w14:textId="4D775E7A" w:rsidR="00390AE4" w:rsidRPr="00390AE4" w:rsidRDefault="008A7244" w:rsidP="008A7244">
      <w:pPr>
        <w:pStyle w:val="enumlev1"/>
        <w:rPr>
          <w:lang w:eastAsia="zh-CN"/>
        </w:rPr>
      </w:pPr>
      <w:r w:rsidRPr="00E52A4A">
        <w:rPr>
          <w:lang w:eastAsia="it-IT"/>
        </w:rPr>
        <w:t>•</w:t>
      </w:r>
      <w:r w:rsidRPr="00E52A4A">
        <w:rPr>
          <w:lang w:eastAsia="it-IT"/>
        </w:rPr>
        <w:tab/>
      </w:r>
      <w:r w:rsidR="00390AE4" w:rsidRPr="00390AE4">
        <w:rPr>
          <w:rFonts w:hint="eastAsia"/>
          <w:lang w:eastAsia="zh-CN"/>
        </w:rPr>
        <w:t>确定由于故意欺骗或疏忽而使财务报表出现重大错报的风险，设计并执行可对这些风险做出响应的审计程序并获取可足以适当地为我们发表意见提供基础的审计证据。未能发现故意欺骗造成的重大错报的风险高于未能发现疏忽造成的重大错报，因为故意欺骗可能涉及到串谋、伪造、故意过失、误解或无视内控。</w:t>
      </w:r>
    </w:p>
    <w:p w14:paraId="69F88310" w14:textId="61F6A569" w:rsidR="00390AE4" w:rsidRPr="00390AE4" w:rsidRDefault="008A7244" w:rsidP="008A7244">
      <w:pPr>
        <w:pStyle w:val="enumlev1"/>
        <w:rPr>
          <w:lang w:eastAsia="zh-CN"/>
        </w:rPr>
      </w:pPr>
      <w:r w:rsidRPr="00E52A4A">
        <w:rPr>
          <w:lang w:eastAsia="it-IT"/>
        </w:rPr>
        <w:t>•</w:t>
      </w:r>
      <w:r w:rsidRPr="00E52A4A">
        <w:rPr>
          <w:lang w:eastAsia="it-IT"/>
        </w:rPr>
        <w:tab/>
      </w:r>
      <w:r w:rsidR="00390AE4" w:rsidRPr="00390AE4">
        <w:rPr>
          <w:rFonts w:hint="eastAsia"/>
          <w:lang w:eastAsia="zh-CN"/>
        </w:rPr>
        <w:t>了解与审计有关的内部控制的情况，以设计与具体情况相称的审计流程，但不是对国际电信联盟内部控制的有效性发表意见。</w:t>
      </w:r>
    </w:p>
    <w:p w14:paraId="7DC8FB23" w14:textId="5DF3F109" w:rsidR="00390AE4" w:rsidRPr="00390AE4" w:rsidRDefault="008A7244" w:rsidP="008A7244">
      <w:pPr>
        <w:pStyle w:val="enumlev1"/>
        <w:rPr>
          <w:lang w:eastAsia="zh-CN"/>
        </w:rPr>
      </w:pPr>
      <w:r w:rsidRPr="00E52A4A">
        <w:rPr>
          <w:lang w:eastAsia="it-IT"/>
        </w:rPr>
        <w:t>•</w:t>
      </w:r>
      <w:r w:rsidRPr="00E52A4A">
        <w:rPr>
          <w:lang w:eastAsia="it-IT"/>
        </w:rPr>
        <w:tab/>
      </w:r>
      <w:r w:rsidR="00390AE4" w:rsidRPr="00390AE4">
        <w:rPr>
          <w:rFonts w:hint="eastAsia"/>
          <w:lang w:eastAsia="zh-CN"/>
        </w:rPr>
        <w:t>评估所采用会计政策是否适当及会计估算和管理层相关披露的合理性。</w:t>
      </w:r>
    </w:p>
    <w:p w14:paraId="2257775C" w14:textId="23E0B4B5" w:rsidR="00390AE4" w:rsidRPr="00390AE4" w:rsidRDefault="008A7244" w:rsidP="008A7244">
      <w:pPr>
        <w:pStyle w:val="enumlev1"/>
        <w:rPr>
          <w:lang w:eastAsia="zh-CN"/>
        </w:rPr>
      </w:pPr>
      <w:r w:rsidRPr="00E52A4A">
        <w:rPr>
          <w:lang w:eastAsia="it-IT"/>
        </w:rPr>
        <w:t>•</w:t>
      </w:r>
      <w:r w:rsidRPr="00E52A4A">
        <w:rPr>
          <w:lang w:eastAsia="it-IT"/>
        </w:rPr>
        <w:tab/>
      </w:r>
      <w:r w:rsidR="00390AE4" w:rsidRPr="00390AE4">
        <w:rPr>
          <w:rFonts w:hint="eastAsia"/>
          <w:lang w:eastAsia="zh-CN"/>
        </w:rPr>
        <w:t>就管理层采用会计持续运作基础是否适当做出结论，并根据所获得的审计证据判断活动或条款决定是否存在对国际电信联盟继续以现行方式开展活动带来很大疑问的重大不确定性。如果我得出结论，确实存在重大不确定性，那么我需</w:t>
      </w:r>
      <w:r w:rsidR="00390AE4" w:rsidRPr="00390AE4">
        <w:rPr>
          <w:rFonts w:hint="eastAsia"/>
          <w:lang w:eastAsia="zh-CN"/>
        </w:rPr>
        <w:lastRenderedPageBreak/>
        <w:t>要在审计报告中提请注意财务报表的相关披露，或如果此类披露尚不充分，则修改我的意见。我的结论基于截至起草审计报告之时所获得的证据。但是，未来活动或条款可能会导致国际电信联盟停止以现行方式运作下去。</w:t>
      </w:r>
    </w:p>
    <w:p w14:paraId="108AD1D3" w14:textId="450CED74" w:rsidR="00390AE4" w:rsidRPr="00390AE4" w:rsidRDefault="008A7244" w:rsidP="008A7244">
      <w:pPr>
        <w:pStyle w:val="enumlev1"/>
        <w:rPr>
          <w:lang w:eastAsia="zh-CN"/>
        </w:rPr>
      </w:pPr>
      <w:r w:rsidRPr="00E52A4A">
        <w:rPr>
          <w:lang w:eastAsia="it-IT"/>
        </w:rPr>
        <w:t>•</w:t>
      </w:r>
      <w:r w:rsidRPr="00E52A4A">
        <w:rPr>
          <w:lang w:eastAsia="it-IT"/>
        </w:rPr>
        <w:tab/>
      </w:r>
      <w:r w:rsidR="00390AE4" w:rsidRPr="00390AE4">
        <w:rPr>
          <w:rFonts w:hint="eastAsia"/>
          <w:lang w:eastAsia="zh-CN"/>
        </w:rPr>
        <w:t>评估财务报表的整体说明方式、结构和内容（包括披露）以及评定财务报表是否以公允的方式呈现重大交易和活动。</w:t>
      </w:r>
    </w:p>
    <w:p w14:paraId="38A0577B" w14:textId="77777777" w:rsidR="00390AE4" w:rsidRPr="00390AE4" w:rsidRDefault="00390AE4" w:rsidP="008A7244">
      <w:pPr>
        <w:ind w:firstLineChars="200" w:firstLine="480"/>
        <w:rPr>
          <w:lang w:eastAsia="zh-CN"/>
        </w:rPr>
      </w:pPr>
      <w:r w:rsidRPr="00390AE4">
        <w:rPr>
          <w:rFonts w:hint="eastAsia"/>
          <w:lang w:eastAsia="zh-CN"/>
        </w:rPr>
        <w:t>此外，我必须获得充分的证据，以合理保证财务报表中报告的收入和支出已用于理事会计划的目的且财务交易确认符合规范这些交易的《财务规则》。</w:t>
      </w:r>
    </w:p>
    <w:p w14:paraId="7A48DCA0" w14:textId="77777777" w:rsidR="00390AE4" w:rsidRPr="00390AE4" w:rsidRDefault="00390AE4" w:rsidP="008A7244">
      <w:pPr>
        <w:ind w:firstLineChars="200" w:firstLine="480"/>
        <w:rPr>
          <w:lang w:eastAsia="zh-CN"/>
        </w:rPr>
      </w:pPr>
      <w:r w:rsidRPr="00390AE4">
        <w:rPr>
          <w:rFonts w:hint="eastAsia"/>
          <w:lang w:eastAsia="zh-CN"/>
        </w:rPr>
        <w:t>我与负责管理的人员沟通了计划的审计范围和时间安排及重大审计结论，其中也包括我在审计过程中发现的内部控制薄弱环节。</w:t>
      </w:r>
    </w:p>
    <w:p w14:paraId="66B5114B" w14:textId="77777777" w:rsidR="00390AE4" w:rsidRPr="00390AE4" w:rsidRDefault="00390AE4" w:rsidP="008A7244">
      <w:pPr>
        <w:pStyle w:val="Headingb"/>
        <w:rPr>
          <w:lang w:eastAsia="zh-CN"/>
        </w:rPr>
      </w:pPr>
      <w:r w:rsidRPr="00390AE4">
        <w:rPr>
          <w:rFonts w:hint="eastAsia"/>
          <w:lang w:eastAsia="zh-CN"/>
        </w:rPr>
        <w:t>报告</w:t>
      </w:r>
    </w:p>
    <w:p w14:paraId="07E066EF" w14:textId="22636DD5" w:rsidR="00390AE4" w:rsidRPr="00390AE4" w:rsidRDefault="00390AE4" w:rsidP="008A7244">
      <w:pPr>
        <w:ind w:firstLineChars="200" w:firstLine="480"/>
        <w:rPr>
          <w:lang w:eastAsia="zh-CN"/>
        </w:rPr>
      </w:pPr>
      <w:r w:rsidRPr="00390AE4">
        <w:rPr>
          <w:rFonts w:hint="eastAsia"/>
          <w:lang w:eastAsia="zh-CN"/>
        </w:rPr>
        <w:t>除了之前</w:t>
      </w:r>
      <w:r w:rsidRPr="00390AE4">
        <w:rPr>
          <w:rFonts w:hint="eastAsia"/>
          <w:lang w:eastAsia="zh-CN"/>
        </w:rPr>
        <w:t>2023</w:t>
      </w:r>
      <w:r w:rsidRPr="00390AE4">
        <w:rPr>
          <w:rFonts w:hint="eastAsia"/>
          <w:lang w:eastAsia="zh-CN"/>
        </w:rPr>
        <w:t>年</w:t>
      </w:r>
      <w:r w:rsidRPr="00390AE4">
        <w:rPr>
          <w:rFonts w:hint="eastAsia"/>
          <w:lang w:eastAsia="zh-CN"/>
        </w:rPr>
        <w:t>7</w:t>
      </w:r>
      <w:r w:rsidRPr="00390AE4">
        <w:rPr>
          <w:rFonts w:hint="eastAsia"/>
          <w:lang w:eastAsia="zh-CN"/>
        </w:rPr>
        <w:t>月的中期报告外，我还发布了关于审计结果的最终详式审计报告。</w:t>
      </w:r>
    </w:p>
    <w:p w14:paraId="2438C0DD" w14:textId="5B7956A6" w:rsidR="00390AE4" w:rsidRPr="00390AE4" w:rsidRDefault="008A7244" w:rsidP="008A7AC2">
      <w:pPr>
        <w:tabs>
          <w:tab w:val="clear" w:pos="1588"/>
          <w:tab w:val="clear" w:pos="1985"/>
        </w:tabs>
        <w:spacing w:before="360" w:after="360"/>
        <w:rPr>
          <w:lang w:eastAsia="zh-CN"/>
        </w:rPr>
      </w:pPr>
      <w:r w:rsidRPr="00E52A4A">
        <w:rPr>
          <w:noProof/>
        </w:rPr>
        <w:drawing>
          <wp:inline distT="0" distB="0" distL="0" distR="0" wp14:anchorId="76E78EEC" wp14:editId="2C62F18A">
            <wp:extent cx="1590040" cy="715645"/>
            <wp:effectExtent l="0" t="0" r="0" b="825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90040" cy="715645"/>
                    </a:xfrm>
                    <a:prstGeom prst="rect">
                      <a:avLst/>
                    </a:prstGeom>
                    <a:noFill/>
                    <a:ln>
                      <a:noFill/>
                    </a:ln>
                  </pic:spPr>
                </pic:pic>
              </a:graphicData>
            </a:graphic>
          </wp:inline>
        </w:drawing>
      </w:r>
    </w:p>
    <w:p w14:paraId="4582F55F" w14:textId="66EBBD26" w:rsidR="00390AE4" w:rsidRPr="00390AE4" w:rsidRDefault="00390AE4" w:rsidP="008A7AC2">
      <w:pPr>
        <w:tabs>
          <w:tab w:val="clear" w:pos="794"/>
          <w:tab w:val="clear" w:pos="1191"/>
          <w:tab w:val="clear" w:pos="1588"/>
          <w:tab w:val="clear" w:pos="1985"/>
          <w:tab w:val="left" w:pos="6946"/>
        </w:tabs>
        <w:spacing w:before="480"/>
      </w:pPr>
      <w:bookmarkStart w:id="106" w:name="lt_pId292"/>
      <w:r w:rsidRPr="00390AE4">
        <w:rPr>
          <w:rFonts w:hint="eastAsia"/>
          <w:lang w:eastAsia="zh-CN"/>
        </w:rPr>
        <w:t>国家审计办公室</w:t>
      </w:r>
      <w:bookmarkEnd w:id="106"/>
      <w:r w:rsidRPr="00390AE4">
        <w:rPr>
          <w:lang w:eastAsia="zh-CN"/>
        </w:rPr>
        <w:tab/>
      </w:r>
      <w:bookmarkStart w:id="107" w:name="lt_pId293"/>
      <w:r w:rsidRPr="008A7244">
        <w:rPr>
          <w:b/>
          <w:bCs/>
          <w:lang w:eastAsia="zh-CN"/>
        </w:rPr>
        <w:t>2024</w:t>
      </w:r>
      <w:bookmarkEnd w:id="107"/>
      <w:r w:rsidRPr="008A7244">
        <w:rPr>
          <w:rFonts w:hint="eastAsia"/>
          <w:b/>
          <w:bCs/>
          <w:lang w:eastAsia="zh-CN"/>
        </w:rPr>
        <w:t>年</w:t>
      </w:r>
      <w:r w:rsidRPr="008A7244">
        <w:rPr>
          <w:rFonts w:hint="eastAsia"/>
          <w:b/>
          <w:bCs/>
          <w:lang w:eastAsia="zh-CN"/>
        </w:rPr>
        <w:t>1</w:t>
      </w:r>
      <w:r w:rsidRPr="008A7244">
        <w:rPr>
          <w:rFonts w:hint="eastAsia"/>
          <w:b/>
          <w:bCs/>
          <w:lang w:eastAsia="zh-CN"/>
        </w:rPr>
        <w:t>月</w:t>
      </w:r>
      <w:r w:rsidRPr="008A7244">
        <w:rPr>
          <w:rFonts w:hint="eastAsia"/>
          <w:b/>
          <w:bCs/>
          <w:lang w:eastAsia="zh-CN"/>
        </w:rPr>
        <w:t>2</w:t>
      </w:r>
      <w:r w:rsidRPr="008A7244">
        <w:rPr>
          <w:b/>
          <w:bCs/>
          <w:lang w:eastAsia="zh-CN"/>
        </w:rPr>
        <w:t>4</w:t>
      </w:r>
      <w:r w:rsidRPr="008A7244">
        <w:rPr>
          <w:rFonts w:hint="eastAsia"/>
          <w:b/>
          <w:bCs/>
          <w:lang w:eastAsia="zh-CN"/>
        </w:rPr>
        <w:t>日</w:t>
      </w:r>
      <w:bookmarkStart w:id="108" w:name="lt_pId294"/>
      <w:r w:rsidR="00DA68F6">
        <w:rPr>
          <w:lang w:eastAsia="zh-CN"/>
        </w:rPr>
        <w:br/>
      </w:r>
      <w:r w:rsidRPr="00390AE4">
        <w:rPr>
          <w:rFonts w:hint="eastAsia"/>
          <w:lang w:eastAsia="zh-CN"/>
        </w:rPr>
        <w:t>主计长兼审计长</w:t>
      </w:r>
      <w:bookmarkStart w:id="109" w:name="lt_pId296"/>
      <w:bookmarkEnd w:id="108"/>
      <w:r w:rsidR="008A7244">
        <w:rPr>
          <w:lang w:eastAsia="zh-CN"/>
        </w:rPr>
        <w:br/>
      </w:r>
      <w:r w:rsidRPr="008A7244">
        <w:rPr>
          <w:b/>
          <w:bCs/>
        </w:rPr>
        <w:t xml:space="preserve">Gareth Davies </w:t>
      </w:r>
      <w:r w:rsidR="008A7244">
        <w:rPr>
          <w:b/>
          <w:bCs/>
        </w:rPr>
        <w:br/>
      </w:r>
      <w:r w:rsidRPr="00390AE4">
        <w:t>157-197 Buckingham Palace Road</w:t>
      </w:r>
      <w:bookmarkStart w:id="110" w:name="lt_pId297"/>
      <w:bookmarkEnd w:id="109"/>
      <w:r w:rsidR="008A7244">
        <w:br/>
      </w:r>
      <w:r w:rsidRPr="00390AE4">
        <w:t>Victoria, London</w:t>
      </w:r>
      <w:bookmarkStart w:id="111" w:name="lt_pId298"/>
      <w:bookmarkEnd w:id="110"/>
      <w:r w:rsidR="000C4401">
        <w:t xml:space="preserve"> </w:t>
      </w:r>
      <w:r w:rsidRPr="00390AE4">
        <w:t>SW1W 9SP</w:t>
      </w:r>
      <w:bookmarkStart w:id="112" w:name="lt_pId299"/>
      <w:bookmarkEnd w:id="111"/>
      <w:r w:rsidR="008A7244">
        <w:br/>
      </w:r>
      <w:r w:rsidRPr="00390AE4">
        <w:t>United Kingdom</w:t>
      </w:r>
      <w:bookmarkEnd w:id="112"/>
    </w:p>
    <w:p w14:paraId="4C0C09DD" w14:textId="77777777" w:rsidR="00390AE4" w:rsidRPr="00390AE4" w:rsidRDefault="00390AE4" w:rsidP="00390AE4">
      <w:bookmarkStart w:id="113" w:name="lt_pId300"/>
      <w:bookmarkStart w:id="114" w:name="_Toc131080994"/>
      <w:bookmarkStart w:id="115" w:name="_Toc131156413"/>
      <w:bookmarkStart w:id="116" w:name="_Toc305764056"/>
      <w:r w:rsidRPr="00390AE4">
        <w:br w:type="page"/>
      </w:r>
    </w:p>
    <w:p w14:paraId="1D33E039" w14:textId="130430F4" w:rsidR="00390AE4" w:rsidRPr="00390AE4" w:rsidRDefault="00390AE4" w:rsidP="00BA2827">
      <w:pPr>
        <w:pStyle w:val="Title4"/>
      </w:pPr>
      <w:bookmarkStart w:id="117" w:name="_Toc163723277"/>
      <w:bookmarkEnd w:id="113"/>
      <w:r w:rsidRPr="00390AE4">
        <w:rPr>
          <w:rFonts w:hint="eastAsia"/>
        </w:rPr>
        <w:lastRenderedPageBreak/>
        <w:t>财务报表</w:t>
      </w:r>
      <w:bookmarkEnd w:id="114"/>
      <w:bookmarkEnd w:id="115"/>
      <w:bookmarkEnd w:id="117"/>
    </w:p>
    <w:p w14:paraId="6A2D9BDC" w14:textId="77777777" w:rsidR="00390AE4" w:rsidRPr="00390AE4" w:rsidRDefault="00390AE4" w:rsidP="00BA2827">
      <w:pPr>
        <w:pStyle w:val="Heading1"/>
        <w:rPr>
          <w:lang w:eastAsia="zh-CN"/>
        </w:rPr>
      </w:pPr>
      <w:bookmarkStart w:id="118" w:name="_Toc163723278"/>
      <w:bookmarkStart w:id="119" w:name="_Hlk131149648"/>
      <w:r w:rsidRPr="00390AE4">
        <w:rPr>
          <w:rFonts w:hint="eastAsia"/>
          <w:lang w:eastAsia="zh-CN"/>
        </w:rPr>
        <w:t>报表一：财务状况表</w:t>
      </w:r>
      <w:bookmarkEnd w:id="118"/>
    </w:p>
    <w:p w14:paraId="72C126C1" w14:textId="749C53DC" w:rsidR="00390AE4" w:rsidRPr="00390AE4" w:rsidRDefault="00390AE4" w:rsidP="00390AE4">
      <w:pPr>
        <w:rPr>
          <w:lang w:eastAsia="zh-CN"/>
        </w:rPr>
      </w:pPr>
      <w:bookmarkStart w:id="120" w:name="_Toc305764057"/>
      <w:bookmarkEnd w:id="116"/>
      <w:bookmarkEnd w:id="119"/>
      <w:r w:rsidRPr="00390AE4">
        <w:rPr>
          <w:rFonts w:hint="eastAsia"/>
          <w:lang w:eastAsia="zh-CN"/>
        </w:rPr>
        <w:t>截至</w:t>
      </w:r>
      <w:r w:rsidR="00C33152">
        <w:rPr>
          <w:rFonts w:hint="eastAsia"/>
          <w:lang w:eastAsia="zh-CN"/>
        </w:rPr>
        <w:t>2</w:t>
      </w:r>
      <w:r w:rsidR="00C33152">
        <w:rPr>
          <w:lang w:eastAsia="zh-CN"/>
        </w:rPr>
        <w:t>022</w:t>
      </w:r>
      <w:r w:rsidR="00C33152">
        <w:rPr>
          <w:rFonts w:hint="eastAsia"/>
          <w:lang w:eastAsia="zh-CN"/>
        </w:rPr>
        <w:t>年</w:t>
      </w:r>
      <w:r w:rsidR="00C33152">
        <w:rPr>
          <w:rFonts w:hint="eastAsia"/>
          <w:lang w:eastAsia="zh-CN"/>
        </w:rPr>
        <w:t>1</w:t>
      </w:r>
      <w:r w:rsidR="00C33152">
        <w:rPr>
          <w:lang w:eastAsia="zh-CN"/>
        </w:rPr>
        <w:t>2</w:t>
      </w:r>
      <w:r w:rsidR="00C33152">
        <w:rPr>
          <w:rFonts w:hint="eastAsia"/>
          <w:lang w:eastAsia="zh-CN"/>
        </w:rPr>
        <w:t>月</w:t>
      </w:r>
      <w:r w:rsidR="00C33152">
        <w:rPr>
          <w:rFonts w:hint="eastAsia"/>
          <w:lang w:eastAsia="zh-CN"/>
        </w:rPr>
        <w:t>3</w:t>
      </w:r>
      <w:r w:rsidR="00C33152">
        <w:rPr>
          <w:lang w:eastAsia="zh-CN"/>
        </w:rPr>
        <w:t>1</w:t>
      </w:r>
      <w:r w:rsidR="00C33152">
        <w:rPr>
          <w:rFonts w:hint="eastAsia"/>
          <w:lang w:eastAsia="zh-CN"/>
        </w:rPr>
        <w:t>日</w:t>
      </w:r>
      <w:r w:rsidRPr="00390AE4">
        <w:rPr>
          <w:rFonts w:hint="eastAsia"/>
          <w:lang w:eastAsia="zh-CN"/>
        </w:rPr>
        <w:t>的年度</w:t>
      </w:r>
    </w:p>
    <w:p w14:paraId="5C04BDA0" w14:textId="45E726F3" w:rsidR="0048384A" w:rsidRPr="00390AE4" w:rsidRDefault="00390AE4" w:rsidP="00390AE4">
      <w:pPr>
        <w:rPr>
          <w:lang w:eastAsia="zh-CN"/>
        </w:rPr>
      </w:pPr>
      <w:r w:rsidRPr="00390AE4">
        <w:rPr>
          <w:rFonts w:hint="eastAsia"/>
          <w:lang w:eastAsia="zh-CN"/>
        </w:rPr>
        <w:t>（单位：千瑞郎）</w:t>
      </w:r>
    </w:p>
    <w:p w14:paraId="3B255462" w14:textId="7CC453E3" w:rsidR="00390AE4" w:rsidRPr="00390AE4" w:rsidRDefault="0044129B" w:rsidP="00DA68F6">
      <w:pPr>
        <w:pStyle w:val="Figure"/>
      </w:pPr>
      <w:bookmarkStart w:id="121" w:name="_1755089378"/>
      <w:bookmarkEnd w:id="121"/>
      <w:r w:rsidRPr="0044129B">
        <w:rPr>
          <w:noProof/>
        </w:rPr>
        <w:drawing>
          <wp:inline distT="0" distB="0" distL="0" distR="0" wp14:anchorId="35DEF5BD" wp14:editId="5425C7AE">
            <wp:extent cx="5760085" cy="6302375"/>
            <wp:effectExtent l="0" t="0" r="0" b="3175"/>
            <wp:docPr id="20180433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85" cy="6302375"/>
                    </a:xfrm>
                    <a:prstGeom prst="rect">
                      <a:avLst/>
                    </a:prstGeom>
                    <a:noFill/>
                    <a:ln>
                      <a:noFill/>
                    </a:ln>
                  </pic:spPr>
                </pic:pic>
              </a:graphicData>
            </a:graphic>
          </wp:inline>
        </w:drawing>
      </w:r>
    </w:p>
    <w:p w14:paraId="22230773" w14:textId="32B8309C" w:rsidR="00390AE4" w:rsidRPr="00C33152" w:rsidRDefault="00390AE4" w:rsidP="00E77391">
      <w:pPr>
        <w:ind w:firstLineChars="200" w:firstLine="480"/>
        <w:rPr>
          <w:rFonts w:asciiTheme="minorHAnsi" w:eastAsia="STKaiti" w:hAnsiTheme="minorHAnsi" w:cstheme="minorHAnsi"/>
          <w:lang w:eastAsia="zh-CN"/>
        </w:rPr>
      </w:pPr>
      <w:r w:rsidRPr="00C33152">
        <w:rPr>
          <w:rFonts w:asciiTheme="minorHAnsi" w:eastAsia="STKaiti" w:hAnsiTheme="minorHAnsi" w:cstheme="minorHAnsi"/>
          <w:lang w:eastAsia="zh-CN"/>
        </w:rPr>
        <w:t>附注是这些财务报表不可分割的一部分。</w:t>
      </w:r>
    </w:p>
    <w:p w14:paraId="34E18412" w14:textId="77777777" w:rsidR="00390AE4" w:rsidRPr="00C33152" w:rsidRDefault="00390AE4" w:rsidP="00E77391">
      <w:pPr>
        <w:ind w:firstLineChars="200" w:firstLine="480"/>
        <w:rPr>
          <w:rFonts w:asciiTheme="minorHAnsi" w:eastAsia="STKaiti" w:hAnsiTheme="minorHAnsi" w:cstheme="minorHAnsi"/>
          <w:lang w:eastAsia="zh-CN"/>
        </w:rPr>
      </w:pPr>
      <w:r w:rsidRPr="00C33152">
        <w:rPr>
          <w:rFonts w:asciiTheme="minorHAnsi" w:eastAsia="STKaiti" w:hAnsiTheme="minorHAnsi" w:cstheme="minorHAnsi"/>
          <w:lang w:eastAsia="zh-CN"/>
        </w:rPr>
        <w:t>关于重报比较期的详情，请参见附注</w:t>
      </w:r>
      <w:r w:rsidRPr="00C33152">
        <w:rPr>
          <w:rFonts w:asciiTheme="minorHAnsi" w:eastAsia="STKaiti" w:hAnsiTheme="minorHAnsi" w:cstheme="minorHAnsi"/>
          <w:lang w:eastAsia="zh-CN"/>
        </w:rPr>
        <w:t>30</w:t>
      </w:r>
      <w:r w:rsidRPr="00C33152">
        <w:rPr>
          <w:rFonts w:asciiTheme="minorHAnsi" w:eastAsia="STKaiti" w:hAnsiTheme="minorHAnsi" w:cstheme="minorHAnsi"/>
          <w:lang w:eastAsia="zh-CN"/>
        </w:rPr>
        <w:t>。</w:t>
      </w:r>
    </w:p>
    <w:p w14:paraId="4A947058" w14:textId="77777777" w:rsidR="00390AE4" w:rsidRPr="00390AE4" w:rsidRDefault="00390AE4" w:rsidP="00C55525">
      <w:pPr>
        <w:pStyle w:val="Heading1"/>
        <w:rPr>
          <w:lang w:eastAsia="zh-CN"/>
        </w:rPr>
      </w:pPr>
      <w:r w:rsidRPr="00390AE4">
        <w:rPr>
          <w:lang w:eastAsia="zh-CN"/>
        </w:rPr>
        <w:br w:type="page"/>
      </w:r>
      <w:bookmarkStart w:id="122" w:name="_Toc163723279"/>
      <w:r w:rsidRPr="00390AE4">
        <w:rPr>
          <w:rFonts w:hint="eastAsia"/>
          <w:lang w:eastAsia="zh-CN"/>
        </w:rPr>
        <w:lastRenderedPageBreak/>
        <w:t>报表二：财务业绩报表</w:t>
      </w:r>
      <w:bookmarkEnd w:id="122"/>
    </w:p>
    <w:p w14:paraId="3BA6B696" w14:textId="1FD02754" w:rsidR="00390AE4" w:rsidRPr="00390AE4" w:rsidRDefault="00390AE4" w:rsidP="00390AE4">
      <w:pPr>
        <w:rPr>
          <w:lang w:eastAsia="zh-CN"/>
        </w:rPr>
      </w:pPr>
      <w:r w:rsidRPr="00390AE4">
        <w:rPr>
          <w:lang w:eastAsia="zh-CN"/>
        </w:rPr>
        <w:t>截至</w:t>
      </w:r>
      <w:r w:rsidR="00C33152">
        <w:rPr>
          <w:rFonts w:hint="eastAsia"/>
          <w:lang w:eastAsia="zh-CN"/>
        </w:rPr>
        <w:t>2</w:t>
      </w:r>
      <w:r w:rsidR="00C33152">
        <w:rPr>
          <w:lang w:eastAsia="zh-CN"/>
        </w:rPr>
        <w:t>022</w:t>
      </w:r>
      <w:r w:rsidR="00C33152">
        <w:rPr>
          <w:rFonts w:hint="eastAsia"/>
          <w:lang w:eastAsia="zh-CN"/>
        </w:rPr>
        <w:t>年</w:t>
      </w:r>
      <w:r w:rsidR="00C33152">
        <w:rPr>
          <w:rFonts w:hint="eastAsia"/>
          <w:lang w:eastAsia="zh-CN"/>
        </w:rPr>
        <w:t>1</w:t>
      </w:r>
      <w:r w:rsidR="00C33152">
        <w:rPr>
          <w:lang w:eastAsia="zh-CN"/>
        </w:rPr>
        <w:t>2</w:t>
      </w:r>
      <w:r w:rsidR="00C33152">
        <w:rPr>
          <w:rFonts w:hint="eastAsia"/>
          <w:lang w:eastAsia="zh-CN"/>
        </w:rPr>
        <w:t>月</w:t>
      </w:r>
      <w:r w:rsidR="00C33152">
        <w:rPr>
          <w:rFonts w:hint="eastAsia"/>
          <w:lang w:eastAsia="zh-CN"/>
        </w:rPr>
        <w:t>3</w:t>
      </w:r>
      <w:r w:rsidR="00C33152">
        <w:rPr>
          <w:lang w:eastAsia="zh-CN"/>
        </w:rPr>
        <w:t>1</w:t>
      </w:r>
      <w:r w:rsidR="00C33152">
        <w:rPr>
          <w:rFonts w:hint="eastAsia"/>
          <w:lang w:eastAsia="zh-CN"/>
        </w:rPr>
        <w:t>日</w:t>
      </w:r>
      <w:r w:rsidRPr="00390AE4">
        <w:rPr>
          <w:lang w:eastAsia="zh-CN"/>
        </w:rPr>
        <w:t>的年度</w:t>
      </w:r>
    </w:p>
    <w:p w14:paraId="05B77170" w14:textId="0E329246" w:rsidR="00390AE4" w:rsidRPr="00390AE4" w:rsidRDefault="00390AE4" w:rsidP="00390AE4">
      <w:r w:rsidRPr="00390AE4">
        <w:t>（单位：千瑞郎）</w:t>
      </w:r>
    </w:p>
    <w:p w14:paraId="69877A1A" w14:textId="3FC077CE" w:rsidR="00390AE4" w:rsidRPr="00390AE4" w:rsidRDefault="00837E35" w:rsidP="00C33152">
      <w:pPr>
        <w:pStyle w:val="Figure"/>
      </w:pPr>
      <w:r w:rsidRPr="00837E35">
        <w:rPr>
          <w:noProof/>
        </w:rPr>
        <w:drawing>
          <wp:inline distT="0" distB="0" distL="0" distR="0" wp14:anchorId="3C11FFE1" wp14:editId="32872385">
            <wp:extent cx="5498465" cy="3972560"/>
            <wp:effectExtent l="0" t="0" r="6985" b="8890"/>
            <wp:docPr id="15937991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8465" cy="3972560"/>
                    </a:xfrm>
                    <a:prstGeom prst="rect">
                      <a:avLst/>
                    </a:prstGeom>
                    <a:noFill/>
                    <a:ln>
                      <a:noFill/>
                    </a:ln>
                  </pic:spPr>
                </pic:pic>
              </a:graphicData>
            </a:graphic>
          </wp:inline>
        </w:drawing>
      </w:r>
    </w:p>
    <w:bookmarkEnd w:id="120"/>
    <w:p w14:paraId="0D641BED" w14:textId="6ADD42C4" w:rsidR="00390AE4" w:rsidRPr="00C55525" w:rsidRDefault="00390AE4" w:rsidP="00C55525">
      <w:pPr>
        <w:ind w:firstLineChars="200" w:firstLine="480"/>
        <w:rPr>
          <w:rFonts w:asciiTheme="minorHAnsi" w:eastAsia="STKaiti" w:hAnsiTheme="minorHAnsi" w:cstheme="minorHAnsi"/>
          <w:lang w:eastAsia="zh-CN"/>
        </w:rPr>
      </w:pPr>
      <w:r w:rsidRPr="00C55525">
        <w:rPr>
          <w:rFonts w:asciiTheme="minorHAnsi" w:eastAsia="STKaiti" w:hAnsiTheme="minorHAnsi" w:cstheme="minorHAnsi"/>
          <w:lang w:eastAsia="zh-CN"/>
        </w:rPr>
        <w:t>附注是这些财务报表不可分割的一部分。</w:t>
      </w:r>
    </w:p>
    <w:p w14:paraId="37AEC0AA" w14:textId="55C1025C" w:rsidR="00390AE4" w:rsidRPr="00390AE4" w:rsidRDefault="00390AE4" w:rsidP="000B0AC3">
      <w:pPr>
        <w:ind w:firstLineChars="200" w:firstLine="480"/>
        <w:rPr>
          <w:lang w:eastAsia="zh-CN"/>
        </w:rPr>
      </w:pPr>
      <w:r w:rsidRPr="00C55525">
        <w:rPr>
          <w:rFonts w:asciiTheme="minorHAnsi" w:eastAsia="STKaiti" w:hAnsiTheme="minorHAnsi" w:cstheme="minorHAnsi"/>
          <w:lang w:eastAsia="zh-CN"/>
        </w:rPr>
        <w:t>关于重报比较期的详情，请参见附注</w:t>
      </w:r>
      <w:r w:rsidRPr="00C55525">
        <w:rPr>
          <w:rFonts w:asciiTheme="minorHAnsi" w:eastAsia="STKaiti" w:hAnsiTheme="minorHAnsi" w:cstheme="minorHAnsi"/>
          <w:lang w:eastAsia="zh-CN"/>
        </w:rPr>
        <w:t>30</w:t>
      </w:r>
      <w:r w:rsidRPr="00C55525">
        <w:rPr>
          <w:rFonts w:asciiTheme="minorHAnsi" w:eastAsia="STKaiti" w:hAnsiTheme="minorHAnsi" w:cstheme="minorHAnsi"/>
          <w:lang w:eastAsia="zh-CN"/>
        </w:rPr>
        <w:t>。</w:t>
      </w:r>
    </w:p>
    <w:p w14:paraId="462216D2" w14:textId="77777777" w:rsidR="00390AE4" w:rsidRPr="00390AE4" w:rsidRDefault="00390AE4" w:rsidP="00390AE4">
      <w:pPr>
        <w:rPr>
          <w:lang w:eastAsia="zh-CN"/>
        </w:rPr>
      </w:pPr>
      <w:r w:rsidRPr="00390AE4">
        <w:rPr>
          <w:lang w:eastAsia="zh-CN"/>
        </w:rPr>
        <w:br w:type="page"/>
      </w:r>
    </w:p>
    <w:p w14:paraId="24D240B2" w14:textId="77777777" w:rsidR="00390AE4" w:rsidRPr="00390AE4" w:rsidRDefault="00390AE4" w:rsidP="00C55525">
      <w:pPr>
        <w:pStyle w:val="Heading1"/>
        <w:rPr>
          <w:lang w:eastAsia="zh-CN"/>
        </w:rPr>
      </w:pPr>
      <w:bookmarkStart w:id="123" w:name="_Toc163723280"/>
      <w:bookmarkStart w:id="124" w:name="_Toc305764058"/>
      <w:r w:rsidRPr="00390AE4">
        <w:rPr>
          <w:rFonts w:hint="eastAsia"/>
          <w:lang w:eastAsia="zh-CN"/>
        </w:rPr>
        <w:lastRenderedPageBreak/>
        <w:t>报表三：净资产变动表</w:t>
      </w:r>
      <w:bookmarkEnd w:id="123"/>
    </w:p>
    <w:p w14:paraId="3108AE4D" w14:textId="642F05E2" w:rsidR="00390AE4" w:rsidRPr="00390AE4" w:rsidRDefault="00390AE4" w:rsidP="00390AE4">
      <w:pPr>
        <w:rPr>
          <w:lang w:eastAsia="zh-CN"/>
        </w:rPr>
      </w:pPr>
      <w:r w:rsidRPr="00390AE4">
        <w:rPr>
          <w:lang w:eastAsia="zh-CN"/>
        </w:rPr>
        <w:t>截至</w:t>
      </w:r>
      <w:bookmarkStart w:id="125" w:name="_Hlk163113914"/>
      <w:r w:rsidR="00C33152">
        <w:rPr>
          <w:rFonts w:hint="eastAsia"/>
          <w:lang w:eastAsia="zh-CN"/>
        </w:rPr>
        <w:t>2</w:t>
      </w:r>
      <w:r w:rsidR="00C33152">
        <w:rPr>
          <w:lang w:eastAsia="zh-CN"/>
        </w:rPr>
        <w:t>022</w:t>
      </w:r>
      <w:r w:rsidR="00C33152">
        <w:rPr>
          <w:rFonts w:hint="eastAsia"/>
          <w:lang w:eastAsia="zh-CN"/>
        </w:rPr>
        <w:t>年</w:t>
      </w:r>
      <w:r w:rsidR="00C33152">
        <w:rPr>
          <w:rFonts w:hint="eastAsia"/>
          <w:lang w:eastAsia="zh-CN"/>
        </w:rPr>
        <w:t>1</w:t>
      </w:r>
      <w:r w:rsidR="00C33152">
        <w:rPr>
          <w:lang w:eastAsia="zh-CN"/>
        </w:rPr>
        <w:t>2</w:t>
      </w:r>
      <w:r w:rsidR="00C33152">
        <w:rPr>
          <w:rFonts w:hint="eastAsia"/>
          <w:lang w:eastAsia="zh-CN"/>
        </w:rPr>
        <w:t>月</w:t>
      </w:r>
      <w:r w:rsidR="00C33152">
        <w:rPr>
          <w:rFonts w:hint="eastAsia"/>
          <w:lang w:eastAsia="zh-CN"/>
        </w:rPr>
        <w:t>3</w:t>
      </w:r>
      <w:r w:rsidR="00C33152">
        <w:rPr>
          <w:lang w:eastAsia="zh-CN"/>
        </w:rPr>
        <w:t>1</w:t>
      </w:r>
      <w:r w:rsidRPr="00390AE4">
        <w:rPr>
          <w:lang w:eastAsia="zh-CN"/>
        </w:rPr>
        <w:t>日</w:t>
      </w:r>
      <w:bookmarkEnd w:id="125"/>
      <w:r w:rsidRPr="00390AE4">
        <w:rPr>
          <w:lang w:eastAsia="zh-CN"/>
        </w:rPr>
        <w:t>的年度</w:t>
      </w:r>
    </w:p>
    <w:p w14:paraId="4CAD0A79" w14:textId="351E22EA" w:rsidR="00390AE4" w:rsidRPr="00390AE4" w:rsidRDefault="00390AE4" w:rsidP="00390AE4">
      <w:r w:rsidRPr="00390AE4">
        <w:t>（单位：千瑞郎）</w:t>
      </w:r>
    </w:p>
    <w:bookmarkEnd w:id="124"/>
    <w:p w14:paraId="2577B2A1" w14:textId="1720152F" w:rsidR="00390AE4" w:rsidRPr="00D82DFA" w:rsidRDefault="00A834A8" w:rsidP="00CD42E9">
      <w:pPr>
        <w:pStyle w:val="Figure"/>
        <w:rPr>
          <w:lang w:val="en-US"/>
        </w:rPr>
      </w:pPr>
      <w:r w:rsidRPr="00A834A8">
        <w:rPr>
          <w:noProof/>
        </w:rPr>
        <w:drawing>
          <wp:inline distT="0" distB="0" distL="0" distR="0" wp14:anchorId="0156F8E1" wp14:editId="401F983C">
            <wp:extent cx="5760085" cy="2445385"/>
            <wp:effectExtent l="0" t="0" r="0" b="0"/>
            <wp:docPr id="80983194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085" cy="2445385"/>
                    </a:xfrm>
                    <a:prstGeom prst="rect">
                      <a:avLst/>
                    </a:prstGeom>
                    <a:noFill/>
                    <a:ln>
                      <a:noFill/>
                    </a:ln>
                  </pic:spPr>
                </pic:pic>
              </a:graphicData>
            </a:graphic>
          </wp:inline>
        </w:drawing>
      </w:r>
    </w:p>
    <w:p w14:paraId="07EA0BA7" w14:textId="74B0015E" w:rsidR="00390AE4" w:rsidRPr="00C55525" w:rsidRDefault="00390AE4" w:rsidP="00C55525">
      <w:pPr>
        <w:ind w:firstLineChars="200" w:firstLine="480"/>
        <w:rPr>
          <w:rFonts w:asciiTheme="minorHAnsi" w:eastAsia="STKaiti" w:hAnsiTheme="minorHAnsi" w:cstheme="minorHAnsi"/>
          <w:lang w:eastAsia="zh-CN"/>
        </w:rPr>
      </w:pPr>
      <w:r w:rsidRPr="00C55525">
        <w:rPr>
          <w:rFonts w:asciiTheme="minorHAnsi" w:eastAsia="STKaiti" w:hAnsiTheme="minorHAnsi" w:cstheme="minorHAnsi"/>
          <w:lang w:eastAsia="zh-CN"/>
        </w:rPr>
        <w:t>附注是这些财务报表不可分割的一部分。</w:t>
      </w:r>
    </w:p>
    <w:p w14:paraId="38CDC907" w14:textId="77777777" w:rsidR="00390AE4" w:rsidRPr="00C55525" w:rsidRDefault="00390AE4" w:rsidP="00C55525">
      <w:pPr>
        <w:ind w:firstLineChars="200" w:firstLine="480"/>
        <w:rPr>
          <w:rFonts w:asciiTheme="minorHAnsi" w:eastAsia="STKaiti" w:hAnsiTheme="minorHAnsi" w:cstheme="minorHAnsi"/>
          <w:lang w:eastAsia="zh-CN"/>
        </w:rPr>
      </w:pPr>
      <w:r w:rsidRPr="00C55525">
        <w:rPr>
          <w:rFonts w:asciiTheme="minorHAnsi" w:eastAsia="STKaiti" w:hAnsiTheme="minorHAnsi" w:cstheme="minorHAnsi"/>
          <w:lang w:eastAsia="zh-CN"/>
        </w:rPr>
        <w:t>更多信息见重报比较期间的注</w:t>
      </w:r>
      <w:r w:rsidRPr="00C55525">
        <w:rPr>
          <w:rFonts w:asciiTheme="minorHAnsi" w:eastAsia="STKaiti" w:hAnsiTheme="minorHAnsi" w:cstheme="minorHAnsi"/>
          <w:lang w:eastAsia="zh-CN"/>
        </w:rPr>
        <w:t>4</w:t>
      </w:r>
      <w:r w:rsidRPr="00C55525">
        <w:rPr>
          <w:rFonts w:asciiTheme="minorHAnsi" w:eastAsia="STKaiti" w:hAnsiTheme="minorHAnsi" w:cstheme="minorHAnsi"/>
          <w:lang w:eastAsia="zh-CN"/>
        </w:rPr>
        <w:t>和注</w:t>
      </w:r>
      <w:r w:rsidRPr="00C55525">
        <w:rPr>
          <w:rFonts w:asciiTheme="minorHAnsi" w:eastAsia="STKaiti" w:hAnsiTheme="minorHAnsi" w:cstheme="minorHAnsi"/>
          <w:lang w:eastAsia="zh-CN"/>
        </w:rPr>
        <w:t>30</w:t>
      </w:r>
      <w:r w:rsidRPr="00C55525">
        <w:rPr>
          <w:rFonts w:asciiTheme="minorHAnsi" w:eastAsia="STKaiti" w:hAnsiTheme="minorHAnsi" w:cstheme="minorHAnsi"/>
          <w:lang w:eastAsia="zh-CN"/>
        </w:rPr>
        <w:t>。</w:t>
      </w:r>
    </w:p>
    <w:p w14:paraId="49A5F6B2" w14:textId="77777777" w:rsidR="00390AE4" w:rsidRPr="00390AE4" w:rsidRDefault="00390AE4" w:rsidP="00C55525">
      <w:pPr>
        <w:pStyle w:val="Heading1"/>
        <w:rPr>
          <w:lang w:eastAsia="zh-CN"/>
        </w:rPr>
      </w:pPr>
      <w:r w:rsidRPr="00390AE4">
        <w:rPr>
          <w:lang w:eastAsia="zh-CN"/>
        </w:rPr>
        <w:br w:type="page"/>
      </w:r>
      <w:bookmarkStart w:id="126" w:name="_Toc163723281"/>
      <w:bookmarkStart w:id="127" w:name="_Toc305764059"/>
      <w:r w:rsidRPr="00390AE4">
        <w:rPr>
          <w:rFonts w:hint="eastAsia"/>
          <w:lang w:eastAsia="zh-CN"/>
        </w:rPr>
        <w:lastRenderedPageBreak/>
        <w:t>报表四：现金流表</w:t>
      </w:r>
      <w:bookmarkEnd w:id="126"/>
    </w:p>
    <w:p w14:paraId="7EF5ECBE" w14:textId="38D29546" w:rsidR="00390AE4" w:rsidRPr="00390AE4" w:rsidRDefault="00390AE4" w:rsidP="00390AE4">
      <w:pPr>
        <w:rPr>
          <w:lang w:eastAsia="zh-CN"/>
        </w:rPr>
      </w:pPr>
      <w:r w:rsidRPr="00390AE4">
        <w:rPr>
          <w:lang w:eastAsia="zh-CN"/>
        </w:rPr>
        <w:t>截至</w:t>
      </w:r>
      <w:r w:rsidR="00E26D09">
        <w:rPr>
          <w:rFonts w:hint="eastAsia"/>
          <w:lang w:eastAsia="zh-CN"/>
        </w:rPr>
        <w:t>2</w:t>
      </w:r>
      <w:r w:rsidR="00E26D09">
        <w:rPr>
          <w:lang w:eastAsia="zh-CN"/>
        </w:rPr>
        <w:t>022</w:t>
      </w:r>
      <w:r w:rsidR="00E26D09">
        <w:rPr>
          <w:rFonts w:hint="eastAsia"/>
          <w:lang w:eastAsia="zh-CN"/>
        </w:rPr>
        <w:t>年</w:t>
      </w:r>
      <w:r w:rsidR="00E26D09">
        <w:rPr>
          <w:rFonts w:hint="eastAsia"/>
          <w:lang w:eastAsia="zh-CN"/>
        </w:rPr>
        <w:t>1</w:t>
      </w:r>
      <w:r w:rsidR="00E26D09">
        <w:rPr>
          <w:lang w:eastAsia="zh-CN"/>
        </w:rPr>
        <w:t>2</w:t>
      </w:r>
      <w:r w:rsidR="00E26D09">
        <w:rPr>
          <w:rFonts w:hint="eastAsia"/>
          <w:lang w:eastAsia="zh-CN"/>
        </w:rPr>
        <w:t>月</w:t>
      </w:r>
      <w:r w:rsidR="00E26D09">
        <w:rPr>
          <w:rFonts w:hint="eastAsia"/>
          <w:lang w:eastAsia="zh-CN"/>
        </w:rPr>
        <w:t>3</w:t>
      </w:r>
      <w:r w:rsidR="00E26D09">
        <w:rPr>
          <w:lang w:eastAsia="zh-CN"/>
        </w:rPr>
        <w:t>1</w:t>
      </w:r>
      <w:r w:rsidR="00E26D09" w:rsidRPr="00390AE4">
        <w:rPr>
          <w:lang w:eastAsia="zh-CN"/>
        </w:rPr>
        <w:t>日</w:t>
      </w:r>
      <w:r w:rsidRPr="00390AE4">
        <w:rPr>
          <w:lang w:eastAsia="zh-CN"/>
        </w:rPr>
        <w:t>的年度</w:t>
      </w:r>
    </w:p>
    <w:bookmarkEnd w:id="127"/>
    <w:p w14:paraId="3B882C4F" w14:textId="24112966" w:rsidR="00390AE4" w:rsidRPr="00390AE4" w:rsidRDefault="00390AE4" w:rsidP="00390AE4">
      <w:r w:rsidRPr="00390AE4">
        <w:t>（单位：千瑞郎）</w:t>
      </w:r>
    </w:p>
    <w:p w14:paraId="7218B321" w14:textId="5A5D63E7" w:rsidR="00390AE4" w:rsidRPr="00390AE4" w:rsidRDefault="00F209AB" w:rsidP="000A44B6">
      <w:pPr>
        <w:pStyle w:val="Figure"/>
      </w:pPr>
      <w:r w:rsidRPr="00F209AB">
        <w:rPr>
          <w:noProof/>
        </w:rPr>
        <w:drawing>
          <wp:inline distT="0" distB="0" distL="0" distR="0" wp14:anchorId="38E9A5C5" wp14:editId="0AA154AA">
            <wp:extent cx="5760085" cy="6830060"/>
            <wp:effectExtent l="0" t="0" r="0" b="8890"/>
            <wp:docPr id="188724957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085" cy="6830060"/>
                    </a:xfrm>
                    <a:prstGeom prst="rect">
                      <a:avLst/>
                    </a:prstGeom>
                    <a:noFill/>
                    <a:ln>
                      <a:noFill/>
                    </a:ln>
                  </pic:spPr>
                </pic:pic>
              </a:graphicData>
            </a:graphic>
          </wp:inline>
        </w:drawing>
      </w:r>
    </w:p>
    <w:p w14:paraId="389CF06D" w14:textId="77777777" w:rsidR="00390AE4" w:rsidRPr="00C55525" w:rsidRDefault="00390AE4" w:rsidP="00C55525">
      <w:pPr>
        <w:ind w:firstLineChars="200" w:firstLine="480"/>
        <w:rPr>
          <w:rFonts w:ascii="STKaiti" w:eastAsia="STKaiti" w:hAnsi="STKaiti"/>
          <w:lang w:eastAsia="zh-CN"/>
        </w:rPr>
      </w:pPr>
      <w:r w:rsidRPr="00C55525">
        <w:rPr>
          <w:rFonts w:ascii="STKaiti" w:eastAsia="STKaiti" w:hAnsi="STKaiti" w:hint="eastAsia"/>
          <w:lang w:eastAsia="zh-CN"/>
        </w:rPr>
        <w:t>附注是这些财务报表不可分割的一部分。</w:t>
      </w:r>
    </w:p>
    <w:p w14:paraId="77C04DC0" w14:textId="77777777" w:rsidR="00390AE4" w:rsidRPr="00390AE4" w:rsidRDefault="00390AE4" w:rsidP="00390AE4">
      <w:pPr>
        <w:rPr>
          <w:lang w:eastAsia="zh-CN"/>
        </w:rPr>
      </w:pPr>
    </w:p>
    <w:p w14:paraId="1DFB8DC4" w14:textId="0FFFDC3F" w:rsidR="00390AE4" w:rsidRPr="00390AE4" w:rsidRDefault="00390AE4" w:rsidP="00C55525">
      <w:pPr>
        <w:pStyle w:val="Heading1"/>
        <w:rPr>
          <w:lang w:eastAsia="zh-CN"/>
        </w:rPr>
      </w:pPr>
      <w:bookmarkStart w:id="128" w:name="_Toc163723282"/>
      <w:r w:rsidRPr="00390AE4">
        <w:rPr>
          <w:rFonts w:hint="eastAsia"/>
          <w:lang w:eastAsia="zh-CN"/>
        </w:rPr>
        <w:lastRenderedPageBreak/>
        <w:t>报表五</w:t>
      </w:r>
      <w:r w:rsidR="0057436C">
        <w:rPr>
          <w:rFonts w:hint="eastAsia"/>
          <w:lang w:eastAsia="zh-CN"/>
        </w:rPr>
        <w:t>：</w:t>
      </w:r>
      <w:r w:rsidRPr="00390AE4">
        <w:rPr>
          <w:rFonts w:hint="eastAsia"/>
          <w:lang w:eastAsia="zh-CN"/>
        </w:rPr>
        <w:t>预算和实际发生金额比较报表</w:t>
      </w:r>
      <w:bookmarkEnd w:id="128"/>
    </w:p>
    <w:p w14:paraId="567A68AD" w14:textId="26FF6155" w:rsidR="00390AE4" w:rsidRPr="00390AE4" w:rsidRDefault="00390AE4" w:rsidP="00390AE4">
      <w:pPr>
        <w:rPr>
          <w:lang w:eastAsia="zh-CN"/>
        </w:rPr>
      </w:pPr>
      <w:r w:rsidRPr="00390AE4">
        <w:rPr>
          <w:lang w:eastAsia="zh-CN"/>
        </w:rPr>
        <w:t>截至</w:t>
      </w:r>
      <w:r w:rsidR="00E26D09">
        <w:rPr>
          <w:rFonts w:hint="eastAsia"/>
          <w:lang w:eastAsia="zh-CN"/>
        </w:rPr>
        <w:t>2</w:t>
      </w:r>
      <w:r w:rsidR="00E26D09">
        <w:rPr>
          <w:lang w:eastAsia="zh-CN"/>
        </w:rPr>
        <w:t>022</w:t>
      </w:r>
      <w:r w:rsidR="00E26D09">
        <w:rPr>
          <w:rFonts w:hint="eastAsia"/>
          <w:lang w:eastAsia="zh-CN"/>
        </w:rPr>
        <w:t>年</w:t>
      </w:r>
      <w:r w:rsidR="00E26D09">
        <w:rPr>
          <w:rFonts w:hint="eastAsia"/>
          <w:lang w:eastAsia="zh-CN"/>
        </w:rPr>
        <w:t>1</w:t>
      </w:r>
      <w:r w:rsidR="00E26D09">
        <w:rPr>
          <w:lang w:eastAsia="zh-CN"/>
        </w:rPr>
        <w:t>2</w:t>
      </w:r>
      <w:r w:rsidR="00E26D09">
        <w:rPr>
          <w:rFonts w:hint="eastAsia"/>
          <w:lang w:eastAsia="zh-CN"/>
        </w:rPr>
        <w:t>月</w:t>
      </w:r>
      <w:r w:rsidR="00E26D09">
        <w:rPr>
          <w:rFonts w:hint="eastAsia"/>
          <w:lang w:eastAsia="zh-CN"/>
        </w:rPr>
        <w:t>3</w:t>
      </w:r>
      <w:r w:rsidR="00E26D09">
        <w:rPr>
          <w:lang w:eastAsia="zh-CN"/>
        </w:rPr>
        <w:t>1</w:t>
      </w:r>
      <w:r w:rsidR="00E26D09" w:rsidRPr="00390AE4">
        <w:rPr>
          <w:lang w:eastAsia="zh-CN"/>
        </w:rPr>
        <w:t>日</w:t>
      </w:r>
      <w:r w:rsidRPr="00390AE4">
        <w:rPr>
          <w:lang w:eastAsia="zh-CN"/>
        </w:rPr>
        <w:t>的年度</w:t>
      </w:r>
    </w:p>
    <w:p w14:paraId="16FD822E" w14:textId="70F2397C" w:rsidR="00390AE4" w:rsidRPr="00390AE4" w:rsidRDefault="00390AE4" w:rsidP="00390AE4">
      <w:pPr>
        <w:rPr>
          <w:lang w:eastAsia="zh-CN"/>
        </w:rPr>
      </w:pPr>
      <w:r w:rsidRPr="00390AE4">
        <w:rPr>
          <w:lang w:eastAsia="zh-CN"/>
        </w:rPr>
        <w:t>（单位：千瑞郎）</w:t>
      </w:r>
    </w:p>
    <w:p w14:paraId="4F8A47D1" w14:textId="31C901A0" w:rsidR="004B2404" w:rsidRDefault="00F209AB" w:rsidP="00A91C79">
      <w:pPr>
        <w:pStyle w:val="Figure"/>
        <w:rPr>
          <w:lang w:eastAsia="zh-CN"/>
        </w:rPr>
      </w:pPr>
      <w:r w:rsidRPr="00F209AB">
        <w:rPr>
          <w:noProof/>
        </w:rPr>
        <w:drawing>
          <wp:inline distT="0" distB="0" distL="0" distR="0" wp14:anchorId="4320E618" wp14:editId="373CC7C7">
            <wp:extent cx="5760085" cy="3735705"/>
            <wp:effectExtent l="0" t="0" r="0" b="0"/>
            <wp:docPr id="12161454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085" cy="3735705"/>
                    </a:xfrm>
                    <a:prstGeom prst="rect">
                      <a:avLst/>
                    </a:prstGeom>
                    <a:noFill/>
                    <a:ln>
                      <a:noFill/>
                    </a:ln>
                  </pic:spPr>
                </pic:pic>
              </a:graphicData>
            </a:graphic>
          </wp:inline>
        </w:drawing>
      </w:r>
    </w:p>
    <w:p w14:paraId="1677E479" w14:textId="40386BBF" w:rsidR="00390AE4" w:rsidRPr="00C55525" w:rsidRDefault="00390AE4" w:rsidP="00C55525">
      <w:pPr>
        <w:ind w:firstLineChars="200" w:firstLine="480"/>
        <w:rPr>
          <w:rFonts w:asciiTheme="minorHAnsi" w:eastAsia="STKaiti" w:hAnsiTheme="minorHAnsi" w:cstheme="minorHAnsi"/>
          <w:lang w:eastAsia="zh-CN"/>
        </w:rPr>
      </w:pPr>
      <w:r w:rsidRPr="00C55525">
        <w:rPr>
          <w:rFonts w:asciiTheme="minorHAnsi" w:eastAsia="STKaiti" w:hAnsiTheme="minorHAnsi" w:cstheme="minorHAnsi"/>
          <w:lang w:eastAsia="zh-CN"/>
        </w:rPr>
        <w:t>附注是这些财务报表不可分割的一部分。</w:t>
      </w:r>
    </w:p>
    <w:p w14:paraId="1084AD8F" w14:textId="77777777" w:rsidR="00390AE4" w:rsidRPr="00C55525" w:rsidRDefault="00390AE4" w:rsidP="00C55525">
      <w:pPr>
        <w:ind w:firstLineChars="200" w:firstLine="480"/>
        <w:rPr>
          <w:rFonts w:asciiTheme="minorHAnsi" w:eastAsia="STKaiti" w:hAnsiTheme="minorHAnsi" w:cstheme="minorHAnsi"/>
          <w:lang w:eastAsia="zh-CN"/>
        </w:rPr>
      </w:pPr>
      <w:r w:rsidRPr="00C55525">
        <w:rPr>
          <w:rFonts w:asciiTheme="minorHAnsi" w:eastAsia="STKaiti" w:hAnsiTheme="minorHAnsi" w:cstheme="minorHAnsi"/>
          <w:lang w:eastAsia="zh-CN"/>
        </w:rPr>
        <w:t>欲了解更多信息，见注</w:t>
      </w:r>
      <w:r w:rsidRPr="00C55525">
        <w:rPr>
          <w:rFonts w:asciiTheme="minorHAnsi" w:eastAsia="STKaiti" w:hAnsiTheme="minorHAnsi" w:cstheme="minorHAnsi"/>
          <w:lang w:eastAsia="zh-CN"/>
        </w:rPr>
        <w:t>25</w:t>
      </w:r>
      <w:r w:rsidRPr="00C55525">
        <w:rPr>
          <w:rFonts w:asciiTheme="minorHAnsi" w:eastAsia="STKaiti" w:hAnsiTheme="minorHAnsi" w:cstheme="minorHAnsi"/>
          <w:lang w:eastAsia="zh-CN"/>
        </w:rPr>
        <w:t>。</w:t>
      </w:r>
    </w:p>
    <w:p w14:paraId="4D02F1E2" w14:textId="77777777" w:rsidR="00390AE4" w:rsidRPr="00390AE4" w:rsidRDefault="00390AE4" w:rsidP="00390AE4">
      <w:pPr>
        <w:rPr>
          <w:lang w:eastAsia="zh-CN"/>
        </w:rPr>
      </w:pPr>
      <w:r w:rsidRPr="00390AE4">
        <w:rPr>
          <w:lang w:eastAsia="zh-CN"/>
        </w:rPr>
        <w:br w:type="page"/>
      </w:r>
      <w:bookmarkStart w:id="129" w:name="lt_pId325"/>
      <w:bookmarkStart w:id="130" w:name="_Toc305764060"/>
      <w:bookmarkStart w:id="131" w:name="lt_pId378"/>
      <w:bookmarkStart w:id="132" w:name="_Toc131156415"/>
    </w:p>
    <w:p w14:paraId="05064804" w14:textId="76E352C2" w:rsidR="00390AE4" w:rsidRPr="00390AE4" w:rsidRDefault="00390AE4" w:rsidP="00C55525">
      <w:pPr>
        <w:pStyle w:val="Heading1"/>
        <w:rPr>
          <w:lang w:eastAsia="zh-CN"/>
        </w:rPr>
      </w:pPr>
      <w:bookmarkStart w:id="133" w:name="_Toc482894785"/>
      <w:bookmarkStart w:id="134" w:name="_Toc482892541"/>
      <w:bookmarkStart w:id="135" w:name="_Toc511116012"/>
      <w:bookmarkStart w:id="136" w:name="_Toc41905842"/>
      <w:bookmarkStart w:id="137" w:name="_Toc41906890"/>
      <w:bookmarkStart w:id="138" w:name="_Toc41907971"/>
      <w:bookmarkStart w:id="139" w:name="_Toc41908039"/>
      <w:bookmarkStart w:id="140" w:name="_Toc73518669"/>
      <w:bookmarkStart w:id="141" w:name="_Toc73519216"/>
      <w:bookmarkStart w:id="142" w:name="_Toc73636241"/>
      <w:bookmarkStart w:id="143" w:name="_Toc163723283"/>
      <w:bookmarkEnd w:id="129"/>
      <w:bookmarkEnd w:id="130"/>
      <w:r w:rsidRPr="00390AE4">
        <w:rPr>
          <w:rFonts w:hint="eastAsia"/>
          <w:lang w:eastAsia="zh-CN"/>
        </w:rPr>
        <w:lastRenderedPageBreak/>
        <w:t>财务报表</w:t>
      </w:r>
      <w:bookmarkEnd w:id="133"/>
      <w:bookmarkEnd w:id="134"/>
      <w:bookmarkEnd w:id="135"/>
      <w:bookmarkEnd w:id="136"/>
      <w:bookmarkEnd w:id="137"/>
      <w:bookmarkEnd w:id="138"/>
      <w:bookmarkEnd w:id="139"/>
      <w:bookmarkEnd w:id="140"/>
      <w:bookmarkEnd w:id="141"/>
      <w:bookmarkEnd w:id="142"/>
      <w:r w:rsidR="005E0AB3">
        <w:rPr>
          <w:rFonts w:hint="eastAsia"/>
          <w:lang w:eastAsia="zh-CN"/>
        </w:rPr>
        <w:t>说明</w:t>
      </w:r>
      <w:bookmarkEnd w:id="143"/>
    </w:p>
    <w:p w14:paraId="5D057DEB" w14:textId="63C07C44" w:rsidR="00390AE4" w:rsidRPr="008F71C7" w:rsidRDefault="00232E78" w:rsidP="005A5FF5">
      <w:pPr>
        <w:pStyle w:val="Heading1"/>
        <w:tabs>
          <w:tab w:val="clear" w:pos="794"/>
        </w:tabs>
        <w:spacing w:before="240"/>
        <w:ind w:left="0" w:firstLine="0"/>
        <w:rPr>
          <w:sz w:val="24"/>
          <w:szCs w:val="24"/>
          <w:lang w:eastAsia="zh-CN"/>
        </w:rPr>
      </w:pPr>
      <w:bookmarkStart w:id="144" w:name="lt_pId326"/>
      <w:bookmarkStart w:id="145" w:name="_Toc305764061"/>
      <w:bookmarkStart w:id="146" w:name="_Toc131156414"/>
      <w:bookmarkStart w:id="147" w:name="_Toc72224916"/>
      <w:bookmarkStart w:id="148" w:name="_Toc163723284"/>
      <w:r>
        <w:rPr>
          <w:rFonts w:hint="eastAsia"/>
          <w:sz w:val="24"/>
          <w:szCs w:val="24"/>
          <w:lang w:eastAsia="zh-CN"/>
        </w:rPr>
        <w:t>说明</w:t>
      </w:r>
      <w:r w:rsidR="00390AE4" w:rsidRPr="008F71C7">
        <w:rPr>
          <w:sz w:val="24"/>
          <w:szCs w:val="24"/>
          <w:lang w:eastAsia="zh-CN"/>
        </w:rPr>
        <w:t>1</w:t>
      </w:r>
      <w:bookmarkEnd w:id="144"/>
      <w:r w:rsidR="00390AE4" w:rsidRPr="008F71C7">
        <w:rPr>
          <w:sz w:val="24"/>
          <w:szCs w:val="24"/>
          <w:lang w:eastAsia="zh-CN"/>
        </w:rPr>
        <w:tab/>
      </w:r>
      <w:bookmarkEnd w:id="145"/>
      <w:bookmarkEnd w:id="146"/>
      <w:bookmarkEnd w:id="147"/>
      <w:r w:rsidR="00390AE4" w:rsidRPr="008F71C7">
        <w:rPr>
          <w:rFonts w:hint="eastAsia"/>
          <w:sz w:val="24"/>
          <w:szCs w:val="24"/>
          <w:lang w:eastAsia="zh-CN"/>
        </w:rPr>
        <w:t>国际电联的目标</w:t>
      </w:r>
      <w:bookmarkEnd w:id="148"/>
    </w:p>
    <w:p w14:paraId="75A8E837" w14:textId="2B3B343C" w:rsidR="00C55525" w:rsidRPr="000C156A" w:rsidRDefault="00C55525" w:rsidP="00C55525">
      <w:pPr>
        <w:ind w:firstLineChars="200" w:firstLine="480"/>
        <w:rPr>
          <w:lang w:eastAsia="zh-CN"/>
        </w:rPr>
      </w:pPr>
      <w:bookmarkStart w:id="149" w:name="_Hlk163206057"/>
      <w:bookmarkStart w:id="150" w:name="lt_pId331"/>
      <w:r w:rsidRPr="000C156A">
        <w:rPr>
          <w:rFonts w:hint="eastAsia"/>
          <w:lang w:eastAsia="zh-CN"/>
        </w:rPr>
        <w:t>国际电信联盟（</w:t>
      </w:r>
      <w:r w:rsidRPr="000C156A">
        <w:rPr>
          <w:lang w:eastAsia="zh-CN"/>
        </w:rPr>
        <w:t>ITU</w:t>
      </w:r>
      <w:r w:rsidRPr="000C156A">
        <w:rPr>
          <w:rFonts w:hint="eastAsia"/>
          <w:lang w:eastAsia="zh-CN"/>
        </w:rPr>
        <w:t>）是主管信息通信技术（</w:t>
      </w:r>
      <w:r w:rsidRPr="000C156A">
        <w:rPr>
          <w:lang w:eastAsia="zh-CN"/>
        </w:rPr>
        <w:t>ICT</w:t>
      </w:r>
      <w:r w:rsidRPr="000C156A">
        <w:rPr>
          <w:rFonts w:hint="eastAsia"/>
          <w:lang w:eastAsia="zh-CN"/>
        </w:rPr>
        <w:t>）的</w:t>
      </w:r>
      <w:r w:rsidR="00C2781F">
        <w:fldChar w:fldCharType="begin"/>
      </w:r>
      <w:r w:rsidR="00C2781F">
        <w:rPr>
          <w:lang w:eastAsia="zh-CN"/>
        </w:rPr>
        <w:instrText>HYPERLINK "http://www.unsystem.org/en"</w:instrText>
      </w:r>
      <w:r w:rsidR="00C2781F">
        <w:fldChar w:fldCharType="separate"/>
      </w:r>
      <w:r w:rsidR="00C2781F" w:rsidRPr="000C156A">
        <w:rPr>
          <w:rStyle w:val="Hyperlink"/>
          <w:rFonts w:asciiTheme="minorHAnsi" w:hAnsiTheme="minorHAnsi" w:hint="eastAsia"/>
          <w:lang w:eastAsia="zh-CN"/>
        </w:rPr>
        <w:t>联合国</w:t>
      </w:r>
      <w:r w:rsidR="00C2781F">
        <w:rPr>
          <w:rStyle w:val="Hyperlink"/>
          <w:rFonts w:asciiTheme="minorHAnsi" w:hAnsiTheme="minorHAnsi"/>
          <w:lang w:eastAsia="zh-CN"/>
        </w:rPr>
        <w:fldChar w:fldCharType="end"/>
      </w:r>
      <w:r w:rsidRPr="000C156A">
        <w:rPr>
          <w:rFonts w:hint="eastAsia"/>
          <w:lang w:eastAsia="zh-CN"/>
        </w:rPr>
        <w:t>专门机构。作为全球连接政府和私营部门的桥梁，国际电联通过其三个主要部门，即，</w:t>
      </w:r>
      <w:hyperlink r:id="rId25" w:history="1">
        <w:r w:rsidRPr="000C156A">
          <w:rPr>
            <w:rStyle w:val="Hyperlink"/>
            <w:rFonts w:asciiTheme="minorHAnsi" w:hAnsiTheme="minorHAnsi" w:hint="eastAsia"/>
            <w:lang w:eastAsia="zh-CN"/>
          </w:rPr>
          <w:t>无线电通信部门</w:t>
        </w:r>
      </w:hyperlink>
      <w:r w:rsidRPr="000C156A">
        <w:rPr>
          <w:rFonts w:hint="eastAsia"/>
          <w:lang w:eastAsia="zh-CN"/>
        </w:rPr>
        <w:t>、</w:t>
      </w:r>
      <w:hyperlink r:id="rId26" w:history="1">
        <w:r w:rsidRPr="000C156A">
          <w:rPr>
            <w:rStyle w:val="Hyperlink"/>
            <w:rFonts w:asciiTheme="minorHAnsi" w:hAnsiTheme="minorHAnsi" w:hint="eastAsia"/>
            <w:lang w:eastAsia="zh-CN"/>
          </w:rPr>
          <w:t>电信标准化部门</w:t>
        </w:r>
      </w:hyperlink>
      <w:r w:rsidRPr="000C156A">
        <w:rPr>
          <w:rFonts w:hint="eastAsia"/>
          <w:lang w:eastAsia="zh-CN"/>
        </w:rPr>
        <w:t>和</w:t>
      </w:r>
      <w:hyperlink r:id="rId27" w:history="1">
        <w:r w:rsidRPr="000C156A">
          <w:rPr>
            <w:rStyle w:val="Hyperlink"/>
            <w:rFonts w:asciiTheme="minorHAnsi" w:hAnsiTheme="minorHAnsi" w:hint="eastAsia"/>
            <w:lang w:eastAsia="zh-CN"/>
          </w:rPr>
          <w:t>电信发展部门</w:t>
        </w:r>
      </w:hyperlink>
      <w:r w:rsidRPr="000C156A">
        <w:rPr>
          <w:rFonts w:hint="eastAsia"/>
          <w:lang w:eastAsia="zh-CN"/>
        </w:rPr>
        <w:t>，推进世界的通信事业。国际电联完全承认各国管理其电信业务的主权。</w:t>
      </w:r>
      <w:bookmarkEnd w:id="149"/>
    </w:p>
    <w:bookmarkEnd w:id="150"/>
    <w:p w14:paraId="6BE16B48" w14:textId="77777777" w:rsidR="00C55525" w:rsidRPr="00D15F9A" w:rsidRDefault="00C55525" w:rsidP="008F71C7">
      <w:pPr>
        <w:ind w:firstLineChars="200" w:firstLine="480"/>
        <w:jc w:val="both"/>
        <w:rPr>
          <w:rFonts w:cs="Calibri"/>
          <w:bCs/>
          <w:lang w:val="en-US" w:eastAsia="zh-CN"/>
        </w:rPr>
      </w:pPr>
      <w:r w:rsidRPr="000C156A">
        <w:rPr>
          <w:rFonts w:hint="eastAsia"/>
          <w:lang w:eastAsia="zh-CN"/>
        </w:rPr>
        <w:t>国际电联还是主要负责组织</w:t>
      </w:r>
      <w:hyperlink r:id="rId28" w:history="1">
        <w:r w:rsidRPr="000C156A">
          <w:rPr>
            <w:rStyle w:val="Hyperlink"/>
            <w:rFonts w:asciiTheme="minorHAnsi" w:hAnsiTheme="minorHAnsi" w:hint="eastAsia"/>
            <w:lang w:eastAsia="zh-CN"/>
          </w:rPr>
          <w:t>信息社会世界高峰会议</w:t>
        </w:r>
      </w:hyperlink>
      <w:r w:rsidRPr="000C156A">
        <w:rPr>
          <w:rFonts w:hint="eastAsia"/>
          <w:lang w:eastAsia="zh-CN"/>
        </w:rPr>
        <w:t>的实体。</w:t>
      </w:r>
    </w:p>
    <w:p w14:paraId="41DD992D" w14:textId="0507DE2E" w:rsidR="00C55525" w:rsidRPr="000C156A" w:rsidRDefault="00C55525" w:rsidP="00C55525">
      <w:pPr>
        <w:ind w:firstLineChars="200" w:firstLine="480"/>
        <w:rPr>
          <w:lang w:eastAsia="zh-CN"/>
        </w:rPr>
      </w:pPr>
      <w:bookmarkStart w:id="151" w:name="lt_pId334"/>
      <w:r w:rsidRPr="000C156A">
        <w:rPr>
          <w:rFonts w:hint="eastAsia"/>
          <w:lang w:eastAsia="zh-CN"/>
        </w:rPr>
        <w:t>国际电联总部设在瑞士日内瓦（</w:t>
      </w:r>
      <w:r w:rsidRPr="000C156A">
        <w:rPr>
          <w:lang w:eastAsia="zh-CN"/>
        </w:rPr>
        <w:t>Place des Nations</w:t>
      </w:r>
      <w:r w:rsidRPr="000C156A">
        <w:rPr>
          <w:rFonts w:hint="eastAsia"/>
          <w:lang w:eastAsia="zh-CN"/>
        </w:rPr>
        <w:t>，</w:t>
      </w:r>
      <w:r w:rsidRPr="000C156A">
        <w:rPr>
          <w:lang w:eastAsia="zh-CN"/>
        </w:rPr>
        <w:t>1211 Geneva 20</w:t>
      </w:r>
      <w:r w:rsidRPr="000C156A">
        <w:rPr>
          <w:rFonts w:hint="eastAsia"/>
          <w:lang w:eastAsia="zh-CN"/>
        </w:rPr>
        <w:t>），拥有</w:t>
      </w:r>
      <w:r w:rsidRPr="000C156A">
        <w:rPr>
          <w:lang w:eastAsia="zh-CN"/>
        </w:rPr>
        <w:t>193</w:t>
      </w:r>
      <w:r w:rsidRPr="000C156A">
        <w:rPr>
          <w:rFonts w:hint="eastAsia"/>
          <w:lang w:eastAsia="zh-CN"/>
        </w:rPr>
        <w:t>个</w:t>
      </w:r>
      <w:hyperlink r:id="rId29" w:history="1">
        <w:r w:rsidRPr="000C156A">
          <w:rPr>
            <w:rStyle w:val="Hyperlink"/>
            <w:rFonts w:asciiTheme="minorHAnsi" w:hAnsiTheme="minorHAnsi" w:hint="eastAsia"/>
            <w:lang w:eastAsia="zh-CN"/>
          </w:rPr>
          <w:t>成员国</w:t>
        </w:r>
      </w:hyperlink>
      <w:r w:rsidRPr="000C156A">
        <w:rPr>
          <w:rFonts w:hint="eastAsia"/>
          <w:lang w:eastAsia="zh-CN"/>
        </w:rPr>
        <w:t>和</w:t>
      </w:r>
      <w:r w:rsidRPr="000C156A">
        <w:rPr>
          <w:lang w:eastAsia="zh-CN"/>
        </w:rPr>
        <w:t>1</w:t>
      </w:r>
      <w:r w:rsidR="0057436C">
        <w:rPr>
          <w:lang w:eastAsia="zh-CN"/>
        </w:rPr>
        <w:t xml:space="preserve"> </w:t>
      </w:r>
      <w:r w:rsidRPr="000C156A">
        <w:rPr>
          <w:lang w:eastAsia="zh-CN"/>
        </w:rPr>
        <w:t>200</w:t>
      </w:r>
      <w:r w:rsidRPr="000C156A">
        <w:rPr>
          <w:rFonts w:hint="eastAsia"/>
          <w:lang w:eastAsia="zh-CN"/>
        </w:rPr>
        <w:t>多个</w:t>
      </w:r>
      <w:hyperlink r:id="rId30" w:history="1">
        <w:r w:rsidRPr="000C156A">
          <w:rPr>
            <w:rStyle w:val="Hyperlink"/>
            <w:rFonts w:asciiTheme="minorHAnsi" w:hAnsiTheme="minorHAnsi" w:hint="eastAsia"/>
            <w:lang w:eastAsia="zh-CN"/>
          </w:rPr>
          <w:t>部门成员</w:t>
        </w:r>
      </w:hyperlink>
      <w:r w:rsidRPr="000C156A">
        <w:rPr>
          <w:rFonts w:hint="eastAsia"/>
          <w:lang w:eastAsia="zh-CN"/>
        </w:rPr>
        <w:t>、</w:t>
      </w:r>
      <w:hyperlink r:id="rId31" w:history="1">
        <w:r w:rsidRPr="000C156A">
          <w:rPr>
            <w:rStyle w:val="Hyperlink"/>
            <w:rFonts w:asciiTheme="minorHAnsi" w:hAnsiTheme="minorHAnsi" w:hint="eastAsia"/>
            <w:lang w:eastAsia="zh-CN"/>
          </w:rPr>
          <w:t>部门准成员</w:t>
        </w:r>
      </w:hyperlink>
      <w:r w:rsidRPr="000C156A">
        <w:rPr>
          <w:rFonts w:hint="eastAsia"/>
          <w:lang w:eastAsia="zh-CN"/>
        </w:rPr>
        <w:t>和</w:t>
      </w:r>
      <w:hyperlink r:id="rId32" w:history="1">
        <w:r w:rsidRPr="000C156A">
          <w:rPr>
            <w:rStyle w:val="Hyperlink"/>
            <w:rFonts w:hint="eastAsia"/>
            <w:lang w:eastAsia="zh-CN"/>
          </w:rPr>
          <w:t>学术成员</w:t>
        </w:r>
      </w:hyperlink>
      <w:r w:rsidRPr="000C156A">
        <w:rPr>
          <w:rFonts w:hint="eastAsia"/>
          <w:lang w:eastAsia="zh-CN"/>
        </w:rPr>
        <w:t>。国际电联下设四个区域代表处、八个地区办事处，在纽约设有联合国联络办公室并在总部设有欧洲事务协调处。</w:t>
      </w:r>
    </w:p>
    <w:bookmarkEnd w:id="151"/>
    <w:p w14:paraId="43F97B48" w14:textId="77777777" w:rsidR="00390AE4" w:rsidRPr="00390AE4" w:rsidRDefault="00390AE4" w:rsidP="00C55525">
      <w:pPr>
        <w:ind w:firstLineChars="200" w:firstLine="480"/>
        <w:rPr>
          <w:lang w:eastAsia="zh-CN"/>
        </w:rPr>
      </w:pPr>
      <w:r w:rsidRPr="00390AE4">
        <w:rPr>
          <w:rFonts w:hint="eastAsia"/>
          <w:lang w:eastAsia="zh-CN"/>
        </w:rPr>
        <w:t>国际电联的宗旨是：</w:t>
      </w:r>
    </w:p>
    <w:p w14:paraId="54FB5A30" w14:textId="77777777" w:rsidR="00390AE4" w:rsidRPr="00390AE4" w:rsidRDefault="00390AE4" w:rsidP="00C55525">
      <w:pPr>
        <w:pStyle w:val="enumlev1"/>
        <w:rPr>
          <w:lang w:eastAsia="zh-CN"/>
        </w:rPr>
      </w:pPr>
      <w:r w:rsidRPr="00390AE4">
        <w:rPr>
          <w:lang w:eastAsia="zh-CN"/>
        </w:rPr>
        <w:t>–</w:t>
      </w:r>
      <w:r w:rsidRPr="00390AE4">
        <w:rPr>
          <w:lang w:eastAsia="zh-CN"/>
        </w:rPr>
        <w:tab/>
      </w:r>
      <w:r w:rsidRPr="00390AE4">
        <w:rPr>
          <w:rFonts w:hint="eastAsia"/>
          <w:lang w:eastAsia="zh-CN"/>
        </w:rPr>
        <w:t>保持和扩大所有国际电联成员国之间的国际合作，以改进和合理使用各种电信；</w:t>
      </w:r>
    </w:p>
    <w:p w14:paraId="49BFC5E5" w14:textId="77777777" w:rsidR="00390AE4" w:rsidRPr="00390AE4" w:rsidRDefault="00390AE4" w:rsidP="00C55525">
      <w:pPr>
        <w:pStyle w:val="enumlev1"/>
        <w:rPr>
          <w:lang w:eastAsia="zh-CN"/>
        </w:rPr>
      </w:pPr>
      <w:r w:rsidRPr="00390AE4">
        <w:rPr>
          <w:lang w:eastAsia="zh-CN"/>
        </w:rPr>
        <w:t>–</w:t>
      </w:r>
      <w:r w:rsidRPr="00390AE4">
        <w:rPr>
          <w:lang w:eastAsia="zh-CN"/>
        </w:rPr>
        <w:tab/>
      </w:r>
      <w:r w:rsidRPr="00390AE4">
        <w:rPr>
          <w:rFonts w:hint="eastAsia"/>
          <w:lang w:eastAsia="zh-CN"/>
        </w:rPr>
        <w:t>促进技术设施的发展及其最有效的运营，以提高电信业务的效率，增强其效用并尽量使之为公众普遍利用；</w:t>
      </w:r>
    </w:p>
    <w:p w14:paraId="5D17AF97" w14:textId="77777777" w:rsidR="00390AE4" w:rsidRPr="00390AE4" w:rsidRDefault="00390AE4" w:rsidP="00C55525">
      <w:pPr>
        <w:pStyle w:val="enumlev1"/>
        <w:rPr>
          <w:lang w:eastAsia="zh-CN"/>
        </w:rPr>
      </w:pPr>
      <w:r w:rsidRPr="00390AE4">
        <w:rPr>
          <w:lang w:eastAsia="zh-CN"/>
        </w:rPr>
        <w:t>–</w:t>
      </w:r>
      <w:r w:rsidRPr="00390AE4">
        <w:rPr>
          <w:lang w:eastAsia="zh-CN"/>
        </w:rPr>
        <w:tab/>
      </w:r>
      <w:r w:rsidRPr="00390AE4">
        <w:rPr>
          <w:rFonts w:hint="eastAsia"/>
          <w:lang w:eastAsia="zh-CN"/>
        </w:rPr>
        <w:t>促使世界上所有居民都得益于新的电信技术；</w:t>
      </w:r>
    </w:p>
    <w:p w14:paraId="70B8260B" w14:textId="77777777" w:rsidR="00390AE4" w:rsidRPr="00390AE4" w:rsidRDefault="00390AE4" w:rsidP="00C55525">
      <w:pPr>
        <w:pStyle w:val="enumlev1"/>
        <w:rPr>
          <w:lang w:eastAsia="zh-CN"/>
        </w:rPr>
      </w:pPr>
      <w:r w:rsidRPr="00390AE4">
        <w:rPr>
          <w:lang w:eastAsia="zh-CN"/>
        </w:rPr>
        <w:t>–</w:t>
      </w:r>
      <w:r w:rsidRPr="00390AE4">
        <w:rPr>
          <w:lang w:eastAsia="zh-CN"/>
        </w:rPr>
        <w:tab/>
      </w:r>
      <w:r w:rsidRPr="00390AE4">
        <w:rPr>
          <w:rFonts w:hint="eastAsia"/>
          <w:lang w:eastAsia="zh-CN"/>
        </w:rPr>
        <w:t>推动电信业务的使用，增进和平的关系；</w:t>
      </w:r>
    </w:p>
    <w:p w14:paraId="63986D4E" w14:textId="77777777" w:rsidR="00390AE4" w:rsidRPr="00390AE4" w:rsidRDefault="00390AE4" w:rsidP="00C55525">
      <w:pPr>
        <w:pStyle w:val="enumlev1"/>
        <w:rPr>
          <w:lang w:eastAsia="zh-CN"/>
        </w:rPr>
      </w:pPr>
      <w:r w:rsidRPr="00390AE4">
        <w:rPr>
          <w:lang w:eastAsia="zh-CN"/>
        </w:rPr>
        <w:t>–</w:t>
      </w:r>
      <w:r w:rsidRPr="00390AE4">
        <w:rPr>
          <w:lang w:eastAsia="zh-CN"/>
        </w:rPr>
        <w:tab/>
      </w:r>
      <w:r w:rsidRPr="00390AE4">
        <w:rPr>
          <w:rFonts w:hint="eastAsia"/>
          <w:lang w:eastAsia="zh-CN"/>
        </w:rPr>
        <w:t>协调各成员国的行动，促进在成员国和部门成员之间建立富有成果和建设性的合作和伙伴关系，以达到上述目的；以及</w:t>
      </w:r>
    </w:p>
    <w:p w14:paraId="69A6262B" w14:textId="77777777" w:rsidR="00390AE4" w:rsidRPr="00390AE4" w:rsidRDefault="00390AE4" w:rsidP="00C55525">
      <w:pPr>
        <w:pStyle w:val="enumlev1"/>
        <w:rPr>
          <w:lang w:eastAsia="zh-CN"/>
        </w:rPr>
      </w:pPr>
      <w:r w:rsidRPr="00390AE4">
        <w:rPr>
          <w:lang w:eastAsia="zh-CN"/>
        </w:rPr>
        <w:t>–</w:t>
      </w:r>
      <w:r w:rsidRPr="00390AE4">
        <w:rPr>
          <w:lang w:eastAsia="zh-CN"/>
        </w:rPr>
        <w:tab/>
      </w:r>
      <w:r w:rsidRPr="00390AE4">
        <w:rPr>
          <w:rFonts w:hint="eastAsia"/>
          <w:lang w:eastAsia="zh-CN"/>
        </w:rPr>
        <w:t>通过与其他世界性和区域性政府间组织以及那些与电信有关的非政府组织的合作，在国际层面上促进从更宽的角度对待全球信息经济和社会中的电信问题。</w:t>
      </w:r>
    </w:p>
    <w:p w14:paraId="261341D9" w14:textId="77777777" w:rsidR="00390AE4" w:rsidRPr="00390AE4" w:rsidRDefault="00390AE4" w:rsidP="00C55525">
      <w:pPr>
        <w:ind w:firstLineChars="200" w:firstLine="480"/>
        <w:rPr>
          <w:lang w:eastAsia="zh-CN"/>
        </w:rPr>
      </w:pPr>
      <w:r w:rsidRPr="00390AE4">
        <w:rPr>
          <w:rFonts w:hint="eastAsia"/>
          <w:lang w:eastAsia="zh-CN"/>
        </w:rPr>
        <w:t>为此，国际电联须重点：</w:t>
      </w:r>
    </w:p>
    <w:p w14:paraId="4BD1EFD5" w14:textId="77777777" w:rsidR="00390AE4" w:rsidRPr="00390AE4" w:rsidRDefault="00390AE4" w:rsidP="00C55525">
      <w:pPr>
        <w:pStyle w:val="enumlev1"/>
        <w:rPr>
          <w:lang w:eastAsia="zh-CN"/>
        </w:rPr>
      </w:pPr>
      <w:r w:rsidRPr="00390AE4">
        <w:rPr>
          <w:lang w:eastAsia="zh-CN"/>
        </w:rPr>
        <w:t>–</w:t>
      </w:r>
      <w:r w:rsidRPr="00390AE4">
        <w:rPr>
          <w:lang w:eastAsia="zh-CN"/>
        </w:rPr>
        <w:tab/>
      </w:r>
      <w:r w:rsidRPr="00390AE4">
        <w:rPr>
          <w:rFonts w:hint="eastAsia"/>
          <w:lang w:eastAsia="zh-CN"/>
        </w:rPr>
        <w:t>实施无线电频谱的频段划分、无线电频率的分配和无线电频率指配的登记，以及空间业务中对地静止卫星轨道的相关轨道位置及其他轨道中卫星的相关特性的登记，以避免不同国家无线电台之间的有害干扰；</w:t>
      </w:r>
    </w:p>
    <w:p w14:paraId="4FEA9B97" w14:textId="77777777" w:rsidR="00390AE4" w:rsidRPr="00390AE4" w:rsidRDefault="00390AE4" w:rsidP="00C55525">
      <w:pPr>
        <w:pStyle w:val="enumlev1"/>
        <w:rPr>
          <w:lang w:eastAsia="zh-CN"/>
        </w:rPr>
      </w:pPr>
      <w:r w:rsidRPr="00390AE4">
        <w:rPr>
          <w:lang w:eastAsia="zh-CN"/>
        </w:rPr>
        <w:t>–</w:t>
      </w:r>
      <w:r w:rsidRPr="00390AE4">
        <w:rPr>
          <w:lang w:eastAsia="zh-CN"/>
        </w:rPr>
        <w:tab/>
      </w:r>
      <w:r w:rsidRPr="00390AE4">
        <w:rPr>
          <w:rFonts w:hint="eastAsia"/>
          <w:lang w:eastAsia="zh-CN"/>
        </w:rPr>
        <w:t>协调各种努力，消除不同国家无线电台之间的有害干扰，改进无线电通信业务中无线电频谱的利用，改进对地静止卫星轨道及其他卫星轨道的利用；</w:t>
      </w:r>
    </w:p>
    <w:p w14:paraId="765FC831" w14:textId="77777777" w:rsidR="00390AE4" w:rsidRPr="00390AE4" w:rsidRDefault="00390AE4" w:rsidP="00C55525">
      <w:pPr>
        <w:pStyle w:val="enumlev1"/>
        <w:rPr>
          <w:lang w:eastAsia="zh-CN"/>
        </w:rPr>
      </w:pPr>
      <w:r w:rsidRPr="00390AE4">
        <w:rPr>
          <w:lang w:eastAsia="zh-CN"/>
        </w:rPr>
        <w:t>–</w:t>
      </w:r>
      <w:r w:rsidRPr="00390AE4">
        <w:rPr>
          <w:lang w:eastAsia="zh-CN"/>
        </w:rPr>
        <w:tab/>
      </w:r>
      <w:r w:rsidRPr="00390AE4">
        <w:rPr>
          <w:rFonts w:hint="eastAsia"/>
          <w:lang w:eastAsia="zh-CN"/>
        </w:rPr>
        <w:t>促进全世界的电信标准化，实现令人满意的服务质量；</w:t>
      </w:r>
    </w:p>
    <w:p w14:paraId="539005EC" w14:textId="77777777" w:rsidR="00390AE4" w:rsidRPr="00390AE4" w:rsidRDefault="00390AE4" w:rsidP="00C55525">
      <w:pPr>
        <w:pStyle w:val="enumlev1"/>
        <w:rPr>
          <w:lang w:eastAsia="zh-CN"/>
        </w:rPr>
      </w:pPr>
      <w:r w:rsidRPr="00390AE4">
        <w:rPr>
          <w:lang w:eastAsia="zh-CN"/>
        </w:rPr>
        <w:t>–</w:t>
      </w:r>
      <w:r w:rsidRPr="00390AE4">
        <w:rPr>
          <w:lang w:eastAsia="zh-CN"/>
        </w:rPr>
        <w:tab/>
      </w:r>
      <w:r w:rsidRPr="00390AE4">
        <w:rPr>
          <w:rFonts w:hint="eastAsia"/>
          <w:lang w:eastAsia="zh-CN"/>
        </w:rPr>
        <w:t>借助所掌握的一切手段，包括酌情通过参加联合国的有关方案和利用自身的资源，在向发展中国家提供技术援助和在发展中国家建立、发展和改善电信设备和网络方面促进国际合作和团结；</w:t>
      </w:r>
    </w:p>
    <w:p w14:paraId="57400DF8" w14:textId="77777777" w:rsidR="00390AE4" w:rsidRPr="00390AE4" w:rsidRDefault="00390AE4" w:rsidP="00C55525">
      <w:pPr>
        <w:pStyle w:val="enumlev1"/>
        <w:rPr>
          <w:lang w:eastAsia="zh-CN"/>
        </w:rPr>
      </w:pPr>
      <w:r w:rsidRPr="00390AE4">
        <w:rPr>
          <w:lang w:eastAsia="zh-CN"/>
        </w:rPr>
        <w:t>–</w:t>
      </w:r>
      <w:r w:rsidRPr="00390AE4">
        <w:rPr>
          <w:lang w:eastAsia="zh-CN"/>
        </w:rPr>
        <w:tab/>
      </w:r>
      <w:r w:rsidRPr="00390AE4">
        <w:rPr>
          <w:rFonts w:hint="eastAsia"/>
          <w:lang w:eastAsia="zh-CN"/>
        </w:rPr>
        <w:t>协调各种努力，使电信设施，尤其是采用空间技术的电信设施得以和谐地发展，并尽可能充分利用它们；</w:t>
      </w:r>
    </w:p>
    <w:p w14:paraId="4F64B7C3" w14:textId="77777777" w:rsidR="00390AE4" w:rsidRPr="00390AE4" w:rsidRDefault="00390AE4" w:rsidP="00C55525">
      <w:pPr>
        <w:pStyle w:val="enumlev1"/>
        <w:rPr>
          <w:lang w:eastAsia="zh-CN"/>
        </w:rPr>
      </w:pPr>
      <w:r w:rsidRPr="00390AE4">
        <w:rPr>
          <w:lang w:eastAsia="zh-CN"/>
        </w:rPr>
        <w:t>–</w:t>
      </w:r>
      <w:r w:rsidRPr="00390AE4">
        <w:rPr>
          <w:lang w:eastAsia="zh-CN"/>
        </w:rPr>
        <w:tab/>
      </w:r>
      <w:r w:rsidRPr="00390AE4">
        <w:rPr>
          <w:rFonts w:hint="eastAsia"/>
          <w:lang w:eastAsia="zh-CN"/>
        </w:rPr>
        <w:t>促进成员国与部门成员之间的合作，以便制订与有效服务相对称的尽可能低廉的费率，同时考虑到维持良好的独立电信财务管理的必要性；</w:t>
      </w:r>
    </w:p>
    <w:p w14:paraId="65EA976B" w14:textId="77777777" w:rsidR="00390AE4" w:rsidRPr="00390AE4" w:rsidRDefault="00390AE4" w:rsidP="00C55525">
      <w:pPr>
        <w:pStyle w:val="enumlev1"/>
        <w:rPr>
          <w:lang w:eastAsia="zh-CN"/>
        </w:rPr>
      </w:pPr>
      <w:r w:rsidRPr="00390AE4">
        <w:rPr>
          <w:lang w:eastAsia="zh-CN"/>
        </w:rPr>
        <w:t>–</w:t>
      </w:r>
      <w:r w:rsidRPr="00390AE4">
        <w:rPr>
          <w:lang w:eastAsia="zh-CN"/>
        </w:rPr>
        <w:tab/>
      </w:r>
      <w:r w:rsidRPr="00390AE4">
        <w:rPr>
          <w:rFonts w:hint="eastAsia"/>
          <w:lang w:eastAsia="zh-CN"/>
        </w:rPr>
        <w:t>通过在电信业务上的合作，促进各种保证生命安全的措施得以采用；</w:t>
      </w:r>
    </w:p>
    <w:p w14:paraId="73BFCD11" w14:textId="77777777" w:rsidR="00390AE4" w:rsidRPr="00390AE4" w:rsidRDefault="00390AE4" w:rsidP="00C55525">
      <w:pPr>
        <w:pStyle w:val="enumlev1"/>
        <w:rPr>
          <w:lang w:eastAsia="zh-CN"/>
        </w:rPr>
      </w:pPr>
      <w:r w:rsidRPr="00390AE4">
        <w:rPr>
          <w:lang w:eastAsia="zh-CN"/>
        </w:rPr>
        <w:t>–</w:t>
      </w:r>
      <w:r w:rsidRPr="00390AE4">
        <w:rPr>
          <w:lang w:eastAsia="zh-CN"/>
        </w:rPr>
        <w:tab/>
      </w:r>
      <w:r w:rsidRPr="00390AE4">
        <w:rPr>
          <w:rFonts w:hint="eastAsia"/>
          <w:lang w:eastAsia="zh-CN"/>
        </w:rPr>
        <w:t>对各种电信问题进行研究，制定规则，通过决议，编拟建议和意见，并收集与出版资料；</w:t>
      </w:r>
    </w:p>
    <w:p w14:paraId="202B0648" w14:textId="77777777" w:rsidR="00390AE4" w:rsidRPr="00390AE4" w:rsidRDefault="00390AE4" w:rsidP="00C55525">
      <w:pPr>
        <w:pStyle w:val="enumlev1"/>
        <w:rPr>
          <w:lang w:eastAsia="zh-CN"/>
        </w:rPr>
      </w:pPr>
      <w:r w:rsidRPr="00390AE4">
        <w:rPr>
          <w:lang w:eastAsia="zh-CN"/>
        </w:rPr>
        <w:lastRenderedPageBreak/>
        <w:t>–</w:t>
      </w:r>
      <w:r w:rsidRPr="00390AE4">
        <w:rPr>
          <w:lang w:eastAsia="zh-CN"/>
        </w:rPr>
        <w:tab/>
      </w:r>
      <w:r w:rsidRPr="00390AE4">
        <w:rPr>
          <w:rFonts w:hint="eastAsia"/>
          <w:lang w:eastAsia="zh-CN"/>
        </w:rPr>
        <w:t>与国际上的金融和开发组织一道，促进优惠和有利的信贷额度的建立，用于发展具有社会效益的项目，特别是那些旨在将电信业务扩展至各国最闭塞的地区的项目；以及</w:t>
      </w:r>
    </w:p>
    <w:p w14:paraId="2D9CAA6F" w14:textId="77777777" w:rsidR="00390AE4" w:rsidRPr="00390AE4" w:rsidRDefault="00390AE4" w:rsidP="00C55525">
      <w:pPr>
        <w:pStyle w:val="enumlev1"/>
        <w:rPr>
          <w:lang w:eastAsia="zh-CN"/>
        </w:rPr>
      </w:pPr>
      <w:bookmarkStart w:id="152" w:name="lt_pId368"/>
      <w:r w:rsidRPr="00390AE4">
        <w:rPr>
          <w:lang w:eastAsia="zh-CN"/>
        </w:rPr>
        <w:t>–</w:t>
      </w:r>
      <w:r w:rsidRPr="00390AE4">
        <w:rPr>
          <w:lang w:eastAsia="zh-CN"/>
        </w:rPr>
        <w:tab/>
      </w:r>
      <w:r w:rsidRPr="00390AE4">
        <w:rPr>
          <w:rFonts w:hint="eastAsia"/>
          <w:lang w:eastAsia="zh-CN"/>
        </w:rPr>
        <w:t>促进有关实体参与国际电联的活动，并加强与区域性组织和其他组织的合作，以实现国际电联的宗旨。</w:t>
      </w:r>
    </w:p>
    <w:bookmarkEnd w:id="152"/>
    <w:p w14:paraId="6E433997" w14:textId="77777777" w:rsidR="00390AE4" w:rsidRPr="00390AE4" w:rsidRDefault="00390AE4" w:rsidP="00C55525">
      <w:pPr>
        <w:ind w:firstLineChars="200" w:firstLine="480"/>
        <w:rPr>
          <w:lang w:eastAsia="zh-CN"/>
        </w:rPr>
      </w:pPr>
      <w:r w:rsidRPr="00390AE4">
        <w:rPr>
          <w:rFonts w:hint="eastAsia"/>
          <w:lang w:eastAsia="zh-CN"/>
        </w:rPr>
        <w:t>全权代表大会是国际电信联盟（</w:t>
      </w:r>
      <w:r w:rsidRPr="00390AE4">
        <w:rPr>
          <w:lang w:eastAsia="zh-CN"/>
        </w:rPr>
        <w:t>ITU</w:t>
      </w:r>
      <w:r w:rsidRPr="00390AE4">
        <w:rPr>
          <w:rFonts w:hint="eastAsia"/>
          <w:lang w:eastAsia="zh-CN"/>
        </w:rPr>
        <w:t>）的最高权力机构。该大会每四年召开一次，旨在：</w:t>
      </w:r>
    </w:p>
    <w:p w14:paraId="24054AD2" w14:textId="77777777" w:rsidR="00390AE4" w:rsidRPr="00390AE4" w:rsidRDefault="00390AE4" w:rsidP="00C55525">
      <w:pPr>
        <w:pStyle w:val="enumlev1"/>
        <w:rPr>
          <w:lang w:eastAsia="zh-CN"/>
        </w:rPr>
      </w:pPr>
      <w:bookmarkStart w:id="153" w:name="lt_pId376"/>
      <w:r w:rsidRPr="00390AE4">
        <w:rPr>
          <w:lang w:eastAsia="zh-CN"/>
        </w:rPr>
        <w:t>•</w:t>
      </w:r>
      <w:r w:rsidRPr="00390AE4">
        <w:rPr>
          <w:lang w:eastAsia="zh-CN"/>
        </w:rPr>
        <w:tab/>
      </w:r>
      <w:r w:rsidRPr="00390AE4">
        <w:rPr>
          <w:rFonts w:hint="eastAsia"/>
          <w:lang w:eastAsia="zh-CN"/>
        </w:rPr>
        <w:t>确定国际电联的总体政策；</w:t>
      </w:r>
    </w:p>
    <w:p w14:paraId="7A142297" w14:textId="77777777" w:rsidR="00390AE4" w:rsidRPr="00390AE4" w:rsidRDefault="00390AE4" w:rsidP="00C55525">
      <w:pPr>
        <w:pStyle w:val="enumlev1"/>
        <w:rPr>
          <w:lang w:eastAsia="zh-CN"/>
        </w:rPr>
      </w:pPr>
      <w:r w:rsidRPr="00390AE4">
        <w:rPr>
          <w:lang w:eastAsia="zh-CN"/>
        </w:rPr>
        <w:t>•</w:t>
      </w:r>
      <w:r w:rsidRPr="00390AE4">
        <w:rPr>
          <w:lang w:eastAsia="zh-CN"/>
        </w:rPr>
        <w:tab/>
      </w:r>
      <w:r w:rsidRPr="00390AE4">
        <w:rPr>
          <w:rFonts w:hint="eastAsia"/>
          <w:lang w:eastAsia="zh-CN"/>
        </w:rPr>
        <w:t>通过四年期的战略规划和财务规划；</w:t>
      </w:r>
    </w:p>
    <w:p w14:paraId="718005EB" w14:textId="00731531" w:rsidR="00390AE4" w:rsidRPr="00390AE4" w:rsidRDefault="00390AE4" w:rsidP="00C55525">
      <w:pPr>
        <w:pStyle w:val="enumlev1"/>
        <w:rPr>
          <w:lang w:eastAsia="zh-CN"/>
        </w:rPr>
      </w:pPr>
      <w:r w:rsidRPr="00390AE4">
        <w:rPr>
          <w:lang w:eastAsia="zh-CN"/>
        </w:rPr>
        <w:t>•</w:t>
      </w:r>
      <w:r w:rsidRPr="00390AE4">
        <w:rPr>
          <w:lang w:eastAsia="zh-CN"/>
        </w:rPr>
        <w:tab/>
      </w:r>
      <w:bookmarkStart w:id="154" w:name="_Hlk163205977"/>
      <w:r w:rsidRPr="00390AE4">
        <w:rPr>
          <w:rFonts w:hint="eastAsia"/>
          <w:lang w:eastAsia="zh-CN"/>
        </w:rPr>
        <w:t>选举本组织的高层管理人员、</w:t>
      </w:r>
      <w:hyperlink r:id="rId33" w:history="1">
        <w:r w:rsidRPr="006E52F7">
          <w:rPr>
            <w:rStyle w:val="Hyperlink"/>
            <w:rFonts w:hint="eastAsia"/>
            <w:lang w:eastAsia="zh-CN"/>
          </w:rPr>
          <w:t>理事国</w:t>
        </w:r>
      </w:hyperlink>
      <w:r w:rsidRPr="00390AE4">
        <w:rPr>
          <w:rFonts w:hint="eastAsia"/>
          <w:lang w:eastAsia="zh-CN"/>
        </w:rPr>
        <w:t>和</w:t>
      </w:r>
      <w:hyperlink r:id="rId34" w:history="1">
        <w:r w:rsidR="006E52F7">
          <w:rPr>
            <w:rStyle w:val="Hyperlink"/>
            <w:rFonts w:hint="eastAsia"/>
            <w:lang w:eastAsia="zh-CN"/>
          </w:rPr>
          <w:t>无线电规则委员会</w:t>
        </w:r>
      </w:hyperlink>
      <w:r w:rsidRPr="00390AE4">
        <w:rPr>
          <w:rFonts w:hint="eastAsia"/>
          <w:lang w:eastAsia="zh-CN"/>
        </w:rPr>
        <w:t>委员</w:t>
      </w:r>
      <w:bookmarkEnd w:id="154"/>
      <w:r w:rsidRPr="00390AE4">
        <w:rPr>
          <w:rFonts w:hint="eastAsia"/>
          <w:lang w:eastAsia="zh-CN"/>
        </w:rPr>
        <w:t>。</w:t>
      </w:r>
    </w:p>
    <w:bookmarkEnd w:id="153"/>
    <w:p w14:paraId="57700D5E" w14:textId="77777777" w:rsidR="00390AE4" w:rsidRPr="00390AE4" w:rsidRDefault="00390AE4" w:rsidP="00C55525">
      <w:pPr>
        <w:ind w:firstLineChars="200" w:firstLine="480"/>
        <w:rPr>
          <w:lang w:eastAsia="zh-CN"/>
        </w:rPr>
      </w:pPr>
      <w:r w:rsidRPr="00390AE4">
        <w:rPr>
          <w:rFonts w:hint="eastAsia"/>
          <w:lang w:eastAsia="zh-CN"/>
        </w:rPr>
        <w:t>全权代表大会是国际电联成员国决定本组织未来作用的关键性活动，并由此确定本组织在影响全球信息通信技术发展中的能力。</w:t>
      </w:r>
    </w:p>
    <w:p w14:paraId="00BDB8E0" w14:textId="77777777" w:rsidR="00390AE4" w:rsidRPr="00390AE4" w:rsidRDefault="00390AE4" w:rsidP="00C55525">
      <w:pPr>
        <w:ind w:firstLineChars="200" w:firstLine="480"/>
        <w:rPr>
          <w:lang w:eastAsia="zh-CN"/>
        </w:rPr>
      </w:pPr>
      <w:r w:rsidRPr="00390AE4">
        <w:rPr>
          <w:rFonts w:hint="eastAsia"/>
          <w:lang w:eastAsia="zh-CN"/>
        </w:rPr>
        <w:t>部门成员、区域电信机构和政府间组织，以及联合国组织及其专门机构，也作为观察员出席了大会。</w:t>
      </w:r>
    </w:p>
    <w:p w14:paraId="096A282B" w14:textId="3BEBAA05" w:rsidR="00390AE4" w:rsidRPr="008F71C7" w:rsidRDefault="00232E78" w:rsidP="0023555A">
      <w:pPr>
        <w:pStyle w:val="Heading1"/>
        <w:tabs>
          <w:tab w:val="clear" w:pos="794"/>
        </w:tabs>
        <w:spacing w:before="240"/>
        <w:ind w:left="0" w:firstLine="0"/>
        <w:rPr>
          <w:sz w:val="24"/>
          <w:szCs w:val="24"/>
          <w:lang w:eastAsia="zh-CN"/>
        </w:rPr>
      </w:pPr>
      <w:bookmarkStart w:id="155" w:name="_Toc163723285"/>
      <w:bookmarkEnd w:id="131"/>
      <w:bookmarkEnd w:id="132"/>
      <w:r>
        <w:rPr>
          <w:rFonts w:hint="eastAsia"/>
          <w:sz w:val="24"/>
          <w:szCs w:val="24"/>
          <w:lang w:eastAsia="zh-CN"/>
        </w:rPr>
        <w:t>说明</w:t>
      </w:r>
      <w:r w:rsidR="00390AE4" w:rsidRPr="008F71C7">
        <w:rPr>
          <w:rFonts w:hint="eastAsia"/>
          <w:sz w:val="24"/>
          <w:szCs w:val="24"/>
          <w:lang w:eastAsia="zh-CN"/>
        </w:rPr>
        <w:t>2</w:t>
      </w:r>
      <w:r w:rsidR="00C55525" w:rsidRPr="008F71C7">
        <w:rPr>
          <w:sz w:val="24"/>
          <w:szCs w:val="24"/>
          <w:lang w:eastAsia="zh-CN"/>
        </w:rPr>
        <w:tab/>
      </w:r>
      <w:r w:rsidR="00390AE4" w:rsidRPr="008F71C7">
        <w:rPr>
          <w:rFonts w:hint="eastAsia"/>
          <w:sz w:val="24"/>
          <w:szCs w:val="24"/>
          <w:lang w:eastAsia="zh-CN"/>
        </w:rPr>
        <w:t>编写和列报的基础</w:t>
      </w:r>
      <w:bookmarkEnd w:id="155"/>
    </w:p>
    <w:p w14:paraId="4893B557" w14:textId="77777777" w:rsidR="00390AE4" w:rsidRPr="00390AE4" w:rsidRDefault="00390AE4" w:rsidP="00C55525">
      <w:pPr>
        <w:ind w:firstLineChars="200" w:firstLine="480"/>
        <w:rPr>
          <w:lang w:eastAsia="zh-CN"/>
        </w:rPr>
      </w:pPr>
      <w:r w:rsidRPr="00390AE4">
        <w:rPr>
          <w:rFonts w:hint="eastAsia"/>
          <w:lang w:eastAsia="zh-CN"/>
        </w:rPr>
        <w:t>2022</w:t>
      </w:r>
      <w:r w:rsidRPr="00390AE4">
        <w:rPr>
          <w:rFonts w:hint="eastAsia"/>
          <w:lang w:eastAsia="zh-CN"/>
        </w:rPr>
        <w:t>年财务报表是根据国际公共部门会计准则理事会（</w:t>
      </w:r>
      <w:r w:rsidRPr="00390AE4">
        <w:rPr>
          <w:rFonts w:hint="eastAsia"/>
          <w:lang w:eastAsia="zh-CN"/>
        </w:rPr>
        <w:t>IPSASB</w:t>
      </w:r>
      <w:r w:rsidRPr="00390AE4">
        <w:rPr>
          <w:rFonts w:hint="eastAsia"/>
          <w:lang w:eastAsia="zh-CN"/>
        </w:rPr>
        <w:t>）制定和批准的《国际公共部门会计准则》（</w:t>
      </w:r>
      <w:r w:rsidRPr="00390AE4">
        <w:rPr>
          <w:rFonts w:hint="eastAsia"/>
          <w:lang w:eastAsia="zh-CN"/>
        </w:rPr>
        <w:t>IPSAS</w:t>
      </w:r>
      <w:r w:rsidRPr="00390AE4">
        <w:rPr>
          <w:rFonts w:hint="eastAsia"/>
          <w:lang w:eastAsia="zh-CN"/>
        </w:rPr>
        <w:t>）按权责发生制编制的。财政年度为</w:t>
      </w:r>
      <w:r w:rsidRPr="00390AE4">
        <w:rPr>
          <w:rFonts w:hint="eastAsia"/>
          <w:lang w:eastAsia="zh-CN"/>
        </w:rPr>
        <w:t>1</w:t>
      </w:r>
      <w:r w:rsidRPr="00390AE4">
        <w:rPr>
          <w:rFonts w:hint="eastAsia"/>
          <w:lang w:eastAsia="zh-CN"/>
        </w:rPr>
        <w:t>月至</w:t>
      </w:r>
      <w:r w:rsidRPr="00390AE4">
        <w:rPr>
          <w:rFonts w:hint="eastAsia"/>
          <w:lang w:eastAsia="zh-CN"/>
        </w:rPr>
        <w:t>12</w:t>
      </w:r>
      <w:r w:rsidRPr="00390AE4">
        <w:rPr>
          <w:rFonts w:hint="eastAsia"/>
          <w:lang w:eastAsia="zh-CN"/>
        </w:rPr>
        <w:t>月。它们是根据历史成本惯例来起草的。投资和贷款分别按公允价值和摊销成本入账。</w:t>
      </w:r>
    </w:p>
    <w:p w14:paraId="5F34A696" w14:textId="6A39D3F1" w:rsidR="00390AE4" w:rsidRPr="00390AE4" w:rsidRDefault="00390AE4" w:rsidP="00C55525">
      <w:pPr>
        <w:ind w:firstLineChars="200" w:firstLine="480"/>
        <w:rPr>
          <w:lang w:eastAsia="zh-CN"/>
        </w:rPr>
      </w:pPr>
      <w:r w:rsidRPr="00390AE4">
        <w:rPr>
          <w:rFonts w:hint="eastAsia"/>
          <w:lang w:eastAsia="zh-CN"/>
        </w:rPr>
        <w:t>国际电联《财务规则》和《财务细则》规定了双年度预算周期；但是，为了全面实施</w:t>
      </w:r>
      <w:r w:rsidRPr="00390AE4">
        <w:rPr>
          <w:rFonts w:hint="eastAsia"/>
          <w:lang w:eastAsia="zh-CN"/>
        </w:rPr>
        <w:t>IPSAS</w:t>
      </w:r>
      <w:r w:rsidRPr="00390AE4">
        <w:rPr>
          <w:rFonts w:hint="eastAsia"/>
          <w:lang w:eastAsia="zh-CN"/>
        </w:rPr>
        <w:t>，财务报表按年度编制。财务报表以瑞郎为单位，瑞郎是国际电联的报告和功能货币。</w:t>
      </w:r>
    </w:p>
    <w:p w14:paraId="2F651BE1" w14:textId="4784C73A" w:rsidR="00390AE4" w:rsidRPr="00390AE4" w:rsidRDefault="00390AE4" w:rsidP="00C55525">
      <w:pPr>
        <w:ind w:firstLineChars="200" w:firstLine="480"/>
        <w:rPr>
          <w:lang w:eastAsia="zh-CN"/>
        </w:rPr>
      </w:pPr>
      <w:r w:rsidRPr="00390AE4">
        <w:rPr>
          <w:rFonts w:hint="eastAsia"/>
          <w:lang w:eastAsia="zh-CN"/>
        </w:rPr>
        <w:t>国际电联采用并遵守了于</w:t>
      </w:r>
      <w:r w:rsidRPr="00390AE4">
        <w:rPr>
          <w:rFonts w:hint="eastAsia"/>
          <w:lang w:eastAsia="zh-CN"/>
        </w:rPr>
        <w:t>2022</w:t>
      </w:r>
      <w:r w:rsidRPr="00390AE4">
        <w:rPr>
          <w:rFonts w:hint="eastAsia"/>
          <w:lang w:eastAsia="zh-CN"/>
        </w:rPr>
        <w:t>年</w:t>
      </w:r>
      <w:r w:rsidRPr="00390AE4">
        <w:rPr>
          <w:rFonts w:hint="eastAsia"/>
          <w:lang w:eastAsia="zh-CN"/>
        </w:rPr>
        <w:t>1</w:t>
      </w:r>
      <w:r w:rsidRPr="00390AE4">
        <w:rPr>
          <w:rFonts w:hint="eastAsia"/>
          <w:lang w:eastAsia="zh-CN"/>
        </w:rPr>
        <w:t>月</w:t>
      </w:r>
      <w:r w:rsidRPr="00390AE4">
        <w:rPr>
          <w:rFonts w:hint="eastAsia"/>
          <w:lang w:eastAsia="zh-CN"/>
        </w:rPr>
        <w:t>1</w:t>
      </w:r>
      <w:r w:rsidRPr="00390AE4">
        <w:rPr>
          <w:rFonts w:hint="eastAsia"/>
          <w:lang w:eastAsia="zh-CN"/>
        </w:rPr>
        <w:t>日生效的</w:t>
      </w:r>
      <w:r w:rsidRPr="00390AE4">
        <w:rPr>
          <w:rFonts w:hint="eastAsia"/>
          <w:lang w:eastAsia="zh-CN"/>
        </w:rPr>
        <w:t>IPSAS</w:t>
      </w:r>
      <w:r w:rsidRPr="00390AE4">
        <w:rPr>
          <w:rFonts w:hint="eastAsia"/>
          <w:lang w:eastAsia="zh-CN"/>
        </w:rPr>
        <w:t>标准的要求，所采用的会计原则述于注</w:t>
      </w:r>
      <w:r w:rsidRPr="00390AE4">
        <w:rPr>
          <w:rFonts w:hint="eastAsia"/>
          <w:lang w:eastAsia="zh-CN"/>
        </w:rPr>
        <w:t>3</w:t>
      </w:r>
      <w:r w:rsidRPr="00390AE4">
        <w:rPr>
          <w:rFonts w:hint="eastAsia"/>
          <w:lang w:eastAsia="zh-CN"/>
        </w:rPr>
        <w:t>。数值四舍五入至最接近的千，除非另有说明，也表示为百万瑞郎和</w:t>
      </w:r>
      <w:r w:rsidRPr="00390AE4">
        <w:rPr>
          <w:rFonts w:hint="eastAsia"/>
          <w:lang w:eastAsia="zh-CN"/>
        </w:rPr>
        <w:t>/</w:t>
      </w:r>
      <w:r w:rsidRPr="00390AE4">
        <w:rPr>
          <w:rFonts w:hint="eastAsia"/>
          <w:lang w:eastAsia="zh-CN"/>
        </w:rPr>
        <w:t>或千瑞郎。</w:t>
      </w:r>
    </w:p>
    <w:p w14:paraId="61CB9A22" w14:textId="4BDBCD84" w:rsidR="00390AE4" w:rsidRPr="00390AE4" w:rsidRDefault="00390AE4" w:rsidP="00C55525">
      <w:pPr>
        <w:ind w:firstLineChars="200" w:firstLine="480"/>
        <w:rPr>
          <w:lang w:eastAsia="zh-CN"/>
        </w:rPr>
      </w:pPr>
      <w:r w:rsidRPr="00390AE4">
        <w:rPr>
          <w:rFonts w:hint="eastAsia"/>
          <w:lang w:eastAsia="zh-CN"/>
        </w:rPr>
        <w:t>国际电联在考虑到与国际电联活动相关的现有和预期不确定性影响的基础上，以持续运作为基础编制了财务报表。国际电联的</w:t>
      </w:r>
      <w:r w:rsidRPr="00390AE4">
        <w:rPr>
          <w:rFonts w:hint="eastAsia"/>
          <w:lang w:eastAsia="zh-CN"/>
        </w:rPr>
        <w:t>2024</w:t>
      </w:r>
      <w:r w:rsidRPr="00390AE4">
        <w:rPr>
          <w:rFonts w:hint="eastAsia"/>
          <w:lang w:eastAsia="zh-CN"/>
        </w:rPr>
        <w:t>年已批准预算继续得到成员国的支持并控制支出，以确保财务状况和现金流能够在国际电联批准的预算和储备金范围内进行管理。</w:t>
      </w:r>
    </w:p>
    <w:p w14:paraId="33F5AFEF" w14:textId="5D797D4E" w:rsidR="00390AE4" w:rsidRPr="00390AE4" w:rsidRDefault="00390AE4" w:rsidP="00C55525">
      <w:pPr>
        <w:pStyle w:val="Headingb"/>
        <w:rPr>
          <w:lang w:eastAsia="zh-CN"/>
        </w:rPr>
      </w:pPr>
      <w:r w:rsidRPr="00390AE4">
        <w:rPr>
          <w:rFonts w:hint="eastAsia"/>
          <w:lang w:eastAsia="zh-CN"/>
        </w:rPr>
        <w:t>主要判定和估算</w:t>
      </w:r>
    </w:p>
    <w:p w14:paraId="726EC858" w14:textId="350E9E1E" w:rsidR="00390AE4" w:rsidRPr="00390AE4" w:rsidRDefault="00390AE4" w:rsidP="00C55525">
      <w:pPr>
        <w:ind w:firstLineChars="200" w:firstLine="480"/>
        <w:rPr>
          <w:lang w:eastAsia="zh-CN"/>
        </w:rPr>
      </w:pPr>
      <w:r w:rsidRPr="00390AE4">
        <w:rPr>
          <w:rFonts w:hint="eastAsia"/>
          <w:lang w:eastAsia="zh-CN"/>
        </w:rPr>
        <w:t>财务报表包括基于管理层的判定、估算和假设的金额。估算的变化反映在它们被知晓的期间。重要的估算和假设包括：职员福利的精算计量；选择不动产、厂房和设备</w:t>
      </w:r>
      <w:r w:rsidRPr="00390AE4">
        <w:rPr>
          <w:rFonts w:hint="eastAsia"/>
          <w:lang w:eastAsia="zh-CN"/>
        </w:rPr>
        <w:t>/</w:t>
      </w:r>
      <w:r w:rsidRPr="00390AE4">
        <w:rPr>
          <w:rFonts w:hint="eastAsia"/>
          <w:lang w:eastAsia="zh-CN"/>
        </w:rPr>
        <w:t>无形资产的使用寿命及折旧</w:t>
      </w:r>
      <w:r w:rsidRPr="00390AE4">
        <w:rPr>
          <w:rFonts w:hint="eastAsia"/>
          <w:lang w:eastAsia="zh-CN"/>
        </w:rPr>
        <w:t>/</w:t>
      </w:r>
      <w:r w:rsidRPr="00390AE4">
        <w:rPr>
          <w:rFonts w:hint="eastAsia"/>
          <w:lang w:eastAsia="zh-CN"/>
        </w:rPr>
        <w:t>摊销方法；资产减值；金融工具的分类；投资资产估值；收入确认；或者或有资产和负债。根据</w:t>
      </w:r>
      <w:r w:rsidRPr="00390AE4">
        <w:rPr>
          <w:rFonts w:hint="eastAsia"/>
          <w:lang w:eastAsia="zh-CN"/>
        </w:rPr>
        <w:t>2022</w:t>
      </w:r>
      <w:r w:rsidRPr="00390AE4">
        <w:rPr>
          <w:rFonts w:hint="eastAsia"/>
          <w:lang w:eastAsia="zh-CN"/>
        </w:rPr>
        <w:t>年外部审计的初步结果，国际电联审查并修订了某些关键会计政策及其应用，并努力加强财务报表的披露。附注</w:t>
      </w:r>
      <w:r w:rsidRPr="00390AE4">
        <w:rPr>
          <w:rFonts w:hint="eastAsia"/>
          <w:lang w:eastAsia="zh-CN"/>
        </w:rPr>
        <w:t>30</w:t>
      </w:r>
      <w:r w:rsidRPr="00390AE4">
        <w:rPr>
          <w:rFonts w:hint="eastAsia"/>
          <w:lang w:eastAsia="zh-CN"/>
        </w:rPr>
        <w:t>详细说明了反映在这些财务报表中的具体变化以及相关的上一年度调整。</w:t>
      </w:r>
    </w:p>
    <w:p w14:paraId="2EA800C5" w14:textId="0CD4C496" w:rsidR="00390AE4" w:rsidRPr="00390AE4" w:rsidRDefault="00390AE4" w:rsidP="00C55525">
      <w:pPr>
        <w:pStyle w:val="Headingb"/>
        <w:rPr>
          <w:lang w:eastAsia="zh-CN"/>
        </w:rPr>
      </w:pPr>
      <w:r w:rsidRPr="00390AE4">
        <w:rPr>
          <w:rFonts w:hint="eastAsia"/>
          <w:lang w:eastAsia="zh-CN"/>
        </w:rPr>
        <w:t>未来的会计变动</w:t>
      </w:r>
    </w:p>
    <w:p w14:paraId="7E325D87" w14:textId="670C2A63" w:rsidR="00390AE4" w:rsidRPr="00390AE4" w:rsidRDefault="00390AE4" w:rsidP="00C55525">
      <w:pPr>
        <w:ind w:firstLineChars="200" w:firstLine="480"/>
        <w:rPr>
          <w:lang w:eastAsia="zh-CN"/>
        </w:rPr>
      </w:pPr>
      <w:r w:rsidRPr="00390AE4">
        <w:rPr>
          <w:rFonts w:hint="eastAsia"/>
          <w:lang w:eastAsia="zh-CN"/>
        </w:rPr>
        <w:t>截至</w:t>
      </w:r>
      <w:r w:rsidRPr="00390AE4">
        <w:rPr>
          <w:rFonts w:hint="eastAsia"/>
          <w:lang w:eastAsia="zh-CN"/>
        </w:rPr>
        <w:t>2022</w:t>
      </w:r>
      <w:r w:rsidRPr="00390AE4">
        <w:rPr>
          <w:rFonts w:hint="eastAsia"/>
          <w:lang w:eastAsia="zh-CN"/>
        </w:rPr>
        <w:t>年</w:t>
      </w:r>
      <w:r w:rsidRPr="00390AE4">
        <w:rPr>
          <w:rFonts w:hint="eastAsia"/>
          <w:lang w:eastAsia="zh-CN"/>
        </w:rPr>
        <w:t>12</w:t>
      </w:r>
      <w:r w:rsidRPr="00390AE4">
        <w:rPr>
          <w:rFonts w:hint="eastAsia"/>
          <w:lang w:eastAsia="zh-CN"/>
        </w:rPr>
        <w:t>月</w:t>
      </w:r>
      <w:r w:rsidRPr="00390AE4">
        <w:rPr>
          <w:rFonts w:hint="eastAsia"/>
          <w:lang w:eastAsia="zh-CN"/>
        </w:rPr>
        <w:t>31</w:t>
      </w:r>
      <w:r w:rsidRPr="00390AE4">
        <w:rPr>
          <w:rFonts w:hint="eastAsia"/>
          <w:lang w:eastAsia="zh-CN"/>
        </w:rPr>
        <w:t>日财务状况表发布之日，已发布以下</w:t>
      </w:r>
      <w:r w:rsidRPr="00390AE4">
        <w:rPr>
          <w:rFonts w:hint="eastAsia"/>
          <w:lang w:eastAsia="zh-CN"/>
        </w:rPr>
        <w:t>IPSAS</w:t>
      </w:r>
      <w:r w:rsidRPr="00390AE4">
        <w:rPr>
          <w:rFonts w:hint="eastAsia"/>
          <w:lang w:eastAsia="zh-CN"/>
        </w:rPr>
        <w:t>准则，但尚未生效：</w:t>
      </w:r>
    </w:p>
    <w:tbl>
      <w:tblPr>
        <w:tblStyle w:val="TableGrid"/>
        <w:tblW w:w="9918" w:type="dxa"/>
        <w:tblLayout w:type="fixed"/>
        <w:tblLook w:val="06A0" w:firstRow="1" w:lastRow="0" w:firstColumn="1" w:lastColumn="0" w:noHBand="1" w:noVBand="1"/>
      </w:tblPr>
      <w:tblGrid>
        <w:gridCol w:w="1275"/>
        <w:gridCol w:w="1555"/>
        <w:gridCol w:w="1701"/>
        <w:gridCol w:w="5387"/>
      </w:tblGrid>
      <w:tr w:rsidR="00390AE4" w:rsidRPr="00060F0C" w14:paraId="5054D9B8" w14:textId="77777777" w:rsidTr="00060F0C">
        <w:trPr>
          <w:trHeight w:val="300"/>
        </w:trPr>
        <w:tc>
          <w:tcPr>
            <w:tcW w:w="1275" w:type="dxa"/>
            <w:shd w:val="clear" w:color="auto" w:fill="548DD4" w:themeFill="text2" w:themeFillTint="99"/>
          </w:tcPr>
          <w:p w14:paraId="6D3B0DAF" w14:textId="77777777" w:rsidR="00390AE4" w:rsidRPr="00060F0C" w:rsidRDefault="00390AE4" w:rsidP="00060F0C">
            <w:pPr>
              <w:pStyle w:val="Tablehead"/>
              <w:rPr>
                <w:sz w:val="20"/>
              </w:rPr>
            </w:pPr>
            <w:r w:rsidRPr="00060F0C">
              <w:rPr>
                <w:rFonts w:eastAsia="SimSun" w:hint="eastAsia"/>
                <w:sz w:val="20"/>
              </w:rPr>
              <w:lastRenderedPageBreak/>
              <w:t>准则</w:t>
            </w:r>
          </w:p>
        </w:tc>
        <w:tc>
          <w:tcPr>
            <w:tcW w:w="1555" w:type="dxa"/>
            <w:shd w:val="clear" w:color="auto" w:fill="548DD4" w:themeFill="text2" w:themeFillTint="99"/>
          </w:tcPr>
          <w:p w14:paraId="0D88E658" w14:textId="77777777" w:rsidR="00390AE4" w:rsidRPr="00060F0C" w:rsidRDefault="00390AE4" w:rsidP="00060F0C">
            <w:pPr>
              <w:pStyle w:val="Tablehead"/>
              <w:rPr>
                <w:sz w:val="20"/>
              </w:rPr>
            </w:pPr>
            <w:r w:rsidRPr="00060F0C">
              <w:rPr>
                <w:rFonts w:eastAsia="SimSun" w:hint="eastAsia"/>
                <w:sz w:val="20"/>
              </w:rPr>
              <w:t>标题</w:t>
            </w:r>
          </w:p>
        </w:tc>
        <w:tc>
          <w:tcPr>
            <w:tcW w:w="1701" w:type="dxa"/>
            <w:shd w:val="clear" w:color="auto" w:fill="548DD4" w:themeFill="text2" w:themeFillTint="99"/>
          </w:tcPr>
          <w:p w14:paraId="57F96382" w14:textId="77777777" w:rsidR="00390AE4" w:rsidRPr="00060F0C" w:rsidRDefault="00390AE4" w:rsidP="00060F0C">
            <w:pPr>
              <w:pStyle w:val="Tablehead"/>
              <w:rPr>
                <w:sz w:val="20"/>
              </w:rPr>
            </w:pPr>
            <w:r w:rsidRPr="00060F0C">
              <w:rPr>
                <w:rFonts w:eastAsia="SimSun" w:hint="eastAsia"/>
                <w:sz w:val="20"/>
              </w:rPr>
              <w:t>生效日期</w:t>
            </w:r>
          </w:p>
        </w:tc>
        <w:tc>
          <w:tcPr>
            <w:tcW w:w="5387" w:type="dxa"/>
            <w:shd w:val="clear" w:color="auto" w:fill="548DD4" w:themeFill="text2" w:themeFillTint="99"/>
          </w:tcPr>
          <w:p w14:paraId="156B4C25" w14:textId="77777777" w:rsidR="00390AE4" w:rsidRPr="00060F0C" w:rsidRDefault="00390AE4" w:rsidP="00060F0C">
            <w:pPr>
              <w:pStyle w:val="Tablehead"/>
              <w:rPr>
                <w:sz w:val="20"/>
              </w:rPr>
            </w:pPr>
            <w:bookmarkStart w:id="156" w:name="lt_pId401"/>
            <w:r w:rsidRPr="00060F0C">
              <w:rPr>
                <w:rFonts w:eastAsia="SimSun" w:hint="eastAsia"/>
                <w:sz w:val="20"/>
              </w:rPr>
              <w:t>采用当年的潜在影响</w:t>
            </w:r>
            <w:bookmarkEnd w:id="156"/>
          </w:p>
        </w:tc>
      </w:tr>
      <w:tr w:rsidR="00390AE4" w:rsidRPr="00060F0C" w14:paraId="44C93698" w14:textId="77777777" w:rsidTr="00060F0C">
        <w:trPr>
          <w:trHeight w:val="300"/>
        </w:trPr>
        <w:tc>
          <w:tcPr>
            <w:tcW w:w="1275" w:type="dxa"/>
          </w:tcPr>
          <w:p w14:paraId="62313D1C" w14:textId="77777777" w:rsidR="00390AE4" w:rsidRPr="00060F0C" w:rsidRDefault="00390AE4" w:rsidP="00060F0C">
            <w:pPr>
              <w:pStyle w:val="Tabletext"/>
              <w:rPr>
                <w:rFonts w:eastAsia="SimSun"/>
                <w:sz w:val="20"/>
              </w:rPr>
            </w:pPr>
            <w:bookmarkStart w:id="157" w:name="lt_pId402"/>
            <w:r w:rsidRPr="00060F0C">
              <w:rPr>
                <w:rFonts w:eastAsia="SimSun"/>
                <w:sz w:val="20"/>
              </w:rPr>
              <w:t>IPSAS 41</w:t>
            </w:r>
            <w:bookmarkEnd w:id="157"/>
          </w:p>
          <w:p w14:paraId="16025023" w14:textId="77777777" w:rsidR="00390AE4" w:rsidRPr="00060F0C" w:rsidRDefault="00390AE4" w:rsidP="00060F0C">
            <w:pPr>
              <w:pStyle w:val="Tabletext"/>
              <w:rPr>
                <w:rFonts w:eastAsia="SimSun"/>
                <w:sz w:val="20"/>
              </w:rPr>
            </w:pPr>
          </w:p>
        </w:tc>
        <w:tc>
          <w:tcPr>
            <w:tcW w:w="1555" w:type="dxa"/>
          </w:tcPr>
          <w:p w14:paraId="71C916F1" w14:textId="77777777" w:rsidR="00390AE4" w:rsidRPr="00060F0C" w:rsidRDefault="00390AE4" w:rsidP="00060F0C">
            <w:pPr>
              <w:pStyle w:val="Tabletext"/>
              <w:rPr>
                <w:rFonts w:eastAsia="SimSun"/>
                <w:sz w:val="20"/>
              </w:rPr>
            </w:pPr>
            <w:r w:rsidRPr="00060F0C">
              <w:rPr>
                <w:rFonts w:eastAsia="SimSun" w:hint="eastAsia"/>
                <w:sz w:val="20"/>
              </w:rPr>
              <w:t>金融工具</w:t>
            </w:r>
          </w:p>
        </w:tc>
        <w:tc>
          <w:tcPr>
            <w:tcW w:w="1701" w:type="dxa"/>
          </w:tcPr>
          <w:p w14:paraId="4A821FA6" w14:textId="77777777" w:rsidR="00390AE4" w:rsidRPr="00060F0C" w:rsidRDefault="00390AE4" w:rsidP="00060F0C">
            <w:pPr>
              <w:pStyle w:val="Tabletext"/>
              <w:rPr>
                <w:rFonts w:eastAsia="SimSun"/>
                <w:sz w:val="20"/>
              </w:rPr>
            </w:pPr>
            <w:r w:rsidRPr="00060F0C">
              <w:rPr>
                <w:rFonts w:eastAsia="SimSun"/>
                <w:sz w:val="20"/>
              </w:rPr>
              <w:t>2023</w:t>
            </w:r>
            <w:r w:rsidRPr="00060F0C">
              <w:rPr>
                <w:rFonts w:eastAsia="SimSun" w:hint="eastAsia"/>
                <w:sz w:val="20"/>
              </w:rPr>
              <w:t>年</w:t>
            </w:r>
            <w:r w:rsidRPr="00060F0C">
              <w:rPr>
                <w:rFonts w:eastAsia="SimSun"/>
                <w:sz w:val="20"/>
              </w:rPr>
              <w:t>1</w:t>
            </w:r>
            <w:r w:rsidRPr="00060F0C">
              <w:rPr>
                <w:rFonts w:eastAsia="SimSun" w:hint="eastAsia"/>
                <w:sz w:val="20"/>
              </w:rPr>
              <w:t>月</w:t>
            </w:r>
            <w:r w:rsidRPr="00060F0C">
              <w:rPr>
                <w:rFonts w:eastAsia="SimSun"/>
                <w:sz w:val="20"/>
              </w:rPr>
              <w:t>1</w:t>
            </w:r>
            <w:r w:rsidRPr="00060F0C">
              <w:rPr>
                <w:rFonts w:eastAsia="SimSun" w:hint="eastAsia"/>
                <w:sz w:val="20"/>
              </w:rPr>
              <w:t>日</w:t>
            </w:r>
          </w:p>
        </w:tc>
        <w:tc>
          <w:tcPr>
            <w:tcW w:w="5387" w:type="dxa"/>
          </w:tcPr>
          <w:p w14:paraId="7D050622" w14:textId="77777777" w:rsidR="00390AE4" w:rsidRPr="00060F0C" w:rsidRDefault="00390AE4" w:rsidP="00060F0C">
            <w:pPr>
              <w:pStyle w:val="Tabletext"/>
              <w:rPr>
                <w:rFonts w:eastAsia="SimSun"/>
                <w:sz w:val="20"/>
                <w:lang w:eastAsia="zh-CN"/>
              </w:rPr>
            </w:pPr>
            <w:bookmarkStart w:id="158" w:name="lt_pId406"/>
            <w:r w:rsidRPr="00060F0C">
              <w:rPr>
                <w:rFonts w:eastAsia="SimSun" w:hint="eastAsia"/>
                <w:sz w:val="20"/>
                <w:lang w:eastAsia="zh-CN"/>
              </w:rPr>
              <w:t>该准则将取代现行</w:t>
            </w:r>
            <w:r w:rsidRPr="00060F0C">
              <w:rPr>
                <w:rFonts w:eastAsia="SimSun" w:hint="eastAsia"/>
                <w:sz w:val="20"/>
                <w:lang w:eastAsia="zh-CN"/>
              </w:rPr>
              <w:t>IPSAS</w:t>
            </w:r>
            <w:r w:rsidRPr="00060F0C">
              <w:rPr>
                <w:rFonts w:eastAsia="SimSun"/>
                <w:sz w:val="20"/>
                <w:lang w:eastAsia="zh-CN"/>
              </w:rPr>
              <w:t xml:space="preserve"> </w:t>
            </w:r>
            <w:r w:rsidRPr="00060F0C">
              <w:rPr>
                <w:rFonts w:eastAsia="SimSun" w:hint="eastAsia"/>
                <w:sz w:val="20"/>
                <w:lang w:eastAsia="zh-CN"/>
              </w:rPr>
              <w:t>29</w:t>
            </w:r>
            <w:r w:rsidRPr="00060F0C">
              <w:rPr>
                <w:rFonts w:eastAsia="SimSun" w:hint="eastAsia"/>
                <w:sz w:val="20"/>
                <w:lang w:eastAsia="zh-CN"/>
              </w:rPr>
              <w:t>准则（金融工具），规定了金融资产和金融负债的财务报告原则，以评估实体未来现金流的金额、时间和不确定性。国际电联评估认为，采用该准则将对财务报表披露附注产生影响，因为它将导致术语以及对预期信用损失（</w:t>
            </w:r>
            <w:r w:rsidRPr="00060F0C">
              <w:rPr>
                <w:rFonts w:eastAsia="SimSun" w:hint="eastAsia"/>
                <w:sz w:val="20"/>
                <w:lang w:eastAsia="zh-CN"/>
              </w:rPr>
              <w:t>ECL</w:t>
            </w:r>
            <w:r w:rsidRPr="00060F0C">
              <w:rPr>
                <w:rFonts w:eastAsia="SimSun" w:hint="eastAsia"/>
                <w:sz w:val="20"/>
                <w:lang w:eastAsia="zh-CN"/>
              </w:rPr>
              <w:t>）计算的要求发生变化。国际电联目前正在量化该准则对其财务账目的影响。</w:t>
            </w:r>
            <w:bookmarkEnd w:id="158"/>
          </w:p>
        </w:tc>
      </w:tr>
      <w:tr w:rsidR="00390AE4" w:rsidRPr="00060F0C" w14:paraId="0ABF65EB" w14:textId="77777777" w:rsidTr="00060F0C">
        <w:trPr>
          <w:trHeight w:val="300"/>
        </w:trPr>
        <w:tc>
          <w:tcPr>
            <w:tcW w:w="1275" w:type="dxa"/>
          </w:tcPr>
          <w:p w14:paraId="764042F3" w14:textId="77777777" w:rsidR="00390AE4" w:rsidRPr="00060F0C" w:rsidRDefault="00390AE4" w:rsidP="00060F0C">
            <w:pPr>
              <w:pStyle w:val="Tabletext"/>
              <w:rPr>
                <w:rFonts w:eastAsia="SimSun"/>
                <w:sz w:val="20"/>
              </w:rPr>
            </w:pPr>
            <w:bookmarkStart w:id="159" w:name="lt_pId409"/>
            <w:r w:rsidRPr="00060F0C">
              <w:rPr>
                <w:rFonts w:eastAsia="SimSun"/>
                <w:sz w:val="20"/>
              </w:rPr>
              <w:t>IPSAS 42</w:t>
            </w:r>
            <w:bookmarkEnd w:id="159"/>
          </w:p>
        </w:tc>
        <w:tc>
          <w:tcPr>
            <w:tcW w:w="1555" w:type="dxa"/>
          </w:tcPr>
          <w:p w14:paraId="1A556D66" w14:textId="77777777" w:rsidR="00390AE4" w:rsidRPr="00060F0C" w:rsidRDefault="00390AE4" w:rsidP="00060F0C">
            <w:pPr>
              <w:pStyle w:val="Tabletext"/>
              <w:rPr>
                <w:rFonts w:eastAsia="SimSun"/>
                <w:sz w:val="20"/>
              </w:rPr>
            </w:pPr>
            <w:bookmarkStart w:id="160" w:name="lt_pId410"/>
            <w:r w:rsidRPr="00060F0C">
              <w:rPr>
                <w:rFonts w:eastAsia="SimSun" w:hint="eastAsia"/>
                <w:sz w:val="20"/>
              </w:rPr>
              <w:t>社会福利</w:t>
            </w:r>
            <w:bookmarkEnd w:id="160"/>
          </w:p>
        </w:tc>
        <w:tc>
          <w:tcPr>
            <w:tcW w:w="1701" w:type="dxa"/>
          </w:tcPr>
          <w:p w14:paraId="5A52A51D" w14:textId="77777777" w:rsidR="00390AE4" w:rsidRPr="00060F0C" w:rsidRDefault="00390AE4" w:rsidP="00060F0C">
            <w:pPr>
              <w:pStyle w:val="Tabletext"/>
              <w:rPr>
                <w:rFonts w:eastAsia="SimSun"/>
                <w:sz w:val="20"/>
              </w:rPr>
            </w:pPr>
            <w:r w:rsidRPr="00060F0C">
              <w:rPr>
                <w:rFonts w:eastAsia="SimSun"/>
                <w:sz w:val="20"/>
              </w:rPr>
              <w:t>2023</w:t>
            </w:r>
            <w:r w:rsidRPr="00060F0C">
              <w:rPr>
                <w:rFonts w:eastAsia="SimSun" w:hint="eastAsia"/>
                <w:sz w:val="20"/>
              </w:rPr>
              <w:t>年</w:t>
            </w:r>
            <w:r w:rsidRPr="00060F0C">
              <w:rPr>
                <w:rFonts w:eastAsia="SimSun"/>
                <w:sz w:val="20"/>
              </w:rPr>
              <w:t>1</w:t>
            </w:r>
            <w:r w:rsidRPr="00060F0C">
              <w:rPr>
                <w:rFonts w:eastAsia="SimSun" w:hint="eastAsia"/>
                <w:sz w:val="20"/>
              </w:rPr>
              <w:t>月</w:t>
            </w:r>
            <w:r w:rsidRPr="00060F0C">
              <w:rPr>
                <w:rFonts w:eastAsia="SimSun"/>
                <w:sz w:val="20"/>
              </w:rPr>
              <w:t>1</w:t>
            </w:r>
            <w:r w:rsidRPr="00060F0C">
              <w:rPr>
                <w:rFonts w:eastAsia="SimSun" w:hint="eastAsia"/>
                <w:sz w:val="20"/>
              </w:rPr>
              <w:t>日</w:t>
            </w:r>
          </w:p>
        </w:tc>
        <w:tc>
          <w:tcPr>
            <w:tcW w:w="5387" w:type="dxa"/>
          </w:tcPr>
          <w:p w14:paraId="2F95392E" w14:textId="77777777" w:rsidR="00390AE4" w:rsidRPr="00060F0C" w:rsidRDefault="00390AE4" w:rsidP="00060F0C">
            <w:pPr>
              <w:pStyle w:val="Tabletext"/>
              <w:rPr>
                <w:rFonts w:eastAsia="SimSun"/>
                <w:sz w:val="20"/>
                <w:lang w:eastAsia="zh-CN"/>
              </w:rPr>
            </w:pPr>
            <w:bookmarkStart w:id="161" w:name="lt_pId413"/>
            <w:r w:rsidRPr="00060F0C">
              <w:rPr>
                <w:rFonts w:eastAsia="SimSun" w:hint="eastAsia"/>
                <w:sz w:val="20"/>
                <w:lang w:eastAsia="zh-CN"/>
              </w:rPr>
              <w:t>该准则确立了在财务报表中确认、计量和列报社会福利的原则和要求。预计这一准则不会影响本组织的财务报表。</w:t>
            </w:r>
            <w:bookmarkEnd w:id="161"/>
          </w:p>
        </w:tc>
      </w:tr>
      <w:tr w:rsidR="00390AE4" w:rsidRPr="00060F0C" w14:paraId="35DE5376" w14:textId="77777777" w:rsidTr="00060F0C">
        <w:trPr>
          <w:trHeight w:val="300"/>
        </w:trPr>
        <w:tc>
          <w:tcPr>
            <w:tcW w:w="1275" w:type="dxa"/>
          </w:tcPr>
          <w:p w14:paraId="6BB5916E" w14:textId="77777777" w:rsidR="00390AE4" w:rsidRPr="00060F0C" w:rsidRDefault="00390AE4" w:rsidP="00060F0C">
            <w:pPr>
              <w:pStyle w:val="Tabletext"/>
              <w:rPr>
                <w:rFonts w:eastAsia="SimSun"/>
                <w:sz w:val="20"/>
              </w:rPr>
            </w:pPr>
            <w:bookmarkStart w:id="162" w:name="lt_pId415"/>
            <w:r w:rsidRPr="00060F0C">
              <w:rPr>
                <w:rFonts w:eastAsia="SimSun"/>
                <w:sz w:val="20"/>
              </w:rPr>
              <w:t>IPSAS 43</w:t>
            </w:r>
            <w:bookmarkEnd w:id="162"/>
          </w:p>
        </w:tc>
        <w:tc>
          <w:tcPr>
            <w:tcW w:w="1555" w:type="dxa"/>
          </w:tcPr>
          <w:p w14:paraId="2F99177B" w14:textId="77777777" w:rsidR="00390AE4" w:rsidRPr="00060F0C" w:rsidRDefault="00390AE4" w:rsidP="00060F0C">
            <w:pPr>
              <w:pStyle w:val="Tabletext"/>
              <w:rPr>
                <w:rFonts w:eastAsia="SimSun"/>
                <w:sz w:val="20"/>
              </w:rPr>
            </w:pPr>
            <w:r w:rsidRPr="00060F0C">
              <w:rPr>
                <w:rFonts w:eastAsia="SimSun" w:hint="eastAsia"/>
                <w:sz w:val="20"/>
              </w:rPr>
              <w:t>租赁</w:t>
            </w:r>
          </w:p>
        </w:tc>
        <w:tc>
          <w:tcPr>
            <w:tcW w:w="1701" w:type="dxa"/>
          </w:tcPr>
          <w:p w14:paraId="1F26A087" w14:textId="77777777" w:rsidR="00390AE4" w:rsidRPr="00060F0C" w:rsidRDefault="00390AE4" w:rsidP="00060F0C">
            <w:pPr>
              <w:pStyle w:val="Tabletext"/>
              <w:rPr>
                <w:rFonts w:eastAsia="SimSun"/>
                <w:sz w:val="20"/>
              </w:rPr>
            </w:pPr>
            <w:r w:rsidRPr="00060F0C">
              <w:rPr>
                <w:rFonts w:eastAsia="SimSun"/>
                <w:sz w:val="20"/>
              </w:rPr>
              <w:t>2025</w:t>
            </w:r>
            <w:r w:rsidRPr="00060F0C">
              <w:rPr>
                <w:rFonts w:eastAsia="SimSun" w:hint="eastAsia"/>
                <w:sz w:val="20"/>
              </w:rPr>
              <w:t>年</w:t>
            </w:r>
            <w:r w:rsidRPr="00060F0C">
              <w:rPr>
                <w:rFonts w:eastAsia="SimSun"/>
                <w:sz w:val="20"/>
              </w:rPr>
              <w:t>1</w:t>
            </w:r>
            <w:r w:rsidRPr="00060F0C">
              <w:rPr>
                <w:rFonts w:eastAsia="SimSun" w:hint="eastAsia"/>
                <w:sz w:val="20"/>
              </w:rPr>
              <w:t>月</w:t>
            </w:r>
            <w:r w:rsidRPr="00060F0C">
              <w:rPr>
                <w:rFonts w:eastAsia="SimSun"/>
                <w:sz w:val="20"/>
              </w:rPr>
              <w:t>1</w:t>
            </w:r>
            <w:r w:rsidRPr="00060F0C">
              <w:rPr>
                <w:rFonts w:eastAsia="SimSun" w:hint="eastAsia"/>
                <w:sz w:val="20"/>
              </w:rPr>
              <w:t>日</w:t>
            </w:r>
          </w:p>
        </w:tc>
        <w:tc>
          <w:tcPr>
            <w:tcW w:w="5387" w:type="dxa"/>
          </w:tcPr>
          <w:p w14:paraId="27E92287" w14:textId="58C315FE" w:rsidR="00390AE4" w:rsidRPr="00060F0C" w:rsidRDefault="00390AE4" w:rsidP="00060F0C">
            <w:pPr>
              <w:pStyle w:val="Tabletext"/>
              <w:rPr>
                <w:rFonts w:eastAsia="SimSun"/>
                <w:sz w:val="20"/>
                <w:lang w:eastAsia="zh-CN"/>
              </w:rPr>
            </w:pPr>
            <w:bookmarkStart w:id="163" w:name="lt_pId419"/>
            <w:r w:rsidRPr="00060F0C">
              <w:rPr>
                <w:rFonts w:eastAsia="SimSun" w:hint="eastAsia"/>
                <w:sz w:val="20"/>
                <w:lang w:eastAsia="zh-CN"/>
              </w:rPr>
              <w:t>取代</w:t>
            </w:r>
            <w:r w:rsidRPr="00060F0C">
              <w:rPr>
                <w:rFonts w:eastAsia="SimSun" w:hint="eastAsia"/>
                <w:sz w:val="20"/>
                <w:lang w:eastAsia="zh-CN"/>
              </w:rPr>
              <w:t>IPSAS 13</w:t>
            </w:r>
            <w:r w:rsidRPr="00060F0C">
              <w:rPr>
                <w:rFonts w:eastAsia="SimSun" w:hint="eastAsia"/>
                <w:sz w:val="20"/>
                <w:lang w:eastAsia="zh-CN"/>
              </w:rPr>
              <w:t>准则（租赁）并引入租赁使用权模式。它规定了租赁的确认、计量、列报和披露原则。这一新准则目前对国际电联的财务报表没有重大影响，因为国际电联目前没有租赁。然而，考虑到该新准则的发展及其范围，国际电联将认真审议其会计政策和系统，为该准则的生效做好准备。</w:t>
            </w:r>
            <w:bookmarkEnd w:id="163"/>
          </w:p>
        </w:tc>
      </w:tr>
      <w:tr w:rsidR="00390AE4" w:rsidRPr="00060F0C" w14:paraId="531EEC8C" w14:textId="77777777" w:rsidTr="00060F0C">
        <w:trPr>
          <w:trHeight w:val="300"/>
        </w:trPr>
        <w:tc>
          <w:tcPr>
            <w:tcW w:w="1275" w:type="dxa"/>
          </w:tcPr>
          <w:p w14:paraId="2D34951C" w14:textId="77777777" w:rsidR="00390AE4" w:rsidRPr="00060F0C" w:rsidRDefault="00390AE4" w:rsidP="00060F0C">
            <w:pPr>
              <w:pStyle w:val="Tabletext"/>
              <w:rPr>
                <w:rFonts w:eastAsia="SimSun"/>
                <w:sz w:val="20"/>
              </w:rPr>
            </w:pPr>
            <w:bookmarkStart w:id="164" w:name="lt_pId422"/>
            <w:r w:rsidRPr="00060F0C">
              <w:rPr>
                <w:rFonts w:eastAsia="SimSun"/>
                <w:sz w:val="20"/>
              </w:rPr>
              <w:t>IPSAS 44</w:t>
            </w:r>
            <w:bookmarkEnd w:id="164"/>
          </w:p>
        </w:tc>
        <w:tc>
          <w:tcPr>
            <w:tcW w:w="1555" w:type="dxa"/>
          </w:tcPr>
          <w:p w14:paraId="55491256" w14:textId="77777777" w:rsidR="00390AE4" w:rsidRPr="00060F0C" w:rsidRDefault="00390AE4" w:rsidP="00060F0C">
            <w:pPr>
              <w:pStyle w:val="Tabletext"/>
              <w:rPr>
                <w:rFonts w:eastAsia="SimSun"/>
                <w:sz w:val="20"/>
                <w:lang w:eastAsia="zh-CN"/>
              </w:rPr>
            </w:pPr>
            <w:r w:rsidRPr="00060F0C">
              <w:rPr>
                <w:rFonts w:eastAsia="SimSun" w:hint="eastAsia"/>
                <w:sz w:val="20"/>
                <w:lang w:eastAsia="zh-CN"/>
              </w:rPr>
              <w:t>持有待售非流动资产及已终止业务</w:t>
            </w:r>
          </w:p>
        </w:tc>
        <w:tc>
          <w:tcPr>
            <w:tcW w:w="1701" w:type="dxa"/>
          </w:tcPr>
          <w:p w14:paraId="6F514BCD" w14:textId="77777777" w:rsidR="00390AE4" w:rsidRPr="00060F0C" w:rsidRDefault="00390AE4" w:rsidP="00060F0C">
            <w:pPr>
              <w:pStyle w:val="Tabletext"/>
              <w:rPr>
                <w:rFonts w:eastAsia="SimSun"/>
                <w:sz w:val="20"/>
              </w:rPr>
            </w:pPr>
            <w:r w:rsidRPr="00060F0C">
              <w:rPr>
                <w:rFonts w:eastAsia="SimSun"/>
                <w:sz w:val="20"/>
              </w:rPr>
              <w:t>2025</w:t>
            </w:r>
            <w:r w:rsidRPr="00060F0C">
              <w:rPr>
                <w:rFonts w:eastAsia="SimSun" w:hint="eastAsia"/>
                <w:sz w:val="20"/>
              </w:rPr>
              <w:t>年</w:t>
            </w:r>
            <w:r w:rsidRPr="00060F0C">
              <w:rPr>
                <w:rFonts w:eastAsia="SimSun"/>
                <w:sz w:val="20"/>
              </w:rPr>
              <w:t>1</w:t>
            </w:r>
            <w:r w:rsidRPr="00060F0C">
              <w:rPr>
                <w:rFonts w:eastAsia="SimSun" w:hint="eastAsia"/>
                <w:sz w:val="20"/>
              </w:rPr>
              <w:t>月</w:t>
            </w:r>
            <w:r w:rsidRPr="00060F0C">
              <w:rPr>
                <w:rFonts w:eastAsia="SimSun"/>
                <w:sz w:val="20"/>
              </w:rPr>
              <w:t>1</w:t>
            </w:r>
            <w:r w:rsidRPr="00060F0C">
              <w:rPr>
                <w:rFonts w:eastAsia="SimSun" w:hint="eastAsia"/>
                <w:sz w:val="20"/>
              </w:rPr>
              <w:t>日</w:t>
            </w:r>
          </w:p>
        </w:tc>
        <w:tc>
          <w:tcPr>
            <w:tcW w:w="5387" w:type="dxa"/>
          </w:tcPr>
          <w:p w14:paraId="1CD5DA28" w14:textId="77777777" w:rsidR="00390AE4" w:rsidRPr="00060F0C" w:rsidRDefault="00390AE4" w:rsidP="00060F0C">
            <w:pPr>
              <w:pStyle w:val="Tabletext"/>
              <w:rPr>
                <w:rFonts w:eastAsia="SimSun"/>
                <w:sz w:val="20"/>
                <w:lang w:eastAsia="zh-CN"/>
              </w:rPr>
            </w:pPr>
            <w:bookmarkStart w:id="165" w:name="lt_pId426"/>
            <w:r w:rsidRPr="00060F0C">
              <w:rPr>
                <w:rFonts w:eastAsia="SimSun" w:hint="eastAsia"/>
                <w:sz w:val="20"/>
                <w:lang w:eastAsia="zh-CN"/>
              </w:rPr>
              <w:t>这一新准则规定了持有待售资产的会计处理以及已终止经营业务的列报和披露。将开展分析，评估对国际电联财务报表的潜在影响。</w:t>
            </w:r>
            <w:bookmarkEnd w:id="165"/>
          </w:p>
        </w:tc>
      </w:tr>
      <w:tr w:rsidR="00390AE4" w:rsidRPr="00060F0C" w14:paraId="394C4E31" w14:textId="77777777" w:rsidTr="00060F0C">
        <w:trPr>
          <w:trHeight w:val="300"/>
        </w:trPr>
        <w:tc>
          <w:tcPr>
            <w:tcW w:w="1275" w:type="dxa"/>
          </w:tcPr>
          <w:p w14:paraId="6465A3A7" w14:textId="77777777" w:rsidR="00390AE4" w:rsidRPr="00060F0C" w:rsidRDefault="00390AE4" w:rsidP="00060F0C">
            <w:pPr>
              <w:pStyle w:val="Tabletext"/>
              <w:rPr>
                <w:rFonts w:eastAsia="SimSun"/>
                <w:sz w:val="20"/>
              </w:rPr>
            </w:pPr>
            <w:bookmarkStart w:id="166" w:name="lt_pId428"/>
            <w:r w:rsidRPr="00060F0C">
              <w:rPr>
                <w:rFonts w:eastAsia="SimSun"/>
                <w:sz w:val="20"/>
              </w:rPr>
              <w:t>IPASA 45</w:t>
            </w:r>
            <w:bookmarkEnd w:id="166"/>
          </w:p>
        </w:tc>
        <w:tc>
          <w:tcPr>
            <w:tcW w:w="1555" w:type="dxa"/>
          </w:tcPr>
          <w:p w14:paraId="2A4433FB" w14:textId="77777777" w:rsidR="00390AE4" w:rsidRPr="00060F0C" w:rsidRDefault="00390AE4" w:rsidP="00060F0C">
            <w:pPr>
              <w:pStyle w:val="Tabletext"/>
              <w:rPr>
                <w:rFonts w:eastAsia="SimSun"/>
                <w:sz w:val="20"/>
              </w:rPr>
            </w:pPr>
            <w:r w:rsidRPr="00060F0C">
              <w:rPr>
                <w:rFonts w:eastAsia="SimSun" w:hint="eastAsia"/>
                <w:sz w:val="20"/>
              </w:rPr>
              <w:t>物业、厂房和设备</w:t>
            </w:r>
          </w:p>
        </w:tc>
        <w:tc>
          <w:tcPr>
            <w:tcW w:w="1701" w:type="dxa"/>
          </w:tcPr>
          <w:p w14:paraId="158AF6C2" w14:textId="77777777" w:rsidR="00390AE4" w:rsidRPr="00060F0C" w:rsidRDefault="00390AE4" w:rsidP="00060F0C">
            <w:pPr>
              <w:pStyle w:val="Tabletext"/>
              <w:rPr>
                <w:rFonts w:eastAsia="SimSun"/>
                <w:sz w:val="20"/>
              </w:rPr>
            </w:pPr>
            <w:r w:rsidRPr="00060F0C">
              <w:rPr>
                <w:rFonts w:eastAsia="SimSun"/>
                <w:sz w:val="20"/>
              </w:rPr>
              <w:t>2025</w:t>
            </w:r>
            <w:r w:rsidRPr="00060F0C">
              <w:rPr>
                <w:rFonts w:eastAsia="SimSun" w:hint="eastAsia"/>
                <w:sz w:val="20"/>
              </w:rPr>
              <w:t>年</w:t>
            </w:r>
            <w:r w:rsidRPr="00060F0C">
              <w:rPr>
                <w:rFonts w:eastAsia="SimSun"/>
                <w:sz w:val="20"/>
              </w:rPr>
              <w:t>1</w:t>
            </w:r>
            <w:r w:rsidRPr="00060F0C">
              <w:rPr>
                <w:rFonts w:eastAsia="SimSun" w:hint="eastAsia"/>
                <w:sz w:val="20"/>
              </w:rPr>
              <w:t>月</w:t>
            </w:r>
            <w:r w:rsidRPr="00060F0C">
              <w:rPr>
                <w:rFonts w:eastAsia="SimSun"/>
                <w:sz w:val="20"/>
              </w:rPr>
              <w:t>1</w:t>
            </w:r>
            <w:r w:rsidRPr="00060F0C">
              <w:rPr>
                <w:rFonts w:eastAsia="SimSun" w:hint="eastAsia"/>
                <w:sz w:val="20"/>
              </w:rPr>
              <w:t>日</w:t>
            </w:r>
          </w:p>
        </w:tc>
        <w:tc>
          <w:tcPr>
            <w:tcW w:w="5387" w:type="dxa"/>
          </w:tcPr>
          <w:p w14:paraId="0F292A66" w14:textId="29442BDA" w:rsidR="00390AE4" w:rsidRPr="00060F0C" w:rsidRDefault="00390AE4" w:rsidP="00060F0C">
            <w:pPr>
              <w:pStyle w:val="Tabletext"/>
              <w:rPr>
                <w:rFonts w:eastAsia="SimSun"/>
                <w:sz w:val="20"/>
                <w:lang w:eastAsia="zh-CN"/>
              </w:rPr>
            </w:pPr>
            <w:bookmarkStart w:id="167" w:name="lt_pId432"/>
            <w:r w:rsidRPr="00060F0C">
              <w:rPr>
                <w:rFonts w:eastAsia="SimSun" w:hint="eastAsia"/>
                <w:sz w:val="20"/>
                <w:lang w:eastAsia="zh-CN"/>
              </w:rPr>
              <w:t>IPSAS 45</w:t>
            </w:r>
            <w:r w:rsidRPr="00060F0C">
              <w:rPr>
                <w:rFonts w:eastAsia="SimSun" w:hint="eastAsia"/>
                <w:sz w:val="20"/>
                <w:lang w:eastAsia="zh-CN"/>
              </w:rPr>
              <w:t>准则取代了</w:t>
            </w:r>
            <w:r w:rsidRPr="00060F0C">
              <w:rPr>
                <w:rFonts w:eastAsia="SimSun" w:hint="eastAsia"/>
                <w:sz w:val="20"/>
                <w:lang w:eastAsia="zh-CN"/>
              </w:rPr>
              <w:t xml:space="preserve">IPSAS 17 </w:t>
            </w:r>
            <w:r w:rsidRPr="00060F0C">
              <w:rPr>
                <w:rFonts w:eastAsia="SimSun"/>
                <w:sz w:val="20"/>
                <w:lang w:eastAsia="zh-CN"/>
              </w:rPr>
              <w:t>–</w:t>
            </w:r>
            <w:r w:rsidR="00060F0C">
              <w:rPr>
                <w:rFonts w:eastAsia="SimSun"/>
                <w:sz w:val="20"/>
                <w:lang w:eastAsia="zh-CN"/>
              </w:rPr>
              <w:t xml:space="preserve"> </w:t>
            </w:r>
            <w:r w:rsidRPr="00060F0C">
              <w:rPr>
                <w:rFonts w:eastAsia="SimSun" w:hint="eastAsia"/>
                <w:sz w:val="20"/>
                <w:lang w:eastAsia="zh-CN"/>
              </w:rPr>
              <w:t>物业、厂房和设备，方法是，在其范围内更新后的资产现值模型中增加当前运营价值作为计量基础，明确传统和基础设施资产的特性，并就如何确认和计量这些重要类型的公共部门资产增加新的指导意见。国际电联目前正在量化该准则对其财务账目的影响。</w:t>
            </w:r>
            <w:bookmarkEnd w:id="167"/>
          </w:p>
        </w:tc>
      </w:tr>
      <w:tr w:rsidR="00390AE4" w:rsidRPr="00060F0C" w14:paraId="0ACD383B" w14:textId="77777777" w:rsidTr="00060F0C">
        <w:trPr>
          <w:trHeight w:val="300"/>
        </w:trPr>
        <w:tc>
          <w:tcPr>
            <w:tcW w:w="1275" w:type="dxa"/>
          </w:tcPr>
          <w:p w14:paraId="3F607E0D" w14:textId="77777777" w:rsidR="00390AE4" w:rsidRPr="00060F0C" w:rsidRDefault="00390AE4" w:rsidP="00060F0C">
            <w:pPr>
              <w:pStyle w:val="Tabletext"/>
              <w:rPr>
                <w:rFonts w:eastAsia="SimSun"/>
                <w:sz w:val="20"/>
              </w:rPr>
            </w:pPr>
            <w:bookmarkStart w:id="168" w:name="lt_pId434"/>
            <w:r w:rsidRPr="00060F0C">
              <w:rPr>
                <w:rFonts w:eastAsia="SimSun"/>
                <w:sz w:val="20"/>
              </w:rPr>
              <w:t>IPSAS 46</w:t>
            </w:r>
            <w:bookmarkEnd w:id="168"/>
          </w:p>
        </w:tc>
        <w:tc>
          <w:tcPr>
            <w:tcW w:w="1555" w:type="dxa"/>
          </w:tcPr>
          <w:p w14:paraId="73D080CD" w14:textId="77777777" w:rsidR="00390AE4" w:rsidRPr="00060F0C" w:rsidRDefault="00390AE4" w:rsidP="00060F0C">
            <w:pPr>
              <w:pStyle w:val="Tabletext"/>
              <w:rPr>
                <w:rFonts w:eastAsia="SimSun"/>
                <w:sz w:val="20"/>
              </w:rPr>
            </w:pPr>
            <w:r w:rsidRPr="00060F0C">
              <w:rPr>
                <w:rFonts w:eastAsia="SimSun" w:hint="eastAsia"/>
                <w:sz w:val="20"/>
              </w:rPr>
              <w:t>计量</w:t>
            </w:r>
          </w:p>
        </w:tc>
        <w:tc>
          <w:tcPr>
            <w:tcW w:w="1701" w:type="dxa"/>
          </w:tcPr>
          <w:p w14:paraId="20EA2EA3" w14:textId="77777777" w:rsidR="00390AE4" w:rsidRPr="00060F0C" w:rsidRDefault="00390AE4" w:rsidP="00060F0C">
            <w:pPr>
              <w:pStyle w:val="Tabletext"/>
              <w:rPr>
                <w:rFonts w:eastAsia="SimSun"/>
                <w:sz w:val="20"/>
              </w:rPr>
            </w:pPr>
            <w:r w:rsidRPr="00060F0C">
              <w:rPr>
                <w:rFonts w:eastAsia="SimSun"/>
                <w:sz w:val="20"/>
              </w:rPr>
              <w:t>2025</w:t>
            </w:r>
            <w:r w:rsidRPr="00060F0C">
              <w:rPr>
                <w:rFonts w:eastAsia="SimSun" w:hint="eastAsia"/>
                <w:sz w:val="20"/>
              </w:rPr>
              <w:t>年</w:t>
            </w:r>
            <w:r w:rsidRPr="00060F0C">
              <w:rPr>
                <w:rFonts w:eastAsia="SimSun"/>
                <w:sz w:val="20"/>
              </w:rPr>
              <w:t>1</w:t>
            </w:r>
            <w:r w:rsidRPr="00060F0C">
              <w:rPr>
                <w:rFonts w:eastAsia="SimSun" w:hint="eastAsia"/>
                <w:sz w:val="20"/>
              </w:rPr>
              <w:t>月</w:t>
            </w:r>
            <w:r w:rsidRPr="00060F0C">
              <w:rPr>
                <w:rFonts w:eastAsia="SimSun"/>
                <w:sz w:val="20"/>
              </w:rPr>
              <w:t>1</w:t>
            </w:r>
            <w:r w:rsidRPr="00060F0C">
              <w:rPr>
                <w:rFonts w:eastAsia="SimSun" w:hint="eastAsia"/>
                <w:sz w:val="20"/>
              </w:rPr>
              <w:t>日</w:t>
            </w:r>
          </w:p>
        </w:tc>
        <w:tc>
          <w:tcPr>
            <w:tcW w:w="5387" w:type="dxa"/>
          </w:tcPr>
          <w:p w14:paraId="530BE7EC" w14:textId="77777777" w:rsidR="00390AE4" w:rsidRPr="00060F0C" w:rsidRDefault="00390AE4" w:rsidP="00060F0C">
            <w:pPr>
              <w:pStyle w:val="Tabletext"/>
              <w:rPr>
                <w:rFonts w:eastAsia="SimSun"/>
                <w:sz w:val="20"/>
                <w:lang w:eastAsia="zh-CN"/>
              </w:rPr>
            </w:pPr>
            <w:bookmarkStart w:id="169" w:name="lt_pId438"/>
            <w:r w:rsidRPr="00060F0C">
              <w:rPr>
                <w:rFonts w:eastAsia="SimSun" w:hint="eastAsia"/>
                <w:sz w:val="20"/>
                <w:lang w:eastAsia="zh-CN"/>
              </w:rPr>
              <w:t>IPSAS 46</w:t>
            </w:r>
            <w:r w:rsidRPr="00060F0C">
              <w:rPr>
                <w:rFonts w:eastAsia="SimSun" w:hint="eastAsia"/>
                <w:sz w:val="20"/>
                <w:lang w:eastAsia="zh-CN"/>
              </w:rPr>
              <w:t>准则以单一准则提供了新的指导意见，解决在实践中如何使用普遍使用的计量标准。它首次引入了关于公允价值的一般性指南，并引入了当前运营价值，即公共部门特定的当前价值计量基础，以解决成员的观点，即某些公共部门资产需要替代公允价值的现值计量基础。国际电联目前正在量化该准则对其财务账目的影响。</w:t>
            </w:r>
            <w:bookmarkEnd w:id="169"/>
          </w:p>
        </w:tc>
      </w:tr>
      <w:tr w:rsidR="00390AE4" w:rsidRPr="00060F0C" w14:paraId="6D9426C8" w14:textId="77777777" w:rsidTr="00060F0C">
        <w:trPr>
          <w:trHeight w:val="300"/>
        </w:trPr>
        <w:tc>
          <w:tcPr>
            <w:tcW w:w="1275" w:type="dxa"/>
          </w:tcPr>
          <w:p w14:paraId="7DF2EDB2" w14:textId="77777777" w:rsidR="00390AE4" w:rsidRPr="00060F0C" w:rsidRDefault="00390AE4" w:rsidP="00060F0C">
            <w:pPr>
              <w:pStyle w:val="Tabletext"/>
              <w:rPr>
                <w:rFonts w:eastAsia="SimSun"/>
                <w:sz w:val="20"/>
              </w:rPr>
            </w:pPr>
            <w:bookmarkStart w:id="170" w:name="lt_pId441"/>
            <w:r w:rsidRPr="00060F0C">
              <w:rPr>
                <w:rFonts w:eastAsia="SimSun"/>
                <w:sz w:val="20"/>
              </w:rPr>
              <w:t>IPSAS 47</w:t>
            </w:r>
            <w:bookmarkEnd w:id="170"/>
          </w:p>
        </w:tc>
        <w:tc>
          <w:tcPr>
            <w:tcW w:w="1555" w:type="dxa"/>
          </w:tcPr>
          <w:p w14:paraId="6B95C3B1" w14:textId="77777777" w:rsidR="00390AE4" w:rsidRPr="00060F0C" w:rsidRDefault="00390AE4" w:rsidP="00060F0C">
            <w:pPr>
              <w:pStyle w:val="Tabletext"/>
              <w:rPr>
                <w:rFonts w:eastAsia="SimSun"/>
                <w:sz w:val="20"/>
              </w:rPr>
            </w:pPr>
            <w:bookmarkStart w:id="171" w:name="lt_pId442"/>
            <w:r w:rsidRPr="00060F0C">
              <w:rPr>
                <w:rFonts w:eastAsia="SimSun" w:hint="eastAsia"/>
                <w:sz w:val="20"/>
              </w:rPr>
              <w:t>收入</w:t>
            </w:r>
            <w:bookmarkEnd w:id="171"/>
          </w:p>
        </w:tc>
        <w:tc>
          <w:tcPr>
            <w:tcW w:w="1701" w:type="dxa"/>
          </w:tcPr>
          <w:p w14:paraId="6B814B38" w14:textId="77777777" w:rsidR="00390AE4" w:rsidRPr="00060F0C" w:rsidRDefault="00390AE4" w:rsidP="00060F0C">
            <w:pPr>
              <w:pStyle w:val="Tabletext"/>
              <w:rPr>
                <w:rFonts w:eastAsia="SimSun"/>
                <w:sz w:val="20"/>
              </w:rPr>
            </w:pPr>
            <w:r w:rsidRPr="00060F0C">
              <w:rPr>
                <w:rFonts w:eastAsia="SimSun"/>
                <w:sz w:val="20"/>
              </w:rPr>
              <w:t>2026</w:t>
            </w:r>
            <w:r w:rsidRPr="00060F0C">
              <w:rPr>
                <w:rFonts w:eastAsia="SimSun" w:hint="eastAsia"/>
                <w:sz w:val="20"/>
              </w:rPr>
              <w:t>年</w:t>
            </w:r>
            <w:r w:rsidRPr="00060F0C">
              <w:rPr>
                <w:rFonts w:eastAsia="SimSun"/>
                <w:sz w:val="20"/>
              </w:rPr>
              <w:t>1</w:t>
            </w:r>
            <w:r w:rsidRPr="00060F0C">
              <w:rPr>
                <w:rFonts w:eastAsia="SimSun" w:hint="eastAsia"/>
                <w:sz w:val="20"/>
              </w:rPr>
              <w:t>月</w:t>
            </w:r>
            <w:r w:rsidRPr="00060F0C">
              <w:rPr>
                <w:rFonts w:eastAsia="SimSun"/>
                <w:sz w:val="20"/>
              </w:rPr>
              <w:t>1</w:t>
            </w:r>
            <w:r w:rsidRPr="00060F0C">
              <w:rPr>
                <w:rFonts w:eastAsia="SimSun" w:hint="eastAsia"/>
                <w:sz w:val="20"/>
              </w:rPr>
              <w:t>日</w:t>
            </w:r>
          </w:p>
        </w:tc>
        <w:tc>
          <w:tcPr>
            <w:tcW w:w="5387" w:type="dxa"/>
          </w:tcPr>
          <w:p w14:paraId="5A2F8F2A" w14:textId="7433BEF6" w:rsidR="00390AE4" w:rsidRPr="00060F0C" w:rsidRDefault="00390AE4" w:rsidP="00060F0C">
            <w:pPr>
              <w:pStyle w:val="Tabletext"/>
              <w:rPr>
                <w:rFonts w:eastAsia="SimSun"/>
                <w:sz w:val="20"/>
                <w:lang w:eastAsia="zh-CN"/>
              </w:rPr>
            </w:pPr>
            <w:bookmarkStart w:id="172" w:name="lt_pId445"/>
            <w:r w:rsidRPr="00060F0C">
              <w:rPr>
                <w:rFonts w:eastAsia="SimSun" w:hint="eastAsia"/>
                <w:sz w:val="20"/>
                <w:lang w:eastAsia="zh-CN"/>
              </w:rPr>
              <w:t>IPSAS 47</w:t>
            </w:r>
            <w:r w:rsidRPr="00060F0C">
              <w:rPr>
                <w:rFonts w:eastAsia="SimSun" w:hint="eastAsia"/>
                <w:sz w:val="20"/>
                <w:lang w:eastAsia="zh-CN"/>
              </w:rPr>
              <w:t>（收入）是公共部门收入会计指导的唯一来源，它介绍了基于约束性安排的两种会计模式。新准则提供的指导重点突出，帮助实体应用这些原则进行公共部门收入交易的会计处理。国际电联目前正在量化该准则对其财务账目的影响。</w:t>
            </w:r>
            <w:bookmarkEnd w:id="172"/>
          </w:p>
        </w:tc>
      </w:tr>
      <w:tr w:rsidR="00390AE4" w:rsidRPr="00060F0C" w14:paraId="400A7A38" w14:textId="77777777" w:rsidTr="00060F0C">
        <w:trPr>
          <w:trHeight w:val="300"/>
        </w:trPr>
        <w:tc>
          <w:tcPr>
            <w:tcW w:w="1275" w:type="dxa"/>
          </w:tcPr>
          <w:p w14:paraId="67A0AF67" w14:textId="77777777" w:rsidR="00390AE4" w:rsidRPr="00060F0C" w:rsidRDefault="00390AE4" w:rsidP="00060F0C">
            <w:pPr>
              <w:pStyle w:val="Tabletext"/>
              <w:rPr>
                <w:rFonts w:eastAsia="SimSun"/>
                <w:sz w:val="20"/>
              </w:rPr>
            </w:pPr>
            <w:bookmarkStart w:id="173" w:name="lt_pId448"/>
            <w:r w:rsidRPr="00060F0C">
              <w:rPr>
                <w:rFonts w:eastAsia="SimSun"/>
                <w:sz w:val="20"/>
              </w:rPr>
              <w:t>IPSAS 48</w:t>
            </w:r>
            <w:bookmarkEnd w:id="173"/>
          </w:p>
        </w:tc>
        <w:tc>
          <w:tcPr>
            <w:tcW w:w="1555" w:type="dxa"/>
          </w:tcPr>
          <w:p w14:paraId="1A76003A" w14:textId="77777777" w:rsidR="00390AE4" w:rsidRPr="00060F0C" w:rsidRDefault="00390AE4" w:rsidP="00060F0C">
            <w:pPr>
              <w:pStyle w:val="Tabletext"/>
              <w:rPr>
                <w:rFonts w:eastAsia="SimSun"/>
                <w:sz w:val="20"/>
              </w:rPr>
            </w:pPr>
            <w:r w:rsidRPr="00060F0C">
              <w:rPr>
                <w:rFonts w:eastAsia="SimSun" w:hint="eastAsia"/>
                <w:sz w:val="20"/>
              </w:rPr>
              <w:t>转账支出</w:t>
            </w:r>
          </w:p>
        </w:tc>
        <w:tc>
          <w:tcPr>
            <w:tcW w:w="1701" w:type="dxa"/>
          </w:tcPr>
          <w:p w14:paraId="3BF36393" w14:textId="77777777" w:rsidR="00390AE4" w:rsidRPr="00060F0C" w:rsidRDefault="00390AE4" w:rsidP="00060F0C">
            <w:pPr>
              <w:pStyle w:val="Tabletext"/>
              <w:rPr>
                <w:rFonts w:eastAsia="SimSun"/>
                <w:sz w:val="20"/>
              </w:rPr>
            </w:pPr>
            <w:r w:rsidRPr="00060F0C">
              <w:rPr>
                <w:rFonts w:eastAsia="SimSun"/>
                <w:sz w:val="20"/>
              </w:rPr>
              <w:t>2026</w:t>
            </w:r>
            <w:r w:rsidRPr="00060F0C">
              <w:rPr>
                <w:rFonts w:eastAsia="SimSun" w:hint="eastAsia"/>
                <w:sz w:val="20"/>
              </w:rPr>
              <w:t>年</w:t>
            </w:r>
            <w:r w:rsidRPr="00060F0C">
              <w:rPr>
                <w:rFonts w:eastAsia="SimSun"/>
                <w:sz w:val="20"/>
              </w:rPr>
              <w:t>1</w:t>
            </w:r>
            <w:r w:rsidRPr="00060F0C">
              <w:rPr>
                <w:rFonts w:eastAsia="SimSun" w:hint="eastAsia"/>
                <w:sz w:val="20"/>
              </w:rPr>
              <w:t>月</w:t>
            </w:r>
            <w:r w:rsidRPr="00060F0C">
              <w:rPr>
                <w:rFonts w:eastAsia="SimSun"/>
                <w:sz w:val="20"/>
              </w:rPr>
              <w:t>1</w:t>
            </w:r>
            <w:r w:rsidRPr="00060F0C">
              <w:rPr>
                <w:rFonts w:eastAsia="SimSun" w:hint="eastAsia"/>
                <w:sz w:val="20"/>
              </w:rPr>
              <w:t>日</w:t>
            </w:r>
          </w:p>
        </w:tc>
        <w:tc>
          <w:tcPr>
            <w:tcW w:w="5387" w:type="dxa"/>
          </w:tcPr>
          <w:p w14:paraId="033FC237" w14:textId="77777777" w:rsidR="00390AE4" w:rsidRPr="00060F0C" w:rsidRDefault="00390AE4" w:rsidP="00060F0C">
            <w:pPr>
              <w:pStyle w:val="Tabletext"/>
              <w:rPr>
                <w:rFonts w:eastAsia="SimSun"/>
                <w:sz w:val="20"/>
                <w:lang w:eastAsia="zh-CN"/>
              </w:rPr>
            </w:pPr>
            <w:bookmarkStart w:id="174" w:name="lt_pId452"/>
            <w:r w:rsidRPr="00060F0C">
              <w:rPr>
                <w:rFonts w:eastAsia="SimSun" w:hint="eastAsia"/>
                <w:sz w:val="20"/>
                <w:lang w:eastAsia="zh-CN"/>
              </w:rPr>
              <w:t>有关转账支出的</w:t>
            </w:r>
            <w:r w:rsidRPr="00060F0C">
              <w:rPr>
                <w:rFonts w:eastAsia="SimSun" w:hint="eastAsia"/>
                <w:sz w:val="20"/>
                <w:lang w:eastAsia="zh-CN"/>
              </w:rPr>
              <w:t>IPSAS</w:t>
            </w:r>
            <w:r w:rsidRPr="00060F0C">
              <w:rPr>
                <w:rFonts w:eastAsia="SimSun"/>
                <w:sz w:val="20"/>
                <w:lang w:eastAsia="zh-CN"/>
              </w:rPr>
              <w:t xml:space="preserve"> </w:t>
            </w:r>
            <w:r w:rsidRPr="00060F0C">
              <w:rPr>
                <w:rFonts w:eastAsia="SimSun" w:hint="eastAsia"/>
                <w:sz w:val="20"/>
                <w:lang w:eastAsia="zh-CN"/>
              </w:rPr>
              <w:t>48</w:t>
            </w:r>
            <w:r w:rsidRPr="00060F0C">
              <w:rPr>
                <w:rFonts w:eastAsia="SimSun" w:hint="eastAsia"/>
                <w:sz w:val="20"/>
                <w:lang w:eastAsia="zh-CN"/>
              </w:rPr>
              <w:t>准则为转账支出提供了会计指导，因为转账费用在许多公共部门实体支出中占有很大比重。该新准则填补了</w:t>
            </w:r>
            <w:r w:rsidRPr="00060F0C">
              <w:rPr>
                <w:rFonts w:eastAsia="SimSun" w:hint="eastAsia"/>
                <w:sz w:val="20"/>
                <w:lang w:eastAsia="zh-CN"/>
              </w:rPr>
              <w:t>IPSASB</w:t>
            </w:r>
            <w:r w:rsidRPr="00060F0C">
              <w:rPr>
                <w:rFonts w:eastAsia="SimSun" w:hint="eastAsia"/>
                <w:sz w:val="20"/>
                <w:lang w:eastAsia="zh-CN"/>
              </w:rPr>
              <w:t>文献中的一个重大空白并为帮助实体核算公共部门转账费用交易提供了指导。国际电联目前正在量化该准则对其财务账目的影响。</w:t>
            </w:r>
            <w:bookmarkEnd w:id="174"/>
          </w:p>
        </w:tc>
      </w:tr>
    </w:tbl>
    <w:p w14:paraId="20D2E034" w14:textId="4F2F9F0B" w:rsidR="00390AE4" w:rsidRPr="00390AE4" w:rsidRDefault="00390AE4" w:rsidP="008F71C7">
      <w:pPr>
        <w:spacing w:before="240"/>
        <w:ind w:firstLineChars="200" w:firstLine="480"/>
        <w:rPr>
          <w:lang w:eastAsia="zh-CN"/>
        </w:rPr>
      </w:pPr>
      <w:r w:rsidRPr="00390AE4">
        <w:rPr>
          <w:rFonts w:hint="eastAsia"/>
          <w:lang w:eastAsia="zh-CN"/>
        </w:rPr>
        <w:t>国际电联在未来财务报表生效日之前继续评估上述准则对未来财务报表的影响。</w:t>
      </w:r>
    </w:p>
    <w:p w14:paraId="54EFED34" w14:textId="77777777" w:rsidR="00390AE4" w:rsidRPr="00390AE4" w:rsidRDefault="00390AE4" w:rsidP="00060F0C">
      <w:pPr>
        <w:ind w:firstLineChars="200" w:firstLine="480"/>
        <w:rPr>
          <w:lang w:eastAsia="zh-CN"/>
        </w:rPr>
      </w:pPr>
      <w:r w:rsidRPr="00390AE4">
        <w:rPr>
          <w:rFonts w:hint="eastAsia"/>
          <w:lang w:eastAsia="zh-CN"/>
        </w:rPr>
        <w:t>此外，国际电联正关注生效日期的确定并通过联合国系统会计准则任务组积极参与</w:t>
      </w:r>
      <w:r w:rsidRPr="00390AE4">
        <w:rPr>
          <w:rFonts w:hint="eastAsia"/>
          <w:lang w:eastAsia="zh-CN"/>
        </w:rPr>
        <w:t>IPSAS</w:t>
      </w:r>
      <w:r w:rsidRPr="00390AE4">
        <w:rPr>
          <w:rFonts w:hint="eastAsia"/>
          <w:lang w:eastAsia="zh-CN"/>
        </w:rPr>
        <w:t>委员会的工作，同时注意到其实施可能对国际电联未来的财务报表产生影响。</w:t>
      </w:r>
    </w:p>
    <w:p w14:paraId="25ED7108" w14:textId="40570787" w:rsidR="00390AE4" w:rsidRPr="008F71C7" w:rsidRDefault="00232E78" w:rsidP="0023555A">
      <w:pPr>
        <w:pStyle w:val="Heading1"/>
        <w:tabs>
          <w:tab w:val="clear" w:pos="794"/>
        </w:tabs>
        <w:ind w:left="0" w:firstLine="0"/>
        <w:rPr>
          <w:sz w:val="24"/>
          <w:szCs w:val="24"/>
          <w:lang w:eastAsia="zh-CN"/>
        </w:rPr>
      </w:pPr>
      <w:bookmarkStart w:id="175" w:name="_Toc163723286"/>
      <w:r>
        <w:rPr>
          <w:rFonts w:hint="eastAsia"/>
          <w:sz w:val="24"/>
          <w:szCs w:val="24"/>
          <w:lang w:eastAsia="zh-CN"/>
        </w:rPr>
        <w:lastRenderedPageBreak/>
        <w:t>说明</w:t>
      </w:r>
      <w:r w:rsidR="00390AE4" w:rsidRPr="008F71C7">
        <w:rPr>
          <w:rFonts w:hint="eastAsia"/>
          <w:sz w:val="24"/>
          <w:szCs w:val="24"/>
          <w:lang w:eastAsia="zh-CN"/>
        </w:rPr>
        <w:t>3</w:t>
      </w:r>
      <w:r w:rsidR="00060F0C" w:rsidRPr="008F71C7">
        <w:rPr>
          <w:sz w:val="24"/>
          <w:szCs w:val="24"/>
          <w:lang w:eastAsia="zh-CN"/>
        </w:rPr>
        <w:tab/>
      </w:r>
      <w:r w:rsidR="00390AE4" w:rsidRPr="008F71C7">
        <w:rPr>
          <w:rFonts w:hint="eastAsia"/>
          <w:sz w:val="24"/>
          <w:szCs w:val="24"/>
          <w:lang w:eastAsia="zh-CN"/>
        </w:rPr>
        <w:t>重要会计政策</w:t>
      </w:r>
      <w:bookmarkEnd w:id="175"/>
    </w:p>
    <w:p w14:paraId="21160B96" w14:textId="4850C14D" w:rsidR="00390AE4" w:rsidRPr="00390AE4" w:rsidRDefault="00060F0C" w:rsidP="00060F0C">
      <w:pPr>
        <w:pStyle w:val="Heading2"/>
        <w:rPr>
          <w:lang w:eastAsia="zh-CN"/>
        </w:rPr>
      </w:pPr>
      <w:bookmarkStart w:id="176" w:name="_Toc482892544"/>
      <w:bookmarkStart w:id="177" w:name="_Toc305426929"/>
      <w:bookmarkStart w:id="178" w:name="_Toc41905845"/>
      <w:bookmarkStart w:id="179" w:name="_Toc73636244"/>
      <w:r>
        <w:rPr>
          <w:rFonts w:hint="eastAsia"/>
          <w:lang w:eastAsia="zh-CN"/>
        </w:rPr>
        <w:t>3</w:t>
      </w:r>
      <w:r>
        <w:rPr>
          <w:lang w:eastAsia="zh-CN"/>
        </w:rPr>
        <w:t>.1</w:t>
      </w:r>
      <w:r>
        <w:rPr>
          <w:lang w:eastAsia="zh-CN"/>
        </w:rPr>
        <w:tab/>
      </w:r>
      <w:r w:rsidR="00390AE4" w:rsidRPr="00390AE4">
        <w:rPr>
          <w:rFonts w:hint="eastAsia"/>
          <w:lang w:eastAsia="zh-CN"/>
        </w:rPr>
        <w:t>外汇</w:t>
      </w:r>
      <w:bookmarkEnd w:id="176"/>
      <w:bookmarkEnd w:id="177"/>
      <w:bookmarkEnd w:id="178"/>
      <w:bookmarkEnd w:id="179"/>
    </w:p>
    <w:p w14:paraId="65C73E80" w14:textId="77777777" w:rsidR="00390AE4" w:rsidRPr="00390AE4" w:rsidRDefault="00390AE4" w:rsidP="00060F0C">
      <w:pPr>
        <w:ind w:firstLineChars="200" w:firstLine="480"/>
        <w:rPr>
          <w:lang w:eastAsia="zh-CN"/>
        </w:rPr>
      </w:pPr>
      <w:bookmarkStart w:id="180" w:name="_Toc131156418"/>
      <w:bookmarkStart w:id="181" w:name="_Toc305764065"/>
      <w:r w:rsidRPr="00390AE4">
        <w:rPr>
          <w:rFonts w:hint="eastAsia"/>
          <w:lang w:eastAsia="zh-CN"/>
        </w:rPr>
        <w:t>瑞郎（</w:t>
      </w:r>
      <w:r w:rsidRPr="00390AE4">
        <w:rPr>
          <w:lang w:eastAsia="zh-CN"/>
        </w:rPr>
        <w:t>CHF</w:t>
      </w:r>
      <w:r w:rsidRPr="00390AE4">
        <w:rPr>
          <w:rFonts w:hint="eastAsia"/>
          <w:lang w:eastAsia="zh-CN"/>
        </w:rPr>
        <w:t>）是国际电联的功能货币，也是财务报表列报中使用的唯一货币。以瑞郎以外其他货币进行的交易按交易日当天联合国业务汇率（</w:t>
      </w:r>
      <w:r w:rsidRPr="00390AE4">
        <w:rPr>
          <w:lang w:eastAsia="zh-CN"/>
        </w:rPr>
        <w:t>UNORE</w:t>
      </w:r>
      <w:r w:rsidRPr="00390AE4">
        <w:rPr>
          <w:rFonts w:hint="eastAsia"/>
          <w:lang w:eastAsia="zh-CN"/>
        </w:rPr>
        <w:t>）转换为瑞郎。外汇货币资产和承诺在阶段结账日按当日</w:t>
      </w:r>
      <w:r w:rsidRPr="00390AE4">
        <w:rPr>
          <w:lang w:eastAsia="zh-CN"/>
        </w:rPr>
        <w:t>UNORE</w:t>
      </w:r>
      <w:r w:rsidRPr="00390AE4">
        <w:rPr>
          <w:rFonts w:hint="eastAsia"/>
          <w:lang w:eastAsia="zh-CN"/>
        </w:rPr>
        <w:t>汇率转换为瑞郎。因结账日此类交易结算和外汇资产及承诺兑换造成的汇率损益登记在财务业绩报表中。</w:t>
      </w:r>
    </w:p>
    <w:p w14:paraId="27B59981" w14:textId="77777777" w:rsidR="00390AE4" w:rsidRPr="00390AE4" w:rsidRDefault="00390AE4" w:rsidP="00060F0C">
      <w:pPr>
        <w:pStyle w:val="Heading2"/>
        <w:rPr>
          <w:lang w:eastAsia="zh-CN"/>
        </w:rPr>
      </w:pPr>
      <w:r w:rsidRPr="00390AE4">
        <w:rPr>
          <w:lang w:eastAsia="zh-CN"/>
        </w:rPr>
        <w:t>3.2</w:t>
      </w:r>
      <w:r w:rsidRPr="00390AE4">
        <w:rPr>
          <w:lang w:eastAsia="zh-CN"/>
        </w:rPr>
        <w:tab/>
      </w:r>
      <w:bookmarkStart w:id="182" w:name="_Toc482892545"/>
      <w:bookmarkStart w:id="183" w:name="_Toc41905846"/>
      <w:bookmarkStart w:id="184" w:name="_Toc73636245"/>
      <w:bookmarkEnd w:id="180"/>
      <w:r w:rsidRPr="00390AE4">
        <w:rPr>
          <w:rFonts w:hint="eastAsia"/>
          <w:lang w:eastAsia="zh-CN"/>
        </w:rPr>
        <w:t>金融工具</w:t>
      </w:r>
      <w:bookmarkEnd w:id="182"/>
      <w:bookmarkEnd w:id="183"/>
      <w:bookmarkEnd w:id="184"/>
    </w:p>
    <w:p w14:paraId="7CCEBE01" w14:textId="77777777" w:rsidR="00390AE4" w:rsidRPr="00390AE4" w:rsidRDefault="00390AE4" w:rsidP="00060F0C">
      <w:pPr>
        <w:ind w:firstLineChars="200" w:firstLine="480"/>
        <w:rPr>
          <w:lang w:eastAsia="zh-CN"/>
        </w:rPr>
      </w:pPr>
      <w:r w:rsidRPr="00390AE4">
        <w:rPr>
          <w:rFonts w:hint="eastAsia"/>
          <w:lang w:eastAsia="zh-CN"/>
        </w:rPr>
        <w:t>国际电联的金融工具包括：现金和短期存款、兑换和非兑换交易应收投资、应付账款、贷款和借款。</w:t>
      </w:r>
    </w:p>
    <w:p w14:paraId="225C2BE5" w14:textId="2000DCD9" w:rsidR="00390AE4" w:rsidRPr="002340DA" w:rsidRDefault="00390AE4" w:rsidP="002340DA">
      <w:pPr>
        <w:pStyle w:val="Heading3"/>
        <w:rPr>
          <w:rFonts w:asciiTheme="minorHAnsi" w:eastAsia="STKaiti" w:hAnsiTheme="minorHAnsi" w:cstheme="minorHAnsi"/>
          <w:b w:val="0"/>
          <w:bCs/>
          <w:i w:val="0"/>
          <w:iCs/>
          <w:lang w:eastAsia="zh-CN"/>
        </w:rPr>
      </w:pPr>
      <w:bookmarkStart w:id="185" w:name="_Toc131078186"/>
      <w:r w:rsidRPr="002340DA">
        <w:rPr>
          <w:rFonts w:asciiTheme="minorHAnsi" w:eastAsia="STKaiti" w:hAnsiTheme="minorHAnsi" w:cstheme="minorHAnsi"/>
          <w:b w:val="0"/>
          <w:bCs/>
          <w:i w:val="0"/>
          <w:iCs/>
          <w:lang w:eastAsia="zh-CN"/>
        </w:rPr>
        <w:t>3.2.1</w:t>
      </w:r>
      <w:bookmarkEnd w:id="185"/>
      <w:r w:rsidR="00060F0C" w:rsidRPr="002340DA">
        <w:rPr>
          <w:rFonts w:asciiTheme="minorHAnsi" w:eastAsia="STKaiti" w:hAnsiTheme="minorHAnsi" w:cstheme="minorHAnsi"/>
          <w:b w:val="0"/>
          <w:bCs/>
          <w:i w:val="0"/>
          <w:iCs/>
          <w:lang w:eastAsia="zh-CN"/>
        </w:rPr>
        <w:tab/>
      </w:r>
      <w:r w:rsidRPr="002340DA">
        <w:rPr>
          <w:rFonts w:asciiTheme="minorHAnsi" w:eastAsia="STKaiti" w:hAnsiTheme="minorHAnsi" w:cstheme="minorHAnsi"/>
          <w:b w:val="0"/>
          <w:bCs/>
          <w:i w:val="0"/>
          <w:iCs/>
          <w:lang w:eastAsia="zh-CN"/>
        </w:rPr>
        <w:t>现金和现金等价物</w:t>
      </w:r>
    </w:p>
    <w:bookmarkEnd w:id="181"/>
    <w:p w14:paraId="450CA9A9" w14:textId="77777777" w:rsidR="00390AE4" w:rsidRPr="00390AE4" w:rsidRDefault="00390AE4" w:rsidP="002340DA">
      <w:pPr>
        <w:ind w:firstLineChars="200" w:firstLine="480"/>
        <w:rPr>
          <w:lang w:eastAsia="zh-CN"/>
        </w:rPr>
      </w:pPr>
      <w:r w:rsidRPr="00390AE4">
        <w:rPr>
          <w:rFonts w:hint="eastAsia"/>
          <w:lang w:eastAsia="zh-CN"/>
        </w:rPr>
        <w:t>现金和现金等价物包括手头现金以及银行和存款账户中的现金。</w:t>
      </w:r>
    </w:p>
    <w:p w14:paraId="11D59E73" w14:textId="1BD14FA0" w:rsidR="00390AE4" w:rsidRPr="002340DA" w:rsidRDefault="00390AE4" w:rsidP="002340DA">
      <w:pPr>
        <w:pStyle w:val="Heading3"/>
        <w:rPr>
          <w:rFonts w:asciiTheme="minorHAnsi" w:eastAsia="STKaiti" w:hAnsiTheme="minorHAnsi" w:cstheme="minorHAnsi"/>
          <w:b w:val="0"/>
          <w:bCs/>
          <w:i w:val="0"/>
          <w:iCs/>
          <w:lang w:eastAsia="zh-CN"/>
        </w:rPr>
      </w:pPr>
      <w:r w:rsidRPr="002340DA">
        <w:rPr>
          <w:rFonts w:asciiTheme="minorHAnsi" w:eastAsia="STKaiti" w:hAnsiTheme="minorHAnsi" w:cstheme="minorHAnsi"/>
          <w:b w:val="0"/>
          <w:bCs/>
          <w:i w:val="0"/>
          <w:iCs/>
          <w:lang w:eastAsia="zh-CN"/>
        </w:rPr>
        <w:t>3.2.2</w:t>
      </w:r>
      <w:r w:rsidRPr="002340DA">
        <w:rPr>
          <w:rFonts w:asciiTheme="minorHAnsi" w:eastAsia="STKaiti" w:hAnsiTheme="minorHAnsi" w:cstheme="minorHAnsi"/>
          <w:b w:val="0"/>
          <w:bCs/>
          <w:i w:val="0"/>
          <w:iCs/>
          <w:lang w:eastAsia="zh-CN"/>
        </w:rPr>
        <w:tab/>
      </w:r>
      <w:r w:rsidRPr="002340DA">
        <w:rPr>
          <w:rFonts w:asciiTheme="minorHAnsi" w:eastAsia="STKaiti" w:hAnsiTheme="minorHAnsi" w:cstheme="minorHAnsi" w:hint="eastAsia"/>
          <w:b w:val="0"/>
          <w:bCs/>
          <w:i w:val="0"/>
          <w:iCs/>
          <w:lang w:eastAsia="zh-CN"/>
        </w:rPr>
        <w:t>投资</w:t>
      </w:r>
    </w:p>
    <w:p w14:paraId="4B2C6463" w14:textId="77777777" w:rsidR="00390AE4" w:rsidRPr="00390AE4" w:rsidRDefault="00390AE4" w:rsidP="002340DA">
      <w:pPr>
        <w:ind w:firstLineChars="200" w:firstLine="480"/>
        <w:rPr>
          <w:lang w:eastAsia="zh-CN"/>
        </w:rPr>
      </w:pPr>
      <w:r w:rsidRPr="00390AE4">
        <w:rPr>
          <w:rFonts w:hint="eastAsia"/>
          <w:lang w:eastAsia="zh-CN"/>
        </w:rPr>
        <w:t>投资包括存期为三至九个月，具有高流动性、可转换成为已知现金金额的定期存款，其价值变动风险可忽略不计。投资以公允价值最初通过盈余或赤字被确认为金融资产。投资根据其到期日是一年以内还是一年以上，在资产负债表中列为流动资产或非流动资产。</w:t>
      </w:r>
    </w:p>
    <w:p w14:paraId="0114162A" w14:textId="77777777" w:rsidR="00390AE4" w:rsidRPr="00390AE4" w:rsidRDefault="00390AE4" w:rsidP="002340DA">
      <w:pPr>
        <w:ind w:firstLineChars="200" w:firstLine="480"/>
        <w:rPr>
          <w:lang w:eastAsia="zh-CN"/>
        </w:rPr>
      </w:pPr>
      <w:r w:rsidRPr="00390AE4">
        <w:rPr>
          <w:rFonts w:hint="eastAsia"/>
          <w:lang w:eastAsia="zh-CN"/>
        </w:rPr>
        <w:t>国际电联的资金用于以下目的：</w:t>
      </w:r>
    </w:p>
    <w:p w14:paraId="7AA307D2" w14:textId="234E44F3" w:rsidR="00390AE4" w:rsidRPr="00390AE4" w:rsidRDefault="002340DA" w:rsidP="002340DA">
      <w:pPr>
        <w:pStyle w:val="enumlev1"/>
        <w:rPr>
          <w:lang w:eastAsia="zh-CN"/>
        </w:rPr>
      </w:pPr>
      <w:r w:rsidRPr="00E52A4A">
        <w:rPr>
          <w:lang w:eastAsia="zh-CN"/>
        </w:rPr>
        <w:t>•</w:t>
      </w:r>
      <w:r w:rsidRPr="00E52A4A">
        <w:rPr>
          <w:lang w:eastAsia="zh-CN"/>
        </w:rPr>
        <w:tab/>
      </w:r>
      <w:r w:rsidR="00390AE4" w:rsidRPr="00390AE4">
        <w:rPr>
          <w:rFonts w:hint="eastAsia"/>
          <w:lang w:eastAsia="zh-CN"/>
        </w:rPr>
        <w:t>保值。资本保值的目标至关重要，是投资政策的主要目标</w:t>
      </w:r>
      <w:r w:rsidR="008F71C7">
        <w:rPr>
          <w:rFonts w:hint="eastAsia"/>
          <w:lang w:eastAsia="zh-CN"/>
        </w:rPr>
        <w:t>；</w:t>
      </w:r>
    </w:p>
    <w:p w14:paraId="5B6FF6D4" w14:textId="7DE6C11A" w:rsidR="00390AE4" w:rsidRPr="00390AE4" w:rsidRDefault="002340DA" w:rsidP="002340DA">
      <w:pPr>
        <w:pStyle w:val="enumlev1"/>
        <w:rPr>
          <w:lang w:eastAsia="zh-CN"/>
        </w:rPr>
      </w:pPr>
      <w:r w:rsidRPr="00E52A4A">
        <w:rPr>
          <w:lang w:eastAsia="zh-CN"/>
        </w:rPr>
        <w:t>•</w:t>
      </w:r>
      <w:r w:rsidRPr="00E52A4A">
        <w:rPr>
          <w:lang w:eastAsia="zh-CN"/>
        </w:rPr>
        <w:tab/>
      </w:r>
      <w:r w:rsidR="00390AE4" w:rsidRPr="00390AE4">
        <w:rPr>
          <w:rFonts w:hint="eastAsia"/>
          <w:lang w:eastAsia="zh-CN"/>
        </w:rPr>
        <w:t>保持足够的流动资金，以按时偿还所有债务；和</w:t>
      </w:r>
    </w:p>
    <w:p w14:paraId="715D0BD6" w14:textId="42DE383D" w:rsidR="00390AE4" w:rsidRPr="00390AE4" w:rsidRDefault="002340DA" w:rsidP="002340DA">
      <w:pPr>
        <w:pStyle w:val="enumlev1"/>
        <w:rPr>
          <w:lang w:eastAsia="zh-CN"/>
        </w:rPr>
      </w:pPr>
      <w:r w:rsidRPr="00E52A4A">
        <w:rPr>
          <w:lang w:eastAsia="zh-CN"/>
        </w:rPr>
        <w:t>•</w:t>
      </w:r>
      <w:r w:rsidRPr="00E52A4A">
        <w:rPr>
          <w:lang w:eastAsia="zh-CN"/>
        </w:rPr>
        <w:tab/>
      </w:r>
      <w:r w:rsidR="00390AE4" w:rsidRPr="00390AE4">
        <w:rPr>
          <w:rFonts w:hint="eastAsia"/>
          <w:lang w:eastAsia="zh-CN"/>
        </w:rPr>
        <w:t>优化收益回报，符合上述保值和流动性的要求。</w:t>
      </w:r>
    </w:p>
    <w:p w14:paraId="13EC7E1C" w14:textId="095103C6" w:rsidR="00390AE4" w:rsidRPr="00390AE4" w:rsidRDefault="00390AE4" w:rsidP="002340DA">
      <w:pPr>
        <w:ind w:firstLineChars="200" w:firstLine="480"/>
        <w:rPr>
          <w:lang w:eastAsia="zh-CN"/>
        </w:rPr>
      </w:pPr>
      <w:r w:rsidRPr="00390AE4">
        <w:rPr>
          <w:rFonts w:hint="eastAsia"/>
          <w:lang w:eastAsia="zh-CN"/>
        </w:rPr>
        <w:t>投资的质量、安全性和流动性始终优先于投资回报率。</w:t>
      </w:r>
    </w:p>
    <w:p w14:paraId="72AEAC2B" w14:textId="5B05D1DD" w:rsidR="00390AE4" w:rsidRPr="002340DA" w:rsidRDefault="00390AE4" w:rsidP="002340DA">
      <w:pPr>
        <w:pStyle w:val="Heading3"/>
        <w:rPr>
          <w:rFonts w:asciiTheme="minorHAnsi" w:eastAsia="STKaiti" w:hAnsiTheme="minorHAnsi" w:cstheme="minorHAnsi"/>
          <w:b w:val="0"/>
          <w:bCs/>
          <w:i w:val="0"/>
          <w:iCs/>
          <w:lang w:eastAsia="zh-CN"/>
        </w:rPr>
      </w:pPr>
      <w:r w:rsidRPr="002340DA">
        <w:rPr>
          <w:rFonts w:asciiTheme="minorHAnsi" w:eastAsia="STKaiti" w:hAnsiTheme="minorHAnsi" w:cstheme="minorHAnsi"/>
          <w:b w:val="0"/>
          <w:bCs/>
          <w:i w:val="0"/>
          <w:iCs/>
          <w:lang w:eastAsia="zh-CN"/>
        </w:rPr>
        <w:t>3.2.3</w:t>
      </w:r>
      <w:r w:rsidR="00060F0C" w:rsidRPr="002340DA">
        <w:rPr>
          <w:rFonts w:asciiTheme="minorHAnsi" w:eastAsia="STKaiti" w:hAnsiTheme="minorHAnsi" w:cstheme="minorHAnsi"/>
          <w:b w:val="0"/>
          <w:bCs/>
          <w:i w:val="0"/>
          <w:iCs/>
          <w:lang w:eastAsia="zh-CN"/>
        </w:rPr>
        <w:tab/>
      </w:r>
      <w:r w:rsidRPr="002340DA">
        <w:rPr>
          <w:rFonts w:asciiTheme="minorHAnsi" w:eastAsia="STKaiti" w:hAnsiTheme="minorHAnsi" w:cstheme="minorHAnsi" w:hint="eastAsia"/>
          <w:b w:val="0"/>
          <w:bCs/>
          <w:i w:val="0"/>
          <w:iCs/>
          <w:lang w:eastAsia="zh-CN"/>
        </w:rPr>
        <w:t>金融负债和</w:t>
      </w:r>
      <w:r w:rsidRPr="002340DA">
        <w:rPr>
          <w:rFonts w:asciiTheme="minorHAnsi" w:eastAsia="STKaiti" w:hAnsiTheme="minorHAnsi" w:cstheme="minorHAnsi"/>
          <w:b w:val="0"/>
          <w:bCs/>
          <w:i w:val="0"/>
          <w:iCs/>
          <w:lang w:eastAsia="zh-CN"/>
        </w:rPr>
        <w:t>国际组织不动产基金</w:t>
      </w:r>
      <w:r w:rsidRPr="002340DA">
        <w:rPr>
          <w:rFonts w:asciiTheme="minorHAnsi" w:eastAsia="STKaiti" w:hAnsiTheme="minorHAnsi" w:cstheme="minorHAnsi" w:hint="eastAsia"/>
          <w:b w:val="0"/>
          <w:bCs/>
          <w:i w:val="0"/>
          <w:iCs/>
          <w:lang w:eastAsia="zh-CN"/>
        </w:rPr>
        <w:t>会（</w:t>
      </w:r>
      <w:r w:rsidRPr="002340DA">
        <w:rPr>
          <w:rFonts w:asciiTheme="minorHAnsi" w:eastAsia="STKaiti" w:hAnsiTheme="minorHAnsi" w:cstheme="minorHAnsi"/>
          <w:b w:val="0"/>
          <w:bCs/>
          <w:i w:val="0"/>
          <w:iCs/>
          <w:lang w:eastAsia="zh-CN"/>
        </w:rPr>
        <w:t>FIPOI</w:t>
      </w:r>
      <w:r w:rsidRPr="002340DA">
        <w:rPr>
          <w:rFonts w:asciiTheme="minorHAnsi" w:eastAsia="STKaiti" w:hAnsiTheme="minorHAnsi" w:cstheme="minorHAnsi"/>
          <w:b w:val="0"/>
          <w:bCs/>
          <w:i w:val="0"/>
          <w:iCs/>
          <w:lang w:eastAsia="zh-CN"/>
        </w:rPr>
        <w:t>）</w:t>
      </w:r>
      <w:r w:rsidRPr="002340DA">
        <w:rPr>
          <w:rFonts w:asciiTheme="minorHAnsi" w:eastAsia="STKaiti" w:hAnsiTheme="minorHAnsi" w:cstheme="minorHAnsi" w:hint="eastAsia"/>
          <w:b w:val="0"/>
          <w:bCs/>
          <w:i w:val="0"/>
          <w:iCs/>
          <w:lang w:eastAsia="zh-CN"/>
        </w:rPr>
        <w:t>贷款</w:t>
      </w:r>
    </w:p>
    <w:p w14:paraId="320FF013" w14:textId="77777777" w:rsidR="00390AE4" w:rsidRPr="00390AE4" w:rsidRDefault="00390AE4" w:rsidP="002340DA">
      <w:pPr>
        <w:ind w:firstLineChars="200" w:firstLine="480"/>
        <w:rPr>
          <w:lang w:eastAsia="zh-CN"/>
        </w:rPr>
      </w:pPr>
      <w:r w:rsidRPr="00390AE4">
        <w:rPr>
          <w:rFonts w:hint="eastAsia"/>
          <w:lang w:eastAsia="zh-CN"/>
        </w:rPr>
        <w:t>金融负债包括借款、其他融资、供货商和贸易应收款项。它们根据其到期日在一年之内还是在一年以上在资产负债表中列报为流动或非流动负债。</w:t>
      </w:r>
    </w:p>
    <w:p w14:paraId="2879C585" w14:textId="77777777" w:rsidR="00390AE4" w:rsidRPr="00390AE4" w:rsidRDefault="00390AE4" w:rsidP="002340DA">
      <w:pPr>
        <w:ind w:firstLineChars="200" w:firstLine="480"/>
        <w:rPr>
          <w:lang w:eastAsia="zh-CN"/>
        </w:rPr>
      </w:pPr>
      <w:r w:rsidRPr="00390AE4">
        <w:rPr>
          <w:rFonts w:hint="eastAsia"/>
          <w:lang w:eastAsia="zh-CN"/>
        </w:rPr>
        <w:t>这些财务报表中的借款数额包括国际组织不动产基金会（</w:t>
      </w:r>
      <w:r w:rsidRPr="00390AE4">
        <w:rPr>
          <w:rFonts w:hint="eastAsia"/>
          <w:lang w:eastAsia="zh-CN"/>
        </w:rPr>
        <w:t>FIPOI</w:t>
      </w:r>
      <w:r w:rsidRPr="00390AE4">
        <w:rPr>
          <w:rFonts w:hint="eastAsia"/>
          <w:lang w:eastAsia="zh-CN"/>
        </w:rPr>
        <w:t>）向国际电联提供的无息借款，借款用于建设国际电联办公楼。</w:t>
      </w:r>
    </w:p>
    <w:p w14:paraId="629B5721" w14:textId="6C3F8C29" w:rsidR="00390AE4" w:rsidRPr="00390AE4" w:rsidRDefault="00390AE4" w:rsidP="002340DA">
      <w:pPr>
        <w:ind w:firstLineChars="200" w:firstLine="480"/>
        <w:rPr>
          <w:lang w:eastAsia="zh-CN"/>
        </w:rPr>
      </w:pPr>
      <w:r w:rsidRPr="00390AE4">
        <w:rPr>
          <w:rFonts w:hint="eastAsia"/>
          <w:lang w:eastAsia="zh-CN"/>
        </w:rPr>
        <w:t>2022</w:t>
      </w:r>
      <w:r w:rsidRPr="00390AE4">
        <w:rPr>
          <w:rFonts w:hint="eastAsia"/>
          <w:lang w:eastAsia="zh-CN"/>
        </w:rPr>
        <w:t>年，国际电联对贷款的会计政策进行了修改。此前，国际电联贷款按票面价值而不是公允价值入账。经修订的优惠贷款会计政策最初以公允价值计量。使用截至</w:t>
      </w:r>
      <w:r w:rsidRPr="00390AE4">
        <w:rPr>
          <w:rFonts w:hint="eastAsia"/>
          <w:lang w:eastAsia="zh-CN"/>
        </w:rPr>
        <w:t>2022</w:t>
      </w:r>
      <w:r w:rsidRPr="00390AE4">
        <w:rPr>
          <w:rFonts w:hint="eastAsia"/>
          <w:lang w:eastAsia="zh-CN"/>
        </w:rPr>
        <w:t>年</w:t>
      </w:r>
      <w:r w:rsidRPr="00390AE4">
        <w:rPr>
          <w:rFonts w:hint="eastAsia"/>
          <w:lang w:eastAsia="zh-CN"/>
        </w:rPr>
        <w:t>12</w:t>
      </w:r>
      <w:r w:rsidRPr="00390AE4">
        <w:rPr>
          <w:rFonts w:hint="eastAsia"/>
          <w:lang w:eastAsia="zh-CN"/>
        </w:rPr>
        <w:t>月的瑞士联邦</w:t>
      </w:r>
      <w:r w:rsidRPr="00390AE4">
        <w:rPr>
          <w:rFonts w:hint="eastAsia"/>
          <w:lang w:eastAsia="zh-CN"/>
        </w:rPr>
        <w:t>30</w:t>
      </w:r>
      <w:r w:rsidRPr="00390AE4">
        <w:rPr>
          <w:rFonts w:hint="eastAsia"/>
          <w:lang w:eastAsia="zh-CN"/>
        </w:rPr>
        <w:t>年期债券利率</w:t>
      </w:r>
      <w:r w:rsidRPr="00390AE4">
        <w:rPr>
          <w:rFonts w:hint="eastAsia"/>
          <w:lang w:eastAsia="zh-CN"/>
        </w:rPr>
        <w:t>1.476%</w:t>
      </w:r>
      <w:r w:rsidRPr="00390AE4">
        <w:rPr>
          <w:rFonts w:hint="eastAsia"/>
          <w:lang w:eastAsia="zh-CN"/>
        </w:rPr>
        <w:t>（</w:t>
      </w:r>
      <w:r w:rsidRPr="00390AE4">
        <w:rPr>
          <w:rFonts w:hint="eastAsia"/>
          <w:lang w:eastAsia="zh-CN"/>
        </w:rPr>
        <w:t>2021</w:t>
      </w:r>
      <w:r w:rsidRPr="00390AE4">
        <w:rPr>
          <w:rFonts w:hint="eastAsia"/>
          <w:lang w:eastAsia="zh-CN"/>
        </w:rPr>
        <w:t>年为</w:t>
      </w:r>
      <w:r w:rsidR="00E86EB5" w:rsidRPr="00624399">
        <w:rPr>
          <w:lang w:val="es-ES" w:eastAsia="zh-CN"/>
        </w:rPr>
        <w:t>−</w:t>
      </w:r>
      <w:r w:rsidRPr="00390AE4">
        <w:rPr>
          <w:rFonts w:hint="eastAsia"/>
          <w:lang w:eastAsia="zh-CN"/>
        </w:rPr>
        <w:t>0.095%</w:t>
      </w:r>
      <w:r w:rsidRPr="00390AE4">
        <w:rPr>
          <w:rFonts w:hint="eastAsia"/>
          <w:lang w:eastAsia="zh-CN"/>
        </w:rPr>
        <w:t>），未偿还贷款金额已贴现。</w:t>
      </w:r>
      <w:r w:rsidRPr="00390AE4">
        <w:rPr>
          <w:rFonts w:hint="eastAsia"/>
          <w:lang w:eastAsia="zh-CN"/>
        </w:rPr>
        <w:t>2022</w:t>
      </w:r>
      <w:r w:rsidRPr="00390AE4">
        <w:rPr>
          <w:rFonts w:hint="eastAsia"/>
          <w:lang w:eastAsia="zh-CN"/>
        </w:rPr>
        <w:t>年对此进行了修订，随后对会计交易进行了重报，以反映国际电联未偿贷款的公允价值。更多细节见注</w:t>
      </w:r>
      <w:r w:rsidRPr="00390AE4">
        <w:rPr>
          <w:rFonts w:hint="eastAsia"/>
          <w:lang w:eastAsia="zh-CN"/>
        </w:rPr>
        <w:t>17</w:t>
      </w:r>
      <w:r w:rsidRPr="00390AE4">
        <w:rPr>
          <w:rFonts w:hint="eastAsia"/>
          <w:lang w:eastAsia="zh-CN"/>
        </w:rPr>
        <w:t>和</w:t>
      </w:r>
      <w:r w:rsidRPr="00390AE4">
        <w:rPr>
          <w:rFonts w:hint="eastAsia"/>
          <w:lang w:eastAsia="zh-CN"/>
        </w:rPr>
        <w:t>30</w:t>
      </w:r>
      <w:r w:rsidRPr="00390AE4">
        <w:rPr>
          <w:rFonts w:hint="eastAsia"/>
          <w:lang w:eastAsia="zh-CN"/>
        </w:rPr>
        <w:t>（说明会计政策变更的影响）。</w:t>
      </w:r>
    </w:p>
    <w:p w14:paraId="7C6A88B1" w14:textId="77777777" w:rsidR="00390AE4" w:rsidRPr="00390AE4" w:rsidRDefault="00390AE4" w:rsidP="002340DA">
      <w:pPr>
        <w:ind w:firstLineChars="200" w:firstLine="480"/>
        <w:rPr>
          <w:lang w:eastAsia="zh-CN"/>
        </w:rPr>
      </w:pPr>
      <w:r w:rsidRPr="00390AE4">
        <w:rPr>
          <w:rFonts w:hint="eastAsia"/>
          <w:lang w:eastAsia="zh-CN"/>
        </w:rPr>
        <w:t>国际电联总部办公楼区域位于日内瓦州拥有的土地上。国际电联对日内瓦州拥有的土地拥有地面使用权。根据地表权利协议（“</w:t>
      </w:r>
      <w:r w:rsidRPr="00390AE4">
        <w:rPr>
          <w:lang w:eastAsia="zh-CN"/>
        </w:rPr>
        <w:t>droits de superficie</w:t>
      </w:r>
      <w:r w:rsidRPr="00390AE4">
        <w:rPr>
          <w:rFonts w:hint="eastAsia"/>
          <w:lang w:eastAsia="zh-CN"/>
        </w:rPr>
        <w:t>”），国际电联在</w:t>
      </w:r>
      <w:r w:rsidRPr="00390AE4">
        <w:rPr>
          <w:rFonts w:hint="eastAsia"/>
          <w:lang w:eastAsia="zh-CN"/>
        </w:rPr>
        <w:t>2079</w:t>
      </w:r>
      <w:r w:rsidRPr="00390AE4">
        <w:rPr>
          <w:rFonts w:hint="eastAsia"/>
          <w:lang w:eastAsia="zh-CN"/>
        </w:rPr>
        <w:t>年</w:t>
      </w:r>
      <w:r w:rsidRPr="00390AE4">
        <w:rPr>
          <w:rFonts w:hint="eastAsia"/>
          <w:lang w:eastAsia="zh-CN"/>
        </w:rPr>
        <w:t>12</w:t>
      </w:r>
      <w:r w:rsidRPr="00390AE4">
        <w:rPr>
          <w:rFonts w:hint="eastAsia"/>
          <w:lang w:eastAsia="zh-CN"/>
        </w:rPr>
        <w:t>月</w:t>
      </w:r>
      <w:r w:rsidRPr="00390AE4">
        <w:rPr>
          <w:rFonts w:hint="eastAsia"/>
          <w:lang w:eastAsia="zh-CN"/>
        </w:rPr>
        <w:t>31</w:t>
      </w:r>
      <w:r w:rsidRPr="00390AE4">
        <w:rPr>
          <w:rFonts w:hint="eastAsia"/>
          <w:lang w:eastAsia="zh-CN"/>
        </w:rPr>
        <w:t>日前拥有土地使用权。土地不归国际电联所有，地面使用权是无偿授予的。没有确认土地价值，因为本组织无法在商业交易中处置这些权利。计算国际电联</w:t>
      </w:r>
      <w:r w:rsidRPr="00390AE4">
        <w:rPr>
          <w:rFonts w:hint="eastAsia"/>
          <w:lang w:eastAsia="zh-CN"/>
        </w:rPr>
        <w:lastRenderedPageBreak/>
        <w:t>总部办公楼折旧所用的使用寿命是国际电联总部办公楼相关组件的使用寿命或底层地面权协议期限中较小者。</w:t>
      </w:r>
    </w:p>
    <w:p w14:paraId="23C8C40F" w14:textId="128753BF" w:rsidR="00390AE4" w:rsidRPr="002340DA" w:rsidRDefault="00390AE4" w:rsidP="002340DA">
      <w:pPr>
        <w:pStyle w:val="Heading3"/>
        <w:rPr>
          <w:rFonts w:asciiTheme="minorHAnsi" w:eastAsia="STKaiti" w:hAnsiTheme="minorHAnsi" w:cstheme="minorHAnsi"/>
          <w:b w:val="0"/>
          <w:bCs/>
          <w:i w:val="0"/>
          <w:iCs/>
          <w:lang w:eastAsia="zh-CN"/>
        </w:rPr>
      </w:pPr>
      <w:r w:rsidRPr="002340DA">
        <w:rPr>
          <w:rFonts w:asciiTheme="minorHAnsi" w:eastAsia="STKaiti" w:hAnsiTheme="minorHAnsi" w:cstheme="minorHAnsi"/>
          <w:b w:val="0"/>
          <w:bCs/>
          <w:i w:val="0"/>
          <w:iCs/>
          <w:lang w:eastAsia="zh-CN"/>
        </w:rPr>
        <w:t>3.2.4</w:t>
      </w:r>
      <w:r w:rsidR="00060F0C" w:rsidRPr="002340DA">
        <w:rPr>
          <w:rFonts w:asciiTheme="minorHAnsi" w:eastAsia="STKaiti" w:hAnsiTheme="minorHAnsi" w:cstheme="minorHAnsi"/>
          <w:b w:val="0"/>
          <w:bCs/>
          <w:i w:val="0"/>
          <w:iCs/>
          <w:lang w:eastAsia="zh-CN"/>
        </w:rPr>
        <w:tab/>
      </w:r>
      <w:r w:rsidRPr="002340DA">
        <w:rPr>
          <w:rFonts w:asciiTheme="minorHAnsi" w:eastAsia="STKaiti" w:hAnsiTheme="minorHAnsi" w:cstheme="minorHAnsi" w:hint="eastAsia"/>
          <w:b w:val="0"/>
          <w:bCs/>
          <w:i w:val="0"/>
          <w:iCs/>
          <w:lang w:eastAsia="zh-CN"/>
        </w:rPr>
        <w:t>应收款项</w:t>
      </w:r>
    </w:p>
    <w:p w14:paraId="68163921" w14:textId="77777777" w:rsidR="00390AE4" w:rsidRPr="00390AE4" w:rsidRDefault="00390AE4" w:rsidP="002340DA">
      <w:pPr>
        <w:ind w:firstLineChars="200" w:firstLine="480"/>
        <w:rPr>
          <w:lang w:eastAsia="zh-CN"/>
        </w:rPr>
      </w:pPr>
      <w:bookmarkStart w:id="186" w:name="lt_pId499"/>
      <w:r w:rsidRPr="00390AE4">
        <w:rPr>
          <w:rFonts w:hint="eastAsia"/>
          <w:lang w:eastAsia="zh-CN"/>
        </w:rPr>
        <w:t>国际电联的应收账款被归类为应收款，而贷款则是具有固定或可确定到期日且不在活跃市场上交易的非衍生金融资产</w:t>
      </w:r>
      <w:bookmarkEnd w:id="186"/>
      <w:r w:rsidRPr="00390AE4">
        <w:rPr>
          <w:rFonts w:hint="eastAsia"/>
          <w:lang w:eastAsia="zh-CN"/>
        </w:rPr>
        <w:t>。这些金融资产是在国际电联与第三方达成合同约定时形成的，在与上述金融资产相关的现金转让执行后且与上述资产相关的风险和利益亦转移给国际电联后终止。有关资产包含在流动资产中，但到期日在结账日之后</w:t>
      </w:r>
      <w:r w:rsidRPr="00390AE4">
        <w:rPr>
          <w:rFonts w:hint="eastAsia"/>
          <w:lang w:eastAsia="zh-CN"/>
        </w:rPr>
        <w:t>1</w:t>
      </w:r>
      <w:r w:rsidRPr="00390AE4">
        <w:rPr>
          <w:lang w:eastAsia="zh-CN"/>
        </w:rPr>
        <w:t>2</w:t>
      </w:r>
      <w:r w:rsidRPr="00390AE4">
        <w:rPr>
          <w:rFonts w:hint="eastAsia"/>
          <w:lang w:eastAsia="zh-CN"/>
        </w:rPr>
        <w:t>个月以上的资产除外，这些资产属于非流动资产类别。</w:t>
      </w:r>
    </w:p>
    <w:p w14:paraId="379AA458" w14:textId="77777777" w:rsidR="00390AE4" w:rsidRPr="00390AE4" w:rsidRDefault="00390AE4" w:rsidP="002340DA">
      <w:pPr>
        <w:ind w:firstLineChars="200" w:firstLine="480"/>
        <w:rPr>
          <w:highlight w:val="cyan"/>
          <w:lang w:eastAsia="zh-CN"/>
        </w:rPr>
      </w:pPr>
      <w:r w:rsidRPr="00390AE4">
        <w:rPr>
          <w:rFonts w:hint="eastAsia"/>
          <w:lang w:eastAsia="zh-CN"/>
        </w:rPr>
        <w:t>应收款项分为两个不同类别，即由交换交易产生的应收款项，如销售出版物或卫星网络申报资料；以及非交换应收款项，特别是与国际电联分摊会费相关的应收款项，也包括自愿捐款和赞助。</w:t>
      </w:r>
    </w:p>
    <w:p w14:paraId="429F9963" w14:textId="77777777" w:rsidR="00390AE4" w:rsidRPr="00390AE4" w:rsidRDefault="00390AE4" w:rsidP="002340DA">
      <w:pPr>
        <w:ind w:firstLineChars="200" w:firstLine="480"/>
        <w:rPr>
          <w:lang w:eastAsia="zh-CN"/>
        </w:rPr>
      </w:pPr>
      <w:r w:rsidRPr="00390AE4">
        <w:rPr>
          <w:rFonts w:hint="eastAsia"/>
          <w:lang w:eastAsia="zh-CN"/>
        </w:rPr>
        <w:t>应收款项按摊销成本确认。在年度结账时对可疑债务进行审查时，应根据可疑债务储备金进行调整。</w:t>
      </w:r>
    </w:p>
    <w:p w14:paraId="7FCC477F" w14:textId="77777777" w:rsidR="00390AE4" w:rsidRPr="00390AE4" w:rsidRDefault="00390AE4" w:rsidP="002340DA">
      <w:pPr>
        <w:ind w:firstLineChars="200" w:firstLine="480"/>
        <w:rPr>
          <w:lang w:eastAsia="zh-CN"/>
        </w:rPr>
      </w:pPr>
      <w:bookmarkStart w:id="187" w:name="lt_pId508"/>
      <w:r w:rsidRPr="00390AE4">
        <w:rPr>
          <w:rFonts w:hint="eastAsia"/>
          <w:lang w:eastAsia="zh-CN"/>
        </w:rPr>
        <w:t>国际电联在每个报告日评估是否有金融资产受损的客观证据。当且仅当有客观证据表明，在最初确认资产后发生的一个或多个事件对可可靠估计的金融资产或一组金融资产的估算未来现金流产生影响，则该金融资产或一组金融资产被视为减值。通过使用备抵账户，资产的账面价值被减少，损失金额被确认为盈余或赤字。</w:t>
      </w:r>
      <w:bookmarkEnd w:id="187"/>
      <w:r w:rsidRPr="00390AE4">
        <w:rPr>
          <w:rFonts w:hint="eastAsia"/>
          <w:lang w:eastAsia="zh-CN"/>
        </w:rPr>
        <w:t>在随后的一年中，如果由于确认减值后发生的事件而导致估计减值损失金额增加或减少，则通过调整备抵账目增加或减少先前确认的减值损失。如果稍后收回一笔注销金额，则收回款项记入盈余或赤字收入。</w:t>
      </w:r>
    </w:p>
    <w:p w14:paraId="599B8CD4" w14:textId="77777777" w:rsidR="00390AE4" w:rsidRPr="00390AE4" w:rsidRDefault="00390AE4" w:rsidP="002340DA">
      <w:pPr>
        <w:pStyle w:val="Headingb"/>
        <w:rPr>
          <w:lang w:eastAsia="zh-CN"/>
        </w:rPr>
      </w:pPr>
      <w:bookmarkStart w:id="188" w:name="_Toc482892546"/>
      <w:bookmarkStart w:id="189" w:name="_Toc41905847"/>
      <w:bookmarkStart w:id="190" w:name="_Toc73636246"/>
      <w:bookmarkStart w:id="191" w:name="lt_pId514"/>
      <w:r w:rsidRPr="00390AE4">
        <w:rPr>
          <w:rFonts w:hint="eastAsia"/>
          <w:lang w:eastAsia="zh-CN"/>
        </w:rPr>
        <w:t>应收款项减损准备金的确定</w:t>
      </w:r>
      <w:bookmarkEnd w:id="188"/>
      <w:bookmarkEnd w:id="189"/>
      <w:bookmarkEnd w:id="190"/>
    </w:p>
    <w:p w14:paraId="3F768AAA" w14:textId="77777777" w:rsidR="00390AE4" w:rsidRPr="00390AE4" w:rsidRDefault="00390AE4" w:rsidP="002340DA">
      <w:pPr>
        <w:ind w:firstLineChars="200" w:firstLine="480"/>
        <w:rPr>
          <w:lang w:eastAsia="zh-CN"/>
        </w:rPr>
      </w:pPr>
      <w:r w:rsidRPr="00390AE4">
        <w:rPr>
          <w:rFonts w:hint="eastAsia"/>
          <w:lang w:eastAsia="zh-CN"/>
        </w:rPr>
        <w:t>评估是否需要设立或修改资产减损准备金是按照应收款项的性质，以下列应收款项类别为基础进行的：</w:t>
      </w:r>
    </w:p>
    <w:p w14:paraId="41B279F1" w14:textId="77777777" w:rsidR="00390AE4" w:rsidRPr="00390AE4" w:rsidRDefault="00390AE4" w:rsidP="00390AE4">
      <w:pPr>
        <w:rPr>
          <w:lang w:eastAsia="zh-CN"/>
        </w:rPr>
      </w:pPr>
      <w:r w:rsidRPr="00390AE4">
        <w:rPr>
          <w:lang w:eastAsia="zh-CN"/>
        </w:rPr>
        <w:t xml:space="preserve">1 – </w:t>
      </w:r>
      <w:r w:rsidRPr="00390AE4">
        <w:rPr>
          <w:rFonts w:hint="eastAsia"/>
          <w:lang w:eastAsia="zh-CN"/>
        </w:rPr>
        <w:t>成员国</w:t>
      </w:r>
    </w:p>
    <w:p w14:paraId="76FCF8C0" w14:textId="77777777" w:rsidR="00390AE4" w:rsidRPr="00390AE4" w:rsidRDefault="00390AE4" w:rsidP="002340DA">
      <w:pPr>
        <w:ind w:firstLineChars="200" w:firstLine="480"/>
        <w:rPr>
          <w:lang w:eastAsia="zh-CN"/>
        </w:rPr>
      </w:pPr>
      <w:r w:rsidRPr="00390AE4">
        <w:rPr>
          <w:rFonts w:hint="eastAsia"/>
          <w:lang w:eastAsia="zh-CN"/>
        </w:rPr>
        <w:t>根据国际电联《组织法》第</w:t>
      </w:r>
      <w:r w:rsidRPr="00390AE4">
        <w:rPr>
          <w:lang w:eastAsia="zh-CN"/>
        </w:rPr>
        <w:t>28</w:t>
      </w:r>
      <w:r w:rsidRPr="00390AE4">
        <w:rPr>
          <w:rFonts w:hint="eastAsia"/>
          <w:lang w:eastAsia="zh-CN"/>
        </w:rPr>
        <w:t>条第</w:t>
      </w:r>
      <w:r w:rsidRPr="00390AE4">
        <w:rPr>
          <w:lang w:eastAsia="zh-CN"/>
        </w:rPr>
        <w:t>169</w:t>
      </w:r>
      <w:r w:rsidRPr="00390AE4">
        <w:rPr>
          <w:rFonts w:hint="eastAsia"/>
          <w:lang w:eastAsia="zh-CN"/>
        </w:rPr>
        <w:t>款，对国际电联欠款的成员国在其欠款金额等于或大于前两个年度应付会费的总额时，应丧失其按《组织法》第</w:t>
      </w:r>
      <w:r w:rsidRPr="00390AE4">
        <w:rPr>
          <w:lang w:eastAsia="zh-CN"/>
        </w:rPr>
        <w:t>27</w:t>
      </w:r>
      <w:r w:rsidRPr="00390AE4">
        <w:rPr>
          <w:rFonts w:hint="eastAsia"/>
          <w:lang w:eastAsia="zh-CN"/>
        </w:rPr>
        <w:t>和</w:t>
      </w:r>
      <w:r w:rsidRPr="00390AE4">
        <w:rPr>
          <w:lang w:eastAsia="zh-CN"/>
        </w:rPr>
        <w:t>28</w:t>
      </w:r>
      <w:r w:rsidRPr="00390AE4">
        <w:rPr>
          <w:rFonts w:hint="eastAsia"/>
          <w:lang w:eastAsia="zh-CN"/>
        </w:rPr>
        <w:t>款的规定而享有的表决权。</w:t>
      </w:r>
    </w:p>
    <w:bookmarkEnd w:id="191"/>
    <w:p w14:paraId="61DFD4A9" w14:textId="77777777" w:rsidR="00390AE4" w:rsidRPr="00390AE4" w:rsidRDefault="00390AE4" w:rsidP="002340DA">
      <w:pPr>
        <w:ind w:firstLineChars="200" w:firstLine="480"/>
        <w:rPr>
          <w:lang w:eastAsia="zh-CN"/>
        </w:rPr>
      </w:pPr>
      <w:r w:rsidRPr="00390AE4">
        <w:rPr>
          <w:rFonts w:hint="eastAsia"/>
          <w:lang w:eastAsia="zh-CN"/>
        </w:rPr>
        <w:t>根据该规则，为欠款两年以上的成员国设立准备金，按照每季度发出的财务通知进行评定和跟踪。减值根据次年初发布的当年最后一个季度的通知计算。</w:t>
      </w:r>
    </w:p>
    <w:p w14:paraId="62EE3B6C" w14:textId="77777777" w:rsidR="00390AE4" w:rsidRPr="00390AE4" w:rsidRDefault="00390AE4" w:rsidP="002340DA">
      <w:pPr>
        <w:ind w:firstLineChars="200" w:firstLine="480"/>
        <w:rPr>
          <w:lang w:eastAsia="zh-CN"/>
        </w:rPr>
      </w:pPr>
      <w:r w:rsidRPr="00390AE4">
        <w:rPr>
          <w:rFonts w:hint="eastAsia"/>
          <w:lang w:eastAsia="zh-CN"/>
        </w:rPr>
        <w:t>根据《组织法》第</w:t>
      </w:r>
      <w:r w:rsidRPr="00390AE4">
        <w:rPr>
          <w:rFonts w:hint="eastAsia"/>
          <w:lang w:eastAsia="zh-CN"/>
        </w:rPr>
        <w:t>28</w:t>
      </w:r>
      <w:r w:rsidRPr="00390AE4">
        <w:rPr>
          <w:rFonts w:hint="eastAsia"/>
          <w:lang w:eastAsia="zh-CN"/>
        </w:rPr>
        <w:t>条的规定，减值金额相当于尚未支付的债务的</w:t>
      </w:r>
      <w:r w:rsidRPr="00390AE4">
        <w:rPr>
          <w:rFonts w:hint="eastAsia"/>
          <w:lang w:eastAsia="zh-CN"/>
        </w:rPr>
        <w:t>100%</w:t>
      </w:r>
      <w:r w:rsidRPr="00390AE4">
        <w:rPr>
          <w:rFonts w:hint="eastAsia"/>
          <w:lang w:eastAsia="zh-CN"/>
        </w:rPr>
        <w:t>，加上自首次拖欠付款以来对所有成员国收取的欠款利息（这些欠款金额等于或超过此前两年应付会费的数额）。</w:t>
      </w:r>
    </w:p>
    <w:p w14:paraId="686A8AE1" w14:textId="77777777" w:rsidR="00390AE4" w:rsidRPr="00390AE4" w:rsidRDefault="00390AE4" w:rsidP="00390AE4">
      <w:pPr>
        <w:rPr>
          <w:lang w:eastAsia="zh-CN"/>
        </w:rPr>
      </w:pPr>
      <w:bookmarkStart w:id="192" w:name="lt_pId519"/>
      <w:r w:rsidRPr="00390AE4">
        <w:rPr>
          <w:lang w:eastAsia="zh-CN"/>
        </w:rPr>
        <w:t xml:space="preserve">2 – </w:t>
      </w:r>
      <w:r w:rsidRPr="00390AE4">
        <w:rPr>
          <w:rFonts w:hint="eastAsia"/>
          <w:lang w:eastAsia="zh-CN"/>
        </w:rPr>
        <w:t>部门成员、部门准成员和学术成员</w:t>
      </w:r>
    </w:p>
    <w:bookmarkEnd w:id="192"/>
    <w:p w14:paraId="5A5EC21D" w14:textId="77777777" w:rsidR="00390AE4" w:rsidRPr="00390AE4" w:rsidRDefault="00390AE4" w:rsidP="002340DA">
      <w:pPr>
        <w:ind w:firstLineChars="200" w:firstLine="480"/>
        <w:rPr>
          <w:lang w:eastAsia="zh-CN"/>
        </w:rPr>
      </w:pPr>
      <w:r w:rsidRPr="00390AE4">
        <w:rPr>
          <w:rFonts w:hint="eastAsia"/>
          <w:lang w:eastAsia="zh-CN"/>
        </w:rPr>
        <w:t>有关部门成员和部门准成员，第</w:t>
      </w:r>
      <w:r w:rsidRPr="00390AE4">
        <w:rPr>
          <w:lang w:eastAsia="zh-CN"/>
        </w:rPr>
        <w:t>152</w:t>
      </w:r>
      <w:r w:rsidRPr="00390AE4">
        <w:rPr>
          <w:rFonts w:hint="eastAsia"/>
          <w:lang w:eastAsia="zh-CN"/>
        </w:rPr>
        <w:t>号决议（</w:t>
      </w:r>
      <w:r w:rsidRPr="00390AE4">
        <w:rPr>
          <w:lang w:eastAsia="zh-CN"/>
        </w:rPr>
        <w:t>2014</w:t>
      </w:r>
      <w:r w:rsidRPr="00390AE4">
        <w:rPr>
          <w:rFonts w:hint="eastAsia"/>
          <w:lang w:eastAsia="zh-CN"/>
        </w:rPr>
        <w:t>年，釜山，修订版）在</w:t>
      </w:r>
      <w:r w:rsidRPr="00B07ACB">
        <w:rPr>
          <w:rFonts w:ascii="STKaiti" w:eastAsia="STKaiti" w:hAnsi="STKaiti" w:hint="eastAsia"/>
          <w:lang w:eastAsia="zh-CN"/>
        </w:rPr>
        <w:t>做出决议</w:t>
      </w:r>
      <w:r w:rsidRPr="00390AE4">
        <w:rPr>
          <w:lang w:eastAsia="zh-CN"/>
        </w:rPr>
        <w:t>6</w:t>
      </w:r>
      <w:r w:rsidRPr="00390AE4">
        <w:rPr>
          <w:rFonts w:hint="eastAsia"/>
          <w:lang w:eastAsia="zh-CN"/>
        </w:rPr>
        <w:t>中规定：如果逾期支付，将会在年度会费缴付到期日的六个月（</w:t>
      </w:r>
      <w:r w:rsidRPr="00390AE4">
        <w:rPr>
          <w:lang w:eastAsia="zh-CN"/>
        </w:rPr>
        <w:t>180</w:t>
      </w:r>
      <w:r w:rsidRPr="00390AE4">
        <w:rPr>
          <w:rFonts w:hint="eastAsia"/>
          <w:lang w:eastAsia="zh-CN"/>
        </w:rPr>
        <w:t>天）之后暂停其参与国际电联活动；在没有磋商或协议还款时间表的情况下，因为不缴付而将部门成员或部门准成员开除须在暂停通知收到日的三个月（</w:t>
      </w:r>
      <w:r w:rsidRPr="00390AE4">
        <w:rPr>
          <w:lang w:eastAsia="zh-CN"/>
        </w:rPr>
        <w:t>90</w:t>
      </w:r>
      <w:r w:rsidRPr="00390AE4">
        <w:rPr>
          <w:rFonts w:hint="eastAsia"/>
          <w:lang w:eastAsia="zh-CN"/>
        </w:rPr>
        <w:t>天）之后生效。</w:t>
      </w:r>
    </w:p>
    <w:p w14:paraId="0049AD5A" w14:textId="77777777" w:rsidR="00390AE4" w:rsidRPr="00390AE4" w:rsidRDefault="00390AE4" w:rsidP="002340DA">
      <w:pPr>
        <w:ind w:firstLineChars="200" w:firstLine="480"/>
        <w:rPr>
          <w:lang w:eastAsia="zh-CN"/>
        </w:rPr>
      </w:pPr>
      <w:bookmarkStart w:id="193" w:name="_Toc305764069"/>
      <w:r w:rsidRPr="00390AE4">
        <w:rPr>
          <w:rFonts w:hint="eastAsia"/>
          <w:lang w:eastAsia="zh-CN"/>
        </w:rPr>
        <w:t>所有两年以上的未缴付债务，包括欠款利息，都应留出</w:t>
      </w:r>
      <w:r w:rsidRPr="00390AE4">
        <w:rPr>
          <w:lang w:eastAsia="zh-CN"/>
        </w:rPr>
        <w:t>100%</w:t>
      </w:r>
      <w:r w:rsidRPr="00390AE4">
        <w:rPr>
          <w:rFonts w:hint="eastAsia"/>
          <w:lang w:eastAsia="zh-CN"/>
        </w:rPr>
        <w:t>的准备金。</w:t>
      </w:r>
    </w:p>
    <w:p w14:paraId="258C0EDE" w14:textId="77777777" w:rsidR="00390AE4" w:rsidRPr="00390AE4" w:rsidRDefault="00390AE4" w:rsidP="00390AE4">
      <w:pPr>
        <w:rPr>
          <w:lang w:eastAsia="zh-CN"/>
        </w:rPr>
      </w:pPr>
      <w:r w:rsidRPr="00390AE4">
        <w:rPr>
          <w:lang w:eastAsia="zh-CN"/>
        </w:rPr>
        <w:lastRenderedPageBreak/>
        <w:t xml:space="preserve">3 – </w:t>
      </w:r>
      <w:r w:rsidRPr="00390AE4">
        <w:rPr>
          <w:rFonts w:hint="eastAsia"/>
          <w:lang w:eastAsia="zh-CN"/>
        </w:rPr>
        <w:t>卫星网络申报（</w:t>
      </w:r>
      <w:r w:rsidRPr="00390AE4">
        <w:rPr>
          <w:lang w:eastAsia="zh-CN"/>
        </w:rPr>
        <w:t>SNF</w:t>
      </w:r>
      <w:r w:rsidRPr="00390AE4">
        <w:rPr>
          <w:rFonts w:hint="eastAsia"/>
          <w:lang w:eastAsia="zh-CN"/>
        </w:rPr>
        <w:t>）收入</w:t>
      </w:r>
    </w:p>
    <w:p w14:paraId="092324D5" w14:textId="77777777" w:rsidR="00390AE4" w:rsidRPr="00390AE4" w:rsidRDefault="00390AE4" w:rsidP="002340DA">
      <w:pPr>
        <w:ind w:firstLineChars="200" w:firstLine="480"/>
        <w:rPr>
          <w:lang w:eastAsia="zh-CN"/>
        </w:rPr>
      </w:pPr>
      <w:r w:rsidRPr="00390AE4">
        <w:rPr>
          <w:rFonts w:hint="eastAsia"/>
          <w:lang w:eastAsia="zh-CN"/>
        </w:rPr>
        <w:t>在出现逾期缴付时，国际电联设立</w:t>
      </w:r>
      <w:r w:rsidRPr="00390AE4">
        <w:rPr>
          <w:lang w:eastAsia="zh-CN"/>
        </w:rPr>
        <w:t>SNF</w:t>
      </w:r>
      <w:r w:rsidRPr="00390AE4">
        <w:rPr>
          <w:rFonts w:hint="eastAsia"/>
          <w:lang w:eastAsia="zh-CN"/>
        </w:rPr>
        <w:t>发票准备，包括自逾期日起</w:t>
      </w:r>
      <w:r w:rsidRPr="00390AE4">
        <w:rPr>
          <w:lang w:eastAsia="zh-CN"/>
        </w:rPr>
        <w:t>6%</w:t>
      </w:r>
      <w:r w:rsidRPr="00390AE4">
        <w:rPr>
          <w:rFonts w:hint="eastAsia"/>
          <w:lang w:eastAsia="zh-CN"/>
        </w:rPr>
        <w:t>的欠款利息。由于这种发票可在六个月内支付，在列报后当年</w:t>
      </w:r>
      <w:r w:rsidRPr="00390AE4">
        <w:rPr>
          <w:lang w:eastAsia="zh-CN"/>
        </w:rPr>
        <w:t>12</w:t>
      </w:r>
      <w:r w:rsidRPr="00390AE4">
        <w:rPr>
          <w:rFonts w:hint="eastAsia"/>
          <w:lang w:eastAsia="zh-CN"/>
        </w:rPr>
        <w:t>月</w:t>
      </w:r>
      <w:r w:rsidRPr="00390AE4">
        <w:rPr>
          <w:lang w:eastAsia="zh-CN"/>
        </w:rPr>
        <w:t>31</w:t>
      </w:r>
      <w:r w:rsidRPr="00390AE4">
        <w:rPr>
          <w:rFonts w:hint="eastAsia"/>
          <w:lang w:eastAsia="zh-CN"/>
        </w:rPr>
        <w:t>日将设立</w:t>
      </w:r>
      <w:r w:rsidRPr="00390AE4">
        <w:rPr>
          <w:lang w:eastAsia="zh-CN"/>
        </w:rPr>
        <w:t>100%</w:t>
      </w:r>
      <w:r w:rsidRPr="00390AE4">
        <w:rPr>
          <w:rFonts w:hint="eastAsia"/>
          <w:lang w:eastAsia="zh-CN"/>
        </w:rPr>
        <w:t>的准备金。</w:t>
      </w:r>
    </w:p>
    <w:p w14:paraId="2448BA80" w14:textId="77777777" w:rsidR="00390AE4" w:rsidRPr="00390AE4" w:rsidRDefault="00390AE4" w:rsidP="00390AE4">
      <w:pPr>
        <w:rPr>
          <w:lang w:eastAsia="zh-CN"/>
        </w:rPr>
      </w:pPr>
      <w:r w:rsidRPr="00390AE4">
        <w:rPr>
          <w:lang w:eastAsia="zh-CN"/>
        </w:rPr>
        <w:t xml:space="preserve">4 – </w:t>
      </w:r>
      <w:r w:rsidRPr="00390AE4">
        <w:rPr>
          <w:rFonts w:hint="eastAsia"/>
          <w:lang w:eastAsia="zh-CN"/>
        </w:rPr>
        <w:t>出版物</w:t>
      </w:r>
    </w:p>
    <w:p w14:paraId="1527800B" w14:textId="77777777" w:rsidR="00390AE4" w:rsidRPr="00390AE4" w:rsidRDefault="00390AE4" w:rsidP="002340DA">
      <w:pPr>
        <w:ind w:firstLineChars="200" w:firstLine="480"/>
        <w:rPr>
          <w:lang w:eastAsia="zh-CN"/>
        </w:rPr>
      </w:pPr>
      <w:r w:rsidRPr="00390AE4">
        <w:rPr>
          <w:rFonts w:hint="eastAsia"/>
          <w:lang w:eastAsia="zh-CN"/>
        </w:rPr>
        <w:t>多数出版物是款项预付，但成员国主管部门例外。该准备的设立完全遵循成员国和部门成员会费采用的原则。</w:t>
      </w:r>
    </w:p>
    <w:p w14:paraId="2767DAAC" w14:textId="6CA4785D" w:rsidR="00390AE4" w:rsidRPr="00390AE4" w:rsidRDefault="00390AE4" w:rsidP="002340DA">
      <w:pPr>
        <w:pStyle w:val="Heading2"/>
        <w:rPr>
          <w:lang w:eastAsia="zh-CN"/>
        </w:rPr>
      </w:pPr>
      <w:bookmarkStart w:id="194" w:name="_Toc131156421"/>
      <w:r w:rsidRPr="00390AE4">
        <w:rPr>
          <w:lang w:eastAsia="zh-CN"/>
        </w:rPr>
        <w:t>3.3</w:t>
      </w:r>
      <w:r w:rsidRPr="00390AE4">
        <w:rPr>
          <w:lang w:eastAsia="zh-CN"/>
        </w:rPr>
        <w:tab/>
      </w:r>
      <w:bookmarkStart w:id="195" w:name="_Toc482892548"/>
      <w:bookmarkStart w:id="196" w:name="_Toc329011617"/>
      <w:bookmarkStart w:id="197" w:name="_Toc41905849"/>
      <w:bookmarkStart w:id="198" w:name="_Toc73636248"/>
      <w:bookmarkEnd w:id="193"/>
      <w:bookmarkEnd w:id="194"/>
      <w:r w:rsidRPr="00390AE4">
        <w:rPr>
          <w:rFonts w:hint="eastAsia"/>
          <w:lang w:eastAsia="zh-CN"/>
        </w:rPr>
        <w:t>库存</w:t>
      </w:r>
      <w:bookmarkEnd w:id="195"/>
      <w:bookmarkEnd w:id="196"/>
      <w:bookmarkEnd w:id="197"/>
      <w:bookmarkEnd w:id="198"/>
    </w:p>
    <w:p w14:paraId="563CC68F" w14:textId="77777777" w:rsidR="00390AE4" w:rsidRPr="00390AE4" w:rsidRDefault="00390AE4" w:rsidP="002340DA">
      <w:pPr>
        <w:ind w:firstLineChars="200" w:firstLine="480"/>
        <w:rPr>
          <w:lang w:eastAsia="zh-CN"/>
        </w:rPr>
      </w:pPr>
      <w:bookmarkStart w:id="199" w:name="lt_pId532"/>
      <w:r w:rsidRPr="00390AE4">
        <w:rPr>
          <w:rFonts w:hint="eastAsia"/>
          <w:lang w:eastAsia="zh-CN"/>
        </w:rPr>
        <w:t>库存包括带有国际电联标志的出版物和纪念品以及消耗品、维护原材料和未划拨的用来维护具体资产的零部件备件的储藏。</w:t>
      </w:r>
    </w:p>
    <w:p w14:paraId="749A4020" w14:textId="77777777" w:rsidR="00390AE4" w:rsidRPr="00390AE4" w:rsidRDefault="00390AE4" w:rsidP="002340DA">
      <w:pPr>
        <w:ind w:firstLineChars="200" w:firstLine="480"/>
        <w:rPr>
          <w:lang w:eastAsia="zh-CN"/>
        </w:rPr>
      </w:pPr>
      <w:r w:rsidRPr="00390AE4">
        <w:rPr>
          <w:rFonts w:hint="eastAsia"/>
          <w:lang w:eastAsia="zh-CN"/>
        </w:rPr>
        <w:t>消耗品的库存采用加权平均成本方法计价。组织内所有性质和用途与此类似的库存采用同样方法计价。</w:t>
      </w:r>
    </w:p>
    <w:p w14:paraId="5C9B0635" w14:textId="77777777" w:rsidR="00390AE4" w:rsidRPr="00390AE4" w:rsidRDefault="00390AE4" w:rsidP="002340DA">
      <w:pPr>
        <w:ind w:firstLineChars="200" w:firstLine="480"/>
        <w:rPr>
          <w:lang w:eastAsia="zh-CN"/>
        </w:rPr>
      </w:pPr>
      <w:bookmarkStart w:id="200" w:name="lt_pId533"/>
      <w:bookmarkEnd w:id="199"/>
      <w:r w:rsidRPr="00390AE4">
        <w:rPr>
          <w:rFonts w:hint="eastAsia"/>
          <w:lang w:eastAsia="zh-CN"/>
        </w:rPr>
        <w:t>出版物根据一种每年更新的比率而制定的标准成本计价。</w:t>
      </w:r>
      <w:bookmarkEnd w:id="200"/>
      <w:r w:rsidRPr="00390AE4">
        <w:rPr>
          <w:rFonts w:hint="eastAsia"/>
          <w:lang w:eastAsia="zh-CN"/>
        </w:rPr>
        <w:t>标准成本不包括直接人员成本；然而，纸张成本增长了</w:t>
      </w:r>
      <w:r w:rsidRPr="00390AE4">
        <w:rPr>
          <w:lang w:eastAsia="zh-CN"/>
        </w:rPr>
        <w:t>253%</w:t>
      </w:r>
      <w:r w:rsidRPr="00390AE4">
        <w:rPr>
          <w:rFonts w:hint="eastAsia"/>
          <w:lang w:eastAsia="zh-CN"/>
        </w:rPr>
        <w:t>，代表着与印制相关的直接成本。净可实现价值代表着估计售价减去估计的出版物生产、销售和发行成本。</w:t>
      </w:r>
    </w:p>
    <w:p w14:paraId="4249FF63" w14:textId="77777777" w:rsidR="00390AE4" w:rsidRPr="00390AE4" w:rsidRDefault="00390AE4" w:rsidP="002340DA">
      <w:pPr>
        <w:ind w:firstLineChars="200" w:firstLine="480"/>
        <w:rPr>
          <w:lang w:eastAsia="zh-CN"/>
        </w:rPr>
      </w:pPr>
      <w:r w:rsidRPr="00390AE4">
        <w:rPr>
          <w:rFonts w:hint="eastAsia"/>
          <w:lang w:eastAsia="zh-CN"/>
        </w:rPr>
        <w:t>如果库存出版物的分发价格为零或象征性成本，则按成本或可变现净值中的较低者估价。</w:t>
      </w:r>
    </w:p>
    <w:p w14:paraId="2BD75487" w14:textId="77777777" w:rsidR="00390AE4" w:rsidRPr="00390AE4" w:rsidRDefault="00390AE4" w:rsidP="002340DA">
      <w:pPr>
        <w:ind w:firstLineChars="200" w:firstLine="480"/>
        <w:rPr>
          <w:lang w:eastAsia="zh-CN"/>
        </w:rPr>
      </w:pPr>
      <w:bookmarkStart w:id="201" w:name="lt_pId537"/>
      <w:r w:rsidRPr="00390AE4">
        <w:rPr>
          <w:rFonts w:hint="eastAsia"/>
          <w:lang w:eastAsia="zh-CN"/>
        </w:rPr>
        <w:t>每年对所有库存进行一次实物盘点。</w:t>
      </w:r>
      <w:bookmarkEnd w:id="201"/>
      <w:r w:rsidRPr="00390AE4">
        <w:rPr>
          <w:rFonts w:hint="eastAsia"/>
          <w:lang w:eastAsia="zh-CN"/>
        </w:rPr>
        <w:t>在每个结账日，如有迹象表明库存可能会贬值，则进行折旧。出版物的计价分两步：首先，根据每年实物盘点时的损坏状况，之后再看出版物是否过时。本组织亦确定以往认可的损失亏损是递减还是消失了。如有此类迹象，则对库存的净可实现价值或重置价值进行估值和更新。</w:t>
      </w:r>
    </w:p>
    <w:p w14:paraId="7ED29788" w14:textId="77777777" w:rsidR="00390AE4" w:rsidRPr="00390AE4" w:rsidRDefault="00390AE4" w:rsidP="002340DA">
      <w:pPr>
        <w:ind w:firstLineChars="200" w:firstLine="480"/>
        <w:rPr>
          <w:lang w:eastAsia="zh-CN"/>
        </w:rPr>
      </w:pPr>
      <w:bookmarkStart w:id="202" w:name="_Toc305764070"/>
      <w:r w:rsidRPr="00390AE4">
        <w:rPr>
          <w:rFonts w:hint="eastAsia"/>
          <w:lang w:eastAsia="zh-CN"/>
        </w:rPr>
        <w:t>已不再出售或免费发行的出版物和物品的净置存金额将降至零。</w:t>
      </w:r>
    </w:p>
    <w:p w14:paraId="700C2A19" w14:textId="7CAA678A" w:rsidR="00390AE4" w:rsidRPr="00390AE4" w:rsidRDefault="00390AE4" w:rsidP="002340DA">
      <w:pPr>
        <w:pStyle w:val="Heading2"/>
        <w:rPr>
          <w:lang w:eastAsia="zh-CN"/>
        </w:rPr>
      </w:pPr>
      <w:bookmarkStart w:id="203" w:name="_Toc131156422"/>
      <w:r w:rsidRPr="00390AE4">
        <w:rPr>
          <w:lang w:eastAsia="zh-CN"/>
        </w:rPr>
        <w:t>3.4</w:t>
      </w:r>
      <w:r w:rsidRPr="00390AE4">
        <w:rPr>
          <w:lang w:eastAsia="zh-CN"/>
        </w:rPr>
        <w:tab/>
      </w:r>
      <w:bookmarkStart w:id="204" w:name="_Toc482892549"/>
      <w:bookmarkStart w:id="205" w:name="_Toc329011618"/>
      <w:bookmarkStart w:id="206" w:name="_Toc305426933"/>
      <w:bookmarkStart w:id="207" w:name="_Toc41905850"/>
      <w:bookmarkStart w:id="208" w:name="_Toc73636249"/>
      <w:bookmarkEnd w:id="202"/>
      <w:bookmarkEnd w:id="203"/>
      <w:r w:rsidRPr="00390AE4">
        <w:rPr>
          <w:rFonts w:hint="eastAsia"/>
          <w:lang w:eastAsia="zh-CN"/>
        </w:rPr>
        <w:t>物业和设备</w:t>
      </w:r>
      <w:bookmarkEnd w:id="204"/>
      <w:bookmarkEnd w:id="205"/>
      <w:bookmarkEnd w:id="206"/>
      <w:bookmarkEnd w:id="207"/>
      <w:bookmarkEnd w:id="208"/>
    </w:p>
    <w:p w14:paraId="36A32471" w14:textId="70B8A934" w:rsidR="00390AE4" w:rsidRPr="00390AE4" w:rsidRDefault="00390AE4" w:rsidP="002340DA">
      <w:pPr>
        <w:ind w:firstLineChars="200" w:firstLine="480"/>
        <w:rPr>
          <w:lang w:eastAsia="zh-CN"/>
        </w:rPr>
      </w:pPr>
      <w:r w:rsidRPr="00390AE4">
        <w:rPr>
          <w:rFonts w:hint="eastAsia"/>
          <w:lang w:eastAsia="zh-CN"/>
        </w:rPr>
        <w:t>国际电联拥有的物业和设备的估值方法是历史成本减去累计折旧和累计价值减损。</w:t>
      </w:r>
    </w:p>
    <w:p w14:paraId="2BB9C870" w14:textId="721C2609" w:rsidR="00390AE4" w:rsidRPr="002340DA" w:rsidRDefault="00390AE4" w:rsidP="002340DA">
      <w:pPr>
        <w:pStyle w:val="Headingi"/>
        <w:rPr>
          <w:rFonts w:eastAsia="STKaiti"/>
          <w:i w:val="0"/>
          <w:iCs/>
          <w:lang w:eastAsia="zh-CN"/>
        </w:rPr>
      </w:pPr>
      <w:r w:rsidRPr="00390AE4">
        <w:rPr>
          <w:lang w:eastAsia="zh-CN"/>
        </w:rPr>
        <w:tab/>
      </w:r>
      <w:r w:rsidRPr="002340DA">
        <w:rPr>
          <w:rFonts w:eastAsia="STKaiti" w:hint="eastAsia"/>
          <w:i w:val="0"/>
          <w:iCs/>
          <w:lang w:eastAsia="zh-CN"/>
        </w:rPr>
        <w:t>增购</w:t>
      </w:r>
    </w:p>
    <w:p w14:paraId="114B2BCF" w14:textId="77777777" w:rsidR="00390AE4" w:rsidRPr="00390AE4" w:rsidRDefault="00390AE4" w:rsidP="002340DA">
      <w:pPr>
        <w:ind w:firstLineChars="200" w:firstLine="480"/>
        <w:rPr>
          <w:lang w:eastAsia="zh-CN"/>
        </w:rPr>
      </w:pPr>
      <w:r w:rsidRPr="00390AE4">
        <w:rPr>
          <w:rFonts w:hint="eastAsia"/>
          <w:lang w:eastAsia="zh-CN"/>
        </w:rPr>
        <w:t>如果与</w:t>
      </w:r>
      <w:r w:rsidRPr="00390AE4">
        <w:rPr>
          <w:rFonts w:hint="eastAsia"/>
          <w:lang w:eastAsia="zh-CN"/>
        </w:rPr>
        <w:t>PP&amp;E</w:t>
      </w:r>
      <w:r w:rsidRPr="00390AE4">
        <w:rPr>
          <w:rFonts w:hint="eastAsia"/>
          <w:lang w:eastAsia="zh-CN"/>
        </w:rPr>
        <w:t>物业项目相关的未来经济利益或服务潜力可能归于国际电联，并且该物业的成本能够可靠地计量，则该物业的成本被视为资产。捐赠资产时，其初始成本以资产在收购之日的公允价值计量。</w:t>
      </w:r>
    </w:p>
    <w:p w14:paraId="20EB24B3" w14:textId="4ACA1DAB" w:rsidR="00390AE4" w:rsidRPr="00390AE4" w:rsidRDefault="00390AE4" w:rsidP="002340DA">
      <w:pPr>
        <w:pStyle w:val="Headingi"/>
        <w:rPr>
          <w:lang w:eastAsia="zh-CN"/>
        </w:rPr>
      </w:pPr>
      <w:r w:rsidRPr="00390AE4">
        <w:rPr>
          <w:lang w:eastAsia="zh-CN"/>
        </w:rPr>
        <w:tab/>
      </w:r>
      <w:r w:rsidRPr="002340DA">
        <w:rPr>
          <w:rFonts w:eastAsia="STKaiti" w:hint="eastAsia"/>
          <w:i w:val="0"/>
          <w:iCs/>
          <w:lang w:eastAsia="zh-CN"/>
        </w:rPr>
        <w:t>处置</w:t>
      </w:r>
    </w:p>
    <w:p w14:paraId="77EBB519" w14:textId="77777777" w:rsidR="00390AE4" w:rsidRPr="00390AE4" w:rsidRDefault="00390AE4" w:rsidP="002340DA">
      <w:pPr>
        <w:ind w:firstLineChars="200" w:firstLine="480"/>
        <w:rPr>
          <w:lang w:eastAsia="zh-CN"/>
        </w:rPr>
      </w:pPr>
      <w:r w:rsidRPr="00390AE4">
        <w:rPr>
          <w:rFonts w:hint="eastAsia"/>
          <w:lang w:eastAsia="zh-CN"/>
        </w:rPr>
        <w:t>处置损益是通过将收益与资产账面价值进行比较来确定的，并包含在财务业绩表中。</w:t>
      </w:r>
    </w:p>
    <w:p w14:paraId="25C5F06C" w14:textId="4304747A" w:rsidR="00390AE4" w:rsidRPr="00390AE4" w:rsidRDefault="00390AE4" w:rsidP="002340DA">
      <w:pPr>
        <w:pStyle w:val="Headingi"/>
        <w:rPr>
          <w:lang w:eastAsia="zh-CN"/>
        </w:rPr>
      </w:pPr>
      <w:r w:rsidRPr="00390AE4">
        <w:rPr>
          <w:lang w:eastAsia="zh-CN"/>
        </w:rPr>
        <w:tab/>
      </w:r>
      <w:r w:rsidRPr="002340DA">
        <w:rPr>
          <w:rFonts w:eastAsia="STKaiti" w:hint="eastAsia"/>
          <w:i w:val="0"/>
          <w:iCs/>
          <w:lang w:eastAsia="zh-CN"/>
        </w:rPr>
        <w:t>后续费用</w:t>
      </w:r>
    </w:p>
    <w:p w14:paraId="35A51FF9" w14:textId="77777777" w:rsidR="00390AE4" w:rsidRPr="00390AE4" w:rsidRDefault="00390AE4" w:rsidP="002340DA">
      <w:pPr>
        <w:ind w:firstLineChars="200" w:firstLine="480"/>
        <w:rPr>
          <w:lang w:eastAsia="zh-CN"/>
        </w:rPr>
      </w:pPr>
      <w:bookmarkStart w:id="209" w:name="lt_pId551"/>
      <w:r w:rsidRPr="00390AE4">
        <w:rPr>
          <w:rFonts w:hint="eastAsia"/>
          <w:lang w:eastAsia="zh-CN"/>
        </w:rPr>
        <w:t>仅当与该项目相关的未来经济利益或服务潜力很可能归于国际电联并且该项目的成本能够可靠计量时，初始购置后产生的成本才予以资本化。</w:t>
      </w:r>
      <w:bookmarkEnd w:id="209"/>
    </w:p>
    <w:p w14:paraId="1AC86AE7" w14:textId="58079B19" w:rsidR="00390AE4" w:rsidRPr="00390AE4" w:rsidRDefault="00390AE4" w:rsidP="002340DA">
      <w:pPr>
        <w:ind w:firstLineChars="200" w:firstLine="480"/>
        <w:rPr>
          <w:lang w:eastAsia="zh-CN"/>
        </w:rPr>
      </w:pPr>
      <w:bookmarkStart w:id="210" w:name="lt_pId553"/>
      <w:r w:rsidRPr="00390AE4">
        <w:rPr>
          <w:rFonts w:hint="eastAsia"/>
          <w:lang w:eastAsia="zh-CN"/>
        </w:rPr>
        <w:t>价值等于或高于</w:t>
      </w:r>
      <w:r w:rsidRPr="00390AE4">
        <w:rPr>
          <w:lang w:eastAsia="zh-CN"/>
        </w:rPr>
        <w:t>5</w:t>
      </w:r>
      <w:r w:rsidR="00737E4E">
        <w:rPr>
          <w:lang w:eastAsia="zh-CN"/>
        </w:rPr>
        <w:t xml:space="preserve"> </w:t>
      </w:r>
      <w:r w:rsidRPr="00390AE4">
        <w:rPr>
          <w:lang w:eastAsia="zh-CN"/>
        </w:rPr>
        <w:t>000</w:t>
      </w:r>
      <w:r w:rsidRPr="00390AE4">
        <w:rPr>
          <w:rFonts w:hint="eastAsia"/>
          <w:lang w:eastAsia="zh-CN"/>
        </w:rPr>
        <w:t>瑞郎的货物在收到时予以资本化，之后直接折旧。</w:t>
      </w:r>
    </w:p>
    <w:bookmarkEnd w:id="210"/>
    <w:p w14:paraId="15B9D26C" w14:textId="77777777" w:rsidR="00390AE4" w:rsidRPr="00390AE4" w:rsidRDefault="00390AE4" w:rsidP="002340DA">
      <w:pPr>
        <w:ind w:firstLineChars="200" w:firstLine="480"/>
        <w:rPr>
          <w:lang w:eastAsia="zh-CN"/>
        </w:rPr>
      </w:pPr>
      <w:r w:rsidRPr="00390AE4">
        <w:rPr>
          <w:rFonts w:hint="eastAsia"/>
          <w:lang w:eastAsia="zh-CN"/>
        </w:rPr>
        <w:lastRenderedPageBreak/>
        <w:t>当固定资产包括若干具有不同使用寿命的重要组成部分时，各组成部分单独确认。折旧按照各项目的估计使用寿命直接计算，酌情考虑到最后残值阶段。资产的残值和使用寿命以及折旧方法在每年结账时需审议并在必要时做出调整。</w:t>
      </w:r>
    </w:p>
    <w:p w14:paraId="14CA3D0C" w14:textId="77777777" w:rsidR="00390AE4" w:rsidRPr="00390AE4" w:rsidRDefault="00390AE4" w:rsidP="002340DA">
      <w:pPr>
        <w:ind w:firstLineChars="200" w:firstLine="480"/>
        <w:rPr>
          <w:lang w:eastAsia="zh-CN"/>
        </w:rPr>
      </w:pPr>
      <w:r w:rsidRPr="00390AE4">
        <w:rPr>
          <w:rFonts w:hint="eastAsia"/>
          <w:lang w:eastAsia="zh-CN"/>
        </w:rPr>
        <w:t>与预算外活动项目（特别是联合国开发计划署的项目、各国执行项目和自愿捐款）相关的物业和设备在获得后的月结账时在财务业绩报表中全部确认为费用，因为它们不受国际电联的控制。</w:t>
      </w:r>
    </w:p>
    <w:p w14:paraId="3D5431F0" w14:textId="773A9785" w:rsidR="00390AE4" w:rsidRPr="00390AE4" w:rsidRDefault="00390AE4" w:rsidP="002340DA">
      <w:pPr>
        <w:ind w:firstLineChars="200" w:firstLine="480"/>
        <w:rPr>
          <w:lang w:eastAsia="zh-CN"/>
        </w:rPr>
      </w:pPr>
      <w:r w:rsidRPr="00390AE4">
        <w:rPr>
          <w:rFonts w:hint="eastAsia"/>
          <w:lang w:eastAsia="zh-CN"/>
        </w:rPr>
        <w:t>下表说明了资产的有效使用寿命。</w:t>
      </w:r>
    </w:p>
    <w:p w14:paraId="18176FBA" w14:textId="445AFB0C" w:rsidR="00390AE4" w:rsidRPr="00390AE4" w:rsidRDefault="00B66D6D" w:rsidP="00BF02A4">
      <w:pPr>
        <w:pStyle w:val="Figure"/>
      </w:pPr>
      <w:r w:rsidRPr="00B66D6D">
        <w:rPr>
          <w:noProof/>
        </w:rPr>
        <w:drawing>
          <wp:inline distT="0" distB="0" distL="0" distR="0" wp14:anchorId="0AA547B7" wp14:editId="53597949">
            <wp:extent cx="3721100" cy="4206240"/>
            <wp:effectExtent l="0" t="0" r="0" b="3810"/>
            <wp:docPr id="153687670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21100" cy="4206240"/>
                    </a:xfrm>
                    <a:prstGeom prst="rect">
                      <a:avLst/>
                    </a:prstGeom>
                    <a:noFill/>
                    <a:ln>
                      <a:noFill/>
                    </a:ln>
                  </pic:spPr>
                </pic:pic>
              </a:graphicData>
            </a:graphic>
          </wp:inline>
        </w:drawing>
      </w:r>
      <w:bookmarkStart w:id="211" w:name="lt_pId559"/>
    </w:p>
    <w:p w14:paraId="0A1EE7B2" w14:textId="6D5D89E7" w:rsidR="00390AE4" w:rsidRPr="00390AE4" w:rsidRDefault="00390AE4" w:rsidP="00480F68">
      <w:pPr>
        <w:spacing w:before="240"/>
        <w:ind w:firstLineChars="200" w:firstLine="480"/>
        <w:rPr>
          <w:lang w:eastAsia="zh-CN"/>
        </w:rPr>
      </w:pPr>
      <w:r w:rsidRPr="00390AE4">
        <w:rPr>
          <w:rFonts w:hint="eastAsia"/>
          <w:lang w:eastAsia="zh-CN"/>
        </w:rPr>
        <w:t>在每年的结账日，国际电联评估资产是否具有减值迹象。</w:t>
      </w:r>
      <w:bookmarkStart w:id="212" w:name="lt_pId560"/>
      <w:bookmarkEnd w:id="211"/>
      <w:r w:rsidRPr="00390AE4">
        <w:rPr>
          <w:rFonts w:hint="eastAsia"/>
          <w:lang w:eastAsia="zh-CN"/>
        </w:rPr>
        <w:t>如存在这种情况，估算资产的可收回金额。当账面金额大于可收回金额时，将减值损失记录在财务业绩报表中。</w:t>
      </w:r>
      <w:r w:rsidRPr="00390AE4">
        <w:rPr>
          <w:rFonts w:hint="eastAsia"/>
          <w:lang w:eastAsia="zh-CN"/>
        </w:rPr>
        <w:t>2</w:t>
      </w:r>
      <w:r w:rsidRPr="00390AE4">
        <w:rPr>
          <w:lang w:eastAsia="zh-CN"/>
        </w:rPr>
        <w:t>022</w:t>
      </w:r>
      <w:r w:rsidRPr="00390AE4">
        <w:rPr>
          <w:rFonts w:hint="eastAsia"/>
          <w:lang w:eastAsia="zh-CN"/>
        </w:rPr>
        <w:t>年没有减值迹象。</w:t>
      </w:r>
      <w:bookmarkEnd w:id="212"/>
    </w:p>
    <w:p w14:paraId="5EAB4392" w14:textId="7FCEC0AD" w:rsidR="00390AE4" w:rsidRPr="00390AE4" w:rsidRDefault="00390AE4" w:rsidP="00BF02A4">
      <w:pPr>
        <w:pStyle w:val="Heading2"/>
        <w:rPr>
          <w:lang w:eastAsia="zh-CN"/>
        </w:rPr>
      </w:pPr>
      <w:bookmarkStart w:id="213" w:name="_Toc131156423"/>
      <w:r w:rsidRPr="00390AE4">
        <w:rPr>
          <w:lang w:eastAsia="zh-CN"/>
        </w:rPr>
        <w:t>3.5</w:t>
      </w:r>
      <w:r w:rsidRPr="00390AE4">
        <w:rPr>
          <w:lang w:eastAsia="zh-CN"/>
        </w:rPr>
        <w:tab/>
      </w:r>
      <w:bookmarkStart w:id="214" w:name="_Toc482892551"/>
      <w:bookmarkStart w:id="215" w:name="_Toc329011620"/>
      <w:bookmarkStart w:id="216" w:name="_Toc41905852"/>
      <w:bookmarkStart w:id="217" w:name="_Toc73636251"/>
      <w:bookmarkEnd w:id="213"/>
      <w:r w:rsidRPr="00390AE4">
        <w:rPr>
          <w:rFonts w:hint="eastAsia"/>
          <w:lang w:eastAsia="zh-CN"/>
        </w:rPr>
        <w:t>无形资产</w:t>
      </w:r>
      <w:bookmarkEnd w:id="214"/>
      <w:bookmarkEnd w:id="215"/>
      <w:bookmarkEnd w:id="216"/>
      <w:bookmarkEnd w:id="217"/>
    </w:p>
    <w:p w14:paraId="6B4C22CF" w14:textId="558A7EFF" w:rsidR="00390AE4" w:rsidRPr="00390AE4" w:rsidRDefault="00390AE4" w:rsidP="00BF02A4">
      <w:pPr>
        <w:ind w:firstLineChars="200" w:firstLine="480"/>
        <w:rPr>
          <w:lang w:eastAsia="zh-CN"/>
        </w:rPr>
      </w:pPr>
      <w:r w:rsidRPr="00390AE4">
        <w:rPr>
          <w:rFonts w:hint="eastAsia"/>
          <w:lang w:eastAsia="zh-CN"/>
        </w:rPr>
        <w:t>价值超过</w:t>
      </w:r>
      <w:r w:rsidRPr="00390AE4">
        <w:rPr>
          <w:lang w:eastAsia="zh-CN"/>
        </w:rPr>
        <w:t>50</w:t>
      </w:r>
      <w:r w:rsidR="003358C9">
        <w:rPr>
          <w:lang w:eastAsia="zh-CN"/>
        </w:rPr>
        <w:t xml:space="preserve"> </w:t>
      </w:r>
      <w:r w:rsidRPr="00390AE4">
        <w:rPr>
          <w:lang w:eastAsia="zh-CN"/>
        </w:rPr>
        <w:t>000</w:t>
      </w:r>
      <w:r w:rsidRPr="00390AE4">
        <w:rPr>
          <w:rFonts w:hint="eastAsia"/>
          <w:lang w:eastAsia="zh-CN"/>
        </w:rPr>
        <w:t>瑞郎的无形资产、信息技术（</w:t>
      </w:r>
      <w:r w:rsidRPr="00390AE4">
        <w:rPr>
          <w:lang w:eastAsia="zh-CN"/>
        </w:rPr>
        <w:t>IT</w:t>
      </w:r>
      <w:r w:rsidRPr="00390AE4">
        <w:rPr>
          <w:lang w:eastAsia="zh-CN"/>
        </w:rPr>
        <w:t>）</w:t>
      </w:r>
      <w:r w:rsidRPr="00390AE4">
        <w:rPr>
          <w:rFonts w:hint="eastAsia"/>
          <w:lang w:eastAsia="zh-CN"/>
        </w:rPr>
        <w:t>许可和软件按照其历史成本减累积摊销和减值损失确认。许可、软件包、专利和权利在三年时间内直接摊消。如果未来可能的预期经济利益或服务潜力可归于国际电联且数额可以可靠地计量，则在财务报表中将无形资产资本化。</w:t>
      </w:r>
    </w:p>
    <w:p w14:paraId="62E0592E" w14:textId="001606B9" w:rsidR="00390AE4" w:rsidRPr="00390AE4" w:rsidRDefault="00390AE4" w:rsidP="00BF02A4">
      <w:pPr>
        <w:ind w:firstLineChars="200" w:firstLine="480"/>
        <w:rPr>
          <w:lang w:eastAsia="zh-CN"/>
        </w:rPr>
      </w:pPr>
      <w:bookmarkStart w:id="218" w:name="lt_pId566"/>
      <w:r w:rsidRPr="00390AE4">
        <w:rPr>
          <w:rFonts w:hint="eastAsia"/>
          <w:lang w:eastAsia="zh-CN"/>
        </w:rPr>
        <w:t>所有成本等于或小于</w:t>
      </w:r>
      <w:r w:rsidRPr="00390AE4">
        <w:rPr>
          <w:lang w:eastAsia="zh-CN"/>
        </w:rPr>
        <w:t>50</w:t>
      </w:r>
      <w:r w:rsidR="003358C9">
        <w:rPr>
          <w:lang w:eastAsia="zh-CN"/>
        </w:rPr>
        <w:t xml:space="preserve"> </w:t>
      </w:r>
      <w:r w:rsidRPr="00390AE4">
        <w:rPr>
          <w:lang w:eastAsia="zh-CN"/>
        </w:rPr>
        <w:t>000</w:t>
      </w:r>
      <w:r w:rsidRPr="00390AE4">
        <w:rPr>
          <w:rFonts w:hint="eastAsia"/>
          <w:lang w:eastAsia="zh-CN"/>
        </w:rPr>
        <w:t>瑞郎的货物在收到时予以资本化并在购买后月结账时在财务业绩报表中全部确认为费用。</w:t>
      </w:r>
    </w:p>
    <w:bookmarkEnd w:id="218"/>
    <w:p w14:paraId="53CA2ED3" w14:textId="77777777" w:rsidR="00390AE4" w:rsidRPr="00390AE4" w:rsidRDefault="00390AE4" w:rsidP="00BF02A4">
      <w:pPr>
        <w:ind w:firstLineChars="200" w:firstLine="480"/>
        <w:rPr>
          <w:lang w:eastAsia="zh-CN"/>
        </w:rPr>
      </w:pPr>
      <w:r w:rsidRPr="00390AE4">
        <w:rPr>
          <w:rFonts w:hint="eastAsia"/>
          <w:lang w:eastAsia="zh-CN"/>
        </w:rPr>
        <w:lastRenderedPageBreak/>
        <w:t>如国际电联可能得益于未来的经济效益或其所归属的服务潜力，内部开发的软件予以资本化。直接分配到国际电联控制的可确定和独一无二的软件产品的设计和测试的开发成本在结账之日满足以下条件时被确认为无形资产：</w:t>
      </w:r>
    </w:p>
    <w:p w14:paraId="0E732AD3" w14:textId="77777777" w:rsidR="00390AE4" w:rsidRPr="00390AE4" w:rsidRDefault="00390AE4" w:rsidP="00BF02A4">
      <w:pPr>
        <w:pStyle w:val="enumlev1"/>
        <w:rPr>
          <w:lang w:eastAsia="zh-CN"/>
        </w:rPr>
      </w:pPr>
      <w:bookmarkStart w:id="219" w:name="_Toc305764072"/>
      <w:r w:rsidRPr="00390AE4">
        <w:rPr>
          <w:lang w:eastAsia="zh-CN"/>
        </w:rPr>
        <w:t>–</w:t>
      </w:r>
      <w:r w:rsidRPr="00390AE4">
        <w:rPr>
          <w:lang w:eastAsia="zh-CN"/>
        </w:rPr>
        <w:tab/>
      </w:r>
      <w:r w:rsidRPr="00390AE4">
        <w:rPr>
          <w:rFonts w:hint="eastAsia"/>
          <w:lang w:eastAsia="zh-CN"/>
        </w:rPr>
        <w:t>软件产品的完成在技术上是可行的，因此，可供使用；</w:t>
      </w:r>
    </w:p>
    <w:p w14:paraId="733E8FC8" w14:textId="77777777" w:rsidR="00390AE4" w:rsidRPr="00390AE4" w:rsidRDefault="00390AE4" w:rsidP="00BF02A4">
      <w:pPr>
        <w:pStyle w:val="enumlev1"/>
        <w:rPr>
          <w:lang w:eastAsia="zh-CN"/>
        </w:rPr>
      </w:pPr>
      <w:r w:rsidRPr="00390AE4">
        <w:rPr>
          <w:lang w:eastAsia="zh-CN"/>
        </w:rPr>
        <w:t>–</w:t>
      </w:r>
      <w:r w:rsidRPr="00390AE4">
        <w:rPr>
          <w:lang w:eastAsia="zh-CN"/>
        </w:rPr>
        <w:tab/>
      </w:r>
      <w:r w:rsidRPr="00390AE4">
        <w:rPr>
          <w:rFonts w:hint="eastAsia"/>
          <w:lang w:eastAsia="zh-CN"/>
        </w:rPr>
        <w:t>管理层打算完成该软件产品并使用或销售该产品；</w:t>
      </w:r>
    </w:p>
    <w:p w14:paraId="421ECF29" w14:textId="77777777" w:rsidR="00390AE4" w:rsidRPr="00390AE4" w:rsidRDefault="00390AE4" w:rsidP="00BF02A4">
      <w:pPr>
        <w:pStyle w:val="enumlev1"/>
        <w:rPr>
          <w:lang w:eastAsia="zh-CN"/>
        </w:rPr>
      </w:pPr>
      <w:r w:rsidRPr="00390AE4">
        <w:rPr>
          <w:lang w:eastAsia="zh-CN"/>
        </w:rPr>
        <w:t>–</w:t>
      </w:r>
      <w:r w:rsidRPr="00390AE4">
        <w:rPr>
          <w:lang w:eastAsia="zh-CN"/>
        </w:rPr>
        <w:tab/>
      </w:r>
      <w:r w:rsidRPr="00390AE4">
        <w:rPr>
          <w:rFonts w:hint="eastAsia"/>
          <w:lang w:eastAsia="zh-CN"/>
        </w:rPr>
        <w:t>有能力使用或销售该软件产品；</w:t>
      </w:r>
    </w:p>
    <w:p w14:paraId="32FE3A20" w14:textId="77777777" w:rsidR="00390AE4" w:rsidRPr="00390AE4" w:rsidRDefault="00390AE4" w:rsidP="00BF02A4">
      <w:pPr>
        <w:pStyle w:val="enumlev1"/>
        <w:rPr>
          <w:lang w:eastAsia="zh-CN"/>
        </w:rPr>
      </w:pPr>
      <w:r w:rsidRPr="00390AE4">
        <w:rPr>
          <w:lang w:eastAsia="zh-CN"/>
        </w:rPr>
        <w:t>–</w:t>
      </w:r>
      <w:r w:rsidRPr="00390AE4">
        <w:rPr>
          <w:lang w:eastAsia="zh-CN"/>
        </w:rPr>
        <w:tab/>
      </w:r>
      <w:r w:rsidRPr="00390AE4">
        <w:rPr>
          <w:rFonts w:hint="eastAsia"/>
          <w:lang w:eastAsia="zh-CN"/>
        </w:rPr>
        <w:t>该软件产品未来如何产生经济效益显而易见；</w:t>
      </w:r>
    </w:p>
    <w:p w14:paraId="5E08BC7C" w14:textId="77777777" w:rsidR="00390AE4" w:rsidRPr="00390AE4" w:rsidRDefault="00390AE4" w:rsidP="00BF02A4">
      <w:pPr>
        <w:pStyle w:val="enumlev1"/>
        <w:rPr>
          <w:lang w:eastAsia="zh-CN"/>
        </w:rPr>
      </w:pPr>
      <w:r w:rsidRPr="00390AE4">
        <w:rPr>
          <w:lang w:eastAsia="zh-CN"/>
        </w:rPr>
        <w:t>–</w:t>
      </w:r>
      <w:r w:rsidRPr="00390AE4">
        <w:rPr>
          <w:lang w:eastAsia="zh-CN"/>
        </w:rPr>
        <w:tab/>
      </w:r>
      <w:r w:rsidRPr="00390AE4">
        <w:rPr>
          <w:rFonts w:hint="eastAsia"/>
          <w:lang w:eastAsia="zh-CN"/>
        </w:rPr>
        <w:t>完成该软件产品的开放、使用或销售具有充足的技术、财务和其他资源，分配到属于该软件产品的开发支出可得到可靠衡量。</w:t>
      </w:r>
    </w:p>
    <w:p w14:paraId="1033B93E" w14:textId="77777777" w:rsidR="00390AE4" w:rsidRPr="00390AE4" w:rsidRDefault="00390AE4" w:rsidP="00BF02A4">
      <w:pPr>
        <w:ind w:firstLineChars="200" w:firstLine="480"/>
        <w:rPr>
          <w:lang w:eastAsia="zh-CN"/>
        </w:rPr>
      </w:pPr>
      <w:r w:rsidRPr="00390AE4">
        <w:rPr>
          <w:rFonts w:hint="eastAsia"/>
          <w:lang w:eastAsia="zh-CN"/>
        </w:rPr>
        <w:t>作为软件产品资本化组成部分的直接可归属成本包括软件开发人员成本和一定比例的相关开销。</w:t>
      </w:r>
    </w:p>
    <w:p w14:paraId="2B562AFC" w14:textId="77777777" w:rsidR="00390AE4" w:rsidRPr="00390AE4" w:rsidRDefault="00390AE4" w:rsidP="00BF02A4">
      <w:pPr>
        <w:ind w:firstLineChars="200" w:firstLine="480"/>
        <w:rPr>
          <w:lang w:eastAsia="zh-CN"/>
        </w:rPr>
      </w:pPr>
      <w:r w:rsidRPr="00390AE4">
        <w:rPr>
          <w:rFonts w:hint="eastAsia"/>
          <w:lang w:eastAsia="zh-CN"/>
        </w:rPr>
        <w:t>其他不满足这些标准的开发支出被视为已发生费用。之前被视为费用的开发成本在以后阶段不被视为资产。</w:t>
      </w:r>
    </w:p>
    <w:p w14:paraId="23BBC683" w14:textId="77777777" w:rsidR="00390AE4" w:rsidRPr="00390AE4" w:rsidRDefault="00390AE4" w:rsidP="00BF02A4">
      <w:pPr>
        <w:ind w:firstLineChars="200" w:firstLine="480"/>
        <w:rPr>
          <w:lang w:eastAsia="zh-CN"/>
        </w:rPr>
      </w:pPr>
      <w:r w:rsidRPr="00390AE4">
        <w:rPr>
          <w:rFonts w:hint="eastAsia"/>
          <w:lang w:eastAsia="zh-CN"/>
        </w:rPr>
        <w:t>被视为资产的计算机软件开发成本在所估计的不超过三年的有用寿命内摊销。</w:t>
      </w:r>
    </w:p>
    <w:p w14:paraId="75BB5592" w14:textId="77777777" w:rsidR="00390AE4" w:rsidRPr="00390AE4" w:rsidRDefault="00390AE4" w:rsidP="00BF02A4">
      <w:pPr>
        <w:ind w:firstLineChars="200" w:firstLine="480"/>
        <w:rPr>
          <w:lang w:eastAsia="zh-CN"/>
        </w:rPr>
      </w:pPr>
      <w:r w:rsidRPr="00390AE4">
        <w:rPr>
          <w:rFonts w:hint="eastAsia"/>
          <w:lang w:eastAsia="zh-CN"/>
        </w:rPr>
        <w:t>计算机软件程序维护相关成本被视为已发生的费用。</w:t>
      </w:r>
    </w:p>
    <w:p w14:paraId="2ECEB4E8" w14:textId="39C29765" w:rsidR="00390AE4" w:rsidRPr="00390AE4" w:rsidRDefault="00390AE4" w:rsidP="00BF02A4">
      <w:pPr>
        <w:pStyle w:val="Heading2"/>
        <w:rPr>
          <w:lang w:eastAsia="zh-CN"/>
        </w:rPr>
      </w:pPr>
      <w:bookmarkStart w:id="220" w:name="_Toc131156424"/>
      <w:r w:rsidRPr="00390AE4">
        <w:rPr>
          <w:lang w:eastAsia="zh-CN"/>
        </w:rPr>
        <w:t>3.6</w:t>
      </w:r>
      <w:r w:rsidRPr="00390AE4">
        <w:rPr>
          <w:lang w:eastAsia="zh-CN"/>
        </w:rPr>
        <w:tab/>
      </w:r>
      <w:bookmarkStart w:id="221" w:name="_Toc482892552"/>
      <w:bookmarkStart w:id="222" w:name="_Toc329011621"/>
      <w:bookmarkStart w:id="223" w:name="_Toc41905853"/>
      <w:bookmarkStart w:id="224" w:name="_Toc73636252"/>
      <w:bookmarkEnd w:id="219"/>
      <w:bookmarkEnd w:id="220"/>
      <w:r w:rsidRPr="00390AE4">
        <w:rPr>
          <w:rFonts w:hint="eastAsia"/>
          <w:lang w:eastAsia="zh-CN"/>
        </w:rPr>
        <w:t>准备金</w:t>
      </w:r>
      <w:bookmarkEnd w:id="221"/>
      <w:bookmarkEnd w:id="222"/>
      <w:bookmarkEnd w:id="223"/>
      <w:bookmarkEnd w:id="224"/>
    </w:p>
    <w:p w14:paraId="4AFEED4A" w14:textId="77777777" w:rsidR="00390AE4" w:rsidRPr="00390AE4" w:rsidRDefault="00390AE4" w:rsidP="00BF02A4">
      <w:pPr>
        <w:ind w:firstLineChars="200" w:firstLine="480"/>
        <w:rPr>
          <w:lang w:eastAsia="zh-CN"/>
        </w:rPr>
      </w:pPr>
      <w:r w:rsidRPr="00390AE4">
        <w:rPr>
          <w:rFonts w:hint="eastAsia"/>
          <w:lang w:eastAsia="zh-CN"/>
        </w:rPr>
        <w:t>准备金涉及结果、到期日或金额不确定的承付款项。当国际电联因以往事项产生法律或建设性承付款项，为履行该承付款项可能需要资金流出，而且可以可靠地估算该承付款项金额时，将准备金输入财务状况报表。</w:t>
      </w:r>
    </w:p>
    <w:p w14:paraId="30E214E3" w14:textId="7936E2EB" w:rsidR="00390AE4" w:rsidRPr="00390AE4" w:rsidRDefault="00390AE4" w:rsidP="00BF02A4">
      <w:pPr>
        <w:pStyle w:val="Heading2"/>
        <w:rPr>
          <w:lang w:eastAsia="zh-CN"/>
        </w:rPr>
      </w:pPr>
      <w:bookmarkStart w:id="225" w:name="_Toc305764073"/>
      <w:bookmarkStart w:id="226" w:name="_Toc131156425"/>
      <w:r w:rsidRPr="00390AE4">
        <w:rPr>
          <w:lang w:eastAsia="zh-CN"/>
        </w:rPr>
        <w:t>3.7</w:t>
      </w:r>
      <w:r w:rsidRPr="00390AE4">
        <w:rPr>
          <w:lang w:eastAsia="zh-CN"/>
        </w:rPr>
        <w:tab/>
      </w:r>
      <w:bookmarkEnd w:id="225"/>
      <w:bookmarkEnd w:id="226"/>
      <w:r w:rsidRPr="00390AE4">
        <w:rPr>
          <w:rFonts w:hint="eastAsia"/>
          <w:lang w:eastAsia="zh-CN"/>
        </w:rPr>
        <w:t>或有资产和负债</w:t>
      </w:r>
    </w:p>
    <w:p w14:paraId="6C481C9B" w14:textId="77777777" w:rsidR="00390AE4" w:rsidRPr="00390AE4" w:rsidRDefault="00390AE4" w:rsidP="00BF02A4">
      <w:pPr>
        <w:ind w:firstLineChars="200" w:firstLine="480"/>
        <w:rPr>
          <w:lang w:eastAsia="zh-CN"/>
        </w:rPr>
      </w:pPr>
      <w:r w:rsidRPr="00390AE4">
        <w:rPr>
          <w:rFonts w:hint="eastAsia"/>
          <w:lang w:eastAsia="zh-CN"/>
        </w:rPr>
        <w:t>或有资产和负债是由以往事项产生的潜在权利或承付款项，其存在仅能通过不完全由国际电联控制的一个或多个不确定未来事项的发生或不发生予以证实。</w:t>
      </w:r>
    </w:p>
    <w:p w14:paraId="7D15A292" w14:textId="15FD6E1A" w:rsidR="00390AE4" w:rsidRPr="00390AE4" w:rsidRDefault="00390AE4" w:rsidP="00BF02A4">
      <w:pPr>
        <w:ind w:firstLineChars="200" w:firstLine="480"/>
        <w:rPr>
          <w:lang w:eastAsia="zh-CN"/>
        </w:rPr>
      </w:pPr>
      <w:r w:rsidRPr="00390AE4">
        <w:rPr>
          <w:rFonts w:hint="eastAsia"/>
          <w:lang w:eastAsia="zh-CN"/>
        </w:rPr>
        <w:t>当可能的承付款项不确定但可以计量时，或国际电联目前有承付款项但不能可靠地计量可能的资源流出时，披露或有负债。截至</w:t>
      </w:r>
      <w:r w:rsidRPr="00390AE4">
        <w:rPr>
          <w:rFonts w:hint="eastAsia"/>
          <w:lang w:eastAsia="zh-CN"/>
        </w:rPr>
        <w:t>2022</w:t>
      </w:r>
      <w:r w:rsidRPr="00390AE4">
        <w:rPr>
          <w:rFonts w:hint="eastAsia"/>
          <w:lang w:eastAsia="zh-CN"/>
        </w:rPr>
        <w:t>年</w:t>
      </w:r>
      <w:r w:rsidRPr="00390AE4">
        <w:rPr>
          <w:rFonts w:hint="eastAsia"/>
          <w:lang w:eastAsia="zh-CN"/>
        </w:rPr>
        <w:t>12</w:t>
      </w:r>
      <w:r w:rsidRPr="00390AE4">
        <w:rPr>
          <w:rFonts w:hint="eastAsia"/>
          <w:lang w:eastAsia="zh-CN"/>
        </w:rPr>
        <w:t>月</w:t>
      </w:r>
      <w:r w:rsidRPr="00390AE4">
        <w:rPr>
          <w:rFonts w:hint="eastAsia"/>
          <w:lang w:eastAsia="zh-CN"/>
        </w:rPr>
        <w:t>31</w:t>
      </w:r>
      <w:r w:rsidRPr="00390AE4">
        <w:rPr>
          <w:rFonts w:hint="eastAsia"/>
          <w:lang w:eastAsia="zh-CN"/>
        </w:rPr>
        <w:t>日，国际电联没有任何已知的或有负债。</w:t>
      </w:r>
    </w:p>
    <w:p w14:paraId="420AC774" w14:textId="49AC3A6C" w:rsidR="00390AE4" w:rsidRPr="00390AE4" w:rsidRDefault="00390AE4" w:rsidP="00BF02A4">
      <w:pPr>
        <w:pStyle w:val="Heading2"/>
        <w:rPr>
          <w:lang w:eastAsia="zh-CN"/>
        </w:rPr>
      </w:pPr>
      <w:bookmarkStart w:id="227" w:name="_Toc305764074"/>
      <w:bookmarkStart w:id="228" w:name="_Toc131156426"/>
      <w:r w:rsidRPr="00390AE4">
        <w:rPr>
          <w:lang w:eastAsia="zh-CN"/>
        </w:rPr>
        <w:t>3.8</w:t>
      </w:r>
      <w:r w:rsidRPr="00390AE4">
        <w:rPr>
          <w:lang w:eastAsia="zh-CN"/>
        </w:rPr>
        <w:tab/>
      </w:r>
      <w:bookmarkStart w:id="229" w:name="_Toc482892554"/>
      <w:bookmarkStart w:id="230" w:name="_Toc41905855"/>
      <w:bookmarkStart w:id="231" w:name="_Toc73636254"/>
      <w:bookmarkEnd w:id="227"/>
      <w:bookmarkEnd w:id="228"/>
      <w:r w:rsidRPr="00390AE4">
        <w:rPr>
          <w:rFonts w:hint="eastAsia"/>
          <w:lang w:eastAsia="zh-CN"/>
        </w:rPr>
        <w:t>职员福利</w:t>
      </w:r>
      <w:bookmarkEnd w:id="229"/>
      <w:bookmarkEnd w:id="230"/>
      <w:bookmarkEnd w:id="231"/>
    </w:p>
    <w:p w14:paraId="32929644" w14:textId="77777777" w:rsidR="00390AE4" w:rsidRPr="00390AE4" w:rsidRDefault="00390AE4" w:rsidP="00BF02A4">
      <w:pPr>
        <w:ind w:firstLineChars="200" w:firstLine="480"/>
        <w:rPr>
          <w:lang w:eastAsia="zh-CN"/>
        </w:rPr>
      </w:pPr>
      <w:r w:rsidRPr="00390AE4">
        <w:rPr>
          <w:rFonts w:hint="eastAsia"/>
          <w:lang w:eastAsia="zh-CN"/>
        </w:rPr>
        <w:t>以下职员福利得到确认：</w:t>
      </w:r>
    </w:p>
    <w:p w14:paraId="3C9B8279" w14:textId="46F0193D" w:rsidR="00390AE4" w:rsidRPr="00390AE4" w:rsidRDefault="00390AE4" w:rsidP="00BF02A4">
      <w:pPr>
        <w:pStyle w:val="enumlev1"/>
        <w:rPr>
          <w:lang w:eastAsia="zh-CN"/>
        </w:rPr>
      </w:pPr>
      <w:r w:rsidRPr="00390AE4">
        <w:rPr>
          <w:lang w:eastAsia="zh-CN"/>
        </w:rPr>
        <w:t>–</w:t>
      </w:r>
      <w:r w:rsidRPr="00390AE4">
        <w:rPr>
          <w:lang w:eastAsia="zh-CN"/>
        </w:rPr>
        <w:tab/>
      </w:r>
      <w:bookmarkStart w:id="232" w:name="lt_pId591"/>
      <w:r w:rsidRPr="00390AE4">
        <w:rPr>
          <w:rFonts w:hint="eastAsia"/>
          <w:lang w:eastAsia="zh-CN"/>
        </w:rPr>
        <w:t>短期雇员福利预计将在报告日期后</w:t>
      </w:r>
      <w:r w:rsidRPr="00390AE4">
        <w:rPr>
          <w:rFonts w:hint="eastAsia"/>
          <w:lang w:eastAsia="zh-CN"/>
        </w:rPr>
        <w:t>12</w:t>
      </w:r>
      <w:r w:rsidRPr="00390AE4">
        <w:rPr>
          <w:rFonts w:hint="eastAsia"/>
          <w:lang w:eastAsia="zh-CN"/>
        </w:rPr>
        <w:t>个月内结清，并根据按当前工资率累积的应计权利，按名义价值计算。短期雇员福利包括首次就业津贴（派任补助金）、每月定期津贴（工资、薪金、津贴）和其他津贴（教育补助金、回籍假等）。当雇员为国际电联提供服务时，费用得到确认，对在报告日尚未结算的福利补贴的负债予以确认</w:t>
      </w:r>
      <w:bookmarkEnd w:id="232"/>
      <w:r w:rsidR="003358C9">
        <w:rPr>
          <w:rFonts w:hint="eastAsia"/>
          <w:lang w:eastAsia="zh-CN"/>
        </w:rPr>
        <w:t>；</w:t>
      </w:r>
    </w:p>
    <w:p w14:paraId="34E938A5" w14:textId="77777777" w:rsidR="00390AE4" w:rsidRPr="00390AE4" w:rsidRDefault="00390AE4" w:rsidP="00BF02A4">
      <w:pPr>
        <w:pStyle w:val="enumlev1"/>
        <w:rPr>
          <w:lang w:eastAsia="zh-CN"/>
        </w:rPr>
      </w:pPr>
      <w:r w:rsidRPr="00390AE4">
        <w:rPr>
          <w:lang w:eastAsia="zh-CN"/>
        </w:rPr>
        <w:t>–</w:t>
      </w:r>
      <w:r w:rsidRPr="00390AE4">
        <w:rPr>
          <w:lang w:eastAsia="zh-CN"/>
        </w:rPr>
        <w:tab/>
      </w:r>
      <w:r w:rsidRPr="00390AE4">
        <w:rPr>
          <w:rFonts w:hint="eastAsia"/>
          <w:lang w:eastAsia="zh-CN"/>
        </w:rPr>
        <w:t>因前一阶段或若干阶段可能的福利延期产生的长期福利；</w:t>
      </w:r>
    </w:p>
    <w:p w14:paraId="722EDFDD" w14:textId="77777777" w:rsidR="00390AE4" w:rsidRPr="00390AE4" w:rsidRDefault="00390AE4" w:rsidP="00BF02A4">
      <w:pPr>
        <w:pStyle w:val="enumlev1"/>
        <w:rPr>
          <w:lang w:eastAsia="zh-CN"/>
        </w:rPr>
      </w:pPr>
      <w:r w:rsidRPr="00390AE4">
        <w:rPr>
          <w:lang w:eastAsia="zh-CN"/>
        </w:rPr>
        <w:t>–</w:t>
      </w:r>
      <w:r w:rsidRPr="00390AE4">
        <w:rPr>
          <w:lang w:eastAsia="zh-CN"/>
        </w:rPr>
        <w:tab/>
      </w:r>
      <w:r w:rsidRPr="00390AE4">
        <w:rPr>
          <w:rFonts w:hint="eastAsia"/>
          <w:lang w:eastAsia="zh-CN"/>
        </w:rPr>
        <w:t>离职后的长期福利。</w:t>
      </w:r>
    </w:p>
    <w:p w14:paraId="0B4F1DE5" w14:textId="77777777" w:rsidR="00390AE4" w:rsidRPr="00390AE4" w:rsidRDefault="00390AE4" w:rsidP="00BF02A4">
      <w:pPr>
        <w:ind w:firstLineChars="200" w:firstLine="480"/>
        <w:rPr>
          <w:lang w:eastAsia="zh-CN"/>
        </w:rPr>
      </w:pPr>
      <w:r w:rsidRPr="00390AE4">
        <w:rPr>
          <w:rFonts w:hint="eastAsia"/>
          <w:lang w:eastAsia="zh-CN"/>
        </w:rPr>
        <w:t>长期福利涉及：</w:t>
      </w:r>
    </w:p>
    <w:p w14:paraId="753A905D" w14:textId="51CAD7C4" w:rsidR="00390AE4" w:rsidRPr="00390AE4" w:rsidRDefault="00390AE4" w:rsidP="00BF02A4">
      <w:pPr>
        <w:pStyle w:val="enumlev1"/>
        <w:rPr>
          <w:lang w:eastAsia="zh-CN"/>
        </w:rPr>
      </w:pPr>
      <w:r w:rsidRPr="00390AE4">
        <w:rPr>
          <w:lang w:eastAsia="zh-CN"/>
        </w:rPr>
        <w:lastRenderedPageBreak/>
        <w:t>–</w:t>
      </w:r>
      <w:r w:rsidRPr="00390AE4">
        <w:rPr>
          <w:lang w:eastAsia="zh-CN"/>
        </w:rPr>
        <w:tab/>
      </w:r>
      <w:bookmarkStart w:id="233" w:name="lt_pId600"/>
      <w:r w:rsidRPr="00390AE4">
        <w:rPr>
          <w:rFonts w:hint="eastAsia"/>
          <w:lang w:eastAsia="zh-CN"/>
        </w:rPr>
        <w:t>其他长期雇员福利是预期将在报告期结束后</w:t>
      </w:r>
      <w:r w:rsidRPr="00390AE4">
        <w:rPr>
          <w:rFonts w:hint="eastAsia"/>
          <w:lang w:eastAsia="zh-CN"/>
        </w:rPr>
        <w:t>12</w:t>
      </w:r>
      <w:r w:rsidRPr="00390AE4">
        <w:rPr>
          <w:rFonts w:hint="eastAsia"/>
          <w:lang w:eastAsia="zh-CN"/>
        </w:rPr>
        <w:t>个月以上结付的福利，涉及归国补助金和积存假。确认的离职回国补助金负债是报告日确定的福利承付款项的现值。该负债由独立精算师采用预计单位信用法计算。因精算假设变动或经验调整而产生的利息成本、现有服务成本和精算损益在财务业绩报表中得到确认</w:t>
      </w:r>
      <w:bookmarkEnd w:id="233"/>
      <w:r w:rsidR="003358C9">
        <w:rPr>
          <w:rFonts w:hint="eastAsia"/>
          <w:lang w:eastAsia="zh-CN"/>
        </w:rPr>
        <w:t>；</w:t>
      </w:r>
    </w:p>
    <w:p w14:paraId="62C12623" w14:textId="77777777" w:rsidR="00390AE4" w:rsidRPr="00390AE4" w:rsidRDefault="00390AE4" w:rsidP="00BF02A4">
      <w:pPr>
        <w:pStyle w:val="enumlev1"/>
        <w:rPr>
          <w:lang w:eastAsia="zh-CN"/>
        </w:rPr>
      </w:pPr>
      <w:r w:rsidRPr="00390AE4">
        <w:rPr>
          <w:lang w:eastAsia="zh-CN"/>
        </w:rPr>
        <w:t>–</w:t>
      </w:r>
      <w:r w:rsidRPr="00390AE4">
        <w:rPr>
          <w:lang w:eastAsia="zh-CN"/>
        </w:rPr>
        <w:tab/>
      </w:r>
      <w:r w:rsidRPr="00390AE4">
        <w:rPr>
          <w:rFonts w:hint="eastAsia"/>
          <w:lang w:eastAsia="zh-CN"/>
        </w:rPr>
        <w:t>离职后健康保险（</w:t>
      </w:r>
      <w:r w:rsidRPr="00390AE4">
        <w:rPr>
          <w:lang w:eastAsia="zh-CN"/>
        </w:rPr>
        <w:t>ASHI</w:t>
      </w:r>
      <w:r w:rsidRPr="00390AE4">
        <w:rPr>
          <w:rFonts w:hint="eastAsia"/>
          <w:lang w:eastAsia="zh-CN"/>
        </w:rPr>
        <w:t>）的承付款项；和</w:t>
      </w:r>
    </w:p>
    <w:p w14:paraId="1DB19EFC" w14:textId="068AB042" w:rsidR="00390AE4" w:rsidRPr="00390AE4" w:rsidRDefault="00390AE4" w:rsidP="00BF02A4">
      <w:pPr>
        <w:pStyle w:val="enumlev1"/>
        <w:rPr>
          <w:lang w:eastAsia="zh-CN"/>
        </w:rPr>
      </w:pPr>
      <w:r w:rsidRPr="00390AE4">
        <w:rPr>
          <w:lang w:eastAsia="zh-CN"/>
        </w:rPr>
        <w:t>–</w:t>
      </w:r>
      <w:r w:rsidRPr="00390AE4">
        <w:rPr>
          <w:lang w:eastAsia="zh-CN"/>
        </w:rPr>
        <w:tab/>
      </w:r>
      <w:r w:rsidRPr="00390AE4">
        <w:rPr>
          <w:rFonts w:hint="eastAsia"/>
          <w:lang w:eastAsia="zh-CN"/>
        </w:rPr>
        <w:t>与原养恤金计划相关的承付款项，以便确定国际电联在该阶段结束日的承付款项。</w:t>
      </w:r>
    </w:p>
    <w:p w14:paraId="422CE15E" w14:textId="68F1110B" w:rsidR="00390AE4" w:rsidRPr="00390AE4" w:rsidRDefault="00390AE4" w:rsidP="00BF02A4">
      <w:pPr>
        <w:ind w:firstLineChars="200" w:firstLine="480"/>
        <w:rPr>
          <w:lang w:eastAsia="zh-CN"/>
        </w:rPr>
      </w:pPr>
      <w:bookmarkStart w:id="234" w:name="lt_pId611"/>
      <w:r w:rsidRPr="00390AE4">
        <w:rPr>
          <w:rFonts w:hint="eastAsia"/>
          <w:lang w:eastAsia="zh-CN"/>
        </w:rPr>
        <w:t>国际电联是联合国大会成立的联合国合办职员养恤基金（</w:t>
      </w:r>
      <w:r w:rsidRPr="00390AE4">
        <w:rPr>
          <w:lang w:eastAsia="zh-CN"/>
        </w:rPr>
        <w:t>UNJSPF</w:t>
      </w:r>
      <w:r w:rsidRPr="00390AE4">
        <w:rPr>
          <w:rFonts w:hint="eastAsia"/>
          <w:lang w:eastAsia="zh-CN"/>
        </w:rPr>
        <w:t>）的成员组织。该基金旨在为职员提供退休、死亡、残疾和相关福利。养恤基金是资金源于多家雇主的</w:t>
      </w:r>
      <w:r w:rsidRPr="00390AE4">
        <w:rPr>
          <w:lang w:eastAsia="zh-CN"/>
        </w:rPr>
        <w:t>固定收益计</w:t>
      </w:r>
      <w:r w:rsidRPr="00390AE4">
        <w:rPr>
          <w:rFonts w:hint="eastAsia"/>
          <w:lang w:eastAsia="zh-CN"/>
        </w:rPr>
        <w:t>划。依据基金规则第</w:t>
      </w:r>
      <w:r w:rsidRPr="00390AE4">
        <w:rPr>
          <w:lang w:eastAsia="zh-CN"/>
        </w:rPr>
        <w:t>3</w:t>
      </w:r>
      <w:r w:rsidRPr="00390AE4">
        <w:rPr>
          <w:rFonts w:hint="eastAsia"/>
          <w:lang w:eastAsia="zh-CN"/>
        </w:rPr>
        <w:t>条</w:t>
      </w:r>
      <w:r w:rsidRPr="00390AE4">
        <w:rPr>
          <w:lang w:eastAsia="zh-CN"/>
        </w:rPr>
        <w:t>b)</w:t>
      </w:r>
      <w:r w:rsidRPr="00390AE4">
        <w:rPr>
          <w:rFonts w:hint="eastAsia"/>
          <w:lang w:eastAsia="zh-CN"/>
        </w:rPr>
        <w:t>段，基金须向加入了联合国和专门机构薪酬、补贴和其他服务条件共同制度的专门机构和所有其他国际、政府间组织开放。</w:t>
      </w:r>
    </w:p>
    <w:bookmarkEnd w:id="234"/>
    <w:p w14:paraId="4ECEB95A" w14:textId="77777777" w:rsidR="00390AE4" w:rsidRPr="00390AE4" w:rsidRDefault="00390AE4" w:rsidP="00BF02A4">
      <w:pPr>
        <w:ind w:firstLineChars="200" w:firstLine="480"/>
        <w:rPr>
          <w:lang w:eastAsia="zh-CN"/>
        </w:rPr>
      </w:pPr>
      <w:r w:rsidRPr="00390AE4">
        <w:rPr>
          <w:rFonts w:hint="eastAsia"/>
          <w:lang w:eastAsia="zh-CN"/>
        </w:rPr>
        <w:t>计划使成员组织面临与参加基金的其他组织现有和原有职员相关的精算风险，因此，向参加计划的各组织分配承付款项、计划资产和成本缺乏统一和可靠的基础。国际电联和</w:t>
      </w:r>
      <w:r w:rsidRPr="00390AE4">
        <w:rPr>
          <w:lang w:eastAsia="zh-CN"/>
        </w:rPr>
        <w:t>UNJSPF</w:t>
      </w:r>
      <w:r w:rsidRPr="00390AE4">
        <w:rPr>
          <w:rFonts w:hint="eastAsia"/>
          <w:lang w:eastAsia="zh-CN"/>
        </w:rPr>
        <w:t>与其他参加基金的组织一样，无法确定国际电联在充分保证会计可靠性的情况的固定收益承付款项、计划资产和计划相关成本中的相应份额。因此，国际电联按照</w:t>
      </w:r>
      <w:r w:rsidRPr="00390AE4">
        <w:rPr>
          <w:lang w:eastAsia="zh-CN"/>
        </w:rPr>
        <w:t>IPSAS</w:t>
      </w:r>
      <w:r w:rsidRPr="00390AE4">
        <w:rPr>
          <w:rFonts w:hint="eastAsia"/>
          <w:lang w:eastAsia="zh-CN"/>
        </w:rPr>
        <w:t xml:space="preserve"> 39</w:t>
      </w:r>
      <w:r w:rsidRPr="00390AE4">
        <w:rPr>
          <w:rFonts w:hint="eastAsia"/>
          <w:lang w:eastAsia="zh-CN"/>
        </w:rPr>
        <w:t>的职员福利要求，把此计划当作固定供款计划予以处理。国际电联在相关财务期内为该基金缴款在财务业绩报表中被确定为费用。</w:t>
      </w:r>
    </w:p>
    <w:p w14:paraId="6BA9823E" w14:textId="77777777" w:rsidR="00390AE4" w:rsidRPr="00390AE4" w:rsidRDefault="00390AE4" w:rsidP="00BF02A4">
      <w:pPr>
        <w:ind w:firstLineChars="200" w:firstLine="480"/>
        <w:rPr>
          <w:lang w:eastAsia="zh-CN"/>
        </w:rPr>
      </w:pPr>
      <w:r w:rsidRPr="00390AE4">
        <w:rPr>
          <w:rFonts w:hint="eastAsia"/>
          <w:lang w:eastAsia="zh-CN"/>
        </w:rPr>
        <w:t>自</w:t>
      </w:r>
      <w:r w:rsidRPr="00390AE4">
        <w:rPr>
          <w:rFonts w:hint="eastAsia"/>
          <w:lang w:eastAsia="zh-CN"/>
        </w:rPr>
        <w:t>2020</w:t>
      </w:r>
      <w:r w:rsidRPr="00390AE4">
        <w:rPr>
          <w:rFonts w:hint="eastAsia"/>
          <w:lang w:eastAsia="zh-CN"/>
        </w:rPr>
        <w:t>年</w:t>
      </w:r>
      <w:r w:rsidRPr="00390AE4">
        <w:rPr>
          <w:rFonts w:hint="eastAsia"/>
          <w:lang w:eastAsia="zh-CN"/>
        </w:rPr>
        <w:t>1</w:t>
      </w:r>
      <w:r w:rsidRPr="00390AE4">
        <w:rPr>
          <w:rFonts w:hint="eastAsia"/>
          <w:lang w:eastAsia="zh-CN"/>
        </w:rPr>
        <w:t>月</w:t>
      </w:r>
      <w:r w:rsidRPr="00390AE4">
        <w:rPr>
          <w:rFonts w:hint="eastAsia"/>
          <w:lang w:eastAsia="zh-CN"/>
        </w:rPr>
        <w:t>1</w:t>
      </w:r>
      <w:r w:rsidRPr="00390AE4">
        <w:rPr>
          <w:rFonts w:hint="eastAsia"/>
          <w:lang w:eastAsia="zh-CN"/>
        </w:rPr>
        <w:t>日起，国际电联加入了</w:t>
      </w:r>
      <w:r w:rsidRPr="00390AE4">
        <w:rPr>
          <w:lang w:eastAsia="zh-CN"/>
        </w:rPr>
        <w:t>联合国工作人员互助保险协</w:t>
      </w:r>
      <w:r w:rsidRPr="00390AE4">
        <w:rPr>
          <w:rFonts w:hint="eastAsia"/>
          <w:lang w:eastAsia="zh-CN"/>
        </w:rPr>
        <w:t>会（</w:t>
      </w:r>
      <w:r w:rsidRPr="00390AE4">
        <w:rPr>
          <w:lang w:eastAsia="zh-CN"/>
        </w:rPr>
        <w:t>UNSMIS</w:t>
      </w:r>
      <w:r w:rsidRPr="00390AE4">
        <w:rPr>
          <w:rFonts w:hint="eastAsia"/>
          <w:lang w:eastAsia="zh-CN"/>
        </w:rPr>
        <w:t>）。</w:t>
      </w:r>
      <w:r w:rsidRPr="00390AE4">
        <w:rPr>
          <w:lang w:eastAsia="zh-CN"/>
        </w:rPr>
        <w:t>ASHI</w:t>
      </w:r>
      <w:r w:rsidRPr="00390AE4">
        <w:rPr>
          <w:rFonts w:hint="eastAsia"/>
          <w:lang w:eastAsia="zh-CN"/>
        </w:rPr>
        <w:t>承付款项是按照</w:t>
      </w:r>
      <w:r w:rsidRPr="00390AE4">
        <w:rPr>
          <w:lang w:eastAsia="zh-CN"/>
        </w:rPr>
        <w:t>IPSAS</w:t>
      </w:r>
      <w:r w:rsidRPr="00390AE4">
        <w:rPr>
          <w:rFonts w:hint="eastAsia"/>
          <w:lang w:eastAsia="zh-CN"/>
        </w:rPr>
        <w:t>第</w:t>
      </w:r>
      <w:r w:rsidRPr="00390AE4">
        <w:rPr>
          <w:rFonts w:hint="eastAsia"/>
          <w:lang w:eastAsia="zh-CN"/>
        </w:rPr>
        <w:t>39</w:t>
      </w:r>
      <w:r w:rsidRPr="00390AE4">
        <w:rPr>
          <w:rFonts w:hint="eastAsia"/>
          <w:lang w:eastAsia="zh-CN"/>
        </w:rPr>
        <w:t>号要求开展的精算研究的主题，从而确定并确认国际电联针对各项福利的未来负债金额。</w:t>
      </w:r>
    </w:p>
    <w:p w14:paraId="60F6687A" w14:textId="77777777" w:rsidR="00390AE4" w:rsidRPr="00390AE4" w:rsidRDefault="00390AE4" w:rsidP="00BF02A4">
      <w:pPr>
        <w:ind w:firstLineChars="200" w:firstLine="480"/>
        <w:rPr>
          <w:lang w:eastAsia="zh-CN"/>
        </w:rPr>
      </w:pPr>
      <w:r w:rsidRPr="00390AE4">
        <w:rPr>
          <w:rFonts w:hint="eastAsia"/>
          <w:lang w:eastAsia="zh-CN"/>
        </w:rPr>
        <w:t>根据国际电联的</w:t>
      </w:r>
      <w:r w:rsidRPr="00390AE4">
        <w:rPr>
          <w:rFonts w:hint="eastAsia"/>
          <w:lang w:eastAsia="zh-CN"/>
        </w:rPr>
        <w:t>ASHI</w:t>
      </w:r>
      <w:r w:rsidRPr="00390AE4">
        <w:rPr>
          <w:rFonts w:hint="eastAsia"/>
          <w:lang w:eastAsia="zh-CN"/>
        </w:rPr>
        <w:t>义务，职员有权享受</w:t>
      </w:r>
      <w:r w:rsidRPr="00390AE4">
        <w:rPr>
          <w:rFonts w:hint="eastAsia"/>
          <w:lang w:eastAsia="zh-CN"/>
        </w:rPr>
        <w:t>ASHI</w:t>
      </w:r>
      <w:r w:rsidRPr="00390AE4">
        <w:rPr>
          <w:rFonts w:hint="eastAsia"/>
          <w:lang w:eastAsia="zh-CN"/>
        </w:rPr>
        <w:t>保险，</w:t>
      </w:r>
      <w:r w:rsidRPr="00390AE4">
        <w:rPr>
          <w:rFonts w:hint="eastAsia"/>
          <w:lang w:eastAsia="zh-CN"/>
        </w:rPr>
        <w:t>ASHI</w:t>
      </w:r>
      <w:r w:rsidRPr="00390AE4">
        <w:rPr>
          <w:rFonts w:hint="eastAsia"/>
          <w:lang w:eastAsia="zh-CN"/>
        </w:rPr>
        <w:t>保险是退休人员在本组织服务期间获得和累积的。为该计划确认的负债是报告日固定收益承付款项的现值。负债由独立精算师采用预计单位信用法计算。利息成本和当前服务成本在财务业绩报表中作为人员成本的组成部分予以确认。因精算假设变动或经验调整产生的精算损益直接确认在净资产中。</w:t>
      </w:r>
    </w:p>
    <w:p w14:paraId="6812F625" w14:textId="77777777" w:rsidR="00390AE4" w:rsidRPr="00390AE4" w:rsidRDefault="00390AE4" w:rsidP="00BF02A4">
      <w:pPr>
        <w:ind w:firstLineChars="200" w:firstLine="480"/>
        <w:rPr>
          <w:lang w:eastAsia="zh-CN"/>
        </w:rPr>
      </w:pPr>
      <w:r w:rsidRPr="00390AE4">
        <w:rPr>
          <w:rFonts w:hint="eastAsia"/>
          <w:lang w:eastAsia="zh-CN"/>
        </w:rPr>
        <w:t>有关国际电联的假设见有关职员福利的注释。</w:t>
      </w:r>
    </w:p>
    <w:p w14:paraId="20F8F6D9" w14:textId="4E066F81" w:rsidR="00390AE4" w:rsidRPr="00390AE4" w:rsidRDefault="00BF02A4" w:rsidP="00BF02A4">
      <w:pPr>
        <w:pStyle w:val="Heading2"/>
        <w:rPr>
          <w:lang w:eastAsia="zh-CN"/>
        </w:rPr>
      </w:pPr>
      <w:r>
        <w:rPr>
          <w:lang w:eastAsia="zh-CN"/>
        </w:rPr>
        <w:t>3.9</w:t>
      </w:r>
      <w:r>
        <w:rPr>
          <w:lang w:eastAsia="zh-CN"/>
        </w:rPr>
        <w:tab/>
      </w:r>
      <w:r w:rsidR="00390AE4" w:rsidRPr="00390AE4">
        <w:rPr>
          <w:rFonts w:hint="eastAsia"/>
          <w:lang w:eastAsia="zh-CN"/>
        </w:rPr>
        <w:t>收入确认</w:t>
      </w:r>
    </w:p>
    <w:p w14:paraId="0A229437" w14:textId="77777777" w:rsidR="00390AE4" w:rsidRPr="00390AE4" w:rsidRDefault="00390AE4" w:rsidP="00BF02A4">
      <w:pPr>
        <w:pStyle w:val="Headingb"/>
        <w:rPr>
          <w:lang w:eastAsia="zh-CN"/>
        </w:rPr>
      </w:pPr>
      <w:r w:rsidRPr="00390AE4">
        <w:rPr>
          <w:rFonts w:hint="eastAsia"/>
          <w:lang w:eastAsia="zh-CN"/>
        </w:rPr>
        <w:t>非兑换收入</w:t>
      </w:r>
    </w:p>
    <w:p w14:paraId="74324EF6" w14:textId="4B58C87E" w:rsidR="00390AE4" w:rsidRPr="00390AE4" w:rsidRDefault="00390AE4" w:rsidP="00BF02A4">
      <w:pPr>
        <w:ind w:firstLineChars="200" w:firstLine="480"/>
        <w:rPr>
          <w:lang w:eastAsia="zh-CN"/>
        </w:rPr>
      </w:pPr>
      <w:bookmarkStart w:id="235" w:name="_Hlk145689359"/>
      <w:r w:rsidRPr="00390AE4">
        <w:rPr>
          <w:rFonts w:hint="eastAsia"/>
          <w:lang w:eastAsia="zh-CN"/>
        </w:rPr>
        <w:t>根据</w:t>
      </w:r>
      <w:r w:rsidRPr="00390AE4">
        <w:rPr>
          <w:rFonts w:hint="eastAsia"/>
          <w:lang w:eastAsia="zh-CN"/>
        </w:rPr>
        <w:t>IPSAS</w:t>
      </w:r>
      <w:r w:rsidRPr="00390AE4">
        <w:rPr>
          <w:rFonts w:hint="eastAsia"/>
          <w:lang w:eastAsia="zh-CN"/>
        </w:rPr>
        <w:t>的要求，来自分摊会费、自愿捐款和通过具有约束力的协议确认的赞助收入按照</w:t>
      </w:r>
      <w:r w:rsidRPr="00390AE4">
        <w:rPr>
          <w:rFonts w:hint="eastAsia"/>
          <w:lang w:eastAsia="zh-CN"/>
        </w:rPr>
        <w:t>IPSAS 23</w:t>
      </w:r>
      <w:r w:rsidRPr="00390AE4">
        <w:rPr>
          <w:rFonts w:hint="eastAsia"/>
          <w:lang w:eastAsia="zh-CN"/>
        </w:rPr>
        <w:t>准则（非兑换交易收入）确认为非兑换交易。</w:t>
      </w:r>
    </w:p>
    <w:p w14:paraId="70D61FCE" w14:textId="455AAAF9" w:rsidR="00390AE4" w:rsidRPr="00390AE4" w:rsidRDefault="00BF02A4" w:rsidP="00BF02A4">
      <w:pPr>
        <w:pStyle w:val="enumlev1"/>
        <w:rPr>
          <w:highlight w:val="green"/>
          <w:lang w:eastAsia="zh-CN"/>
        </w:rPr>
      </w:pPr>
      <w:r w:rsidRPr="00E52A4A">
        <w:t>–</w:t>
      </w:r>
      <w:r w:rsidRPr="00E52A4A">
        <w:tab/>
      </w:r>
      <w:r w:rsidR="00390AE4" w:rsidRPr="00390AE4">
        <w:rPr>
          <w:rFonts w:hint="eastAsia"/>
          <w:lang w:eastAsia="zh-CN"/>
        </w:rPr>
        <w:t>分摊会费：</w:t>
      </w:r>
    </w:p>
    <w:p w14:paraId="618F1885" w14:textId="77777777" w:rsidR="00390AE4" w:rsidRPr="00390AE4" w:rsidRDefault="00390AE4" w:rsidP="00BF02A4">
      <w:pPr>
        <w:ind w:firstLineChars="200" w:firstLine="480"/>
        <w:rPr>
          <w:lang w:eastAsia="zh-CN"/>
        </w:rPr>
      </w:pPr>
      <w:r w:rsidRPr="00390AE4">
        <w:rPr>
          <w:rFonts w:hint="eastAsia"/>
          <w:lang w:eastAsia="zh-CN"/>
        </w:rPr>
        <w:t>主要指各成员国、部门成员和部门准成员缴纳的会费。全权代表大会规定将会费单位上限作为计算国际电联在大会后四年内双年度预算收入的基础。按照国际电联《组织法》相关规定，成员国和部门成员可自由选择为摊付国际电联费用而缴纳的会费等级，同时根据加入或被接纳的年份，自加入或被接纳之月份的第一日缴纳计算得出的会费。该收入用来实施国际电联按照全权代表大会确定的各项活动。</w:t>
      </w:r>
    </w:p>
    <w:p w14:paraId="7DDF209C" w14:textId="30BF5B40" w:rsidR="00390AE4" w:rsidRPr="00390AE4" w:rsidRDefault="00390AE4" w:rsidP="00BF02A4">
      <w:pPr>
        <w:ind w:firstLineChars="200" w:firstLine="480"/>
        <w:rPr>
          <w:lang w:eastAsia="zh-CN"/>
        </w:rPr>
      </w:pPr>
      <w:r w:rsidRPr="00390AE4">
        <w:rPr>
          <w:rFonts w:hint="eastAsia"/>
          <w:lang w:eastAsia="zh-CN"/>
        </w:rPr>
        <w:t>分摊会费在与其相关年度的第一天按年度确认为收入。</w:t>
      </w:r>
      <w:bookmarkEnd w:id="235"/>
    </w:p>
    <w:p w14:paraId="73F2EC0B" w14:textId="7A1D9E2A" w:rsidR="00390AE4" w:rsidRPr="00390AE4" w:rsidRDefault="00BF02A4" w:rsidP="00BF02A4">
      <w:pPr>
        <w:pStyle w:val="enumlev1"/>
        <w:rPr>
          <w:lang w:eastAsia="zh-CN"/>
        </w:rPr>
      </w:pPr>
      <w:r w:rsidRPr="00E52A4A">
        <w:rPr>
          <w:lang w:eastAsia="zh-CN"/>
        </w:rPr>
        <w:t>–</w:t>
      </w:r>
      <w:r w:rsidRPr="00E52A4A">
        <w:rPr>
          <w:lang w:eastAsia="zh-CN"/>
        </w:rPr>
        <w:tab/>
      </w:r>
      <w:r w:rsidR="00390AE4" w:rsidRPr="00390AE4">
        <w:rPr>
          <w:rFonts w:hint="eastAsia"/>
          <w:lang w:eastAsia="zh-CN"/>
        </w:rPr>
        <w:t>自愿捐款和赞助：</w:t>
      </w:r>
    </w:p>
    <w:p w14:paraId="0DF17F18" w14:textId="2233832B" w:rsidR="00390AE4" w:rsidRPr="00390AE4" w:rsidRDefault="00390AE4" w:rsidP="00BF02A4">
      <w:pPr>
        <w:ind w:firstLineChars="200" w:firstLine="480"/>
        <w:rPr>
          <w:lang w:eastAsia="zh-CN"/>
        </w:rPr>
      </w:pPr>
      <w:r w:rsidRPr="00390AE4">
        <w:rPr>
          <w:rFonts w:hint="eastAsia"/>
          <w:lang w:eastAsia="zh-CN"/>
        </w:rPr>
        <w:lastRenderedPageBreak/>
        <w:t>自愿捐款和赞助最初在国际电联与捐助方之间的协议生效且取得对相关资产的控制权时确认为收入，除非该协议包含</w:t>
      </w:r>
      <w:r w:rsidRPr="00390AE4">
        <w:rPr>
          <w:rFonts w:hint="eastAsia"/>
          <w:lang w:eastAsia="zh-CN"/>
        </w:rPr>
        <w:t>IPSAS</w:t>
      </w:r>
      <w:r w:rsidRPr="00390AE4">
        <w:rPr>
          <w:lang w:eastAsia="zh-CN"/>
        </w:rPr>
        <w:t xml:space="preserve"> </w:t>
      </w:r>
      <w:r w:rsidRPr="00390AE4">
        <w:rPr>
          <w:rFonts w:hint="eastAsia"/>
          <w:lang w:eastAsia="zh-CN"/>
        </w:rPr>
        <w:t>23</w:t>
      </w:r>
      <w:r w:rsidRPr="00390AE4">
        <w:rPr>
          <w:rFonts w:hint="eastAsia"/>
          <w:lang w:eastAsia="zh-CN"/>
        </w:rPr>
        <w:t>准则定义的限制条件。</w:t>
      </w:r>
    </w:p>
    <w:p w14:paraId="04A5715F" w14:textId="77777777" w:rsidR="00390AE4" w:rsidRPr="00390AE4" w:rsidRDefault="00390AE4" w:rsidP="00BF02A4">
      <w:pPr>
        <w:ind w:firstLineChars="200" w:firstLine="480"/>
        <w:rPr>
          <w:lang w:eastAsia="zh-CN"/>
        </w:rPr>
      </w:pPr>
      <w:r w:rsidRPr="00390AE4">
        <w:rPr>
          <w:rFonts w:hint="eastAsia"/>
          <w:lang w:eastAsia="zh-CN"/>
        </w:rPr>
        <w:t>包含此类条件的协议要求对负债进行初步确认，并推迟收入确认，直到通过履行协议中包括的特定条件解除债务，并履行可执行的退货义务，以便在未以规定方式使用金额时返还金额。作为负债确认的数额是在报告日清偿债务所需数额的最佳估计金额。</w:t>
      </w:r>
    </w:p>
    <w:p w14:paraId="0D18C3F7" w14:textId="7A8A4388" w:rsidR="00390AE4" w:rsidRPr="00390AE4" w:rsidRDefault="00390AE4" w:rsidP="00BF02A4">
      <w:pPr>
        <w:ind w:firstLineChars="200" w:firstLine="480"/>
        <w:rPr>
          <w:lang w:eastAsia="zh-CN"/>
        </w:rPr>
      </w:pPr>
      <w:r w:rsidRPr="00390AE4">
        <w:rPr>
          <w:rFonts w:hint="eastAsia"/>
          <w:lang w:eastAsia="zh-CN"/>
        </w:rPr>
        <w:t>在签署协议但未收到任何捐款且协议涉及未来财务期的情况下，将其确认为递延收入。</w:t>
      </w:r>
    </w:p>
    <w:p w14:paraId="6A999A37" w14:textId="71BADD8B" w:rsidR="00390AE4" w:rsidRPr="00390AE4" w:rsidRDefault="00390AE4" w:rsidP="00BF02A4">
      <w:pPr>
        <w:pStyle w:val="Headingb"/>
        <w:rPr>
          <w:lang w:eastAsia="zh-CN"/>
        </w:rPr>
      </w:pPr>
      <w:r w:rsidRPr="00390AE4">
        <w:rPr>
          <w:rFonts w:hint="eastAsia"/>
          <w:lang w:eastAsia="zh-CN"/>
        </w:rPr>
        <w:t>兑换收入</w:t>
      </w:r>
    </w:p>
    <w:p w14:paraId="18A7489C" w14:textId="28D21AEE" w:rsidR="00390AE4" w:rsidRPr="00390AE4" w:rsidRDefault="00390AE4" w:rsidP="00BF02A4">
      <w:pPr>
        <w:ind w:firstLineChars="200" w:firstLine="480"/>
        <w:rPr>
          <w:lang w:eastAsia="zh-CN"/>
        </w:rPr>
      </w:pPr>
      <w:r w:rsidRPr="00390AE4">
        <w:rPr>
          <w:rFonts w:hint="eastAsia"/>
          <w:lang w:eastAsia="zh-CN"/>
        </w:rPr>
        <w:t>下列收入符合</w:t>
      </w:r>
      <w:r w:rsidRPr="00390AE4">
        <w:rPr>
          <w:rFonts w:hint="eastAsia"/>
          <w:lang w:eastAsia="zh-CN"/>
        </w:rPr>
        <w:t>IPSAS</w:t>
      </w:r>
      <w:r w:rsidRPr="00390AE4">
        <w:rPr>
          <w:lang w:eastAsia="zh-CN"/>
        </w:rPr>
        <w:t xml:space="preserve"> </w:t>
      </w:r>
      <w:r w:rsidRPr="00390AE4">
        <w:rPr>
          <w:rFonts w:hint="eastAsia"/>
          <w:lang w:eastAsia="zh-CN"/>
        </w:rPr>
        <w:t>9</w:t>
      </w:r>
      <w:r w:rsidRPr="00390AE4">
        <w:rPr>
          <w:rFonts w:hint="eastAsia"/>
          <w:lang w:eastAsia="zh-CN"/>
        </w:rPr>
        <w:t>准则（兑换交易收入）规定的兑换交易定义并按照此准则入账。</w:t>
      </w:r>
    </w:p>
    <w:p w14:paraId="68CFEB01" w14:textId="1F5FE991" w:rsidR="00390AE4" w:rsidRPr="00390AE4" w:rsidRDefault="00390AE4" w:rsidP="00BF02A4">
      <w:pPr>
        <w:ind w:firstLineChars="200" w:firstLine="480"/>
        <w:rPr>
          <w:lang w:eastAsia="zh-CN"/>
        </w:rPr>
      </w:pPr>
      <w:r w:rsidRPr="00390AE4">
        <w:rPr>
          <w:rFonts w:hint="eastAsia"/>
          <w:lang w:eastAsia="zh-CN"/>
        </w:rPr>
        <w:t>国际电联的兑换收入以已收或应收对价的公允价值计量，并在货物和服务交付时确认。</w:t>
      </w:r>
    </w:p>
    <w:p w14:paraId="0B7779E1" w14:textId="77777777" w:rsidR="00390AE4" w:rsidRPr="00390AE4" w:rsidRDefault="00390AE4" w:rsidP="00BF02A4">
      <w:pPr>
        <w:ind w:firstLineChars="200" w:firstLine="480"/>
        <w:rPr>
          <w:lang w:eastAsia="zh-CN"/>
        </w:rPr>
      </w:pPr>
      <w:r w:rsidRPr="00390AE4">
        <w:rPr>
          <w:rFonts w:hint="eastAsia"/>
          <w:lang w:eastAsia="zh-CN"/>
        </w:rPr>
        <w:t>兑换收入包括国际电联实行成本回收原则的产品和服务，即：</w:t>
      </w:r>
    </w:p>
    <w:p w14:paraId="018B7187" w14:textId="43C38489" w:rsidR="00390AE4" w:rsidRPr="00390AE4" w:rsidRDefault="00390AE4" w:rsidP="00BF02A4">
      <w:pPr>
        <w:pStyle w:val="enumlev1"/>
        <w:rPr>
          <w:lang w:eastAsia="zh-CN"/>
        </w:rPr>
      </w:pPr>
      <w:r w:rsidRPr="00390AE4">
        <w:rPr>
          <w:lang w:eastAsia="zh-CN"/>
        </w:rPr>
        <w:t>–</w:t>
      </w:r>
      <w:r w:rsidRPr="00390AE4">
        <w:rPr>
          <w:lang w:eastAsia="zh-CN"/>
        </w:rPr>
        <w:tab/>
      </w:r>
      <w:r w:rsidRPr="00390AE4">
        <w:rPr>
          <w:rFonts w:hint="eastAsia"/>
          <w:lang w:eastAsia="zh-CN"/>
        </w:rPr>
        <w:t>出版物销售：出版物销售收入在出版物发货时确认，涉及获取国际电联统计数据和电子数据的服务销售收入在数据可获取时确认</w:t>
      </w:r>
      <w:r w:rsidR="00CD368B">
        <w:rPr>
          <w:rFonts w:hint="eastAsia"/>
          <w:lang w:eastAsia="zh-CN"/>
        </w:rPr>
        <w:t>；</w:t>
      </w:r>
    </w:p>
    <w:p w14:paraId="5D8EF1C7" w14:textId="77777777" w:rsidR="00390AE4" w:rsidRPr="00390AE4" w:rsidRDefault="00390AE4" w:rsidP="00BF02A4">
      <w:pPr>
        <w:pStyle w:val="enumlev1"/>
        <w:rPr>
          <w:lang w:eastAsia="zh-CN"/>
        </w:rPr>
      </w:pPr>
      <w:r w:rsidRPr="00390AE4">
        <w:rPr>
          <w:lang w:eastAsia="zh-CN"/>
        </w:rPr>
        <w:t>–</w:t>
      </w:r>
      <w:r w:rsidRPr="00390AE4">
        <w:rPr>
          <w:lang w:eastAsia="zh-CN"/>
        </w:rPr>
        <w:tab/>
      </w:r>
      <w:r w:rsidRPr="00390AE4">
        <w:rPr>
          <w:rFonts w:hint="eastAsia"/>
          <w:lang w:eastAsia="zh-CN"/>
        </w:rPr>
        <w:t>卫星网络申报资料的处理：卫星网络申报资料的收入在无线电通信局《国际频率信息通报》（</w:t>
      </w:r>
      <w:r w:rsidRPr="00390AE4">
        <w:rPr>
          <w:rFonts w:hint="eastAsia"/>
          <w:lang w:eastAsia="zh-CN"/>
        </w:rPr>
        <w:t>IFIC</w:t>
      </w:r>
      <w:r w:rsidRPr="00390AE4">
        <w:rPr>
          <w:rFonts w:hint="eastAsia"/>
          <w:lang w:eastAsia="zh-CN"/>
        </w:rPr>
        <w:t>）中最终公布申报资料时予以确认；当</w:t>
      </w:r>
      <w:r w:rsidRPr="00390AE4">
        <w:rPr>
          <w:rFonts w:hint="eastAsia"/>
          <w:lang w:eastAsia="zh-CN"/>
        </w:rPr>
        <w:t>IFIC</w:t>
      </w:r>
      <w:r w:rsidRPr="00390AE4">
        <w:rPr>
          <w:rFonts w:hint="eastAsia"/>
          <w:lang w:eastAsia="zh-CN"/>
        </w:rPr>
        <w:t>中的公布在最初开具发票的年份失效时，该服务被视为未最终确定，因此收入将推迟至最终在</w:t>
      </w:r>
      <w:r w:rsidRPr="00390AE4">
        <w:rPr>
          <w:rFonts w:hint="eastAsia"/>
          <w:lang w:eastAsia="zh-CN"/>
        </w:rPr>
        <w:t>IFIC</w:t>
      </w:r>
      <w:r w:rsidRPr="00390AE4">
        <w:rPr>
          <w:rFonts w:hint="eastAsia"/>
          <w:lang w:eastAsia="zh-CN"/>
        </w:rPr>
        <w:t>中公布之时；</w:t>
      </w:r>
    </w:p>
    <w:p w14:paraId="1C427EFB" w14:textId="77FBC004" w:rsidR="00390AE4" w:rsidRPr="00390AE4" w:rsidRDefault="00390AE4" w:rsidP="00BF02A4">
      <w:pPr>
        <w:pStyle w:val="enumlev1"/>
        <w:rPr>
          <w:lang w:eastAsia="zh-CN"/>
        </w:rPr>
      </w:pPr>
      <w:r w:rsidRPr="00390AE4">
        <w:rPr>
          <w:lang w:eastAsia="zh-CN"/>
        </w:rPr>
        <w:t>–</w:t>
      </w:r>
      <w:r w:rsidRPr="00390AE4">
        <w:rPr>
          <w:lang w:eastAsia="zh-CN"/>
        </w:rPr>
        <w:tab/>
      </w:r>
      <w:r w:rsidRPr="00390AE4">
        <w:rPr>
          <w:rFonts w:hint="eastAsia"/>
          <w:lang w:eastAsia="zh-CN"/>
        </w:rPr>
        <w:t>国际通用免费电话号码的注册（</w:t>
      </w:r>
      <w:r w:rsidRPr="00390AE4">
        <w:rPr>
          <w:rFonts w:hint="eastAsia"/>
          <w:lang w:eastAsia="zh-CN"/>
        </w:rPr>
        <w:t>UIFN</w:t>
      </w:r>
      <w:r w:rsidR="00480F68">
        <w:rPr>
          <w:rFonts w:hint="eastAsia"/>
          <w:lang w:eastAsia="zh-CN"/>
        </w:rPr>
        <w:t>）</w:t>
      </w:r>
      <w:r w:rsidRPr="00390AE4">
        <w:rPr>
          <w:rFonts w:hint="eastAsia"/>
          <w:lang w:eastAsia="zh-CN"/>
        </w:rPr>
        <w:t>：国际电联收到的预付款，用于为国际通用免费电话号码（</w:t>
      </w:r>
      <w:r w:rsidRPr="00390AE4">
        <w:rPr>
          <w:rFonts w:hint="eastAsia"/>
          <w:lang w:eastAsia="zh-CN"/>
        </w:rPr>
        <w:t>UIFN</w:t>
      </w:r>
      <w:r w:rsidRPr="00390AE4">
        <w:rPr>
          <w:rFonts w:hint="eastAsia"/>
          <w:lang w:eastAsia="zh-CN"/>
        </w:rPr>
        <w:t>）的注册以及国际通用加价特种服务号码（</w:t>
      </w:r>
      <w:r w:rsidRPr="00390AE4">
        <w:rPr>
          <w:rFonts w:hint="eastAsia"/>
          <w:lang w:eastAsia="zh-CN"/>
        </w:rPr>
        <w:t>UIPRN</w:t>
      </w:r>
      <w:r w:rsidRPr="00390AE4">
        <w:rPr>
          <w:rFonts w:hint="eastAsia"/>
          <w:lang w:eastAsia="zh-CN"/>
        </w:rPr>
        <w:t>）和国际通用成本分摊号码（</w:t>
      </w:r>
      <w:r w:rsidRPr="00390AE4">
        <w:rPr>
          <w:rFonts w:hint="eastAsia"/>
          <w:lang w:eastAsia="zh-CN"/>
        </w:rPr>
        <w:t>UISCN</w:t>
      </w:r>
      <w:r w:rsidRPr="00390AE4">
        <w:rPr>
          <w:rFonts w:hint="eastAsia"/>
          <w:lang w:eastAsia="zh-CN"/>
        </w:rPr>
        <w:t>）的注册提供服务</w:t>
      </w:r>
      <w:r w:rsidR="00CD368B">
        <w:rPr>
          <w:rFonts w:hint="eastAsia"/>
          <w:lang w:eastAsia="zh-CN"/>
        </w:rPr>
        <w:t>。</w:t>
      </w:r>
    </w:p>
    <w:p w14:paraId="3E0E1F0D" w14:textId="070F0FD2" w:rsidR="00390AE4" w:rsidRPr="00390AE4" w:rsidRDefault="00390AE4" w:rsidP="00BF02A4">
      <w:pPr>
        <w:pStyle w:val="Heading2"/>
        <w:rPr>
          <w:lang w:eastAsia="zh-CN"/>
        </w:rPr>
      </w:pPr>
      <w:bookmarkStart w:id="236" w:name="_Toc131156428"/>
      <w:bookmarkStart w:id="237" w:name="lt_pId769"/>
      <w:bookmarkStart w:id="238" w:name="_Toc305764078"/>
      <w:bookmarkStart w:id="239" w:name="_Toc131156433"/>
      <w:r w:rsidRPr="00390AE4">
        <w:rPr>
          <w:lang w:eastAsia="zh-CN"/>
        </w:rPr>
        <w:t>3.10</w:t>
      </w:r>
      <w:r w:rsidRPr="00390AE4">
        <w:rPr>
          <w:lang w:eastAsia="zh-CN"/>
        </w:rPr>
        <w:tab/>
      </w:r>
      <w:bookmarkStart w:id="240" w:name="_Toc482892556"/>
      <w:bookmarkStart w:id="241" w:name="_Toc41905857"/>
      <w:bookmarkStart w:id="242" w:name="_Toc73518673"/>
      <w:bookmarkStart w:id="243" w:name="_Toc73518820"/>
      <w:bookmarkStart w:id="244" w:name="_Toc73519220"/>
      <w:bookmarkStart w:id="245" w:name="_Toc73636257"/>
      <w:bookmarkEnd w:id="236"/>
      <w:r w:rsidRPr="00390AE4">
        <w:rPr>
          <w:rFonts w:hint="eastAsia"/>
          <w:lang w:eastAsia="zh-CN"/>
        </w:rPr>
        <w:t>储备金账目</w:t>
      </w:r>
      <w:bookmarkEnd w:id="240"/>
      <w:bookmarkEnd w:id="241"/>
      <w:bookmarkEnd w:id="242"/>
      <w:bookmarkEnd w:id="243"/>
      <w:bookmarkEnd w:id="244"/>
      <w:bookmarkEnd w:id="245"/>
    </w:p>
    <w:p w14:paraId="3ECA1495" w14:textId="77777777" w:rsidR="00390AE4" w:rsidRPr="00390AE4" w:rsidRDefault="00390AE4" w:rsidP="00BF02A4">
      <w:pPr>
        <w:ind w:firstLineChars="200" w:firstLine="480"/>
        <w:rPr>
          <w:lang w:eastAsia="zh-CN"/>
        </w:rPr>
      </w:pPr>
      <w:r w:rsidRPr="00390AE4">
        <w:rPr>
          <w:rFonts w:hint="eastAsia"/>
          <w:lang w:eastAsia="zh-CN"/>
        </w:rPr>
        <w:t>按照《公约》第</w:t>
      </w:r>
      <w:r w:rsidRPr="00390AE4">
        <w:rPr>
          <w:lang w:eastAsia="zh-CN"/>
        </w:rPr>
        <w:t>485</w:t>
      </w:r>
      <w:r w:rsidRPr="00390AE4">
        <w:rPr>
          <w:rFonts w:hint="eastAsia"/>
          <w:lang w:eastAsia="zh-CN"/>
        </w:rPr>
        <w:t>款和《财务规则》第</w:t>
      </w:r>
      <w:r w:rsidRPr="00390AE4">
        <w:rPr>
          <w:lang w:eastAsia="zh-CN"/>
        </w:rPr>
        <w:t>27</w:t>
      </w:r>
      <w:r w:rsidRPr="00390AE4">
        <w:rPr>
          <w:rFonts w:hint="eastAsia"/>
          <w:lang w:eastAsia="zh-CN"/>
        </w:rPr>
        <w:t>条的规定，储备金账目资金主要源自未使用的预算拨款。储备金账目的变动详情见国际电联净资产变动表。储备金账目包含：</w:t>
      </w:r>
    </w:p>
    <w:p w14:paraId="69847051" w14:textId="77777777" w:rsidR="00390AE4" w:rsidRPr="00390AE4" w:rsidRDefault="00390AE4" w:rsidP="00BF02A4">
      <w:pPr>
        <w:pStyle w:val="enumlev1"/>
        <w:rPr>
          <w:lang w:eastAsia="zh-CN"/>
        </w:rPr>
      </w:pPr>
      <w:r w:rsidRPr="00390AE4">
        <w:rPr>
          <w:lang w:eastAsia="zh-CN"/>
        </w:rPr>
        <w:t>a)</w:t>
      </w:r>
      <w:r w:rsidRPr="00390AE4">
        <w:rPr>
          <w:lang w:eastAsia="zh-CN"/>
        </w:rPr>
        <w:tab/>
      </w:r>
      <w:r w:rsidRPr="00390AE4">
        <w:rPr>
          <w:rFonts w:hint="eastAsia"/>
          <w:lang w:eastAsia="zh-CN"/>
        </w:rPr>
        <w:t>每财年正常预算执行的正负净余额；</w:t>
      </w:r>
    </w:p>
    <w:p w14:paraId="18D5CB9D" w14:textId="77777777" w:rsidR="00390AE4" w:rsidRPr="00390AE4" w:rsidRDefault="00390AE4" w:rsidP="00BF02A4">
      <w:pPr>
        <w:pStyle w:val="enumlev1"/>
        <w:rPr>
          <w:lang w:eastAsia="zh-CN"/>
        </w:rPr>
      </w:pPr>
      <w:r w:rsidRPr="00390AE4">
        <w:rPr>
          <w:lang w:eastAsia="zh-CN"/>
        </w:rPr>
        <w:t>b)</w:t>
      </w:r>
      <w:r w:rsidRPr="00390AE4">
        <w:rPr>
          <w:lang w:eastAsia="zh-CN"/>
        </w:rPr>
        <w:tab/>
      </w:r>
      <w:r w:rsidRPr="00390AE4">
        <w:rPr>
          <w:rFonts w:hint="eastAsia"/>
          <w:lang w:eastAsia="zh-CN"/>
        </w:rPr>
        <w:t>按照理事会决定从其它储备金</w:t>
      </w:r>
      <w:r w:rsidRPr="00390AE4">
        <w:rPr>
          <w:lang w:eastAsia="zh-CN"/>
        </w:rPr>
        <w:t>/</w:t>
      </w:r>
      <w:r w:rsidRPr="00390AE4">
        <w:rPr>
          <w:rFonts w:hint="eastAsia"/>
          <w:lang w:eastAsia="zh-CN"/>
        </w:rPr>
        <w:t>基金的转账；</w:t>
      </w:r>
    </w:p>
    <w:p w14:paraId="5CF106FF" w14:textId="77777777" w:rsidR="00390AE4" w:rsidRPr="00390AE4" w:rsidRDefault="00390AE4" w:rsidP="00BF02A4">
      <w:pPr>
        <w:pStyle w:val="enumlev1"/>
        <w:rPr>
          <w:lang w:eastAsia="zh-CN"/>
        </w:rPr>
      </w:pPr>
      <w:r w:rsidRPr="00390AE4">
        <w:rPr>
          <w:lang w:eastAsia="zh-CN"/>
        </w:rPr>
        <w:t>c)</w:t>
      </w:r>
      <w:r w:rsidRPr="00390AE4">
        <w:rPr>
          <w:lang w:eastAsia="zh-CN"/>
        </w:rPr>
        <w:tab/>
      </w:r>
      <w:r w:rsidRPr="00390AE4">
        <w:rPr>
          <w:rFonts w:hint="eastAsia"/>
          <w:lang w:eastAsia="zh-CN"/>
        </w:rPr>
        <w:t>按照联合国系统各组织共用会计准则规定贷记至储备金账目的金额。</w:t>
      </w:r>
    </w:p>
    <w:p w14:paraId="25A650FC" w14:textId="416A1062" w:rsidR="00390AE4" w:rsidRPr="00390AE4" w:rsidRDefault="00390AE4" w:rsidP="00BF02A4">
      <w:pPr>
        <w:ind w:firstLineChars="200" w:firstLine="480"/>
        <w:rPr>
          <w:lang w:eastAsia="zh-CN"/>
        </w:rPr>
      </w:pPr>
      <w:bookmarkStart w:id="246" w:name="_MON_1753114325"/>
      <w:bookmarkEnd w:id="246"/>
      <w:r w:rsidRPr="00390AE4">
        <w:rPr>
          <w:rFonts w:hint="eastAsia"/>
          <w:lang w:eastAsia="zh-CN"/>
        </w:rPr>
        <w:t>尽管国际电联《财务规则》第</w:t>
      </w:r>
      <w:r w:rsidRPr="00390AE4">
        <w:rPr>
          <w:lang w:eastAsia="zh-CN"/>
        </w:rPr>
        <w:t>13</w:t>
      </w:r>
      <w:r w:rsidRPr="00390AE4">
        <w:rPr>
          <w:rFonts w:hint="eastAsia"/>
          <w:lang w:eastAsia="zh-CN"/>
        </w:rPr>
        <w:t>条</w:t>
      </w:r>
      <w:r w:rsidRPr="00390AE4">
        <w:rPr>
          <w:lang w:eastAsia="zh-CN"/>
        </w:rPr>
        <w:t>4b)</w:t>
      </w:r>
      <w:r w:rsidRPr="00390AE4">
        <w:rPr>
          <w:rFonts w:hint="eastAsia"/>
          <w:lang w:eastAsia="zh-CN"/>
        </w:rPr>
        <w:t>段有所规定，铭记有必要保持全权代表大会确定的储备金账目最低水平，但是，根据理事会的特别决定，可以特别因以下原因从储备金账目中提款：</w:t>
      </w:r>
    </w:p>
    <w:p w14:paraId="787DA00C" w14:textId="77777777" w:rsidR="00390AE4" w:rsidRPr="00390AE4" w:rsidRDefault="00390AE4" w:rsidP="00BF02A4">
      <w:pPr>
        <w:pStyle w:val="enumlev1"/>
        <w:rPr>
          <w:lang w:eastAsia="zh-CN"/>
        </w:rPr>
      </w:pPr>
      <w:r w:rsidRPr="00390AE4">
        <w:rPr>
          <w:lang w:eastAsia="zh-CN"/>
        </w:rPr>
        <w:t>a)</w:t>
      </w:r>
      <w:r w:rsidRPr="00390AE4">
        <w:rPr>
          <w:lang w:eastAsia="zh-CN"/>
        </w:rPr>
        <w:tab/>
      </w:r>
      <w:r w:rsidRPr="00390AE4">
        <w:rPr>
          <w:rFonts w:hint="eastAsia"/>
          <w:lang w:eastAsia="zh-CN"/>
        </w:rPr>
        <w:t>降低会费单位金额；</w:t>
      </w:r>
    </w:p>
    <w:p w14:paraId="0671D7A9" w14:textId="77777777" w:rsidR="00390AE4" w:rsidRPr="00390AE4" w:rsidRDefault="00390AE4" w:rsidP="00BF02A4">
      <w:pPr>
        <w:pStyle w:val="enumlev1"/>
        <w:rPr>
          <w:lang w:eastAsia="zh-CN"/>
        </w:rPr>
      </w:pPr>
      <w:r w:rsidRPr="00390AE4">
        <w:rPr>
          <w:lang w:eastAsia="zh-CN"/>
        </w:rPr>
        <w:t>b)</w:t>
      </w:r>
      <w:r w:rsidRPr="00390AE4">
        <w:rPr>
          <w:lang w:eastAsia="zh-CN"/>
        </w:rPr>
        <w:tab/>
      </w:r>
      <w:r w:rsidRPr="00390AE4">
        <w:rPr>
          <w:rFonts w:hint="eastAsia"/>
          <w:lang w:eastAsia="zh-CN"/>
        </w:rPr>
        <w:t>平衡国际电联的预算；</w:t>
      </w:r>
    </w:p>
    <w:p w14:paraId="586B2611" w14:textId="77777777" w:rsidR="00390AE4" w:rsidRPr="00390AE4" w:rsidRDefault="00390AE4" w:rsidP="00BF02A4">
      <w:pPr>
        <w:pStyle w:val="enumlev1"/>
        <w:rPr>
          <w:lang w:eastAsia="zh-CN"/>
        </w:rPr>
      </w:pPr>
      <w:r w:rsidRPr="00390AE4">
        <w:rPr>
          <w:lang w:eastAsia="zh-CN"/>
        </w:rPr>
        <w:t>c)</w:t>
      </w:r>
      <w:r w:rsidRPr="00390AE4">
        <w:rPr>
          <w:lang w:eastAsia="zh-CN"/>
        </w:rPr>
        <w:tab/>
      </w:r>
      <w:r w:rsidRPr="00390AE4">
        <w:rPr>
          <w:rFonts w:hint="eastAsia"/>
          <w:lang w:eastAsia="zh-CN"/>
        </w:rPr>
        <w:t>向其它储备金</w:t>
      </w:r>
      <w:r w:rsidRPr="00390AE4">
        <w:rPr>
          <w:lang w:eastAsia="zh-CN"/>
        </w:rPr>
        <w:t>/</w:t>
      </w:r>
      <w:r w:rsidRPr="00390AE4">
        <w:rPr>
          <w:rFonts w:hint="eastAsia"/>
          <w:lang w:eastAsia="zh-CN"/>
        </w:rPr>
        <w:t>基金转账；</w:t>
      </w:r>
    </w:p>
    <w:p w14:paraId="21A03272" w14:textId="77777777" w:rsidR="00390AE4" w:rsidRPr="00390AE4" w:rsidRDefault="00390AE4" w:rsidP="00BF02A4">
      <w:pPr>
        <w:pStyle w:val="enumlev1"/>
        <w:rPr>
          <w:lang w:eastAsia="zh-CN"/>
        </w:rPr>
      </w:pPr>
      <w:r w:rsidRPr="00390AE4">
        <w:rPr>
          <w:lang w:eastAsia="zh-CN"/>
        </w:rPr>
        <w:t>d)</w:t>
      </w:r>
      <w:r w:rsidRPr="00390AE4">
        <w:rPr>
          <w:lang w:eastAsia="zh-CN"/>
        </w:rPr>
        <w:tab/>
      </w:r>
      <w:r w:rsidRPr="00390AE4">
        <w:rPr>
          <w:rFonts w:hint="eastAsia"/>
          <w:lang w:eastAsia="zh-CN"/>
        </w:rPr>
        <w:t>按照联合国系统各组织共用会计准则的规定借记至储备金账目的金额。</w:t>
      </w:r>
    </w:p>
    <w:p w14:paraId="19BBF1D8" w14:textId="03E8FB7F" w:rsidR="00390AE4" w:rsidRPr="00390AE4" w:rsidRDefault="00390AE4" w:rsidP="00BF02A4">
      <w:pPr>
        <w:pStyle w:val="Heading2"/>
        <w:rPr>
          <w:lang w:eastAsia="zh-CN"/>
        </w:rPr>
      </w:pPr>
      <w:r w:rsidRPr="00390AE4">
        <w:rPr>
          <w:lang w:eastAsia="zh-CN"/>
        </w:rPr>
        <w:lastRenderedPageBreak/>
        <w:t>3.11</w:t>
      </w:r>
      <w:r w:rsidRPr="00390AE4">
        <w:rPr>
          <w:lang w:eastAsia="zh-CN"/>
        </w:rPr>
        <w:tab/>
      </w:r>
      <w:bookmarkStart w:id="247" w:name="_Toc482892557"/>
      <w:bookmarkStart w:id="248" w:name="_Toc41905858"/>
      <w:bookmarkStart w:id="249" w:name="_Toc73518674"/>
      <w:bookmarkStart w:id="250" w:name="_Toc73518821"/>
      <w:bookmarkStart w:id="251" w:name="_Toc73519221"/>
      <w:bookmarkStart w:id="252" w:name="_Toc73636258"/>
      <w:bookmarkStart w:id="253" w:name="_Toc305764075"/>
      <w:r w:rsidRPr="00390AE4">
        <w:rPr>
          <w:rFonts w:hint="eastAsia"/>
          <w:lang w:eastAsia="zh-CN"/>
        </w:rPr>
        <w:t>其他储备金</w:t>
      </w:r>
      <w:bookmarkEnd w:id="247"/>
      <w:bookmarkEnd w:id="248"/>
      <w:bookmarkEnd w:id="249"/>
      <w:bookmarkEnd w:id="250"/>
      <w:bookmarkEnd w:id="251"/>
      <w:bookmarkEnd w:id="252"/>
    </w:p>
    <w:p w14:paraId="5A39A84F" w14:textId="77777777" w:rsidR="00390AE4" w:rsidRPr="00390AE4" w:rsidRDefault="00390AE4" w:rsidP="00BF02A4">
      <w:pPr>
        <w:ind w:firstLineChars="200" w:firstLine="480"/>
        <w:rPr>
          <w:lang w:eastAsia="zh-CN"/>
        </w:rPr>
      </w:pPr>
      <w:r w:rsidRPr="00390AE4">
        <w:rPr>
          <w:rFonts w:hint="eastAsia"/>
          <w:lang w:eastAsia="zh-CN"/>
        </w:rPr>
        <w:t>其他储备金包括：</w:t>
      </w:r>
    </w:p>
    <w:p w14:paraId="70FACB6B" w14:textId="1AB1FA54" w:rsidR="00390AE4" w:rsidRPr="00390AE4" w:rsidRDefault="00BF02A4" w:rsidP="00B70994">
      <w:pPr>
        <w:pStyle w:val="enumlev1"/>
        <w:rPr>
          <w:lang w:eastAsia="zh-CN"/>
        </w:rPr>
      </w:pPr>
      <w:r w:rsidRPr="00E52A4A">
        <w:rPr>
          <w:lang w:eastAsia="zh-CN"/>
        </w:rPr>
        <w:t>–</w:t>
      </w:r>
      <w:r w:rsidRPr="00E52A4A">
        <w:rPr>
          <w:lang w:eastAsia="zh-CN"/>
        </w:rPr>
        <w:tab/>
      </w:r>
      <w:r w:rsidR="00390AE4" w:rsidRPr="00390AE4">
        <w:rPr>
          <w:rFonts w:hint="eastAsia"/>
          <w:lang w:eastAsia="zh-CN"/>
        </w:rPr>
        <w:t>前一年的节余；</w:t>
      </w:r>
    </w:p>
    <w:p w14:paraId="605AB737" w14:textId="7E8B17FA" w:rsidR="00390AE4" w:rsidRPr="00390AE4" w:rsidRDefault="00BF02A4" w:rsidP="00B70994">
      <w:pPr>
        <w:pStyle w:val="enumlev1"/>
        <w:rPr>
          <w:lang w:eastAsia="zh-CN"/>
        </w:rPr>
      </w:pPr>
      <w:r w:rsidRPr="00E52A4A">
        <w:rPr>
          <w:lang w:eastAsia="zh-CN"/>
        </w:rPr>
        <w:t>–</w:t>
      </w:r>
      <w:r w:rsidRPr="00E52A4A">
        <w:rPr>
          <w:lang w:eastAsia="zh-CN"/>
        </w:rPr>
        <w:tab/>
      </w:r>
      <w:r w:rsidR="00390AE4" w:rsidRPr="00390AE4">
        <w:rPr>
          <w:rFonts w:hint="eastAsia"/>
          <w:lang w:eastAsia="zh-CN"/>
        </w:rPr>
        <w:t>投资基金，包括办公楼维护基金和</w:t>
      </w:r>
      <w:r w:rsidR="00390AE4" w:rsidRPr="00390AE4">
        <w:rPr>
          <w:rFonts w:hint="eastAsia"/>
          <w:lang w:eastAsia="zh-CN"/>
        </w:rPr>
        <w:t>ICT</w:t>
      </w:r>
      <w:r w:rsidR="00390AE4" w:rsidRPr="00390AE4">
        <w:rPr>
          <w:rFonts w:hint="eastAsia"/>
          <w:lang w:eastAsia="zh-CN"/>
        </w:rPr>
        <w:t>基金；</w:t>
      </w:r>
    </w:p>
    <w:p w14:paraId="13338FD3" w14:textId="11CE5190" w:rsidR="00390AE4" w:rsidRPr="00390AE4" w:rsidRDefault="00BF02A4" w:rsidP="00B70994">
      <w:pPr>
        <w:pStyle w:val="enumlev1"/>
        <w:rPr>
          <w:lang w:eastAsia="zh-CN"/>
        </w:rPr>
      </w:pPr>
      <w:r w:rsidRPr="00E52A4A">
        <w:rPr>
          <w:lang w:eastAsia="zh-CN"/>
        </w:rPr>
        <w:t>–</w:t>
      </w:r>
      <w:r w:rsidRPr="00E52A4A">
        <w:rPr>
          <w:lang w:eastAsia="zh-CN"/>
        </w:rPr>
        <w:tab/>
      </w:r>
      <w:r w:rsidR="00390AE4" w:rsidRPr="00390AE4">
        <w:rPr>
          <w:rFonts w:hint="eastAsia"/>
          <w:lang w:eastAsia="zh-CN"/>
        </w:rPr>
        <w:t>新办公楼基金；</w:t>
      </w:r>
    </w:p>
    <w:p w14:paraId="3C215922" w14:textId="3FE723FC" w:rsidR="00390AE4" w:rsidRPr="00390AE4" w:rsidRDefault="00390AE4" w:rsidP="003E1E26">
      <w:pPr>
        <w:ind w:firstLineChars="200" w:firstLine="480"/>
        <w:rPr>
          <w:lang w:eastAsia="zh-CN"/>
        </w:rPr>
      </w:pPr>
      <w:bookmarkStart w:id="254" w:name="lt_pId674"/>
      <w:r w:rsidRPr="00390AE4">
        <w:rPr>
          <w:rFonts w:hint="eastAsia"/>
          <w:lang w:eastAsia="zh-CN"/>
        </w:rPr>
        <w:t>理事会</w:t>
      </w:r>
      <w:r w:rsidRPr="00390AE4">
        <w:rPr>
          <w:rFonts w:hint="eastAsia"/>
          <w:lang w:eastAsia="zh-CN"/>
        </w:rPr>
        <w:t>2016</w:t>
      </w:r>
      <w:r w:rsidRPr="00390AE4">
        <w:rPr>
          <w:rFonts w:hint="eastAsia"/>
          <w:lang w:eastAsia="zh-CN"/>
        </w:rPr>
        <w:t>年会议通过</w:t>
      </w:r>
      <w:hyperlink r:id="rId36" w:history="1">
        <w:r w:rsidR="003E1E26">
          <w:rPr>
            <w:rStyle w:val="Hyperlink"/>
            <w:rFonts w:asciiTheme="minorHAnsi" w:hAnsiTheme="minorHAnsi" w:hint="eastAsia"/>
            <w:lang w:eastAsia="zh-CN"/>
          </w:rPr>
          <w:t>第</w:t>
        </w:r>
        <w:r w:rsidR="003E1E26">
          <w:rPr>
            <w:rStyle w:val="Hyperlink"/>
            <w:rFonts w:asciiTheme="minorHAnsi" w:hAnsiTheme="minorHAnsi" w:hint="eastAsia"/>
            <w:lang w:eastAsia="zh-CN"/>
          </w:rPr>
          <w:t>5</w:t>
        </w:r>
        <w:r w:rsidR="003E1E26" w:rsidRPr="00E52A4A">
          <w:rPr>
            <w:rStyle w:val="Hyperlink"/>
            <w:rFonts w:asciiTheme="minorHAnsi" w:hAnsiTheme="minorHAnsi"/>
            <w:lang w:eastAsia="zh-CN"/>
          </w:rPr>
          <w:t>8</w:t>
        </w:r>
        <w:r w:rsidR="003E1E26">
          <w:rPr>
            <w:rStyle w:val="Hyperlink"/>
            <w:rFonts w:asciiTheme="minorHAnsi" w:hAnsiTheme="minorHAnsi"/>
            <w:lang w:eastAsia="zh-CN"/>
          </w:rPr>
          <w:t>8</w:t>
        </w:r>
        <w:r w:rsidR="003E1E26">
          <w:rPr>
            <w:rStyle w:val="Hyperlink"/>
            <w:rFonts w:asciiTheme="minorHAnsi" w:hAnsiTheme="minorHAnsi" w:hint="eastAsia"/>
            <w:lang w:eastAsia="zh-CN"/>
          </w:rPr>
          <w:t>号决定</w:t>
        </w:r>
      </w:hyperlink>
      <w:r w:rsidRPr="00390AE4">
        <w:rPr>
          <w:rFonts w:hint="eastAsia"/>
          <w:lang w:eastAsia="zh-CN"/>
        </w:rPr>
        <w:t>，决定建造一座可容纳塔楼办公室及设施的新建筑（在此称作“新办公楼”）以替代</w:t>
      </w:r>
      <w:r w:rsidRPr="00390AE4">
        <w:rPr>
          <w:rFonts w:hint="eastAsia"/>
          <w:lang w:eastAsia="zh-CN"/>
        </w:rPr>
        <w:t>Varemb</w:t>
      </w:r>
      <w:r w:rsidR="00F131CD" w:rsidRPr="00E52A4A">
        <w:rPr>
          <w:lang w:eastAsia="zh-CN"/>
        </w:rPr>
        <w:t>é</w:t>
      </w:r>
      <w:r w:rsidRPr="00390AE4">
        <w:rPr>
          <w:rFonts w:hint="eastAsia"/>
          <w:lang w:eastAsia="zh-CN"/>
        </w:rPr>
        <w:t>办公楼，并作为对将予保留和翻修的</w:t>
      </w:r>
      <w:r w:rsidRPr="00390AE4">
        <w:rPr>
          <w:rFonts w:hint="eastAsia"/>
          <w:lang w:eastAsia="zh-CN"/>
        </w:rPr>
        <w:t>Montbrillant</w:t>
      </w:r>
      <w:r w:rsidRPr="00390AE4">
        <w:rPr>
          <w:rFonts w:hint="eastAsia"/>
          <w:lang w:eastAsia="zh-CN"/>
        </w:rPr>
        <w:t>楼的补充。</w:t>
      </w:r>
      <w:bookmarkEnd w:id="254"/>
      <w:r w:rsidRPr="00390AE4">
        <w:rPr>
          <w:rFonts w:hint="eastAsia"/>
          <w:lang w:eastAsia="zh-CN"/>
        </w:rPr>
        <w:t>瑞士联邦提供了资助该项目所需的不超过</w:t>
      </w:r>
      <w:r w:rsidRPr="00390AE4">
        <w:rPr>
          <w:rFonts w:hint="eastAsia"/>
          <w:lang w:eastAsia="zh-CN"/>
        </w:rPr>
        <w:t>1.5</w:t>
      </w:r>
      <w:r w:rsidRPr="00390AE4">
        <w:rPr>
          <w:rFonts w:hint="eastAsia"/>
          <w:lang w:eastAsia="zh-CN"/>
        </w:rPr>
        <w:t>亿瑞郎的无息贷款。</w:t>
      </w:r>
    </w:p>
    <w:p w14:paraId="66655221" w14:textId="6B355603" w:rsidR="00390AE4" w:rsidRPr="00390AE4" w:rsidRDefault="003E1E26" w:rsidP="00B70994">
      <w:pPr>
        <w:pStyle w:val="enumlev1"/>
        <w:rPr>
          <w:lang w:eastAsia="zh-CN"/>
        </w:rPr>
      </w:pPr>
      <w:r w:rsidRPr="00E52A4A">
        <w:rPr>
          <w:lang w:eastAsia="zh-CN"/>
        </w:rPr>
        <w:t>–</w:t>
      </w:r>
      <w:r w:rsidRPr="00E52A4A">
        <w:rPr>
          <w:lang w:eastAsia="zh-CN"/>
        </w:rPr>
        <w:tab/>
      </w:r>
      <w:r w:rsidR="00390AE4" w:rsidRPr="00390AE4">
        <w:rPr>
          <w:rFonts w:hint="eastAsia"/>
          <w:lang w:eastAsia="zh-CN"/>
        </w:rPr>
        <w:t>新办公楼储备金；</w:t>
      </w:r>
    </w:p>
    <w:p w14:paraId="580CA197" w14:textId="1D0364AF" w:rsidR="00390AE4" w:rsidRPr="00390AE4" w:rsidRDefault="00390AE4" w:rsidP="003E1E26">
      <w:pPr>
        <w:ind w:firstLineChars="200" w:firstLine="480"/>
        <w:rPr>
          <w:lang w:eastAsia="zh-CN"/>
        </w:rPr>
      </w:pPr>
      <w:r w:rsidRPr="00390AE4">
        <w:rPr>
          <w:rFonts w:hint="eastAsia"/>
          <w:lang w:eastAsia="zh-CN"/>
        </w:rPr>
        <w:t>设立该储备金是为了补充东道国贷款资助的预算。这一额外预算中有</w:t>
      </w:r>
      <w:r w:rsidRPr="00390AE4">
        <w:rPr>
          <w:rFonts w:hint="eastAsia"/>
          <w:lang w:eastAsia="zh-CN"/>
        </w:rPr>
        <w:t>2 014</w:t>
      </w:r>
      <w:r w:rsidRPr="00390AE4">
        <w:rPr>
          <w:rFonts w:hint="eastAsia"/>
          <w:lang w:eastAsia="zh-CN"/>
        </w:rPr>
        <w:t>万瑞郎来自赞助商、捐赠和在</w:t>
      </w:r>
      <w:r w:rsidRPr="00390AE4">
        <w:rPr>
          <w:rFonts w:hint="eastAsia"/>
          <w:lang w:eastAsia="zh-CN"/>
        </w:rPr>
        <w:t>2018</w:t>
      </w:r>
      <w:r w:rsidRPr="00390AE4">
        <w:rPr>
          <w:rFonts w:hint="eastAsia"/>
          <w:lang w:eastAsia="zh-CN"/>
        </w:rPr>
        <w:t>年盈余基础上进一步划拨的节余。</w:t>
      </w:r>
      <w:r w:rsidRPr="00390AE4">
        <w:rPr>
          <w:lang w:eastAsia="zh-CN"/>
        </w:rPr>
        <w:t>2021</w:t>
      </w:r>
      <w:r w:rsidRPr="00390AE4">
        <w:rPr>
          <w:lang w:eastAsia="zh-CN"/>
        </w:rPr>
        <w:t>年理事磋商会虚拟会</w:t>
      </w:r>
      <w:r w:rsidRPr="00390AE4">
        <w:rPr>
          <w:rFonts w:hint="eastAsia"/>
          <w:lang w:eastAsia="zh-CN"/>
        </w:rPr>
        <w:t>议（</w:t>
      </w:r>
      <w:r w:rsidRPr="00390AE4">
        <w:rPr>
          <w:rFonts w:hint="eastAsia"/>
          <w:lang w:eastAsia="zh-CN"/>
        </w:rPr>
        <w:t>VCC</w:t>
      </w:r>
      <w:r w:rsidRPr="00390AE4">
        <w:rPr>
          <w:rFonts w:hint="eastAsia"/>
          <w:lang w:eastAsia="zh-CN"/>
        </w:rPr>
        <w:t>）</w:t>
      </w:r>
      <w:r w:rsidRPr="00390AE4">
        <w:rPr>
          <w:lang w:eastAsia="zh-CN"/>
        </w:rPr>
        <w:t>修订了第</w:t>
      </w:r>
      <w:r w:rsidRPr="00390AE4">
        <w:rPr>
          <w:lang w:eastAsia="zh-CN"/>
        </w:rPr>
        <w:t>619</w:t>
      </w:r>
      <w:r w:rsidRPr="00390AE4">
        <w:rPr>
          <w:lang w:eastAsia="zh-CN"/>
        </w:rPr>
        <w:t>号决定的</w:t>
      </w:r>
      <w:r w:rsidRPr="00D40DAC">
        <w:rPr>
          <w:rFonts w:ascii="STKaiti" w:eastAsia="STKaiti" w:hAnsi="STKaiti" w:hint="eastAsia"/>
          <w:lang w:eastAsia="zh-CN"/>
        </w:rPr>
        <w:t>做出决定</w:t>
      </w:r>
      <w:r w:rsidRPr="00390AE4">
        <w:rPr>
          <w:lang w:eastAsia="zh-CN"/>
        </w:rPr>
        <w:t>4</w:t>
      </w:r>
      <w:r w:rsidRPr="00390AE4">
        <w:rPr>
          <w:lang w:eastAsia="zh-CN"/>
        </w:rPr>
        <w:t>，以便在预先确定的条件下允许未来的赞助或捐赠。</w:t>
      </w:r>
    </w:p>
    <w:p w14:paraId="77A00361" w14:textId="63B905FE" w:rsidR="00390AE4" w:rsidRPr="00390AE4" w:rsidRDefault="003E1E26" w:rsidP="00B70994">
      <w:pPr>
        <w:pStyle w:val="enumlev1"/>
        <w:rPr>
          <w:lang w:eastAsia="zh-CN"/>
        </w:rPr>
      </w:pPr>
      <w:bookmarkStart w:id="255" w:name="lt_pId679"/>
      <w:r w:rsidRPr="00E52A4A">
        <w:rPr>
          <w:lang w:eastAsia="zh-CN"/>
        </w:rPr>
        <w:t>–</w:t>
      </w:r>
      <w:r w:rsidRPr="00E52A4A">
        <w:rPr>
          <w:lang w:eastAsia="zh-CN"/>
        </w:rPr>
        <w:tab/>
      </w:r>
      <w:r w:rsidR="00390AE4" w:rsidRPr="00390AE4">
        <w:rPr>
          <w:rFonts w:hint="eastAsia"/>
          <w:lang w:eastAsia="zh-CN"/>
        </w:rPr>
        <w:t>风险登记基金</w:t>
      </w:r>
      <w:bookmarkEnd w:id="255"/>
      <w:r w:rsidR="00D40DAC">
        <w:rPr>
          <w:rFonts w:hint="eastAsia"/>
          <w:lang w:eastAsia="zh-CN"/>
        </w:rPr>
        <w:t>；</w:t>
      </w:r>
    </w:p>
    <w:p w14:paraId="50AEA529" w14:textId="77777777" w:rsidR="00390AE4" w:rsidRPr="00390AE4" w:rsidRDefault="00390AE4" w:rsidP="003E1E26">
      <w:pPr>
        <w:ind w:firstLineChars="200" w:firstLine="480"/>
        <w:rPr>
          <w:lang w:eastAsia="zh-CN"/>
        </w:rPr>
      </w:pPr>
      <w:bookmarkStart w:id="256" w:name="lt_pId680"/>
      <w:r w:rsidRPr="00390AE4">
        <w:rPr>
          <w:rFonts w:hint="eastAsia"/>
          <w:lang w:eastAsia="zh-CN"/>
        </w:rPr>
        <w:t>风险登记基金是为意外成本超支设立的。</w:t>
      </w:r>
      <w:bookmarkEnd w:id="256"/>
      <w:r w:rsidRPr="00390AE4">
        <w:rPr>
          <w:rFonts w:hint="eastAsia"/>
          <w:lang w:eastAsia="zh-CN"/>
        </w:rPr>
        <w:t>截至</w:t>
      </w:r>
      <w:r w:rsidRPr="00390AE4">
        <w:rPr>
          <w:rFonts w:hint="eastAsia"/>
          <w:lang w:eastAsia="zh-CN"/>
        </w:rPr>
        <w:t>202</w:t>
      </w:r>
      <w:r w:rsidRPr="00390AE4">
        <w:rPr>
          <w:lang w:eastAsia="zh-CN"/>
        </w:rPr>
        <w:t>2</w:t>
      </w:r>
      <w:r w:rsidRPr="00390AE4">
        <w:rPr>
          <w:rFonts w:hint="eastAsia"/>
          <w:lang w:eastAsia="zh-CN"/>
        </w:rPr>
        <w:t>年</w:t>
      </w:r>
      <w:r w:rsidRPr="00390AE4">
        <w:rPr>
          <w:rFonts w:hint="eastAsia"/>
          <w:lang w:eastAsia="zh-CN"/>
        </w:rPr>
        <w:t>12</w:t>
      </w:r>
      <w:r w:rsidRPr="00390AE4">
        <w:rPr>
          <w:rFonts w:hint="eastAsia"/>
          <w:lang w:eastAsia="zh-CN"/>
        </w:rPr>
        <w:t>月</w:t>
      </w:r>
      <w:r w:rsidRPr="00390AE4">
        <w:rPr>
          <w:rFonts w:hint="eastAsia"/>
          <w:lang w:eastAsia="zh-CN"/>
        </w:rPr>
        <w:t>31</w:t>
      </w:r>
      <w:r w:rsidRPr="00390AE4">
        <w:rPr>
          <w:rFonts w:hint="eastAsia"/>
          <w:lang w:eastAsia="zh-CN"/>
        </w:rPr>
        <w:t>日，风险登记基金总额为</w:t>
      </w:r>
      <w:r w:rsidRPr="00390AE4">
        <w:rPr>
          <w:rFonts w:hint="eastAsia"/>
          <w:lang w:eastAsia="zh-CN"/>
        </w:rPr>
        <w:t>343</w:t>
      </w:r>
      <w:r w:rsidRPr="00390AE4">
        <w:rPr>
          <w:rFonts w:hint="eastAsia"/>
          <w:lang w:eastAsia="zh-CN"/>
        </w:rPr>
        <w:t>万瑞郎。</w:t>
      </w:r>
    </w:p>
    <w:p w14:paraId="5702F8B9" w14:textId="6F165632" w:rsidR="00390AE4" w:rsidRPr="00390AE4" w:rsidRDefault="003E1E26" w:rsidP="00B70994">
      <w:pPr>
        <w:pStyle w:val="enumlev1"/>
        <w:rPr>
          <w:lang w:eastAsia="zh-CN"/>
        </w:rPr>
      </w:pPr>
      <w:r w:rsidRPr="00E52A4A">
        <w:rPr>
          <w:lang w:eastAsia="zh-CN"/>
        </w:rPr>
        <w:t>–</w:t>
      </w:r>
      <w:r w:rsidRPr="00E52A4A">
        <w:rPr>
          <w:lang w:eastAsia="zh-CN"/>
        </w:rPr>
        <w:tab/>
      </w:r>
      <w:r w:rsidR="00390AE4" w:rsidRPr="00390AE4">
        <w:rPr>
          <w:rFonts w:hint="eastAsia"/>
          <w:lang w:eastAsia="zh-CN"/>
        </w:rPr>
        <w:t>福利基金；</w:t>
      </w:r>
    </w:p>
    <w:p w14:paraId="280CC174" w14:textId="49F44B09" w:rsidR="00390AE4" w:rsidRPr="00390AE4" w:rsidRDefault="003E1E26" w:rsidP="00B70994">
      <w:pPr>
        <w:pStyle w:val="enumlev1"/>
        <w:rPr>
          <w:lang w:eastAsia="zh-CN"/>
        </w:rPr>
      </w:pPr>
      <w:r w:rsidRPr="00E52A4A">
        <w:rPr>
          <w:lang w:eastAsia="zh-CN"/>
        </w:rPr>
        <w:t>–</w:t>
      </w:r>
      <w:r w:rsidRPr="00E52A4A">
        <w:rPr>
          <w:lang w:eastAsia="zh-CN"/>
        </w:rPr>
        <w:tab/>
      </w:r>
      <w:r w:rsidR="00390AE4" w:rsidRPr="00390AE4">
        <w:rPr>
          <w:rFonts w:hint="eastAsia"/>
          <w:lang w:eastAsia="zh-CN"/>
        </w:rPr>
        <w:t>百年基金；</w:t>
      </w:r>
    </w:p>
    <w:p w14:paraId="0C66365E" w14:textId="02077C39" w:rsidR="00390AE4" w:rsidRPr="00390AE4" w:rsidRDefault="003E1E26" w:rsidP="00B70994">
      <w:pPr>
        <w:pStyle w:val="enumlev1"/>
        <w:rPr>
          <w:lang w:eastAsia="zh-CN"/>
        </w:rPr>
      </w:pPr>
      <w:r w:rsidRPr="00E52A4A">
        <w:rPr>
          <w:lang w:eastAsia="zh-CN"/>
        </w:rPr>
        <w:t>–</w:t>
      </w:r>
      <w:r w:rsidRPr="00E52A4A">
        <w:rPr>
          <w:lang w:eastAsia="zh-CN"/>
        </w:rPr>
        <w:tab/>
      </w:r>
      <w:r w:rsidR="00390AE4" w:rsidRPr="00390AE4">
        <w:rPr>
          <w:rFonts w:hint="eastAsia"/>
          <w:lang w:eastAsia="zh-CN"/>
        </w:rPr>
        <w:t>国际电联职员退休和福利基金包括公积金和辅助基金；</w:t>
      </w:r>
    </w:p>
    <w:p w14:paraId="4840629B" w14:textId="77777777" w:rsidR="00390AE4" w:rsidRPr="00390AE4" w:rsidRDefault="00390AE4" w:rsidP="003E1E26">
      <w:pPr>
        <w:ind w:firstLineChars="200" w:firstLine="480"/>
        <w:rPr>
          <w:lang w:eastAsia="zh-CN"/>
        </w:rPr>
      </w:pPr>
      <w:r w:rsidRPr="00390AE4">
        <w:rPr>
          <w:rFonts w:hint="eastAsia"/>
          <w:lang w:eastAsia="zh-CN"/>
        </w:rPr>
        <w:t>两个基金是由保障</w:t>
      </w:r>
      <w:r w:rsidRPr="00390AE4">
        <w:rPr>
          <w:lang w:eastAsia="zh-CN"/>
        </w:rPr>
        <w:t>1960</w:t>
      </w:r>
      <w:r w:rsidRPr="00390AE4">
        <w:rPr>
          <w:rFonts w:hint="eastAsia"/>
          <w:lang w:eastAsia="zh-CN"/>
        </w:rPr>
        <w:t>年</w:t>
      </w:r>
      <w:r w:rsidRPr="00390AE4">
        <w:rPr>
          <w:lang w:eastAsia="zh-CN"/>
        </w:rPr>
        <w:t>1</w:t>
      </w:r>
      <w:r w:rsidRPr="00390AE4">
        <w:rPr>
          <w:rFonts w:hint="eastAsia"/>
          <w:lang w:eastAsia="zh-CN"/>
        </w:rPr>
        <w:t>月</w:t>
      </w:r>
      <w:r w:rsidRPr="00390AE4">
        <w:rPr>
          <w:lang w:eastAsia="zh-CN"/>
        </w:rPr>
        <w:t>1</w:t>
      </w:r>
      <w:r w:rsidRPr="00390AE4">
        <w:rPr>
          <w:rFonts w:hint="eastAsia"/>
          <w:lang w:eastAsia="zh-CN"/>
        </w:rPr>
        <w:t>日（即国际电联参加联合国合办职员养恤基金（</w:t>
      </w:r>
      <w:r w:rsidRPr="00390AE4">
        <w:rPr>
          <w:lang w:eastAsia="zh-CN"/>
        </w:rPr>
        <w:t>UNJSPF</w:t>
      </w:r>
      <w:r w:rsidRPr="00390AE4">
        <w:rPr>
          <w:rFonts w:hint="eastAsia"/>
          <w:lang w:eastAsia="zh-CN"/>
        </w:rPr>
        <w:t>）之日）前任职职员退休金的一系列基金组成。</w:t>
      </w:r>
      <w:r w:rsidRPr="00390AE4">
        <w:rPr>
          <w:lang w:eastAsia="zh-CN"/>
        </w:rPr>
        <w:t>2022</w:t>
      </w:r>
      <w:r w:rsidRPr="00390AE4">
        <w:rPr>
          <w:rFonts w:hint="eastAsia"/>
          <w:lang w:eastAsia="zh-CN"/>
        </w:rPr>
        <w:t>年，储备与补充基金负担了</w:t>
      </w:r>
      <w:r w:rsidRPr="00390AE4">
        <w:rPr>
          <w:lang w:eastAsia="zh-CN"/>
        </w:rPr>
        <w:t>13</w:t>
      </w:r>
      <w:r w:rsidRPr="00390AE4">
        <w:rPr>
          <w:rFonts w:hint="eastAsia"/>
          <w:lang w:eastAsia="zh-CN"/>
        </w:rPr>
        <w:t>份退休金和</w:t>
      </w:r>
      <w:r w:rsidRPr="00390AE4">
        <w:rPr>
          <w:lang w:eastAsia="zh-CN"/>
        </w:rPr>
        <w:t>12</w:t>
      </w:r>
      <w:r w:rsidRPr="00390AE4">
        <w:rPr>
          <w:rFonts w:hint="eastAsia"/>
          <w:lang w:eastAsia="zh-CN"/>
        </w:rPr>
        <w:t>位遗属养恤金，援助基金用于帮助处于财务困境的职员或养恤金领取人员。针对国际电联退休和福利基金受益人的承付款项的最后一次计算是在</w:t>
      </w:r>
      <w:r w:rsidRPr="00390AE4">
        <w:rPr>
          <w:lang w:eastAsia="zh-CN"/>
        </w:rPr>
        <w:t>2011</w:t>
      </w:r>
      <w:r w:rsidRPr="00390AE4">
        <w:rPr>
          <w:rFonts w:hint="eastAsia"/>
          <w:lang w:eastAsia="zh-CN"/>
        </w:rPr>
        <w:t>年</w:t>
      </w:r>
      <w:r w:rsidRPr="00390AE4">
        <w:rPr>
          <w:lang w:eastAsia="zh-CN"/>
        </w:rPr>
        <w:t>12</w:t>
      </w:r>
      <w:r w:rsidRPr="00390AE4">
        <w:rPr>
          <w:rFonts w:hint="eastAsia"/>
          <w:lang w:eastAsia="zh-CN"/>
        </w:rPr>
        <w:t>月</w:t>
      </w:r>
      <w:r w:rsidRPr="00390AE4">
        <w:rPr>
          <w:lang w:eastAsia="zh-CN"/>
        </w:rPr>
        <w:t>31</w:t>
      </w:r>
      <w:r w:rsidRPr="00390AE4">
        <w:rPr>
          <w:rFonts w:hint="eastAsia"/>
          <w:lang w:eastAsia="zh-CN"/>
        </w:rPr>
        <w:t>日进行的。</w:t>
      </w:r>
    </w:p>
    <w:p w14:paraId="69139F76" w14:textId="77777777" w:rsidR="00390AE4" w:rsidRPr="00390AE4" w:rsidRDefault="00390AE4" w:rsidP="003E1E26">
      <w:pPr>
        <w:ind w:firstLineChars="200" w:firstLine="480"/>
        <w:rPr>
          <w:lang w:eastAsia="zh-CN"/>
        </w:rPr>
      </w:pPr>
      <w:r w:rsidRPr="00390AE4">
        <w:rPr>
          <w:rFonts w:hint="eastAsia"/>
          <w:lang w:eastAsia="zh-CN"/>
        </w:rPr>
        <w:t>根据第</w:t>
      </w:r>
      <w:r w:rsidRPr="00390AE4">
        <w:rPr>
          <w:lang w:eastAsia="zh-CN"/>
        </w:rPr>
        <w:t>7</w:t>
      </w:r>
      <w:r w:rsidRPr="00390AE4">
        <w:rPr>
          <w:rFonts w:hint="eastAsia"/>
          <w:lang w:eastAsia="zh-CN"/>
        </w:rPr>
        <w:t>号决议（</w:t>
      </w:r>
      <w:r w:rsidRPr="00390AE4">
        <w:rPr>
          <w:lang w:eastAsia="zh-CN"/>
        </w:rPr>
        <w:t>1959</w:t>
      </w:r>
      <w:r w:rsidRPr="00390AE4">
        <w:rPr>
          <w:rFonts w:hint="eastAsia"/>
          <w:lang w:eastAsia="zh-CN"/>
        </w:rPr>
        <w:t>年，日内瓦），国际电联职员从</w:t>
      </w:r>
      <w:r w:rsidRPr="00390AE4">
        <w:rPr>
          <w:lang w:eastAsia="zh-CN"/>
        </w:rPr>
        <w:t>1960</w:t>
      </w:r>
      <w:r w:rsidRPr="00390AE4">
        <w:rPr>
          <w:rFonts w:hint="eastAsia"/>
          <w:lang w:eastAsia="zh-CN"/>
        </w:rPr>
        <w:t>年</w:t>
      </w:r>
      <w:r w:rsidRPr="00390AE4">
        <w:rPr>
          <w:lang w:eastAsia="zh-CN"/>
        </w:rPr>
        <w:t>1</w:t>
      </w:r>
      <w:r w:rsidRPr="00390AE4">
        <w:rPr>
          <w:rFonts w:hint="eastAsia"/>
          <w:lang w:eastAsia="zh-CN"/>
        </w:rPr>
        <w:t>月</w:t>
      </w:r>
      <w:r w:rsidRPr="00390AE4">
        <w:rPr>
          <w:lang w:eastAsia="zh-CN"/>
        </w:rPr>
        <w:t>1</w:t>
      </w:r>
      <w:r w:rsidRPr="00390AE4">
        <w:rPr>
          <w:rFonts w:hint="eastAsia"/>
          <w:lang w:eastAsia="zh-CN"/>
        </w:rPr>
        <w:t>日起参加</w:t>
      </w:r>
      <w:r w:rsidRPr="00390AE4">
        <w:rPr>
          <w:lang w:eastAsia="zh-CN"/>
        </w:rPr>
        <w:t>UNJSPF</w:t>
      </w:r>
      <w:r w:rsidRPr="00390AE4">
        <w:rPr>
          <w:rFonts w:hint="eastAsia"/>
          <w:lang w:eastAsia="zh-CN"/>
        </w:rPr>
        <w:t>。根据“国际电联职员退休和福利基金规则”第</w:t>
      </w:r>
      <w:r w:rsidRPr="00390AE4">
        <w:rPr>
          <w:lang w:eastAsia="zh-CN"/>
        </w:rPr>
        <w:t>86</w:t>
      </w:r>
      <w:r w:rsidRPr="00390AE4">
        <w:rPr>
          <w:rFonts w:hint="eastAsia"/>
          <w:lang w:eastAsia="zh-CN"/>
        </w:rPr>
        <w:t>条，这些基金由国际电联管理。基金资产必须投资于信托证券。</w:t>
      </w:r>
    </w:p>
    <w:p w14:paraId="30D952D3" w14:textId="77777777" w:rsidR="00390AE4" w:rsidRPr="00390AE4" w:rsidRDefault="00390AE4" w:rsidP="003E1E26">
      <w:pPr>
        <w:ind w:firstLineChars="200" w:firstLine="480"/>
        <w:rPr>
          <w:lang w:eastAsia="zh-CN"/>
        </w:rPr>
      </w:pPr>
      <w:r w:rsidRPr="00390AE4">
        <w:rPr>
          <w:rFonts w:hint="eastAsia"/>
          <w:lang w:eastAsia="zh-CN"/>
        </w:rPr>
        <w:t>其他基金还包括自</w:t>
      </w:r>
      <w:r w:rsidRPr="00390AE4">
        <w:rPr>
          <w:lang w:eastAsia="zh-CN"/>
        </w:rPr>
        <w:t>2013</w:t>
      </w:r>
      <w:r w:rsidRPr="00390AE4">
        <w:rPr>
          <w:rFonts w:hint="eastAsia"/>
          <w:lang w:eastAsia="zh-CN"/>
        </w:rPr>
        <w:t>年启用的长期针对</w:t>
      </w:r>
      <w:r w:rsidRPr="00390AE4">
        <w:rPr>
          <w:lang w:eastAsia="zh-CN"/>
        </w:rPr>
        <w:t>ASHI</w:t>
      </w:r>
      <w:r w:rsidRPr="00390AE4">
        <w:rPr>
          <w:rFonts w:hint="eastAsia"/>
          <w:lang w:eastAsia="zh-CN"/>
        </w:rPr>
        <w:t>未偿债务的基金和新的健康保险基金，构成自</w:t>
      </w:r>
      <w:r w:rsidRPr="00390AE4">
        <w:rPr>
          <w:lang w:eastAsia="zh-CN"/>
        </w:rPr>
        <w:t>2014</w:t>
      </w:r>
      <w:r w:rsidRPr="00390AE4">
        <w:rPr>
          <w:rFonts w:hint="eastAsia"/>
          <w:lang w:eastAsia="zh-CN"/>
        </w:rPr>
        <w:t>年启用的新的健康保险方案的保障基金。</w:t>
      </w:r>
    </w:p>
    <w:p w14:paraId="1C4B4424" w14:textId="7F55F43B" w:rsidR="00390AE4" w:rsidRPr="00390AE4" w:rsidRDefault="00390AE4" w:rsidP="003E1E26">
      <w:pPr>
        <w:pStyle w:val="Heading2"/>
        <w:rPr>
          <w:lang w:eastAsia="zh-CN"/>
        </w:rPr>
      </w:pPr>
      <w:bookmarkStart w:id="257" w:name="_MON_1753114393"/>
      <w:bookmarkEnd w:id="257"/>
      <w:r w:rsidRPr="00390AE4">
        <w:rPr>
          <w:lang w:eastAsia="zh-CN"/>
        </w:rPr>
        <w:t>3.12</w:t>
      </w:r>
      <w:r w:rsidR="003E1E26" w:rsidRPr="00390AE4">
        <w:rPr>
          <w:lang w:eastAsia="zh-CN"/>
        </w:rPr>
        <w:tab/>
      </w:r>
      <w:r w:rsidRPr="00390AE4">
        <w:rPr>
          <w:rFonts w:hint="eastAsia"/>
          <w:lang w:eastAsia="zh-CN"/>
        </w:rPr>
        <w:t>预算外储备金</w:t>
      </w:r>
    </w:p>
    <w:p w14:paraId="0E81EA9A" w14:textId="5A5D96AB" w:rsidR="00390AE4" w:rsidRPr="00390AE4" w:rsidRDefault="003E1E26" w:rsidP="003E1E26">
      <w:pPr>
        <w:pStyle w:val="enumlev1"/>
        <w:rPr>
          <w:lang w:eastAsia="zh-CN"/>
        </w:rPr>
      </w:pPr>
      <w:r w:rsidRPr="00E52A4A">
        <w:rPr>
          <w:lang w:eastAsia="zh-CN"/>
        </w:rPr>
        <w:t>–</w:t>
      </w:r>
      <w:r w:rsidRPr="00E52A4A">
        <w:rPr>
          <w:lang w:eastAsia="zh-CN"/>
        </w:rPr>
        <w:tab/>
      </w:r>
      <w:r w:rsidR="00390AE4" w:rsidRPr="00390AE4">
        <w:rPr>
          <w:rFonts w:hint="eastAsia"/>
          <w:lang w:eastAsia="zh-CN"/>
        </w:rPr>
        <w:t>预算外拨款的储备金；</w:t>
      </w:r>
    </w:p>
    <w:p w14:paraId="2E00DC86" w14:textId="624ACF26" w:rsidR="00390AE4" w:rsidRPr="00390AE4" w:rsidRDefault="00390AE4" w:rsidP="003E1E26">
      <w:pPr>
        <w:ind w:firstLineChars="200" w:firstLine="480"/>
        <w:rPr>
          <w:lang w:eastAsia="zh-CN"/>
        </w:rPr>
      </w:pPr>
      <w:r w:rsidRPr="00390AE4">
        <w:rPr>
          <w:rFonts w:hint="eastAsia"/>
          <w:lang w:eastAsia="zh-CN"/>
        </w:rPr>
        <w:t>国际电联为接收内部在建项目的所有余额设立了储备金。储备金的变动既代表与项目实施相关的支出，也代表来自正常预算或</w:t>
      </w:r>
      <w:r w:rsidRPr="00390AE4">
        <w:rPr>
          <w:rFonts w:hint="eastAsia"/>
          <w:lang w:eastAsia="zh-CN"/>
        </w:rPr>
        <w:t>ICTDF</w:t>
      </w:r>
      <w:r w:rsidRPr="00390AE4">
        <w:rPr>
          <w:rFonts w:hint="eastAsia"/>
          <w:lang w:eastAsia="zh-CN"/>
        </w:rPr>
        <w:t>基金的内部资金的划拨。</w:t>
      </w:r>
    </w:p>
    <w:p w14:paraId="7218CBAE" w14:textId="3EAB7297" w:rsidR="00390AE4" w:rsidRPr="00390AE4" w:rsidRDefault="003E1E26" w:rsidP="003E1E26">
      <w:pPr>
        <w:pStyle w:val="enumlev1"/>
        <w:rPr>
          <w:lang w:eastAsia="zh-CN"/>
        </w:rPr>
      </w:pPr>
      <w:r w:rsidRPr="00E52A4A">
        <w:rPr>
          <w:lang w:eastAsia="zh-CN"/>
        </w:rPr>
        <w:t>–</w:t>
      </w:r>
      <w:r w:rsidRPr="00E52A4A">
        <w:rPr>
          <w:lang w:eastAsia="zh-CN"/>
        </w:rPr>
        <w:tab/>
      </w:r>
      <w:r w:rsidR="00390AE4" w:rsidRPr="00390AE4">
        <w:rPr>
          <w:rFonts w:hint="eastAsia"/>
          <w:lang w:eastAsia="zh-CN"/>
        </w:rPr>
        <w:t>预算外未分配储备金；</w:t>
      </w:r>
    </w:p>
    <w:p w14:paraId="1C7169F3" w14:textId="0B5ECB7B" w:rsidR="00390AE4" w:rsidRPr="00390AE4" w:rsidRDefault="00390AE4" w:rsidP="003E1E26">
      <w:pPr>
        <w:ind w:firstLineChars="200" w:firstLine="480"/>
        <w:rPr>
          <w:lang w:eastAsia="zh-CN"/>
        </w:rPr>
      </w:pPr>
      <w:r w:rsidRPr="00390AE4">
        <w:rPr>
          <w:rFonts w:hint="eastAsia"/>
          <w:lang w:eastAsia="zh-CN"/>
        </w:rPr>
        <w:t>国际电联为收缴内部结账项目的所有余额设立了储备金。该储备金将用于资助新项目或区域性举措，并弥补某些亏损项目。储备金主要涉及</w:t>
      </w:r>
      <w:r w:rsidRPr="00390AE4">
        <w:rPr>
          <w:rFonts w:hint="eastAsia"/>
          <w:lang w:eastAsia="zh-CN"/>
        </w:rPr>
        <w:t>ICT</w:t>
      </w:r>
      <w:r w:rsidRPr="00390AE4">
        <w:rPr>
          <w:rFonts w:hint="eastAsia"/>
          <w:lang w:eastAsia="zh-CN"/>
        </w:rPr>
        <w:t>发展基金。</w:t>
      </w:r>
    </w:p>
    <w:p w14:paraId="45FA600D" w14:textId="50D77C6E" w:rsidR="00390AE4" w:rsidRPr="00390AE4" w:rsidRDefault="00390AE4" w:rsidP="00B643E4">
      <w:pPr>
        <w:pStyle w:val="Headingb"/>
        <w:rPr>
          <w:lang w:eastAsia="zh-CN"/>
        </w:rPr>
      </w:pPr>
      <w:bookmarkStart w:id="258" w:name="lt_pId702"/>
      <w:r w:rsidRPr="00390AE4">
        <w:rPr>
          <w:lang w:eastAsia="zh-CN"/>
        </w:rPr>
        <w:lastRenderedPageBreak/>
        <w:t>ICT</w:t>
      </w:r>
      <w:r w:rsidRPr="00390AE4">
        <w:rPr>
          <w:rFonts w:hint="eastAsia"/>
          <w:lang w:eastAsia="zh-CN"/>
        </w:rPr>
        <w:t>发展基金</w:t>
      </w:r>
    </w:p>
    <w:bookmarkEnd w:id="258"/>
    <w:p w14:paraId="3143A538" w14:textId="77777777" w:rsidR="00390AE4" w:rsidRPr="00390AE4" w:rsidRDefault="00390AE4" w:rsidP="003E1E26">
      <w:pPr>
        <w:ind w:firstLineChars="200" w:firstLine="480"/>
        <w:rPr>
          <w:lang w:eastAsia="zh-CN"/>
        </w:rPr>
      </w:pPr>
      <w:r w:rsidRPr="00390AE4">
        <w:rPr>
          <w:rFonts w:hint="eastAsia"/>
          <w:lang w:eastAsia="zh-CN"/>
        </w:rPr>
        <w:t>为实现国际电联促进在全球范围内扩大现代通信服务的使命，理事会将国际电联电信展活动的一部分盈余收入分配给</w:t>
      </w:r>
      <w:r w:rsidRPr="00390AE4">
        <w:rPr>
          <w:lang w:eastAsia="zh-CN"/>
        </w:rPr>
        <w:t>ICT</w:t>
      </w:r>
      <w:r w:rsidRPr="00390AE4">
        <w:rPr>
          <w:rFonts w:hint="eastAsia"/>
          <w:lang w:eastAsia="zh-CN"/>
        </w:rPr>
        <w:t>发展基金（</w:t>
      </w:r>
      <w:r w:rsidRPr="00390AE4">
        <w:rPr>
          <w:lang w:eastAsia="zh-CN"/>
        </w:rPr>
        <w:t>ICTDF</w:t>
      </w:r>
      <w:r w:rsidRPr="00390AE4">
        <w:rPr>
          <w:rFonts w:hint="eastAsia"/>
          <w:lang w:eastAsia="zh-CN"/>
        </w:rPr>
        <w:t>），为不同国家和区域的发展项目提供资金。通过</w:t>
      </w:r>
      <w:r w:rsidRPr="00390AE4">
        <w:rPr>
          <w:lang w:eastAsia="zh-CN"/>
        </w:rPr>
        <w:t>ICTDF</w:t>
      </w:r>
      <w:r w:rsidRPr="00390AE4">
        <w:rPr>
          <w:rFonts w:hint="eastAsia"/>
          <w:lang w:eastAsia="zh-CN"/>
        </w:rPr>
        <w:t>融资的项目只在财务业绩报表中确认费用。这一原则同样适用于按照发展行动计划融资的项目。用于这些项目的资金已在以往阶段确认为收入。</w:t>
      </w:r>
    </w:p>
    <w:p w14:paraId="52D8D0A7" w14:textId="4EB0DE76" w:rsidR="00390AE4" w:rsidRPr="00390AE4" w:rsidRDefault="00390AE4" w:rsidP="003E1E26">
      <w:pPr>
        <w:ind w:firstLineChars="200" w:firstLine="480"/>
        <w:rPr>
          <w:lang w:eastAsia="zh-CN"/>
        </w:rPr>
      </w:pPr>
      <w:r w:rsidRPr="00390AE4">
        <w:rPr>
          <w:lang w:eastAsia="zh-CN"/>
        </w:rPr>
        <w:t>ICTDF</w:t>
      </w:r>
      <w:r w:rsidRPr="00390AE4">
        <w:rPr>
          <w:rFonts w:hint="eastAsia"/>
          <w:lang w:eastAsia="zh-CN"/>
        </w:rPr>
        <w:t>还记录成员国或第三方为向</w:t>
      </w:r>
      <w:r w:rsidRPr="00390AE4">
        <w:rPr>
          <w:lang w:eastAsia="zh-CN"/>
        </w:rPr>
        <w:t>ICT</w:t>
      </w:r>
      <w:r w:rsidRPr="00390AE4">
        <w:rPr>
          <w:rFonts w:hint="eastAsia"/>
          <w:lang w:eastAsia="zh-CN"/>
        </w:rPr>
        <w:t>发展项目提供资金而做出的贡献。</w:t>
      </w:r>
    </w:p>
    <w:p w14:paraId="62C9668A" w14:textId="77777777" w:rsidR="00390AE4" w:rsidRPr="00390AE4" w:rsidRDefault="00390AE4" w:rsidP="003E1E26">
      <w:pPr>
        <w:ind w:firstLineChars="200" w:firstLine="480"/>
        <w:rPr>
          <w:lang w:eastAsia="zh-CN"/>
        </w:rPr>
      </w:pPr>
      <w:bookmarkStart w:id="259" w:name="lt_pId706"/>
      <w:r w:rsidRPr="00390AE4">
        <w:rPr>
          <w:rFonts w:hint="eastAsia"/>
          <w:lang w:eastAsia="zh-CN"/>
        </w:rPr>
        <w:t>国际电联电信展周转资本基金：</w:t>
      </w:r>
      <w:r w:rsidRPr="00390AE4">
        <w:rPr>
          <w:rFonts w:hint="eastAsia"/>
          <w:lang w:eastAsia="zh-CN"/>
        </w:rPr>
        <w:t>2022</w:t>
      </w:r>
      <w:r w:rsidRPr="00390AE4">
        <w:rPr>
          <w:rFonts w:hint="eastAsia"/>
          <w:lang w:eastAsia="zh-CN"/>
        </w:rPr>
        <w:t>年在布加勒斯特举行的全权代表大会废除了第</w:t>
      </w:r>
      <w:r w:rsidRPr="00390AE4">
        <w:rPr>
          <w:rFonts w:hint="eastAsia"/>
          <w:lang w:eastAsia="zh-CN"/>
        </w:rPr>
        <w:t>11</w:t>
      </w:r>
      <w:r w:rsidRPr="00390AE4">
        <w:rPr>
          <w:rFonts w:hint="eastAsia"/>
          <w:lang w:eastAsia="zh-CN"/>
        </w:rPr>
        <w:t>号决议，并决定在全部完成对电信展览部职员的所有义务后，将电信展周转资本基金（</w:t>
      </w:r>
      <w:r w:rsidRPr="00390AE4">
        <w:rPr>
          <w:rFonts w:hint="eastAsia"/>
          <w:lang w:eastAsia="zh-CN"/>
        </w:rPr>
        <w:t>EWCF</w:t>
      </w:r>
      <w:r w:rsidRPr="00390AE4">
        <w:rPr>
          <w:rFonts w:hint="eastAsia"/>
          <w:lang w:eastAsia="zh-CN"/>
        </w:rPr>
        <w:t>）的剩余余额转入</w:t>
      </w:r>
      <w:r w:rsidRPr="00390AE4">
        <w:rPr>
          <w:rFonts w:hint="eastAsia"/>
          <w:lang w:eastAsia="zh-CN"/>
        </w:rPr>
        <w:t>ICT</w:t>
      </w:r>
      <w:r w:rsidRPr="00390AE4">
        <w:rPr>
          <w:rFonts w:hint="eastAsia"/>
          <w:lang w:eastAsia="zh-CN"/>
        </w:rPr>
        <w:t>发展基金。</w:t>
      </w:r>
      <w:bookmarkEnd w:id="253"/>
      <w:bookmarkEnd w:id="259"/>
    </w:p>
    <w:p w14:paraId="636FAE19" w14:textId="72533838" w:rsidR="00390AE4" w:rsidRPr="00390AE4" w:rsidRDefault="00390AE4" w:rsidP="003E1E26">
      <w:pPr>
        <w:pStyle w:val="Heading2"/>
        <w:rPr>
          <w:lang w:eastAsia="zh-CN"/>
        </w:rPr>
      </w:pPr>
      <w:r w:rsidRPr="00390AE4">
        <w:rPr>
          <w:lang w:eastAsia="zh-CN"/>
        </w:rPr>
        <w:t>3.13</w:t>
      </w:r>
      <w:r w:rsidR="003E1E26">
        <w:rPr>
          <w:lang w:eastAsia="zh-CN"/>
        </w:rPr>
        <w:tab/>
      </w:r>
      <w:r w:rsidRPr="00390AE4">
        <w:rPr>
          <w:rFonts w:hint="eastAsia"/>
          <w:lang w:eastAsia="zh-CN"/>
        </w:rPr>
        <w:t>预算外资金</w:t>
      </w:r>
    </w:p>
    <w:p w14:paraId="4082532C" w14:textId="5F1CDBF3" w:rsidR="00390AE4" w:rsidRPr="00390AE4" w:rsidRDefault="00390AE4" w:rsidP="003E1E26">
      <w:pPr>
        <w:ind w:firstLineChars="200" w:firstLine="480"/>
        <w:rPr>
          <w:lang w:eastAsia="zh-CN"/>
        </w:rPr>
      </w:pPr>
      <w:r w:rsidRPr="00390AE4">
        <w:rPr>
          <w:rFonts w:hint="eastAsia"/>
          <w:lang w:eastAsia="zh-CN"/>
        </w:rPr>
        <w:t>除上述披露的储备金外，国际电联还有与预算外活动相关的捐赠方余额：</w:t>
      </w:r>
    </w:p>
    <w:p w14:paraId="62BD92C1" w14:textId="29CD8D5E" w:rsidR="00390AE4" w:rsidRPr="00390AE4" w:rsidRDefault="003E1E26" w:rsidP="00B70994">
      <w:pPr>
        <w:pStyle w:val="enumlev1"/>
        <w:rPr>
          <w:highlight w:val="green"/>
          <w:lang w:eastAsia="zh-CN"/>
        </w:rPr>
      </w:pPr>
      <w:bookmarkStart w:id="260" w:name="_Toc73518672"/>
      <w:bookmarkStart w:id="261" w:name="_Toc73518819"/>
      <w:bookmarkStart w:id="262" w:name="_Toc73519219"/>
      <w:bookmarkStart w:id="263" w:name="_Toc73636256"/>
      <w:bookmarkStart w:id="264" w:name="_Toc110263989"/>
      <w:bookmarkStart w:id="265" w:name="_Toc110264068"/>
      <w:bookmarkStart w:id="266" w:name="_Toc110265234"/>
      <w:bookmarkStart w:id="267" w:name="_Toc110265700"/>
      <w:bookmarkStart w:id="268" w:name="_Toc110330077"/>
      <w:bookmarkStart w:id="269" w:name="_Toc110330242"/>
      <w:r w:rsidRPr="00E52A4A">
        <w:rPr>
          <w:lang w:eastAsia="zh-CN"/>
        </w:rPr>
        <w:t>–</w:t>
      </w:r>
      <w:r w:rsidRPr="00E52A4A">
        <w:rPr>
          <w:lang w:eastAsia="zh-CN"/>
        </w:rPr>
        <w:tab/>
      </w:r>
      <w:r w:rsidR="00390AE4" w:rsidRPr="00B66D6D">
        <w:rPr>
          <w:rFonts w:ascii="STKaiti" w:eastAsia="STKaiti" w:hAnsi="STKaiti" w:hint="eastAsia"/>
          <w:lang w:eastAsia="zh-CN"/>
        </w:rPr>
        <w:t>已划拨第三方资金</w:t>
      </w:r>
      <w:bookmarkEnd w:id="260"/>
      <w:bookmarkEnd w:id="261"/>
      <w:bookmarkEnd w:id="262"/>
      <w:bookmarkEnd w:id="263"/>
      <w:bookmarkEnd w:id="264"/>
      <w:bookmarkEnd w:id="265"/>
      <w:bookmarkEnd w:id="266"/>
      <w:bookmarkEnd w:id="267"/>
      <w:bookmarkEnd w:id="268"/>
      <w:bookmarkEnd w:id="269"/>
      <w:r w:rsidR="00390AE4" w:rsidRPr="00B66D6D">
        <w:rPr>
          <w:rFonts w:ascii="STKaiti" w:eastAsia="STKaiti" w:hAnsi="STKaiti" w:hint="eastAsia"/>
          <w:lang w:eastAsia="zh-CN"/>
        </w:rPr>
        <w:t>；</w:t>
      </w:r>
    </w:p>
    <w:p w14:paraId="16AAD067" w14:textId="712EECE4" w:rsidR="00390AE4" w:rsidRPr="00390AE4" w:rsidRDefault="00390AE4" w:rsidP="003E1E26">
      <w:pPr>
        <w:ind w:firstLineChars="200" w:firstLine="480"/>
        <w:rPr>
          <w:lang w:eastAsia="zh-CN"/>
        </w:rPr>
      </w:pPr>
      <w:r w:rsidRPr="00390AE4">
        <w:rPr>
          <w:rFonts w:hint="eastAsia"/>
          <w:lang w:eastAsia="zh-CN"/>
        </w:rPr>
        <w:t>这是指第三方为支持国际电联实施发展中国家和最不发达国家项目提供的资金。这些供款受契约条件限制。这种资金只有在捐赠方以书面形式做出承诺在费用发生时确认为收入。所资助的项目只有在资金已支付给国际电联的情况下方能开始。在财务期结账时，未用余额在财务状况报表中确认为划拨资金余额。在一些具体情况下，该资金作为已发生费用的补偿支付给国际电联。</w:t>
      </w:r>
    </w:p>
    <w:p w14:paraId="3896D312" w14:textId="3042CB15" w:rsidR="00390AE4" w:rsidRPr="00390AE4" w:rsidRDefault="00390AE4" w:rsidP="003E1E26">
      <w:pPr>
        <w:ind w:firstLineChars="200" w:firstLine="480"/>
        <w:rPr>
          <w:lang w:eastAsia="zh-CN"/>
        </w:rPr>
      </w:pPr>
      <w:r w:rsidRPr="00390AE4">
        <w:rPr>
          <w:rFonts w:hint="eastAsia"/>
          <w:lang w:eastAsia="zh-CN"/>
        </w:rPr>
        <w:t>已划拨第三方资金分配如下：</w:t>
      </w:r>
    </w:p>
    <w:p w14:paraId="0D2C38ED" w14:textId="243AE29C" w:rsidR="00390AE4" w:rsidRPr="00390AE4" w:rsidRDefault="00105C56" w:rsidP="00390AE4">
      <w:pPr>
        <w:rPr>
          <w:lang w:eastAsia="zh-CN"/>
        </w:rPr>
      </w:pPr>
      <w:r w:rsidRPr="00E52A4A">
        <w:rPr>
          <w:b/>
          <w:bCs/>
          <w:i/>
          <w:iCs/>
          <w:lang w:eastAsia="zh-CN"/>
        </w:rPr>
        <w:t>i)</w:t>
      </w:r>
      <w:r w:rsidRPr="00E52A4A">
        <w:rPr>
          <w:b/>
          <w:bCs/>
          <w:i/>
          <w:iCs/>
          <w:lang w:eastAsia="zh-CN"/>
        </w:rPr>
        <w:tab/>
      </w:r>
      <w:r w:rsidR="00390AE4" w:rsidRPr="00B66D6D">
        <w:rPr>
          <w:rFonts w:ascii="STKaiti" w:eastAsia="STKaiti" w:hAnsi="STKaiti" w:hint="eastAsia"/>
          <w:b/>
          <w:bCs/>
          <w:lang w:eastAsia="zh-CN"/>
        </w:rPr>
        <w:t>信托基金</w:t>
      </w:r>
    </w:p>
    <w:p w14:paraId="74909856" w14:textId="5E18AE76" w:rsidR="00390AE4" w:rsidRPr="00390AE4" w:rsidRDefault="00105C56" w:rsidP="00105C56">
      <w:pPr>
        <w:pStyle w:val="enumlev1"/>
        <w:rPr>
          <w:lang w:eastAsia="zh-CN"/>
        </w:rPr>
      </w:pPr>
      <w:r>
        <w:rPr>
          <w:lang w:eastAsia="zh-CN"/>
        </w:rPr>
        <w:tab/>
      </w:r>
      <w:r w:rsidR="00390AE4" w:rsidRPr="00390AE4">
        <w:rPr>
          <w:rFonts w:hint="eastAsia"/>
          <w:lang w:eastAsia="zh-CN"/>
        </w:rPr>
        <w:t>信托基金用来执行通过</w:t>
      </w:r>
      <w:r w:rsidR="00390AE4" w:rsidRPr="00390AE4">
        <w:rPr>
          <w:lang w:eastAsia="zh-CN"/>
        </w:rPr>
        <w:t>ICT</w:t>
      </w:r>
      <w:r w:rsidR="00390AE4" w:rsidRPr="00390AE4">
        <w:rPr>
          <w:rFonts w:hint="eastAsia"/>
          <w:lang w:eastAsia="zh-CN"/>
        </w:rPr>
        <w:t>发展基金（</w:t>
      </w:r>
      <w:r w:rsidR="00390AE4" w:rsidRPr="00390AE4">
        <w:rPr>
          <w:lang w:eastAsia="zh-CN"/>
        </w:rPr>
        <w:t>ICTDF</w:t>
      </w:r>
      <w:r w:rsidR="00390AE4" w:rsidRPr="00390AE4">
        <w:rPr>
          <w:rFonts w:hint="eastAsia"/>
          <w:lang w:eastAsia="zh-CN"/>
        </w:rPr>
        <w:t>）或政府提供的专项捐款运作的项目。在所有情况下，在承诺费用之前资金均须先转入项目。信托基金属专款专用的自愿捐款。这些捐款在项目执行和实施中产生支持成本。</w:t>
      </w:r>
    </w:p>
    <w:p w14:paraId="6A311CF1" w14:textId="370C1184" w:rsidR="00390AE4" w:rsidRPr="00105C56" w:rsidRDefault="00105C56" w:rsidP="00390AE4">
      <w:pPr>
        <w:rPr>
          <w:b/>
          <w:bCs/>
          <w:lang w:eastAsia="zh-CN"/>
        </w:rPr>
      </w:pPr>
      <w:r w:rsidRPr="00E52A4A">
        <w:rPr>
          <w:b/>
          <w:bCs/>
          <w:i/>
          <w:iCs/>
        </w:rPr>
        <w:t>ii)</w:t>
      </w:r>
      <w:r w:rsidRPr="00E52A4A">
        <w:rPr>
          <w:b/>
          <w:bCs/>
          <w:i/>
          <w:iCs/>
        </w:rPr>
        <w:tab/>
      </w:r>
      <w:r w:rsidR="00390AE4" w:rsidRPr="00B66D6D">
        <w:rPr>
          <w:rFonts w:ascii="STKaiti" w:eastAsia="STKaiti" w:hAnsi="STKaiti" w:hint="eastAsia"/>
          <w:b/>
          <w:bCs/>
          <w:lang w:eastAsia="zh-CN"/>
        </w:rPr>
        <w:t>自愿捐款</w:t>
      </w:r>
    </w:p>
    <w:p w14:paraId="79303392" w14:textId="023EBC9E" w:rsidR="00390AE4" w:rsidRPr="00390AE4" w:rsidRDefault="00105C56" w:rsidP="00105C56">
      <w:pPr>
        <w:pStyle w:val="enumlev1"/>
        <w:rPr>
          <w:lang w:eastAsia="zh-CN"/>
        </w:rPr>
      </w:pPr>
      <w:r>
        <w:rPr>
          <w:lang w:eastAsia="zh-CN"/>
        </w:rPr>
        <w:tab/>
      </w:r>
      <w:r w:rsidR="00390AE4" w:rsidRPr="00390AE4">
        <w:rPr>
          <w:rFonts w:hint="eastAsia"/>
          <w:lang w:eastAsia="zh-CN"/>
        </w:rPr>
        <w:t>从捐助方收到的自愿捐款用于辅助研讨会、工作组、研究组、培训和与会补贴等具体的正常预算活动。自愿捐款可用于长期活动。自愿捐款不产生任何支持成本。</w:t>
      </w:r>
    </w:p>
    <w:p w14:paraId="6DC682EC" w14:textId="220148CD" w:rsidR="00390AE4" w:rsidRPr="00390AE4" w:rsidRDefault="00390AE4" w:rsidP="00105C56">
      <w:pPr>
        <w:ind w:firstLineChars="200" w:firstLine="480"/>
        <w:rPr>
          <w:lang w:eastAsia="zh-CN"/>
        </w:rPr>
      </w:pPr>
      <w:r w:rsidRPr="00390AE4">
        <w:rPr>
          <w:rFonts w:hint="eastAsia"/>
          <w:lang w:eastAsia="zh-CN"/>
        </w:rPr>
        <w:t>国际电联使用会费货币为自愿捐款记账并基于使用捐赠货币划拨的预算管理项目，除非另有规定。</w:t>
      </w:r>
    </w:p>
    <w:p w14:paraId="73997817" w14:textId="16CC96AC" w:rsidR="00390AE4" w:rsidRPr="00390AE4" w:rsidRDefault="00105C56" w:rsidP="00B70994">
      <w:pPr>
        <w:pStyle w:val="enumlev1"/>
        <w:rPr>
          <w:lang w:eastAsia="zh-CN"/>
        </w:rPr>
      </w:pPr>
      <w:r w:rsidRPr="00E52A4A">
        <w:rPr>
          <w:i/>
          <w:iCs/>
          <w:lang w:eastAsia="zh-CN"/>
        </w:rPr>
        <w:t>–</w:t>
      </w:r>
      <w:r w:rsidRPr="00E52A4A">
        <w:rPr>
          <w:i/>
          <w:iCs/>
          <w:lang w:eastAsia="zh-CN"/>
        </w:rPr>
        <w:tab/>
      </w:r>
      <w:r w:rsidR="00390AE4" w:rsidRPr="00B66D6D">
        <w:rPr>
          <w:rFonts w:ascii="STKaiti" w:eastAsia="STKaiti" w:hAnsi="STKaiti" w:hint="eastAsia"/>
          <w:lang w:eastAsia="zh-CN"/>
        </w:rPr>
        <w:t>划拨中的第三方资金；</w:t>
      </w:r>
    </w:p>
    <w:p w14:paraId="77C8FC98" w14:textId="235C63E4" w:rsidR="00390AE4" w:rsidRPr="00390AE4" w:rsidRDefault="00390AE4" w:rsidP="00105C56">
      <w:pPr>
        <w:ind w:firstLineChars="200" w:firstLine="480"/>
        <w:rPr>
          <w:lang w:eastAsia="zh-CN"/>
        </w:rPr>
      </w:pPr>
      <w:r w:rsidRPr="00390AE4">
        <w:rPr>
          <w:rFonts w:hint="eastAsia"/>
          <w:lang w:eastAsia="zh-CN"/>
        </w:rPr>
        <w:t>这些是从第三方（包括成员、部门成员和部门准成员、基金会、联合国和其他捐助者）收到的尚未完全分配，因此尚不能使用的资金。</w:t>
      </w:r>
    </w:p>
    <w:p w14:paraId="748F40C3" w14:textId="5778DE57" w:rsidR="00390AE4" w:rsidRPr="00390AE4" w:rsidRDefault="00105C56" w:rsidP="00105C56">
      <w:pPr>
        <w:pStyle w:val="Heading2"/>
        <w:rPr>
          <w:lang w:eastAsia="zh-CN"/>
        </w:rPr>
      </w:pPr>
      <w:bookmarkStart w:id="270" w:name="_Toc482892560"/>
      <w:bookmarkStart w:id="271" w:name="_Toc41905862"/>
      <w:bookmarkStart w:id="272" w:name="_Toc73636262"/>
      <w:r>
        <w:rPr>
          <w:rFonts w:hint="eastAsia"/>
          <w:lang w:eastAsia="zh-CN"/>
        </w:rPr>
        <w:t>3</w:t>
      </w:r>
      <w:r>
        <w:rPr>
          <w:lang w:eastAsia="zh-CN"/>
        </w:rPr>
        <w:t>.14</w:t>
      </w:r>
      <w:r>
        <w:rPr>
          <w:lang w:eastAsia="zh-CN"/>
        </w:rPr>
        <w:tab/>
      </w:r>
      <w:r w:rsidR="00390AE4" w:rsidRPr="00390AE4">
        <w:rPr>
          <w:rFonts w:hint="eastAsia"/>
          <w:lang w:eastAsia="zh-CN"/>
        </w:rPr>
        <w:t>分部门报告</w:t>
      </w:r>
      <w:bookmarkEnd w:id="270"/>
      <w:bookmarkEnd w:id="271"/>
      <w:bookmarkEnd w:id="272"/>
    </w:p>
    <w:p w14:paraId="36B46842" w14:textId="77777777" w:rsidR="00390AE4" w:rsidRPr="00390AE4" w:rsidRDefault="00390AE4" w:rsidP="00105C56">
      <w:pPr>
        <w:ind w:firstLineChars="200" w:firstLine="480"/>
        <w:rPr>
          <w:lang w:eastAsia="zh-CN"/>
        </w:rPr>
      </w:pPr>
      <w:r w:rsidRPr="00390AE4">
        <w:rPr>
          <w:rFonts w:hint="eastAsia"/>
          <w:lang w:eastAsia="zh-CN"/>
        </w:rPr>
        <w:t>分部门报告以国际电联的主要活动和资金来源为基础，并符合本组织以及为管理财务资源组织而设立的其它基金的组织法结构。有关部分反映出国际电联</w:t>
      </w:r>
      <w:r w:rsidRPr="00390AE4">
        <w:rPr>
          <w:lang w:eastAsia="zh-CN"/>
        </w:rPr>
        <w:t>2021</w:t>
      </w:r>
      <w:r w:rsidRPr="00390AE4">
        <w:rPr>
          <w:rFonts w:hint="eastAsia"/>
          <w:lang w:eastAsia="zh-CN"/>
        </w:rPr>
        <w:t>-202</w:t>
      </w:r>
      <w:r w:rsidRPr="00390AE4">
        <w:rPr>
          <w:lang w:eastAsia="zh-CN"/>
        </w:rPr>
        <w:t>2</w:t>
      </w:r>
      <w:r w:rsidRPr="00390AE4">
        <w:rPr>
          <w:rFonts w:hint="eastAsia"/>
          <w:lang w:eastAsia="zh-CN"/>
        </w:rPr>
        <w:t>年的工作计划：</w:t>
      </w:r>
    </w:p>
    <w:p w14:paraId="421089B6" w14:textId="77777777" w:rsidR="00390AE4" w:rsidRPr="00390AE4" w:rsidRDefault="00390AE4" w:rsidP="00105C56">
      <w:pPr>
        <w:pStyle w:val="enumlev1"/>
        <w:rPr>
          <w:lang w:eastAsia="zh-CN"/>
        </w:rPr>
      </w:pPr>
      <w:r w:rsidRPr="00390AE4">
        <w:rPr>
          <w:lang w:eastAsia="zh-CN"/>
        </w:rPr>
        <w:t>–</w:t>
      </w:r>
      <w:r w:rsidRPr="00390AE4">
        <w:rPr>
          <w:lang w:eastAsia="zh-CN"/>
        </w:rPr>
        <w:tab/>
      </w:r>
      <w:r w:rsidRPr="00390AE4">
        <w:rPr>
          <w:rFonts w:hint="eastAsia"/>
          <w:lang w:eastAsia="zh-CN"/>
        </w:rPr>
        <w:t>总秘书处；</w:t>
      </w:r>
    </w:p>
    <w:p w14:paraId="0F7FEDE0" w14:textId="77777777" w:rsidR="00390AE4" w:rsidRPr="00390AE4" w:rsidRDefault="00390AE4" w:rsidP="00105C56">
      <w:pPr>
        <w:pStyle w:val="enumlev1"/>
        <w:rPr>
          <w:lang w:eastAsia="zh-CN"/>
        </w:rPr>
      </w:pPr>
      <w:r w:rsidRPr="00390AE4">
        <w:rPr>
          <w:lang w:eastAsia="zh-CN"/>
        </w:rPr>
        <w:lastRenderedPageBreak/>
        <w:t>–</w:t>
      </w:r>
      <w:r w:rsidRPr="00390AE4">
        <w:rPr>
          <w:lang w:eastAsia="zh-CN"/>
        </w:rPr>
        <w:tab/>
      </w:r>
      <w:r w:rsidRPr="00390AE4">
        <w:rPr>
          <w:rFonts w:hint="eastAsia"/>
          <w:lang w:eastAsia="zh-CN"/>
        </w:rPr>
        <w:t>无线电通信部门（</w:t>
      </w:r>
      <w:r w:rsidRPr="00390AE4">
        <w:rPr>
          <w:lang w:eastAsia="zh-CN"/>
        </w:rPr>
        <w:t>ITU-R</w:t>
      </w:r>
      <w:r w:rsidRPr="00390AE4">
        <w:rPr>
          <w:rFonts w:hint="eastAsia"/>
          <w:lang w:eastAsia="zh-CN"/>
        </w:rPr>
        <w:t>）：国际资源（即，无线电频谱和卫星轨道）的管理；</w:t>
      </w:r>
    </w:p>
    <w:p w14:paraId="39D56D49" w14:textId="77777777" w:rsidR="00390AE4" w:rsidRPr="00390AE4" w:rsidRDefault="00390AE4" w:rsidP="00105C56">
      <w:pPr>
        <w:pStyle w:val="enumlev1"/>
        <w:rPr>
          <w:lang w:eastAsia="zh-CN"/>
        </w:rPr>
      </w:pPr>
      <w:r w:rsidRPr="00390AE4">
        <w:rPr>
          <w:lang w:eastAsia="zh-CN"/>
        </w:rPr>
        <w:t>–</w:t>
      </w:r>
      <w:r w:rsidRPr="00390AE4">
        <w:rPr>
          <w:lang w:eastAsia="zh-CN"/>
        </w:rPr>
        <w:tab/>
      </w:r>
      <w:r w:rsidRPr="00390AE4">
        <w:rPr>
          <w:rFonts w:hint="eastAsia"/>
          <w:lang w:eastAsia="zh-CN"/>
        </w:rPr>
        <w:t>电信标准化部门（</w:t>
      </w:r>
      <w:r w:rsidRPr="00390AE4">
        <w:rPr>
          <w:lang w:eastAsia="zh-CN"/>
        </w:rPr>
        <w:t>ITU-T</w:t>
      </w:r>
      <w:r w:rsidRPr="00390AE4">
        <w:rPr>
          <w:rFonts w:hint="eastAsia"/>
          <w:lang w:eastAsia="zh-CN"/>
        </w:rPr>
        <w:t>）：制定统一的工作方法并确定满足市场需求的灵活的合作机制；</w:t>
      </w:r>
    </w:p>
    <w:p w14:paraId="4BCE6B3A" w14:textId="77777777" w:rsidR="00390AE4" w:rsidRPr="00390AE4" w:rsidRDefault="00390AE4" w:rsidP="00105C56">
      <w:pPr>
        <w:pStyle w:val="enumlev1"/>
        <w:rPr>
          <w:lang w:eastAsia="zh-CN"/>
        </w:rPr>
      </w:pPr>
      <w:r w:rsidRPr="00390AE4">
        <w:rPr>
          <w:lang w:eastAsia="zh-CN"/>
        </w:rPr>
        <w:t>–</w:t>
      </w:r>
      <w:r w:rsidRPr="00390AE4">
        <w:rPr>
          <w:lang w:eastAsia="zh-CN"/>
        </w:rPr>
        <w:tab/>
      </w:r>
      <w:r w:rsidRPr="00390AE4">
        <w:rPr>
          <w:rFonts w:hint="eastAsia"/>
          <w:lang w:eastAsia="zh-CN"/>
        </w:rPr>
        <w:t>电信发展部门（</w:t>
      </w:r>
      <w:r w:rsidRPr="00390AE4">
        <w:rPr>
          <w:lang w:eastAsia="zh-CN"/>
        </w:rPr>
        <w:t>ITU-D</w:t>
      </w:r>
      <w:r w:rsidRPr="00390AE4">
        <w:rPr>
          <w:rFonts w:hint="eastAsia"/>
          <w:lang w:eastAsia="zh-CN"/>
        </w:rPr>
        <w:t>）：在价格可承受的条件下，提供对信息通信技术公平和可持续的获取；</w:t>
      </w:r>
    </w:p>
    <w:p w14:paraId="48F46484" w14:textId="77777777" w:rsidR="00390AE4" w:rsidRPr="00390AE4" w:rsidRDefault="00390AE4" w:rsidP="00105C56">
      <w:pPr>
        <w:pStyle w:val="enumlev1"/>
        <w:rPr>
          <w:lang w:eastAsia="zh-CN"/>
        </w:rPr>
      </w:pPr>
      <w:r w:rsidRPr="00390AE4">
        <w:rPr>
          <w:lang w:eastAsia="zh-CN"/>
        </w:rPr>
        <w:t>–</w:t>
      </w:r>
      <w:r w:rsidRPr="00390AE4">
        <w:rPr>
          <w:lang w:eastAsia="zh-CN"/>
        </w:rPr>
        <w:tab/>
      </w:r>
      <w:r w:rsidRPr="00390AE4">
        <w:rPr>
          <w:rFonts w:hint="eastAsia"/>
          <w:lang w:eastAsia="zh-CN"/>
        </w:rPr>
        <w:t>代表新</w:t>
      </w:r>
      <w:r w:rsidRPr="00390AE4">
        <w:rPr>
          <w:lang w:eastAsia="zh-CN"/>
        </w:rPr>
        <w:t>总部办公场</w:t>
      </w:r>
      <w:r w:rsidRPr="00390AE4">
        <w:rPr>
          <w:rFonts w:hint="eastAsia"/>
          <w:lang w:eastAsia="zh-CN"/>
        </w:rPr>
        <w:t>所建设项目的新办公楼基金；</w:t>
      </w:r>
    </w:p>
    <w:p w14:paraId="62C0EAA0" w14:textId="77777777" w:rsidR="00390AE4" w:rsidRPr="00390AE4" w:rsidRDefault="00390AE4" w:rsidP="00105C56">
      <w:pPr>
        <w:pStyle w:val="enumlev1"/>
        <w:rPr>
          <w:lang w:eastAsia="zh-CN"/>
        </w:rPr>
      </w:pPr>
      <w:r w:rsidRPr="00390AE4">
        <w:rPr>
          <w:lang w:eastAsia="zh-CN"/>
        </w:rPr>
        <w:t>–</w:t>
      </w:r>
      <w:r w:rsidRPr="00390AE4">
        <w:rPr>
          <w:lang w:eastAsia="zh-CN"/>
        </w:rPr>
        <w:tab/>
      </w:r>
      <w:r w:rsidRPr="00390AE4">
        <w:rPr>
          <w:rFonts w:hint="eastAsia"/>
          <w:lang w:eastAsia="zh-CN"/>
        </w:rPr>
        <w:t>综合了公积金和援助基金的</w:t>
      </w:r>
      <w:r w:rsidRPr="00390AE4">
        <w:rPr>
          <w:lang w:eastAsia="zh-CN"/>
        </w:rPr>
        <w:t>旧养恤基</w:t>
      </w:r>
      <w:r w:rsidRPr="00390AE4">
        <w:rPr>
          <w:rFonts w:hint="eastAsia"/>
          <w:lang w:eastAsia="zh-CN"/>
        </w:rPr>
        <w:t>金；</w:t>
      </w:r>
    </w:p>
    <w:p w14:paraId="1DF5F1B1" w14:textId="73D3E4AA" w:rsidR="00390AE4" w:rsidRPr="00390AE4" w:rsidRDefault="00390AE4" w:rsidP="00105C56">
      <w:pPr>
        <w:pStyle w:val="enumlev1"/>
        <w:rPr>
          <w:lang w:eastAsia="zh-CN"/>
        </w:rPr>
      </w:pPr>
      <w:r w:rsidRPr="00390AE4">
        <w:rPr>
          <w:lang w:eastAsia="zh-CN"/>
        </w:rPr>
        <w:t>–</w:t>
      </w:r>
      <w:r w:rsidRPr="00390AE4">
        <w:rPr>
          <w:lang w:eastAsia="zh-CN"/>
        </w:rPr>
        <w:tab/>
      </w:r>
      <w:bookmarkStart w:id="273" w:name="lt_pId744"/>
      <w:r w:rsidRPr="00390AE4">
        <w:rPr>
          <w:lang w:eastAsia="zh-CN"/>
        </w:rPr>
        <w:t>预算外</w:t>
      </w:r>
      <w:r w:rsidRPr="00390AE4">
        <w:rPr>
          <w:rFonts w:hint="eastAsia"/>
          <w:lang w:eastAsia="zh-CN"/>
        </w:rPr>
        <w:t>资金包括</w:t>
      </w:r>
      <w:r w:rsidRPr="00390AE4">
        <w:rPr>
          <w:lang w:eastAsia="zh-CN"/>
        </w:rPr>
        <w:t>UNDP</w:t>
      </w:r>
      <w:r w:rsidRPr="00390AE4">
        <w:rPr>
          <w:rFonts w:hint="eastAsia"/>
          <w:lang w:eastAsia="zh-CN"/>
        </w:rPr>
        <w:t>基金、信托基金、</w:t>
      </w:r>
      <w:r w:rsidRPr="00390AE4">
        <w:rPr>
          <w:lang w:eastAsia="zh-CN"/>
        </w:rPr>
        <w:t>ICT</w:t>
      </w:r>
      <w:r w:rsidRPr="00390AE4">
        <w:rPr>
          <w:rFonts w:hint="eastAsia"/>
          <w:lang w:eastAsia="zh-CN"/>
        </w:rPr>
        <w:t>发展基金和自愿捐赠</w:t>
      </w:r>
      <w:bookmarkEnd w:id="273"/>
      <w:r w:rsidRPr="00390AE4">
        <w:rPr>
          <w:rFonts w:hint="eastAsia"/>
          <w:lang w:eastAsia="zh-CN"/>
        </w:rPr>
        <w:t>和国际电联电信展览部。</w:t>
      </w:r>
    </w:p>
    <w:p w14:paraId="32DEF25B" w14:textId="056F9225" w:rsidR="00390AE4" w:rsidRPr="00390AE4" w:rsidRDefault="00390AE4" w:rsidP="00105C56">
      <w:pPr>
        <w:ind w:firstLineChars="200" w:firstLine="480"/>
        <w:rPr>
          <w:lang w:eastAsia="zh-CN"/>
        </w:rPr>
      </w:pPr>
      <w:r w:rsidRPr="00390AE4">
        <w:rPr>
          <w:rFonts w:hint="eastAsia"/>
          <w:lang w:eastAsia="zh-CN"/>
        </w:rPr>
        <w:t>根据国际电联活动的性质，成员国会费、有形和无形固定资产由各部门联合使用，但不由各部门单独管理。</w:t>
      </w:r>
    </w:p>
    <w:p w14:paraId="2E044C86" w14:textId="77777777" w:rsidR="00390AE4" w:rsidRPr="00390AE4" w:rsidRDefault="00390AE4" w:rsidP="00105C56">
      <w:pPr>
        <w:ind w:firstLineChars="200" w:firstLine="480"/>
        <w:rPr>
          <w:lang w:eastAsia="zh-CN"/>
        </w:rPr>
      </w:pPr>
      <w:r w:rsidRPr="00390AE4">
        <w:rPr>
          <w:lang w:eastAsia="zh-CN"/>
        </w:rPr>
        <w:t>部门</w:t>
      </w:r>
      <w:r w:rsidRPr="00390AE4">
        <w:rPr>
          <w:rFonts w:hint="eastAsia"/>
          <w:lang w:eastAsia="zh-CN"/>
        </w:rPr>
        <w:t>间转移包括因部门间转移而产生的收入和费用。此类转账按每部门成本核算，在合并时取消。</w:t>
      </w:r>
    </w:p>
    <w:p w14:paraId="75F884BF" w14:textId="5DB22EE4" w:rsidR="00390AE4" w:rsidRPr="00390AE4" w:rsidRDefault="00390AE4" w:rsidP="00105C56">
      <w:pPr>
        <w:ind w:firstLineChars="200" w:firstLine="480"/>
        <w:rPr>
          <w:lang w:eastAsia="zh-CN"/>
        </w:rPr>
      </w:pPr>
      <w:bookmarkStart w:id="274" w:name="_Hlk131084412"/>
      <w:r w:rsidRPr="00390AE4">
        <w:rPr>
          <w:rFonts w:hint="eastAsia"/>
          <w:lang w:eastAsia="zh-CN"/>
        </w:rPr>
        <w:t>2022</w:t>
      </w:r>
      <w:r w:rsidRPr="00390AE4">
        <w:rPr>
          <w:rFonts w:hint="eastAsia"/>
          <w:lang w:eastAsia="zh-CN"/>
        </w:rPr>
        <w:t>年引入了按部门报告的列报方式，以更充分地将收入和成本分配给各部门，并合并预算外活动的列报方式。出于可比性的目的，对</w:t>
      </w:r>
      <w:r w:rsidRPr="00390AE4">
        <w:rPr>
          <w:rFonts w:hint="eastAsia"/>
          <w:lang w:eastAsia="zh-CN"/>
        </w:rPr>
        <w:t>2021</w:t>
      </w:r>
      <w:r w:rsidRPr="00390AE4">
        <w:rPr>
          <w:rFonts w:hint="eastAsia"/>
          <w:lang w:eastAsia="zh-CN"/>
        </w:rPr>
        <w:t>年各部门的报告进行了重报。</w:t>
      </w:r>
    </w:p>
    <w:p w14:paraId="5A098BF2" w14:textId="4A042208" w:rsidR="00390AE4" w:rsidRPr="00390AE4" w:rsidRDefault="00390AE4" w:rsidP="00105C56">
      <w:pPr>
        <w:ind w:firstLineChars="200" w:firstLine="480"/>
        <w:rPr>
          <w:lang w:eastAsia="zh-CN"/>
        </w:rPr>
      </w:pPr>
      <w:r w:rsidRPr="00390AE4">
        <w:rPr>
          <w:rFonts w:hint="eastAsia"/>
          <w:lang w:eastAsia="zh-CN"/>
        </w:rPr>
        <w:t>为进行部门报告，已根据预算数字将这些收入和支出划拨至国际电联的四个部门（包括总秘书处）。</w:t>
      </w:r>
      <w:r w:rsidRPr="00390AE4">
        <w:rPr>
          <w:rFonts w:hint="eastAsia"/>
          <w:lang w:eastAsia="zh-CN"/>
        </w:rPr>
        <w:t>ASHI</w:t>
      </w:r>
      <w:r w:rsidRPr="00390AE4">
        <w:rPr>
          <w:rFonts w:hint="eastAsia"/>
          <w:lang w:eastAsia="zh-CN"/>
        </w:rPr>
        <w:t>年度调整数根据各部门的人数进行分配。</w:t>
      </w:r>
    </w:p>
    <w:bookmarkEnd w:id="274"/>
    <w:p w14:paraId="3B4AA6CB" w14:textId="77777777" w:rsidR="00390AE4" w:rsidRPr="00390AE4" w:rsidRDefault="00390AE4" w:rsidP="00105C56">
      <w:pPr>
        <w:ind w:firstLineChars="200" w:firstLine="480"/>
        <w:rPr>
          <w:lang w:eastAsia="zh-CN"/>
        </w:rPr>
      </w:pPr>
      <w:r w:rsidRPr="00390AE4">
        <w:rPr>
          <w:rFonts w:hint="eastAsia"/>
          <w:lang w:eastAsia="zh-CN"/>
        </w:rPr>
        <w:t>代表国际电联净资产以外的资产和负债属该组织所有或负责，不构成各组成部分的资产和负债。预算外资金没有任何固定资产。资产和负债代表国际电联各组成部分大量共同参与的活动。资产和负债在不同部门之间的分配不可避免地具任意性和不一致性。因此，这种做法违背</w:t>
      </w:r>
      <w:r w:rsidRPr="00390AE4">
        <w:rPr>
          <w:lang w:eastAsia="zh-CN"/>
        </w:rPr>
        <w:t>IPSAS 18</w:t>
      </w:r>
      <w:r w:rsidRPr="00390AE4">
        <w:rPr>
          <w:rFonts w:hint="eastAsia"/>
          <w:lang w:eastAsia="zh-CN"/>
        </w:rPr>
        <w:t>准则要求的原则。基于该原因，不对单独的资产和债务进行分部门处理。</w:t>
      </w:r>
    </w:p>
    <w:p w14:paraId="39ED9875" w14:textId="24463639" w:rsidR="00390AE4" w:rsidRPr="00390AE4" w:rsidRDefault="00390AE4" w:rsidP="00105C56">
      <w:pPr>
        <w:pStyle w:val="Heading2"/>
        <w:rPr>
          <w:lang w:eastAsia="zh-CN"/>
        </w:rPr>
      </w:pPr>
      <w:bookmarkStart w:id="275" w:name="_Toc305764077"/>
      <w:bookmarkStart w:id="276" w:name="_Toc131156432"/>
      <w:r w:rsidRPr="00390AE4">
        <w:rPr>
          <w:lang w:eastAsia="zh-CN"/>
        </w:rPr>
        <w:t>3.15</w:t>
      </w:r>
      <w:r w:rsidRPr="00390AE4">
        <w:rPr>
          <w:lang w:eastAsia="zh-CN"/>
        </w:rPr>
        <w:tab/>
      </w:r>
      <w:bookmarkStart w:id="277" w:name="_Toc482892561"/>
      <w:bookmarkStart w:id="278" w:name="_Toc305426935"/>
      <w:bookmarkStart w:id="279" w:name="_Toc41905863"/>
      <w:bookmarkStart w:id="280" w:name="_Toc73636263"/>
      <w:bookmarkEnd w:id="275"/>
      <w:bookmarkEnd w:id="276"/>
      <w:r w:rsidRPr="00390AE4">
        <w:rPr>
          <w:rFonts w:hint="eastAsia"/>
          <w:lang w:eastAsia="zh-CN"/>
        </w:rPr>
        <w:t>预算比较</w:t>
      </w:r>
      <w:bookmarkEnd w:id="277"/>
      <w:bookmarkEnd w:id="278"/>
      <w:bookmarkEnd w:id="279"/>
      <w:bookmarkEnd w:id="280"/>
    </w:p>
    <w:p w14:paraId="6AFE8AC1" w14:textId="77777777" w:rsidR="00390AE4" w:rsidRPr="00390AE4" w:rsidRDefault="00390AE4" w:rsidP="00105C56">
      <w:pPr>
        <w:ind w:firstLineChars="200" w:firstLine="480"/>
        <w:rPr>
          <w:lang w:eastAsia="zh-CN"/>
        </w:rPr>
      </w:pPr>
      <w:r w:rsidRPr="00390AE4">
        <w:rPr>
          <w:rFonts w:hint="eastAsia"/>
          <w:lang w:eastAsia="zh-CN"/>
        </w:rPr>
        <w:t>国际电联</w:t>
      </w:r>
      <w:r w:rsidRPr="00390AE4">
        <w:rPr>
          <w:rFonts w:hint="eastAsia"/>
          <w:lang w:eastAsia="zh-CN"/>
        </w:rPr>
        <w:t>202</w:t>
      </w:r>
      <w:r w:rsidRPr="00390AE4">
        <w:rPr>
          <w:lang w:eastAsia="zh-CN"/>
        </w:rPr>
        <w:t>2</w:t>
      </w:r>
      <w:r w:rsidRPr="00390AE4">
        <w:rPr>
          <w:rFonts w:hint="eastAsia"/>
          <w:lang w:eastAsia="zh-CN"/>
        </w:rPr>
        <w:t>-202</w:t>
      </w:r>
      <w:r w:rsidRPr="00390AE4">
        <w:rPr>
          <w:lang w:eastAsia="zh-CN"/>
        </w:rPr>
        <w:t>3</w:t>
      </w:r>
      <w:r w:rsidRPr="00390AE4">
        <w:rPr>
          <w:rFonts w:hint="eastAsia"/>
          <w:lang w:eastAsia="zh-CN"/>
        </w:rPr>
        <w:t>年预算以题为“国际电联</w:t>
      </w:r>
      <w:r w:rsidRPr="00390AE4">
        <w:rPr>
          <w:rFonts w:hint="eastAsia"/>
          <w:lang w:eastAsia="zh-CN"/>
        </w:rPr>
        <w:t>2020-2023</w:t>
      </w:r>
      <w:r w:rsidRPr="00390AE4">
        <w:rPr>
          <w:rFonts w:hint="eastAsia"/>
          <w:lang w:eastAsia="zh-CN"/>
        </w:rPr>
        <w:t>年阶段的收入和支出”的第</w:t>
      </w:r>
      <w:r w:rsidRPr="00390AE4">
        <w:rPr>
          <w:lang w:eastAsia="zh-CN"/>
        </w:rPr>
        <w:t>5</w:t>
      </w:r>
      <w:r w:rsidRPr="00390AE4">
        <w:rPr>
          <w:rFonts w:hint="eastAsia"/>
          <w:lang w:eastAsia="zh-CN"/>
        </w:rPr>
        <w:t>号决定（</w:t>
      </w:r>
      <w:r w:rsidRPr="00390AE4">
        <w:rPr>
          <w:lang w:eastAsia="zh-CN"/>
        </w:rPr>
        <w:t>2018</w:t>
      </w:r>
      <w:r w:rsidRPr="00390AE4">
        <w:rPr>
          <w:rFonts w:hint="eastAsia"/>
          <w:lang w:eastAsia="zh-CN"/>
        </w:rPr>
        <w:t>年，迪拜，修订版）和第</w:t>
      </w:r>
      <w:r w:rsidRPr="00390AE4">
        <w:rPr>
          <w:lang w:eastAsia="zh-CN"/>
        </w:rPr>
        <w:t>71</w:t>
      </w:r>
      <w:r w:rsidRPr="00390AE4">
        <w:rPr>
          <w:rFonts w:hint="eastAsia"/>
          <w:lang w:eastAsia="zh-CN"/>
        </w:rPr>
        <w:t>号决议（</w:t>
      </w:r>
      <w:r w:rsidRPr="00390AE4">
        <w:rPr>
          <w:lang w:eastAsia="zh-CN"/>
        </w:rPr>
        <w:t>2018</w:t>
      </w:r>
      <w:r w:rsidRPr="00390AE4">
        <w:rPr>
          <w:rFonts w:hint="eastAsia"/>
          <w:lang w:eastAsia="zh-CN"/>
        </w:rPr>
        <w:t>年，迪拜，修订版）确定的国际电联</w:t>
      </w:r>
      <w:r w:rsidRPr="00390AE4">
        <w:rPr>
          <w:rFonts w:hint="eastAsia"/>
          <w:lang w:eastAsia="zh-CN"/>
        </w:rPr>
        <w:t>2020-2023</w:t>
      </w:r>
      <w:r w:rsidRPr="00390AE4">
        <w:rPr>
          <w:rFonts w:hint="eastAsia"/>
          <w:lang w:eastAsia="zh-CN"/>
        </w:rPr>
        <w:t>年战略规划为基础。</w:t>
      </w:r>
    </w:p>
    <w:p w14:paraId="421E0E8A" w14:textId="77777777" w:rsidR="00390AE4" w:rsidRPr="00390AE4" w:rsidRDefault="00390AE4" w:rsidP="00105C56">
      <w:pPr>
        <w:ind w:firstLineChars="200" w:firstLine="480"/>
        <w:rPr>
          <w:lang w:eastAsia="zh-CN"/>
        </w:rPr>
      </w:pPr>
      <w:r w:rsidRPr="00390AE4">
        <w:rPr>
          <w:rFonts w:hint="eastAsia"/>
          <w:lang w:eastAsia="zh-CN"/>
        </w:rPr>
        <w:t>此外，项目预算已经过与各部门和总秘书处的运作规划的协调。</w:t>
      </w:r>
    </w:p>
    <w:p w14:paraId="1620AADD" w14:textId="77777777" w:rsidR="00390AE4" w:rsidRPr="00390AE4" w:rsidRDefault="00390AE4" w:rsidP="00105C56">
      <w:pPr>
        <w:ind w:firstLineChars="200" w:firstLine="480"/>
        <w:rPr>
          <w:lang w:eastAsia="zh-CN"/>
        </w:rPr>
      </w:pPr>
      <w:r w:rsidRPr="00390AE4">
        <w:rPr>
          <w:rFonts w:hint="eastAsia"/>
          <w:lang w:eastAsia="zh-CN"/>
        </w:rPr>
        <w:t>根据</w:t>
      </w:r>
      <w:r w:rsidRPr="00390AE4">
        <w:rPr>
          <w:lang w:eastAsia="zh-CN"/>
        </w:rPr>
        <w:t>IPSAS 24</w:t>
      </w:r>
      <w:r w:rsidRPr="00390AE4">
        <w:rPr>
          <w:rFonts w:hint="eastAsia"/>
          <w:lang w:eastAsia="zh-CN"/>
        </w:rPr>
        <w:t>准则，年度财务报表中必须包括预算金额与实际发生金额的比较。国际电联</w:t>
      </w:r>
      <w:r w:rsidRPr="00390AE4">
        <w:rPr>
          <w:rFonts w:hint="eastAsia"/>
          <w:lang w:eastAsia="zh-CN"/>
        </w:rPr>
        <w:t>202</w:t>
      </w:r>
      <w:r w:rsidRPr="00390AE4">
        <w:rPr>
          <w:lang w:eastAsia="zh-CN"/>
        </w:rPr>
        <w:t>2</w:t>
      </w:r>
      <w:r w:rsidRPr="00390AE4">
        <w:rPr>
          <w:rFonts w:hint="eastAsia"/>
          <w:lang w:eastAsia="zh-CN"/>
        </w:rPr>
        <w:t>-202</w:t>
      </w:r>
      <w:r w:rsidRPr="00390AE4">
        <w:rPr>
          <w:lang w:eastAsia="zh-CN"/>
        </w:rPr>
        <w:t>3</w:t>
      </w:r>
      <w:r w:rsidRPr="00390AE4">
        <w:rPr>
          <w:rFonts w:hint="eastAsia"/>
          <w:lang w:eastAsia="zh-CN"/>
        </w:rPr>
        <w:t>年预算草案包括两个年度预算。各财年均有预算估算。</w:t>
      </w:r>
    </w:p>
    <w:p w14:paraId="39E84A27" w14:textId="0D3B941A" w:rsidR="00232E78" w:rsidRDefault="00390AE4" w:rsidP="00105C56">
      <w:pPr>
        <w:ind w:firstLineChars="200" w:firstLine="480"/>
        <w:rPr>
          <w:lang w:eastAsia="zh-CN"/>
        </w:rPr>
      </w:pPr>
      <w:r w:rsidRPr="00390AE4">
        <w:rPr>
          <w:rFonts w:hint="eastAsia"/>
          <w:lang w:eastAsia="zh-CN"/>
        </w:rPr>
        <w:t>202</w:t>
      </w:r>
      <w:r w:rsidRPr="00390AE4">
        <w:rPr>
          <w:lang w:eastAsia="zh-CN"/>
        </w:rPr>
        <w:t>2</w:t>
      </w:r>
      <w:r w:rsidRPr="00390AE4">
        <w:rPr>
          <w:rFonts w:hint="eastAsia"/>
          <w:lang w:eastAsia="zh-CN"/>
        </w:rPr>
        <w:t>年最终预算得到理事会</w:t>
      </w:r>
      <w:r w:rsidRPr="00390AE4">
        <w:rPr>
          <w:rFonts w:hint="eastAsia"/>
          <w:lang w:eastAsia="zh-CN"/>
        </w:rPr>
        <w:t>20</w:t>
      </w:r>
      <w:r w:rsidRPr="00390AE4">
        <w:rPr>
          <w:lang w:eastAsia="zh-CN"/>
        </w:rPr>
        <w:t>2</w:t>
      </w:r>
      <w:r w:rsidRPr="00390AE4">
        <w:rPr>
          <w:rFonts w:hint="eastAsia"/>
          <w:lang w:eastAsia="zh-CN"/>
        </w:rPr>
        <w:t>1</w:t>
      </w:r>
      <w:r w:rsidRPr="00390AE4">
        <w:rPr>
          <w:rFonts w:hint="eastAsia"/>
          <w:lang w:eastAsia="zh-CN"/>
        </w:rPr>
        <w:t>年会议第</w:t>
      </w:r>
      <w:r w:rsidRPr="00390AE4">
        <w:rPr>
          <w:rFonts w:hint="eastAsia"/>
          <w:lang w:eastAsia="zh-CN"/>
        </w:rPr>
        <w:t>1</w:t>
      </w:r>
      <w:r w:rsidRPr="00390AE4">
        <w:rPr>
          <w:lang w:eastAsia="zh-CN"/>
        </w:rPr>
        <w:t>405</w:t>
      </w:r>
      <w:r w:rsidRPr="00390AE4">
        <w:rPr>
          <w:rFonts w:hint="eastAsia"/>
          <w:lang w:eastAsia="zh-CN"/>
        </w:rPr>
        <w:t>号决议（</w:t>
      </w:r>
      <w:r w:rsidRPr="00390AE4">
        <w:rPr>
          <w:lang w:eastAsia="zh-CN"/>
        </w:rPr>
        <w:t>C21/97</w:t>
      </w:r>
      <w:r w:rsidRPr="00390AE4">
        <w:rPr>
          <w:rFonts w:hint="eastAsia"/>
          <w:lang w:eastAsia="zh-CN"/>
        </w:rPr>
        <w:t>号文件）的批准。报表五包含最终预算和实际金额的比较。由于预算和财务报表不是在相同基础上编制的，报表五包含预算金额和报表二（财务业绩报表）金额的调节。实体差额体现出在国际电联财务报表中加入的预算外资金。</w:t>
      </w:r>
      <w:bookmarkEnd w:id="237"/>
      <w:bookmarkEnd w:id="238"/>
      <w:bookmarkEnd w:id="239"/>
    </w:p>
    <w:p w14:paraId="22574E2D" w14:textId="77777777" w:rsidR="00232E78" w:rsidRPr="000C156A" w:rsidRDefault="00232E78" w:rsidP="00232E78">
      <w:pPr>
        <w:pStyle w:val="Heading1"/>
        <w:tabs>
          <w:tab w:val="clear" w:pos="794"/>
        </w:tabs>
        <w:spacing w:before="240"/>
        <w:ind w:left="1134" w:hanging="1134"/>
        <w:rPr>
          <w:sz w:val="24"/>
          <w:szCs w:val="24"/>
          <w:lang w:eastAsia="zh-CN"/>
        </w:rPr>
      </w:pPr>
      <w:bookmarkStart w:id="281" w:name="_Toc482892562"/>
      <w:bookmarkStart w:id="282" w:name="_Toc482870827"/>
      <w:bookmarkStart w:id="283" w:name="_Toc329165779"/>
      <w:bookmarkStart w:id="284" w:name="_Toc305426936"/>
      <w:bookmarkStart w:id="285" w:name="_Toc511813745"/>
      <w:bookmarkStart w:id="286" w:name="_Toc511817828"/>
      <w:bookmarkStart w:id="287" w:name="_Toc520280728"/>
      <w:bookmarkStart w:id="288" w:name="_Toc10536823"/>
      <w:bookmarkStart w:id="289" w:name="_Toc41905864"/>
      <w:bookmarkStart w:id="290" w:name="_Toc41906893"/>
      <w:bookmarkStart w:id="291" w:name="_Toc41907974"/>
      <w:bookmarkStart w:id="292" w:name="_Toc41908042"/>
      <w:bookmarkStart w:id="293" w:name="_Toc73518678"/>
      <w:bookmarkStart w:id="294" w:name="_Toc73518825"/>
      <w:bookmarkStart w:id="295" w:name="_Toc73519225"/>
      <w:bookmarkStart w:id="296" w:name="_Toc73636264"/>
      <w:bookmarkStart w:id="297" w:name="_Toc163723287"/>
      <w:bookmarkStart w:id="298" w:name="_Toc329165790"/>
      <w:bookmarkStart w:id="299" w:name="_Toc305594750"/>
      <w:bookmarkStart w:id="300" w:name="_Toc482892574"/>
      <w:bookmarkStart w:id="301" w:name="_Toc482870839"/>
      <w:bookmarkStart w:id="302" w:name="_Toc511813758"/>
      <w:bookmarkStart w:id="303" w:name="_Toc511817841"/>
      <w:bookmarkStart w:id="304" w:name="_Toc520280741"/>
      <w:bookmarkStart w:id="305" w:name="_Toc10536836"/>
      <w:bookmarkStart w:id="306" w:name="_Toc41905878"/>
      <w:bookmarkStart w:id="307" w:name="_Toc41906906"/>
      <w:bookmarkStart w:id="308" w:name="_Toc41907987"/>
      <w:bookmarkStart w:id="309" w:name="_Toc41908055"/>
      <w:r w:rsidRPr="000C156A">
        <w:rPr>
          <w:rFonts w:cs="Microsoft YaHei" w:hint="eastAsia"/>
          <w:sz w:val="24"/>
          <w:szCs w:val="24"/>
          <w:lang w:val="fr-FR" w:eastAsia="zh-CN"/>
        </w:rPr>
        <w:t>说明</w:t>
      </w:r>
      <w:r>
        <w:rPr>
          <w:sz w:val="24"/>
          <w:szCs w:val="24"/>
          <w:lang w:eastAsia="zh-CN"/>
        </w:rPr>
        <w:t>4</w:t>
      </w:r>
      <w:r w:rsidRPr="000C156A">
        <w:rPr>
          <w:sz w:val="24"/>
          <w:szCs w:val="24"/>
          <w:lang w:eastAsia="zh-CN"/>
        </w:rPr>
        <w:tab/>
      </w:r>
      <w:r w:rsidRPr="000C156A">
        <w:rPr>
          <w:rFonts w:cs="Microsoft YaHei" w:hint="eastAsia"/>
          <w:sz w:val="24"/>
          <w:szCs w:val="24"/>
          <w:lang w:val="fr-FR" w:eastAsia="zh-CN"/>
        </w:rPr>
        <w:t>净资产的管理</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0A5ECE1F" w14:textId="77777777" w:rsidR="00232E78" w:rsidRPr="009665AE" w:rsidRDefault="00232E78" w:rsidP="00232E78">
      <w:pPr>
        <w:tabs>
          <w:tab w:val="left" w:pos="7088"/>
        </w:tabs>
        <w:ind w:firstLineChars="200" w:firstLine="480"/>
        <w:jc w:val="both"/>
        <w:rPr>
          <w:rFonts w:asciiTheme="minorHAnsi" w:hAnsiTheme="minorHAnsi" w:cstheme="minorHAnsi"/>
          <w:lang w:val="en-US" w:eastAsia="zh-CN"/>
        </w:rPr>
      </w:pPr>
      <w:r w:rsidRPr="000C156A">
        <w:rPr>
          <w:rFonts w:hint="eastAsia"/>
          <w:lang w:eastAsia="zh-CN"/>
        </w:rPr>
        <w:t>国际电联的净资产包括</w:t>
      </w:r>
      <w:r>
        <w:rPr>
          <w:rFonts w:hint="eastAsia"/>
          <w:lang w:eastAsia="zh-CN"/>
        </w:rPr>
        <w:t>：</w:t>
      </w:r>
    </w:p>
    <w:p w14:paraId="72163075" w14:textId="77777777" w:rsidR="00232E78" w:rsidRPr="009665AE" w:rsidRDefault="00232E78" w:rsidP="00232E78">
      <w:pPr>
        <w:pStyle w:val="enumlev1"/>
        <w:rPr>
          <w:lang w:eastAsia="zh-CN"/>
        </w:rPr>
      </w:pPr>
      <w:bookmarkStart w:id="310" w:name="_Hlk161391253"/>
      <w:bookmarkStart w:id="311" w:name="lt_pId772"/>
      <w:r>
        <w:rPr>
          <w:lang w:eastAsia="zh-CN"/>
        </w:rPr>
        <w:t>•</w:t>
      </w:r>
      <w:r>
        <w:rPr>
          <w:lang w:eastAsia="zh-CN"/>
        </w:rPr>
        <w:tab/>
      </w:r>
      <w:bookmarkEnd w:id="310"/>
      <w:r w:rsidRPr="00ED0CC7">
        <w:rPr>
          <w:rFonts w:hint="eastAsia"/>
          <w:lang w:eastAsia="zh-CN"/>
        </w:rPr>
        <w:t>国际电联储备金账目</w:t>
      </w:r>
      <w:r>
        <w:rPr>
          <w:rFonts w:hint="eastAsia"/>
          <w:lang w:eastAsia="zh-CN"/>
        </w:rPr>
        <w:t>；</w:t>
      </w:r>
      <w:bookmarkEnd w:id="311"/>
    </w:p>
    <w:p w14:paraId="584DF75B" w14:textId="77777777" w:rsidR="00232E78" w:rsidRPr="009665AE" w:rsidRDefault="00232E78" w:rsidP="00232E78">
      <w:pPr>
        <w:pStyle w:val="enumlev1"/>
        <w:rPr>
          <w:lang w:eastAsia="zh-CN"/>
        </w:rPr>
      </w:pPr>
      <w:bookmarkStart w:id="312" w:name="lt_pId773"/>
      <w:r>
        <w:rPr>
          <w:lang w:eastAsia="zh-CN"/>
        </w:rPr>
        <w:lastRenderedPageBreak/>
        <w:t>•</w:t>
      </w:r>
      <w:r>
        <w:rPr>
          <w:lang w:eastAsia="zh-CN"/>
        </w:rPr>
        <w:tab/>
      </w:r>
      <w:r w:rsidRPr="00ED0CC7">
        <w:rPr>
          <w:rFonts w:hint="eastAsia"/>
          <w:lang w:eastAsia="zh-CN"/>
        </w:rPr>
        <w:t>其它储备金</w:t>
      </w:r>
      <w:r w:rsidRPr="00ED0CC7">
        <w:rPr>
          <w:rFonts w:hint="eastAsia"/>
          <w:lang w:eastAsia="zh-CN"/>
        </w:rPr>
        <w:t>/</w:t>
      </w:r>
      <w:r w:rsidRPr="00ED0CC7">
        <w:rPr>
          <w:rFonts w:hint="eastAsia"/>
          <w:lang w:eastAsia="zh-CN"/>
        </w:rPr>
        <w:t>基金</w:t>
      </w:r>
      <w:r>
        <w:rPr>
          <w:rFonts w:hint="eastAsia"/>
          <w:lang w:eastAsia="zh-CN"/>
        </w:rPr>
        <w:t>；</w:t>
      </w:r>
      <w:bookmarkEnd w:id="312"/>
    </w:p>
    <w:p w14:paraId="42174BD4" w14:textId="77777777" w:rsidR="00232E78" w:rsidRPr="009665AE" w:rsidRDefault="00232E78" w:rsidP="00232E78">
      <w:pPr>
        <w:pStyle w:val="enumlev1"/>
        <w:rPr>
          <w:lang w:eastAsia="zh-CN"/>
        </w:rPr>
      </w:pPr>
      <w:bookmarkStart w:id="313" w:name="lt_pId774"/>
      <w:r>
        <w:rPr>
          <w:lang w:eastAsia="zh-CN"/>
        </w:rPr>
        <w:t>•</w:t>
      </w:r>
      <w:r>
        <w:rPr>
          <w:lang w:eastAsia="zh-CN"/>
        </w:rPr>
        <w:tab/>
      </w:r>
      <w:r>
        <w:rPr>
          <w:rFonts w:hint="eastAsia"/>
          <w:lang w:eastAsia="zh-CN"/>
        </w:rPr>
        <w:t>预算外储备金；</w:t>
      </w:r>
      <w:bookmarkEnd w:id="313"/>
    </w:p>
    <w:p w14:paraId="12C4E1D4" w14:textId="77777777" w:rsidR="00232E78" w:rsidRPr="00CF3507" w:rsidRDefault="00232E78" w:rsidP="00232E78">
      <w:pPr>
        <w:pStyle w:val="enumlev1"/>
        <w:rPr>
          <w:lang w:eastAsia="zh-CN"/>
        </w:rPr>
      </w:pPr>
      <w:r>
        <w:rPr>
          <w:lang w:eastAsia="zh-CN"/>
        </w:rPr>
        <w:t>•</w:t>
      </w:r>
      <w:r>
        <w:rPr>
          <w:lang w:eastAsia="zh-CN"/>
        </w:rPr>
        <w:tab/>
      </w:r>
      <w:r>
        <w:rPr>
          <w:rFonts w:hint="eastAsia"/>
          <w:lang w:eastAsia="zh-CN"/>
        </w:rPr>
        <w:t>通过净资产</w:t>
      </w:r>
      <w:r w:rsidRPr="00CF3507">
        <w:rPr>
          <w:rFonts w:hint="eastAsia"/>
          <w:lang w:eastAsia="zh-CN"/>
        </w:rPr>
        <w:t>得出的</w:t>
      </w:r>
      <w:r w:rsidRPr="00CF3507">
        <w:rPr>
          <w:lang w:eastAsia="zh-CN"/>
        </w:rPr>
        <w:t>ASHI</w:t>
      </w:r>
      <w:r w:rsidRPr="00ED0CC7">
        <w:rPr>
          <w:rFonts w:hint="eastAsia"/>
          <w:lang w:eastAsia="zh-CN"/>
        </w:rPr>
        <w:t>精算损</w:t>
      </w:r>
      <w:r>
        <w:rPr>
          <w:rFonts w:hint="eastAsia"/>
          <w:lang w:eastAsia="zh-CN"/>
        </w:rPr>
        <w:t>/</w:t>
      </w:r>
      <w:r>
        <w:rPr>
          <w:rFonts w:hint="eastAsia"/>
          <w:lang w:eastAsia="zh-CN"/>
        </w:rPr>
        <w:t>（</w:t>
      </w:r>
      <w:r w:rsidRPr="00ED0CC7">
        <w:rPr>
          <w:rFonts w:hint="eastAsia"/>
          <w:lang w:eastAsia="zh-CN"/>
        </w:rPr>
        <w:t>益</w:t>
      </w:r>
      <w:r>
        <w:rPr>
          <w:rFonts w:hint="eastAsia"/>
          <w:lang w:eastAsia="zh-CN"/>
        </w:rPr>
        <w:t>）和</w:t>
      </w:r>
    </w:p>
    <w:p w14:paraId="26184561" w14:textId="036DCE73" w:rsidR="00232E78" w:rsidRDefault="00232E78" w:rsidP="00232E78">
      <w:pPr>
        <w:pStyle w:val="enumlev1"/>
        <w:rPr>
          <w:lang w:eastAsia="zh-CN"/>
        </w:rPr>
      </w:pPr>
      <w:r>
        <w:rPr>
          <w:lang w:eastAsia="zh-CN"/>
        </w:rPr>
        <w:t>•</w:t>
      </w:r>
      <w:r>
        <w:rPr>
          <w:lang w:eastAsia="zh-CN"/>
        </w:rPr>
        <w:tab/>
      </w:r>
      <w:r>
        <w:rPr>
          <w:rFonts w:hint="eastAsia"/>
          <w:lang w:eastAsia="zh-CN"/>
        </w:rPr>
        <w:t>累积盈余</w:t>
      </w:r>
      <w:r>
        <w:rPr>
          <w:rFonts w:hint="eastAsia"/>
          <w:lang w:eastAsia="zh-CN"/>
        </w:rPr>
        <w:t>/</w:t>
      </w:r>
      <w:r>
        <w:rPr>
          <w:rFonts w:hint="eastAsia"/>
          <w:lang w:eastAsia="zh-CN"/>
        </w:rPr>
        <w:t>（赤字）</w:t>
      </w:r>
      <w:r w:rsidR="006046E5">
        <w:rPr>
          <w:rFonts w:hint="eastAsia"/>
          <w:lang w:eastAsia="zh-CN"/>
        </w:rPr>
        <w:t>。</w:t>
      </w:r>
    </w:p>
    <w:p w14:paraId="0C2A5908" w14:textId="77777777" w:rsidR="00232E78" w:rsidRDefault="00232E78" w:rsidP="00232E78">
      <w:pPr>
        <w:ind w:firstLineChars="200" w:firstLine="480"/>
        <w:rPr>
          <w:rFonts w:asciiTheme="minorHAnsi" w:hAnsiTheme="minorHAnsi"/>
          <w:lang w:val="en-US" w:eastAsia="zh-CN"/>
        </w:rPr>
      </w:pPr>
      <w:r>
        <w:rPr>
          <w:rFonts w:asciiTheme="minorHAnsi" w:hAnsiTheme="minorHAnsi" w:hint="eastAsia"/>
          <w:lang w:val="en-US" w:eastAsia="zh-CN"/>
        </w:rPr>
        <w:t>下表列出了国际电联储备金账目的变动情况。</w:t>
      </w:r>
    </w:p>
    <w:p w14:paraId="4FA643A0" w14:textId="77777777" w:rsidR="00232E78" w:rsidRPr="00CF0C0C" w:rsidRDefault="00232E78" w:rsidP="00D61EB2">
      <w:pPr>
        <w:pStyle w:val="Figure"/>
        <w:rPr>
          <w:rFonts w:asciiTheme="minorHAnsi" w:hAnsiTheme="minorHAnsi"/>
          <w:lang w:val="en-US" w:eastAsia="zh-CN"/>
        </w:rPr>
      </w:pPr>
      <w:r w:rsidRPr="005E4769">
        <w:rPr>
          <w:rFonts w:hint="eastAsia"/>
          <w:noProof/>
        </w:rPr>
        <w:drawing>
          <wp:inline distT="0" distB="0" distL="0" distR="0" wp14:anchorId="2B2EBD35" wp14:editId="3B1D6209">
            <wp:extent cx="5760085" cy="1661160"/>
            <wp:effectExtent l="0" t="0" r="0" b="0"/>
            <wp:docPr id="1260474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0085" cy="1661160"/>
                    </a:xfrm>
                    <a:prstGeom prst="rect">
                      <a:avLst/>
                    </a:prstGeom>
                    <a:noFill/>
                    <a:ln>
                      <a:noFill/>
                    </a:ln>
                  </pic:spPr>
                </pic:pic>
              </a:graphicData>
            </a:graphic>
          </wp:inline>
        </w:drawing>
      </w:r>
    </w:p>
    <w:p w14:paraId="387D220C" w14:textId="77777777" w:rsidR="00232E78" w:rsidRDefault="00232E78" w:rsidP="00232E78">
      <w:pPr>
        <w:ind w:firstLineChars="200" w:firstLine="480"/>
        <w:rPr>
          <w:lang w:eastAsia="zh-CN"/>
        </w:rPr>
      </w:pPr>
      <w:bookmarkStart w:id="314" w:name="_Toc305594746"/>
      <w:bookmarkStart w:id="315" w:name="_Toc329165787"/>
      <w:r w:rsidRPr="000C156A">
        <w:rPr>
          <w:rFonts w:hint="eastAsia"/>
          <w:lang w:eastAsia="zh-CN"/>
        </w:rPr>
        <w:t>截至</w:t>
      </w:r>
      <w:r w:rsidRPr="000C156A">
        <w:rPr>
          <w:rFonts w:hint="eastAsia"/>
          <w:lang w:eastAsia="zh-CN"/>
        </w:rPr>
        <w:t>20</w:t>
      </w:r>
      <w:r>
        <w:rPr>
          <w:lang w:eastAsia="zh-CN"/>
        </w:rPr>
        <w:t>22</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日，储备金账目的资产为</w:t>
      </w:r>
      <w:r w:rsidRPr="000C156A">
        <w:rPr>
          <w:rFonts w:hint="eastAsia"/>
          <w:lang w:val="en-US" w:eastAsia="zh-CN"/>
        </w:rPr>
        <w:t>2</w:t>
      </w:r>
      <w:r w:rsidRPr="000C156A">
        <w:rPr>
          <w:lang w:val="en-US" w:eastAsia="zh-CN"/>
        </w:rPr>
        <w:t xml:space="preserve"> </w:t>
      </w:r>
      <w:r>
        <w:rPr>
          <w:lang w:val="en-US" w:eastAsia="zh-CN"/>
        </w:rPr>
        <w:t>84</w:t>
      </w:r>
      <w:r w:rsidRPr="000C156A">
        <w:rPr>
          <w:rFonts w:hint="eastAsia"/>
          <w:lang w:val="en-US" w:eastAsia="zh-CN"/>
        </w:rPr>
        <w:t>0</w:t>
      </w:r>
      <w:r w:rsidRPr="000C156A">
        <w:rPr>
          <w:rFonts w:hint="eastAsia"/>
          <w:lang w:val="en-US" w:eastAsia="zh-CN"/>
        </w:rPr>
        <w:t>万瑞郎</w:t>
      </w:r>
      <w:r>
        <w:rPr>
          <w:rFonts w:hint="eastAsia"/>
          <w:lang w:val="en-US" w:eastAsia="zh-CN"/>
        </w:rPr>
        <w:t>（</w:t>
      </w:r>
      <w:r>
        <w:rPr>
          <w:rFonts w:hint="eastAsia"/>
          <w:lang w:val="en-US" w:eastAsia="zh-CN"/>
        </w:rPr>
        <w:t>2</w:t>
      </w:r>
      <w:r>
        <w:rPr>
          <w:lang w:val="en-US" w:eastAsia="zh-CN"/>
        </w:rPr>
        <w:t>021</w:t>
      </w:r>
      <w:r>
        <w:rPr>
          <w:rFonts w:hint="eastAsia"/>
          <w:lang w:val="en-US" w:eastAsia="zh-CN"/>
        </w:rPr>
        <w:t>年：</w:t>
      </w:r>
      <w:r>
        <w:rPr>
          <w:rFonts w:hint="eastAsia"/>
          <w:lang w:val="en-US" w:eastAsia="zh-CN"/>
        </w:rPr>
        <w:t>2</w:t>
      </w:r>
      <w:r>
        <w:rPr>
          <w:lang w:val="en-US" w:eastAsia="zh-CN"/>
        </w:rPr>
        <w:t xml:space="preserve"> 940</w:t>
      </w:r>
      <w:r>
        <w:rPr>
          <w:rFonts w:hint="eastAsia"/>
          <w:lang w:val="en-US" w:eastAsia="zh-CN"/>
        </w:rPr>
        <w:t>万瑞郎）</w:t>
      </w:r>
      <w:r w:rsidRPr="000C156A">
        <w:rPr>
          <w:rFonts w:hint="eastAsia"/>
          <w:lang w:eastAsia="zh-CN"/>
        </w:rPr>
        <w:t>。储备金账目资产相当于</w:t>
      </w:r>
      <w:r w:rsidRPr="000C156A">
        <w:rPr>
          <w:rFonts w:hint="eastAsia"/>
          <w:lang w:eastAsia="zh-CN"/>
        </w:rPr>
        <w:t>202</w:t>
      </w:r>
      <w:r>
        <w:rPr>
          <w:lang w:eastAsia="zh-CN"/>
        </w:rPr>
        <w:t>2</w:t>
      </w:r>
      <w:r w:rsidRPr="000C156A">
        <w:rPr>
          <w:rFonts w:hint="eastAsia"/>
          <w:lang w:eastAsia="zh-CN"/>
        </w:rPr>
        <w:t>年预算的</w:t>
      </w:r>
      <w:r w:rsidRPr="000C156A">
        <w:rPr>
          <w:lang w:val="en-US" w:eastAsia="zh-CN"/>
        </w:rPr>
        <w:t>1</w:t>
      </w:r>
      <w:r w:rsidRPr="000C156A">
        <w:rPr>
          <w:rFonts w:hint="eastAsia"/>
          <w:lang w:val="en-US" w:eastAsia="zh-CN"/>
        </w:rPr>
        <w:t>5</w:t>
      </w:r>
      <w:r w:rsidRPr="000C156A">
        <w:rPr>
          <w:lang w:val="en-US" w:eastAsia="zh-CN"/>
        </w:rPr>
        <w:t>.</w:t>
      </w:r>
      <w:r w:rsidRPr="000C156A">
        <w:rPr>
          <w:rFonts w:hint="eastAsia"/>
          <w:lang w:val="en-US" w:eastAsia="zh-CN"/>
        </w:rPr>
        <w:t>5</w:t>
      </w:r>
      <w:r w:rsidRPr="000C156A">
        <w:rPr>
          <w:lang w:val="en-US" w:eastAsia="zh-CN"/>
        </w:rPr>
        <w:t>%</w:t>
      </w:r>
      <w:r w:rsidRPr="000C156A">
        <w:rPr>
          <w:rFonts w:hint="eastAsia"/>
          <w:lang w:val="en-US" w:eastAsia="zh-CN"/>
        </w:rPr>
        <w:t>，</w:t>
      </w:r>
      <w:r w:rsidRPr="000C156A">
        <w:rPr>
          <w:rFonts w:hint="eastAsia"/>
          <w:lang w:eastAsia="zh-CN"/>
        </w:rPr>
        <w:t>远高于全权代表大会第</w:t>
      </w:r>
      <w:r w:rsidRPr="000C156A">
        <w:rPr>
          <w:lang w:eastAsia="zh-CN"/>
        </w:rPr>
        <w:t>5</w:t>
      </w:r>
      <w:r w:rsidRPr="000C156A">
        <w:rPr>
          <w:rFonts w:hint="eastAsia"/>
          <w:lang w:eastAsia="zh-CN"/>
        </w:rPr>
        <w:t>号决定（</w:t>
      </w:r>
      <w:r w:rsidRPr="000C156A">
        <w:rPr>
          <w:lang w:eastAsia="zh-CN"/>
        </w:rPr>
        <w:t>20</w:t>
      </w:r>
      <w:r>
        <w:rPr>
          <w:lang w:eastAsia="zh-CN"/>
        </w:rPr>
        <w:t>22</w:t>
      </w:r>
      <w:r w:rsidRPr="000C156A">
        <w:rPr>
          <w:rFonts w:hint="eastAsia"/>
          <w:lang w:eastAsia="zh-CN"/>
        </w:rPr>
        <w:t>年，迪拜，修订版）规定的</w:t>
      </w:r>
      <w:r w:rsidRPr="000C156A">
        <w:rPr>
          <w:lang w:eastAsia="zh-CN"/>
        </w:rPr>
        <w:t>6%</w:t>
      </w:r>
      <w:r w:rsidRPr="000C156A">
        <w:rPr>
          <w:rFonts w:hint="eastAsia"/>
          <w:lang w:eastAsia="zh-CN"/>
        </w:rPr>
        <w:t>的限额。</w:t>
      </w:r>
    </w:p>
    <w:p w14:paraId="339006CB" w14:textId="77777777" w:rsidR="00232E78" w:rsidRDefault="00232E78" w:rsidP="00232E78">
      <w:pPr>
        <w:ind w:firstLineChars="200" w:firstLine="480"/>
        <w:jc w:val="both"/>
        <w:rPr>
          <w:rFonts w:asciiTheme="minorHAnsi" w:hAnsiTheme="minorHAnsi"/>
          <w:lang w:val="en-US" w:eastAsia="zh-CN"/>
        </w:rPr>
      </w:pPr>
      <w:r>
        <w:rPr>
          <w:rFonts w:asciiTheme="minorHAnsi" w:hAnsiTheme="minorHAnsi" w:hint="eastAsia"/>
          <w:lang w:val="en-US" w:eastAsia="zh-CN"/>
        </w:rPr>
        <w:t>下表列出了国际电联其它储备金和基金账目的变动情况。</w:t>
      </w:r>
    </w:p>
    <w:p w14:paraId="37616AD2" w14:textId="77777777" w:rsidR="00232E78" w:rsidRPr="00CF2F10" w:rsidRDefault="00232E78" w:rsidP="00D61EB2">
      <w:pPr>
        <w:pStyle w:val="Figure"/>
        <w:rPr>
          <w:rFonts w:asciiTheme="minorHAnsi" w:hAnsiTheme="minorHAnsi"/>
          <w:lang w:val="en-US" w:eastAsia="zh-CN"/>
        </w:rPr>
      </w:pPr>
      <w:r w:rsidRPr="0027363E">
        <w:rPr>
          <w:rFonts w:hint="eastAsia"/>
          <w:noProof/>
        </w:rPr>
        <w:drawing>
          <wp:inline distT="0" distB="0" distL="0" distR="0" wp14:anchorId="7146CD8E" wp14:editId="4448BC11">
            <wp:extent cx="5760085" cy="3962400"/>
            <wp:effectExtent l="0" t="0" r="0" b="0"/>
            <wp:docPr id="1139669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0085" cy="3962400"/>
                    </a:xfrm>
                    <a:prstGeom prst="rect">
                      <a:avLst/>
                    </a:prstGeom>
                    <a:noFill/>
                    <a:ln>
                      <a:noFill/>
                    </a:ln>
                  </pic:spPr>
                </pic:pic>
              </a:graphicData>
            </a:graphic>
          </wp:inline>
        </w:drawing>
      </w:r>
    </w:p>
    <w:p w14:paraId="2F4BC24C" w14:textId="77777777" w:rsidR="00232E78" w:rsidRPr="009665AE" w:rsidRDefault="00232E78" w:rsidP="00232E78">
      <w:pPr>
        <w:ind w:firstLineChars="200" w:firstLine="480"/>
        <w:rPr>
          <w:lang w:val="en-US" w:eastAsia="zh-CN"/>
        </w:rPr>
      </w:pPr>
      <w:r w:rsidRPr="003A63B9">
        <w:rPr>
          <w:rFonts w:hint="eastAsia"/>
          <w:lang w:eastAsia="zh-CN"/>
        </w:rPr>
        <w:t>截至</w:t>
      </w:r>
      <w:r w:rsidRPr="003A63B9">
        <w:rPr>
          <w:rFonts w:hint="eastAsia"/>
          <w:lang w:eastAsia="zh-CN"/>
        </w:rPr>
        <w:t>2022</w:t>
      </w:r>
      <w:r w:rsidRPr="003A63B9">
        <w:rPr>
          <w:rFonts w:hint="eastAsia"/>
          <w:lang w:eastAsia="zh-CN"/>
        </w:rPr>
        <w:t>年</w:t>
      </w:r>
      <w:r w:rsidRPr="003A63B9">
        <w:rPr>
          <w:rFonts w:hint="eastAsia"/>
          <w:lang w:eastAsia="zh-CN"/>
        </w:rPr>
        <w:t>12</w:t>
      </w:r>
      <w:r w:rsidRPr="003A63B9">
        <w:rPr>
          <w:rFonts w:hint="eastAsia"/>
          <w:lang w:eastAsia="zh-CN"/>
        </w:rPr>
        <w:t>月</w:t>
      </w:r>
      <w:r w:rsidRPr="003A63B9">
        <w:rPr>
          <w:rFonts w:hint="eastAsia"/>
          <w:lang w:eastAsia="zh-CN"/>
        </w:rPr>
        <w:t>31</w:t>
      </w:r>
      <w:r w:rsidRPr="003A63B9">
        <w:rPr>
          <w:rFonts w:hint="eastAsia"/>
          <w:lang w:eastAsia="zh-CN"/>
        </w:rPr>
        <w:t>日，上表中投资基金项目下报告的信</w:t>
      </w:r>
      <w:r>
        <w:rPr>
          <w:rFonts w:hint="eastAsia"/>
          <w:lang w:eastAsia="zh-CN"/>
        </w:rPr>
        <w:t>息</w:t>
      </w:r>
      <w:r w:rsidRPr="003A63B9">
        <w:rPr>
          <w:rFonts w:hint="eastAsia"/>
          <w:lang w:eastAsia="zh-CN"/>
        </w:rPr>
        <w:t>通</w:t>
      </w:r>
      <w:r>
        <w:rPr>
          <w:rFonts w:hint="eastAsia"/>
          <w:lang w:eastAsia="zh-CN"/>
        </w:rPr>
        <w:t>信</w:t>
      </w:r>
      <w:r w:rsidRPr="003A63B9">
        <w:rPr>
          <w:rFonts w:hint="eastAsia"/>
          <w:lang w:eastAsia="zh-CN"/>
        </w:rPr>
        <w:t>技术发展基金余额为</w:t>
      </w:r>
      <w:r w:rsidRPr="003A63B9">
        <w:rPr>
          <w:rFonts w:hint="eastAsia"/>
          <w:lang w:eastAsia="zh-CN"/>
        </w:rPr>
        <w:t>260</w:t>
      </w:r>
      <w:r w:rsidRPr="003A63B9">
        <w:rPr>
          <w:rFonts w:hint="eastAsia"/>
          <w:lang w:eastAsia="zh-CN"/>
        </w:rPr>
        <w:t>万</w:t>
      </w:r>
      <w:r>
        <w:rPr>
          <w:rFonts w:hint="eastAsia"/>
          <w:lang w:eastAsia="zh-CN"/>
        </w:rPr>
        <w:t>瑞郎</w:t>
      </w:r>
      <w:r w:rsidRPr="003A63B9">
        <w:rPr>
          <w:rFonts w:hint="eastAsia"/>
          <w:lang w:eastAsia="zh-CN"/>
        </w:rPr>
        <w:t>（截至</w:t>
      </w:r>
      <w:r w:rsidRPr="003A63B9">
        <w:rPr>
          <w:rFonts w:hint="eastAsia"/>
          <w:lang w:eastAsia="zh-CN"/>
        </w:rPr>
        <w:t>2021</w:t>
      </w:r>
      <w:r w:rsidRPr="003A63B9">
        <w:rPr>
          <w:rFonts w:hint="eastAsia"/>
          <w:lang w:eastAsia="zh-CN"/>
        </w:rPr>
        <w:t>年</w:t>
      </w:r>
      <w:r w:rsidRPr="003A63B9">
        <w:rPr>
          <w:rFonts w:hint="eastAsia"/>
          <w:lang w:eastAsia="zh-CN"/>
        </w:rPr>
        <w:t>12</w:t>
      </w:r>
      <w:r w:rsidRPr="003A63B9">
        <w:rPr>
          <w:rFonts w:hint="eastAsia"/>
          <w:lang w:eastAsia="zh-CN"/>
        </w:rPr>
        <w:t>月</w:t>
      </w:r>
      <w:r w:rsidRPr="003A63B9">
        <w:rPr>
          <w:rFonts w:hint="eastAsia"/>
          <w:lang w:eastAsia="zh-CN"/>
        </w:rPr>
        <w:t>31</w:t>
      </w:r>
      <w:r w:rsidRPr="003A63B9">
        <w:rPr>
          <w:rFonts w:hint="eastAsia"/>
          <w:lang w:eastAsia="zh-CN"/>
        </w:rPr>
        <w:t>日为</w:t>
      </w:r>
      <w:r w:rsidRPr="003A63B9">
        <w:rPr>
          <w:rFonts w:hint="eastAsia"/>
          <w:lang w:eastAsia="zh-CN"/>
        </w:rPr>
        <w:t>290</w:t>
      </w:r>
      <w:r w:rsidRPr="003A63B9">
        <w:rPr>
          <w:rFonts w:hint="eastAsia"/>
          <w:lang w:eastAsia="zh-CN"/>
        </w:rPr>
        <w:t>万</w:t>
      </w:r>
      <w:r>
        <w:rPr>
          <w:rFonts w:hint="eastAsia"/>
          <w:lang w:eastAsia="zh-CN"/>
        </w:rPr>
        <w:t>瑞郎</w:t>
      </w:r>
      <w:r w:rsidRPr="003A63B9">
        <w:rPr>
          <w:rFonts w:hint="eastAsia"/>
          <w:lang w:eastAsia="zh-CN"/>
        </w:rPr>
        <w:t>）。</w:t>
      </w:r>
    </w:p>
    <w:p w14:paraId="0869A672" w14:textId="77777777" w:rsidR="00232E78" w:rsidRDefault="00232E78" w:rsidP="00232E78">
      <w:pPr>
        <w:ind w:firstLineChars="200" w:firstLine="480"/>
        <w:rPr>
          <w:rFonts w:asciiTheme="minorHAnsi" w:hAnsiTheme="minorHAnsi"/>
          <w:lang w:val="en-US" w:eastAsia="zh-CN"/>
        </w:rPr>
      </w:pPr>
      <w:r>
        <w:rPr>
          <w:rFonts w:asciiTheme="minorHAnsi" w:hAnsiTheme="minorHAnsi" w:hint="eastAsia"/>
          <w:lang w:val="en-US" w:eastAsia="zh-CN"/>
        </w:rPr>
        <w:t>下表列出了国际电联预算外储备金账目的变动情况。</w:t>
      </w:r>
    </w:p>
    <w:p w14:paraId="582305CE" w14:textId="77777777" w:rsidR="00232E78" w:rsidRPr="003B0568" w:rsidRDefault="00232E78" w:rsidP="00D61EB2">
      <w:pPr>
        <w:pStyle w:val="Figure"/>
        <w:rPr>
          <w:rFonts w:asciiTheme="minorHAnsi" w:hAnsiTheme="minorHAnsi"/>
          <w:lang w:val="en-US" w:eastAsia="zh-CN"/>
        </w:rPr>
      </w:pPr>
      <w:r>
        <w:rPr>
          <w:rFonts w:hint="eastAsia"/>
          <w:noProof/>
        </w:rPr>
        <w:lastRenderedPageBreak/>
        <w:drawing>
          <wp:inline distT="0" distB="0" distL="0" distR="0" wp14:anchorId="3563BF34" wp14:editId="4EAAFE5D">
            <wp:extent cx="5756910" cy="1429385"/>
            <wp:effectExtent l="0" t="0" r="0" b="0"/>
            <wp:docPr id="590448006" name="Picture 38"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448006" name="Picture 38" descr="A screenshot of a computer screen&#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56910" cy="1429385"/>
                    </a:xfrm>
                    <a:prstGeom prst="rect">
                      <a:avLst/>
                    </a:prstGeom>
                    <a:noFill/>
                    <a:ln>
                      <a:noFill/>
                    </a:ln>
                  </pic:spPr>
                </pic:pic>
              </a:graphicData>
            </a:graphic>
          </wp:inline>
        </w:drawing>
      </w:r>
    </w:p>
    <w:p w14:paraId="52A297FC" w14:textId="77777777" w:rsidR="00232E78" w:rsidRPr="000C156A" w:rsidRDefault="00232E78" w:rsidP="00232E78">
      <w:pPr>
        <w:pStyle w:val="Heading1"/>
        <w:tabs>
          <w:tab w:val="clear" w:pos="794"/>
        </w:tabs>
        <w:spacing w:before="240"/>
        <w:ind w:left="1134" w:hanging="1134"/>
        <w:rPr>
          <w:rFonts w:cs="Microsoft YaHei"/>
          <w:sz w:val="24"/>
          <w:szCs w:val="24"/>
          <w:lang w:eastAsia="zh-CN"/>
        </w:rPr>
      </w:pPr>
      <w:bookmarkStart w:id="316" w:name="_Toc482892563"/>
      <w:bookmarkStart w:id="317" w:name="_Toc482870828"/>
      <w:bookmarkStart w:id="318" w:name="_Toc511813746"/>
      <w:bookmarkStart w:id="319" w:name="_Toc511817829"/>
      <w:bookmarkStart w:id="320" w:name="_Toc520280729"/>
      <w:bookmarkStart w:id="321" w:name="_Toc10536824"/>
      <w:bookmarkStart w:id="322" w:name="_Toc41905865"/>
      <w:bookmarkStart w:id="323" w:name="_Toc41906894"/>
      <w:bookmarkStart w:id="324" w:name="_Toc41907975"/>
      <w:bookmarkStart w:id="325" w:name="_Toc41908043"/>
      <w:bookmarkStart w:id="326" w:name="_Toc73518679"/>
      <w:bookmarkStart w:id="327" w:name="_Toc73518826"/>
      <w:bookmarkStart w:id="328" w:name="_Toc73519226"/>
      <w:bookmarkStart w:id="329" w:name="_Toc73636265"/>
      <w:bookmarkStart w:id="330" w:name="_Toc163723288"/>
      <w:r w:rsidRPr="000C156A">
        <w:rPr>
          <w:rFonts w:cs="Microsoft YaHei" w:hint="eastAsia"/>
          <w:sz w:val="24"/>
          <w:szCs w:val="24"/>
          <w:lang w:val="fr-FR" w:eastAsia="zh-CN"/>
        </w:rPr>
        <w:t>说明</w:t>
      </w:r>
      <w:r>
        <w:rPr>
          <w:rFonts w:cs="Microsoft YaHei"/>
          <w:sz w:val="24"/>
          <w:szCs w:val="24"/>
          <w:lang w:eastAsia="zh-CN"/>
        </w:rPr>
        <w:t>5</w:t>
      </w:r>
      <w:r w:rsidRPr="000C156A">
        <w:rPr>
          <w:rFonts w:cs="Microsoft YaHei"/>
          <w:sz w:val="24"/>
          <w:szCs w:val="24"/>
          <w:lang w:eastAsia="zh-CN"/>
        </w:rPr>
        <w:tab/>
      </w:r>
      <w:r w:rsidRPr="000C156A">
        <w:rPr>
          <w:rFonts w:cs="Microsoft YaHei" w:hint="eastAsia"/>
          <w:sz w:val="24"/>
          <w:szCs w:val="24"/>
          <w:lang w:val="fr-FR" w:eastAsia="zh-CN"/>
        </w:rPr>
        <w:t>财务风险的管理</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42AD8AD2" w14:textId="77777777" w:rsidR="00232E78" w:rsidRPr="000C156A" w:rsidRDefault="00232E78" w:rsidP="00232E78">
      <w:pPr>
        <w:ind w:firstLineChars="200" w:firstLine="480"/>
        <w:rPr>
          <w:lang w:val="en-US" w:eastAsia="zh-CN"/>
        </w:rPr>
      </w:pPr>
      <w:r w:rsidRPr="000C156A">
        <w:rPr>
          <w:rFonts w:hint="eastAsia"/>
          <w:lang w:eastAsia="zh-CN"/>
        </w:rPr>
        <w:t>国际电联在工作中面临多种财务风险，其中包括信用风险、市场风险（外汇货币风险）、利率风险和流动性风险。该说明列出了国际电联面临上述风险的情况以及为应对财务风险和保护其资本采取的原则。财务风险管理集中掌握在秘书长手中。</w:t>
      </w:r>
    </w:p>
    <w:p w14:paraId="16B35FD3" w14:textId="77777777" w:rsidR="00232E78" w:rsidRPr="000C156A" w:rsidRDefault="00232E78" w:rsidP="00232E78">
      <w:pPr>
        <w:pStyle w:val="Headingb"/>
        <w:rPr>
          <w:lang w:val="en-US" w:eastAsia="zh-CN"/>
        </w:rPr>
      </w:pPr>
      <w:bookmarkStart w:id="331" w:name="_Toc73518680"/>
      <w:bookmarkStart w:id="332" w:name="_Toc73518827"/>
      <w:bookmarkStart w:id="333" w:name="_Toc73519227"/>
      <w:bookmarkStart w:id="334" w:name="_Toc73636266"/>
      <w:r w:rsidRPr="000C156A">
        <w:rPr>
          <w:rFonts w:hint="eastAsia"/>
          <w:lang w:val="en-US" w:eastAsia="zh-CN"/>
        </w:rPr>
        <w:t>公允价值</w:t>
      </w:r>
      <w:bookmarkEnd w:id="331"/>
      <w:bookmarkEnd w:id="332"/>
      <w:bookmarkEnd w:id="333"/>
      <w:bookmarkEnd w:id="334"/>
    </w:p>
    <w:p w14:paraId="7A6FEAB4" w14:textId="77777777" w:rsidR="00232E78" w:rsidRPr="000C156A" w:rsidRDefault="00232E78" w:rsidP="00232E78">
      <w:pPr>
        <w:spacing w:after="120"/>
        <w:ind w:firstLineChars="200" w:firstLine="480"/>
        <w:rPr>
          <w:b/>
          <w:bCs/>
          <w:lang w:val="en-US" w:eastAsia="zh-CN"/>
        </w:rPr>
      </w:pPr>
      <w:r>
        <w:rPr>
          <w:rFonts w:hint="eastAsia"/>
          <w:lang w:val="en-US" w:eastAsia="zh-CN"/>
        </w:rPr>
        <w:t>除借款外，</w:t>
      </w:r>
      <w:r w:rsidRPr="000C156A">
        <w:rPr>
          <w:rFonts w:hint="eastAsia"/>
          <w:lang w:val="en-US" w:eastAsia="zh-CN"/>
        </w:rPr>
        <w:t>国际电联各种金融工具公允价值</w:t>
      </w:r>
      <w:r>
        <w:rPr>
          <w:rFonts w:hint="eastAsia"/>
          <w:lang w:val="en-US" w:eastAsia="zh-CN"/>
        </w:rPr>
        <w:t>与</w:t>
      </w:r>
      <w:r w:rsidRPr="000C156A">
        <w:rPr>
          <w:rFonts w:hint="eastAsia"/>
          <w:lang w:eastAsia="zh-CN"/>
        </w:rPr>
        <w:t>账面</w:t>
      </w:r>
      <w:r>
        <w:rPr>
          <w:rFonts w:hint="eastAsia"/>
          <w:lang w:val="en-US" w:eastAsia="zh-CN"/>
        </w:rPr>
        <w:t>价值之间没有差异：</w:t>
      </w:r>
    </w:p>
    <w:p w14:paraId="328BFF6A" w14:textId="77777777" w:rsidR="00232E78" w:rsidRPr="000C156A" w:rsidRDefault="00232E78" w:rsidP="00232E78">
      <w:pPr>
        <w:ind w:firstLineChars="200" w:firstLine="480"/>
        <w:rPr>
          <w:lang w:val="en-US" w:eastAsia="zh-CN"/>
        </w:rPr>
      </w:pPr>
      <w:r w:rsidRPr="000C156A">
        <w:rPr>
          <w:rFonts w:hint="eastAsia"/>
          <w:lang w:val="en-US" w:eastAsia="zh-CN"/>
        </w:rPr>
        <w:t>金融资产和债务的公允价值包含在各方之间愿意达成的可交换工具的当前交易金额中，而非强制销售或清算金额内。</w:t>
      </w:r>
    </w:p>
    <w:p w14:paraId="3FD26172" w14:textId="77777777" w:rsidR="00232E78" w:rsidRPr="000C156A" w:rsidRDefault="00232E78" w:rsidP="00232E78">
      <w:pPr>
        <w:ind w:firstLineChars="200" w:firstLine="480"/>
        <w:rPr>
          <w:lang w:val="en-US" w:eastAsia="zh-CN"/>
        </w:rPr>
      </w:pPr>
      <w:r w:rsidRPr="000C156A">
        <w:rPr>
          <w:rFonts w:hint="eastAsia"/>
          <w:lang w:val="en-US" w:eastAsia="zh-CN"/>
        </w:rPr>
        <w:t>用来估计公允价值的</w:t>
      </w:r>
      <w:r w:rsidRPr="000C156A">
        <w:rPr>
          <w:rFonts w:hint="eastAsia"/>
          <w:lang w:eastAsia="zh-CN"/>
        </w:rPr>
        <w:t>方法</w:t>
      </w:r>
      <w:r w:rsidRPr="000C156A">
        <w:rPr>
          <w:rFonts w:hint="eastAsia"/>
          <w:lang w:val="en-US" w:eastAsia="zh-CN"/>
        </w:rPr>
        <w:t>和假设如下：</w:t>
      </w:r>
    </w:p>
    <w:p w14:paraId="04F12763" w14:textId="77777777" w:rsidR="00232E78" w:rsidRPr="000C156A" w:rsidRDefault="00232E78" w:rsidP="00232E78">
      <w:pPr>
        <w:pStyle w:val="enumlev1"/>
        <w:rPr>
          <w:lang w:val="en-US" w:eastAsia="zh-CN"/>
        </w:rPr>
      </w:pPr>
      <w:r w:rsidRPr="000C156A">
        <w:rPr>
          <w:lang w:val="en-US" w:eastAsia="zh-CN"/>
        </w:rPr>
        <w:t>–</w:t>
      </w:r>
      <w:r w:rsidRPr="000C156A">
        <w:rPr>
          <w:lang w:val="en-US" w:eastAsia="zh-CN"/>
        </w:rPr>
        <w:tab/>
      </w:r>
      <w:r w:rsidRPr="000C156A">
        <w:rPr>
          <w:rFonts w:hint="eastAsia"/>
          <w:lang w:val="en-US" w:eastAsia="zh-CN"/>
        </w:rPr>
        <w:t>现金和现金等价物、短期存款、兑换交易的应收款项、其他应收款项、兑换交易的应付账款和其他主要因为上述投资期限短造成的接近账面金额的应付款；</w:t>
      </w:r>
    </w:p>
    <w:p w14:paraId="3280B3B1" w14:textId="77777777" w:rsidR="00232E78" w:rsidRPr="000C156A" w:rsidRDefault="00232E78" w:rsidP="00232E78">
      <w:pPr>
        <w:pStyle w:val="enumlev1"/>
        <w:rPr>
          <w:lang w:val="en-US" w:eastAsia="zh-CN"/>
        </w:rPr>
      </w:pPr>
      <w:r w:rsidRPr="000C156A">
        <w:rPr>
          <w:lang w:val="en-US" w:eastAsia="zh-CN"/>
        </w:rPr>
        <w:t>–</w:t>
      </w:r>
      <w:r w:rsidRPr="000C156A">
        <w:rPr>
          <w:lang w:val="en-US" w:eastAsia="zh-CN"/>
        </w:rPr>
        <w:tab/>
      </w:r>
      <w:r w:rsidRPr="000C156A">
        <w:rPr>
          <w:rFonts w:hint="eastAsia"/>
          <w:lang w:val="en-US" w:eastAsia="zh-CN"/>
        </w:rPr>
        <w:t>按照说明</w:t>
      </w:r>
      <w:r>
        <w:rPr>
          <w:lang w:val="en-US" w:eastAsia="zh-CN"/>
        </w:rPr>
        <w:t>9</w:t>
      </w:r>
      <w:r w:rsidRPr="000C156A">
        <w:rPr>
          <w:rFonts w:hint="eastAsia"/>
          <w:lang w:val="en-US" w:eastAsia="zh-CN"/>
        </w:rPr>
        <w:t>计价的短期和长期应收款项；</w:t>
      </w:r>
    </w:p>
    <w:p w14:paraId="0E7A6605" w14:textId="77777777" w:rsidR="00232E78" w:rsidRPr="000C156A" w:rsidRDefault="00232E78" w:rsidP="00232E78">
      <w:pPr>
        <w:pStyle w:val="Headingb"/>
        <w:rPr>
          <w:lang w:val="en-US" w:eastAsia="zh-CN"/>
        </w:rPr>
      </w:pPr>
      <w:bookmarkStart w:id="335" w:name="_Toc73518681"/>
      <w:bookmarkStart w:id="336" w:name="_Toc73518828"/>
      <w:bookmarkStart w:id="337" w:name="_Toc73519228"/>
      <w:bookmarkStart w:id="338" w:name="_Toc73636267"/>
      <w:r w:rsidRPr="000C156A">
        <w:rPr>
          <w:rFonts w:hint="eastAsia"/>
          <w:lang w:val="en-US" w:eastAsia="zh-CN"/>
        </w:rPr>
        <w:t>公允价值的分层结构</w:t>
      </w:r>
      <w:bookmarkEnd w:id="335"/>
      <w:bookmarkEnd w:id="336"/>
      <w:bookmarkEnd w:id="337"/>
      <w:bookmarkEnd w:id="338"/>
    </w:p>
    <w:p w14:paraId="08A883B2" w14:textId="77777777" w:rsidR="00232E78" w:rsidRPr="000C156A" w:rsidRDefault="00232E78" w:rsidP="00232E78">
      <w:pPr>
        <w:ind w:firstLineChars="200" w:firstLine="480"/>
        <w:rPr>
          <w:lang w:val="en-US" w:eastAsia="zh-CN"/>
        </w:rPr>
      </w:pPr>
      <w:r w:rsidRPr="000C156A">
        <w:rPr>
          <w:rFonts w:hint="eastAsia"/>
          <w:lang w:val="en-US" w:eastAsia="zh-CN"/>
        </w:rPr>
        <w:t>国际电联采用以下分层结构</w:t>
      </w:r>
      <w:r w:rsidRPr="000C156A">
        <w:rPr>
          <w:rFonts w:hint="eastAsia"/>
          <w:lang w:eastAsia="zh-CN"/>
        </w:rPr>
        <w:t>决定</w:t>
      </w:r>
      <w:r w:rsidRPr="000C156A">
        <w:rPr>
          <w:rFonts w:hint="eastAsia"/>
          <w:lang w:val="en-US" w:eastAsia="zh-CN"/>
        </w:rPr>
        <w:t>并披露采用估值技巧确定的金融工具的公允价值：</w:t>
      </w:r>
    </w:p>
    <w:p w14:paraId="43D0E7C8" w14:textId="77777777" w:rsidR="00232E78" w:rsidRPr="000C156A" w:rsidRDefault="00232E78" w:rsidP="00232E78">
      <w:pPr>
        <w:spacing w:before="100"/>
        <w:ind w:firstLineChars="200" w:firstLine="480"/>
        <w:rPr>
          <w:lang w:val="en-US" w:eastAsia="zh-CN"/>
        </w:rPr>
      </w:pPr>
      <w:r w:rsidRPr="000C156A">
        <w:rPr>
          <w:rFonts w:hint="eastAsia"/>
          <w:lang w:val="en-US" w:eastAsia="zh-CN"/>
        </w:rPr>
        <w:t>第</w:t>
      </w:r>
      <w:r w:rsidRPr="000C156A">
        <w:rPr>
          <w:lang w:val="en-US" w:eastAsia="zh-CN"/>
        </w:rPr>
        <w:t>1</w:t>
      </w:r>
      <w:r w:rsidRPr="000C156A">
        <w:rPr>
          <w:rFonts w:hint="eastAsia"/>
          <w:lang w:val="en-US" w:eastAsia="zh-CN"/>
        </w:rPr>
        <w:t>级：相同资产和负债的实际市场报价；</w:t>
      </w:r>
    </w:p>
    <w:p w14:paraId="4058AC43" w14:textId="77777777" w:rsidR="00232E78" w:rsidRPr="000C156A" w:rsidRDefault="00232E78" w:rsidP="00232E78">
      <w:pPr>
        <w:spacing w:before="100"/>
        <w:ind w:firstLineChars="200" w:firstLine="480"/>
        <w:rPr>
          <w:lang w:val="en-US" w:eastAsia="zh-CN"/>
        </w:rPr>
      </w:pPr>
      <w:r w:rsidRPr="000C156A">
        <w:rPr>
          <w:rFonts w:hint="eastAsia"/>
          <w:lang w:val="en-US" w:eastAsia="zh-CN"/>
        </w:rPr>
        <w:t>第</w:t>
      </w:r>
      <w:r w:rsidRPr="000C156A">
        <w:rPr>
          <w:lang w:val="en-US" w:eastAsia="zh-CN"/>
        </w:rPr>
        <w:t>2</w:t>
      </w:r>
      <w:r w:rsidRPr="000C156A">
        <w:rPr>
          <w:rFonts w:hint="eastAsia"/>
          <w:lang w:val="en-US" w:eastAsia="zh-CN"/>
        </w:rPr>
        <w:t>级：可直接或间接从资产或负债中看到的包含在第</w:t>
      </w:r>
      <w:r w:rsidRPr="000C156A">
        <w:rPr>
          <w:lang w:val="en-US" w:eastAsia="zh-CN"/>
        </w:rPr>
        <w:t>1</w:t>
      </w:r>
      <w:r w:rsidRPr="000C156A">
        <w:rPr>
          <w:rFonts w:hint="eastAsia"/>
          <w:lang w:val="en-US" w:eastAsia="zh-CN"/>
        </w:rPr>
        <w:t>级报价以外的输入；</w:t>
      </w:r>
    </w:p>
    <w:p w14:paraId="24D5608E" w14:textId="77777777" w:rsidR="00232E78" w:rsidRPr="000C156A" w:rsidRDefault="00232E78" w:rsidP="00232E78">
      <w:pPr>
        <w:spacing w:before="100"/>
        <w:ind w:firstLineChars="200" w:firstLine="480"/>
        <w:rPr>
          <w:lang w:val="en-US" w:eastAsia="zh-CN"/>
        </w:rPr>
      </w:pPr>
      <w:r w:rsidRPr="000C156A">
        <w:rPr>
          <w:rFonts w:hint="eastAsia"/>
          <w:lang w:val="en-US" w:eastAsia="zh-CN"/>
        </w:rPr>
        <w:t>第</w:t>
      </w:r>
      <w:r w:rsidRPr="000C156A">
        <w:rPr>
          <w:lang w:val="en-US" w:eastAsia="zh-CN"/>
        </w:rPr>
        <w:t>3</w:t>
      </w:r>
      <w:r w:rsidRPr="000C156A">
        <w:rPr>
          <w:rFonts w:hint="eastAsia"/>
          <w:lang w:val="en-US" w:eastAsia="zh-CN"/>
        </w:rPr>
        <w:t>级：使用输入的技巧，对记录的公允价值具有重大影响，不以观察到的市场数据为依据</w:t>
      </w:r>
      <w:bookmarkEnd w:id="314"/>
      <w:bookmarkEnd w:id="315"/>
      <w:r>
        <w:rPr>
          <w:rFonts w:hint="eastAsia"/>
          <w:lang w:val="en-US" w:eastAsia="zh-CN"/>
        </w:rPr>
        <w:t>。</w:t>
      </w:r>
    </w:p>
    <w:p w14:paraId="28E5F5BD" w14:textId="77777777" w:rsidR="00232E78" w:rsidRPr="00EC1C39" w:rsidRDefault="00232E78" w:rsidP="00232E78">
      <w:pPr>
        <w:ind w:firstLineChars="200" w:firstLine="480"/>
        <w:rPr>
          <w:lang w:val="en-US" w:eastAsia="zh-CN"/>
        </w:rPr>
      </w:pPr>
      <w:r w:rsidRPr="00EC1C39">
        <w:rPr>
          <w:rFonts w:hint="eastAsia"/>
          <w:lang w:val="en-US" w:eastAsia="zh-CN"/>
        </w:rPr>
        <w:t>截至</w:t>
      </w:r>
      <w:r w:rsidRPr="00EC1C39">
        <w:rPr>
          <w:rFonts w:hint="eastAsia"/>
          <w:lang w:val="en-US" w:eastAsia="zh-CN"/>
        </w:rPr>
        <w:t>2022</w:t>
      </w:r>
      <w:r w:rsidRPr="00EC1C39">
        <w:rPr>
          <w:rFonts w:hint="eastAsia"/>
          <w:lang w:val="en-US" w:eastAsia="zh-CN"/>
        </w:rPr>
        <w:t>年</w:t>
      </w:r>
      <w:r w:rsidRPr="00EC1C39">
        <w:rPr>
          <w:rFonts w:hint="eastAsia"/>
          <w:lang w:val="en-US" w:eastAsia="zh-CN"/>
        </w:rPr>
        <w:t>12</w:t>
      </w:r>
      <w:r w:rsidRPr="00EC1C39">
        <w:rPr>
          <w:rFonts w:hint="eastAsia"/>
          <w:lang w:val="en-US" w:eastAsia="zh-CN"/>
        </w:rPr>
        <w:t>月</w:t>
      </w:r>
      <w:r w:rsidRPr="00EC1C39">
        <w:rPr>
          <w:rFonts w:hint="eastAsia"/>
          <w:lang w:val="en-US" w:eastAsia="zh-CN"/>
        </w:rPr>
        <w:t>31</w:t>
      </w:r>
      <w:r w:rsidRPr="00EC1C39">
        <w:rPr>
          <w:rFonts w:hint="eastAsia"/>
          <w:lang w:val="en-US" w:eastAsia="zh-CN"/>
        </w:rPr>
        <w:t>日，所有投资（银行存款和短期银行投资）的公允价值因其短期性质而接近</w:t>
      </w:r>
      <w:r>
        <w:rPr>
          <w:rFonts w:hint="eastAsia"/>
          <w:lang w:val="en-US" w:eastAsia="zh-CN"/>
        </w:rPr>
        <w:t>于</w:t>
      </w:r>
      <w:r w:rsidRPr="00EC1C39">
        <w:rPr>
          <w:rFonts w:hint="eastAsia"/>
          <w:lang w:val="en-US" w:eastAsia="zh-CN"/>
        </w:rPr>
        <w:t>记录的账面金额。</w:t>
      </w:r>
    </w:p>
    <w:p w14:paraId="19111872" w14:textId="77777777" w:rsidR="00232E78" w:rsidRPr="00EC1C39" w:rsidRDefault="00232E78" w:rsidP="00232E78">
      <w:pPr>
        <w:ind w:firstLineChars="200" w:firstLine="480"/>
        <w:rPr>
          <w:lang w:val="en-US" w:eastAsia="zh-CN"/>
        </w:rPr>
      </w:pPr>
      <w:r>
        <w:rPr>
          <w:rFonts w:hint="eastAsia"/>
          <w:lang w:val="en-US" w:eastAsia="zh-CN"/>
        </w:rPr>
        <w:t>因</w:t>
      </w:r>
      <w:r w:rsidRPr="00EC1C39">
        <w:rPr>
          <w:rFonts w:hint="eastAsia"/>
          <w:lang w:val="en-US" w:eastAsia="zh-CN"/>
        </w:rPr>
        <w:t>其短期性质，供应商应付款、其他流动负债和自愿捐款的公允价值与其记录的账面金额相近。</w:t>
      </w:r>
    </w:p>
    <w:p w14:paraId="3FE39D83" w14:textId="77777777" w:rsidR="00232E78" w:rsidRPr="000C156A" w:rsidRDefault="00232E78" w:rsidP="00232E78">
      <w:pPr>
        <w:ind w:firstLineChars="200" w:firstLine="480"/>
        <w:rPr>
          <w:lang w:val="en-US" w:eastAsia="zh-CN"/>
        </w:rPr>
      </w:pPr>
      <w:r w:rsidRPr="00EC1C39">
        <w:rPr>
          <w:rFonts w:hint="eastAsia"/>
          <w:lang w:val="en-US" w:eastAsia="zh-CN"/>
        </w:rPr>
        <w:t>借款（贷款）按摊余成本入账。这是对</w:t>
      </w:r>
      <w:r>
        <w:rPr>
          <w:rFonts w:hint="eastAsia"/>
          <w:lang w:val="en-US" w:eastAsia="zh-CN"/>
        </w:rPr>
        <w:t>以往</w:t>
      </w:r>
      <w:r w:rsidRPr="00EC1C39">
        <w:rPr>
          <w:rFonts w:hint="eastAsia"/>
          <w:lang w:val="en-US" w:eastAsia="zh-CN"/>
        </w:rPr>
        <w:t>会计政策的更新，更多详情见注</w:t>
      </w:r>
      <w:r w:rsidRPr="00EC1C39">
        <w:rPr>
          <w:rFonts w:hint="eastAsia"/>
          <w:lang w:val="en-US" w:eastAsia="zh-CN"/>
        </w:rPr>
        <w:t>17</w:t>
      </w:r>
      <w:r w:rsidRPr="00EC1C39">
        <w:rPr>
          <w:rFonts w:hint="eastAsia"/>
          <w:lang w:val="en-US" w:eastAsia="zh-CN"/>
        </w:rPr>
        <w:t>。国际电联所有金融工具</w:t>
      </w:r>
      <w:r>
        <w:rPr>
          <w:rFonts w:hint="eastAsia"/>
          <w:lang w:val="en-US" w:eastAsia="zh-CN"/>
        </w:rPr>
        <w:t>均</w:t>
      </w:r>
      <w:r w:rsidRPr="00EC1C39">
        <w:rPr>
          <w:rFonts w:hint="eastAsia"/>
          <w:lang w:val="en-US" w:eastAsia="zh-CN"/>
        </w:rPr>
        <w:t>在公允价值体系的第</w:t>
      </w:r>
      <w:r>
        <w:rPr>
          <w:rFonts w:hint="eastAsia"/>
          <w:lang w:val="en-US" w:eastAsia="zh-CN"/>
        </w:rPr>
        <w:t>1</w:t>
      </w:r>
      <w:r w:rsidRPr="00EC1C39">
        <w:rPr>
          <w:rFonts w:hint="eastAsia"/>
          <w:lang w:val="en-US" w:eastAsia="zh-CN"/>
        </w:rPr>
        <w:t>级进行衡量。</w:t>
      </w:r>
    </w:p>
    <w:p w14:paraId="1A1E8B1A" w14:textId="77777777" w:rsidR="00232E78" w:rsidRPr="009F354A" w:rsidRDefault="00232E78" w:rsidP="00232E78">
      <w:pPr>
        <w:pStyle w:val="enumlev1"/>
        <w:rPr>
          <w:rFonts w:ascii="STKaiti" w:eastAsia="STKaiti" w:hAnsi="STKaiti"/>
          <w:lang w:val="en-US" w:eastAsia="zh-CN"/>
        </w:rPr>
      </w:pPr>
      <w:r w:rsidRPr="009F354A">
        <w:rPr>
          <w:rFonts w:asciiTheme="minorHAnsi" w:eastAsia="STKaiti" w:hAnsiTheme="minorHAnsi" w:cstheme="minorHAnsi"/>
          <w:i/>
          <w:iCs/>
          <w:lang w:val="en-US" w:eastAsia="zh-CN"/>
        </w:rPr>
        <w:t>a)</w:t>
      </w:r>
      <w:r w:rsidRPr="009F354A">
        <w:rPr>
          <w:rFonts w:ascii="STKaiti" w:eastAsia="STKaiti" w:hAnsi="STKaiti"/>
          <w:lang w:val="en-US" w:eastAsia="zh-CN"/>
        </w:rPr>
        <w:tab/>
      </w:r>
      <w:r w:rsidRPr="009F354A">
        <w:rPr>
          <w:rFonts w:ascii="STKaiti" w:eastAsia="STKaiti" w:hAnsi="STKaiti" w:hint="eastAsia"/>
          <w:lang w:val="en-US" w:eastAsia="zh-CN"/>
        </w:rPr>
        <w:t>信用风险</w:t>
      </w:r>
    </w:p>
    <w:p w14:paraId="20CB1620" w14:textId="77777777" w:rsidR="00232E78" w:rsidRDefault="00232E78" w:rsidP="00232E78">
      <w:pPr>
        <w:pStyle w:val="enumlev1"/>
        <w:spacing w:after="120"/>
        <w:rPr>
          <w:lang w:val="en-US" w:eastAsia="zh-CN"/>
        </w:rPr>
      </w:pPr>
      <w:r w:rsidRPr="000C156A">
        <w:rPr>
          <w:lang w:val="en-US" w:eastAsia="zh-CN"/>
        </w:rPr>
        <w:tab/>
      </w:r>
      <w:r w:rsidRPr="000C156A">
        <w:rPr>
          <w:rFonts w:hint="eastAsia"/>
          <w:lang w:val="en-US" w:eastAsia="zh-CN"/>
        </w:rPr>
        <w:t>信用风险是当国际电联客户或金融工具合作方未履行其合同义务时对国际电联造成的财务损失风险，它主要源于投资、应收款项以及现金和现金等价物。金融资产的账面金额代表最大信用风险。截至</w:t>
      </w:r>
      <w:r w:rsidRPr="000C156A">
        <w:rPr>
          <w:lang w:val="en-US" w:eastAsia="zh-CN"/>
        </w:rPr>
        <w:t>12</w:t>
      </w:r>
      <w:r w:rsidRPr="000C156A">
        <w:rPr>
          <w:rFonts w:hint="eastAsia"/>
          <w:lang w:val="en-US" w:eastAsia="zh-CN"/>
        </w:rPr>
        <w:t>月</w:t>
      </w:r>
      <w:r w:rsidRPr="000C156A">
        <w:rPr>
          <w:lang w:val="en-US" w:eastAsia="zh-CN"/>
        </w:rPr>
        <w:t>31</w:t>
      </w:r>
      <w:r w:rsidRPr="000C156A">
        <w:rPr>
          <w:rFonts w:hint="eastAsia"/>
          <w:lang w:val="en-US" w:eastAsia="zh-CN"/>
        </w:rPr>
        <w:t>日的最大信用风险包括：</w:t>
      </w:r>
    </w:p>
    <w:p w14:paraId="2A1C8D83" w14:textId="77777777" w:rsidR="00232E78" w:rsidRPr="000C156A" w:rsidRDefault="00232E78" w:rsidP="00D61EB2">
      <w:pPr>
        <w:pStyle w:val="Figure"/>
        <w:rPr>
          <w:lang w:val="en-US" w:eastAsia="zh-CN"/>
        </w:rPr>
      </w:pPr>
      <w:r w:rsidRPr="00E878BB">
        <w:rPr>
          <w:rFonts w:hint="eastAsia"/>
          <w:noProof/>
        </w:rPr>
        <w:lastRenderedPageBreak/>
        <w:drawing>
          <wp:inline distT="0" distB="0" distL="0" distR="0" wp14:anchorId="10ED12C6" wp14:editId="157C6C17">
            <wp:extent cx="4881245" cy="1906270"/>
            <wp:effectExtent l="0" t="0" r="5715" b="0"/>
            <wp:docPr id="97528118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81245" cy="1906270"/>
                    </a:xfrm>
                    <a:prstGeom prst="rect">
                      <a:avLst/>
                    </a:prstGeom>
                    <a:noFill/>
                    <a:ln>
                      <a:noFill/>
                    </a:ln>
                  </pic:spPr>
                </pic:pic>
              </a:graphicData>
            </a:graphic>
          </wp:inline>
        </w:drawing>
      </w:r>
    </w:p>
    <w:p w14:paraId="246DA3CC" w14:textId="77777777" w:rsidR="00232E78" w:rsidRPr="009F354A" w:rsidRDefault="00232E78" w:rsidP="00232E78">
      <w:pPr>
        <w:pStyle w:val="enumlev1"/>
        <w:rPr>
          <w:rFonts w:asciiTheme="minorHAnsi" w:eastAsia="STKaiti" w:hAnsiTheme="minorHAnsi" w:cstheme="minorHAnsi"/>
          <w:lang w:val="en-US" w:eastAsia="zh-CN"/>
        </w:rPr>
      </w:pPr>
      <w:r w:rsidRPr="009F354A">
        <w:rPr>
          <w:rFonts w:asciiTheme="minorHAnsi" w:eastAsia="STKaiti" w:hAnsiTheme="minorHAnsi" w:cstheme="minorHAnsi"/>
          <w:i/>
          <w:iCs/>
          <w:lang w:val="en-US" w:eastAsia="zh-CN"/>
        </w:rPr>
        <w:t>b)</w:t>
      </w:r>
      <w:r w:rsidRPr="009F354A">
        <w:rPr>
          <w:rFonts w:asciiTheme="minorHAnsi" w:eastAsia="STKaiti" w:hAnsiTheme="minorHAnsi" w:cstheme="minorHAnsi"/>
          <w:i/>
          <w:iCs/>
          <w:lang w:val="en-US" w:eastAsia="zh-CN"/>
        </w:rPr>
        <w:tab/>
      </w:r>
      <w:r w:rsidRPr="009F354A">
        <w:rPr>
          <w:rFonts w:asciiTheme="minorHAnsi" w:eastAsia="STKaiti" w:hAnsiTheme="minorHAnsi" w:cstheme="minorHAnsi" w:hint="eastAsia"/>
          <w:lang w:val="en-US" w:eastAsia="zh-CN"/>
        </w:rPr>
        <w:t>信用质量</w:t>
      </w:r>
    </w:p>
    <w:p w14:paraId="1D318E58" w14:textId="77777777" w:rsidR="00232E78" w:rsidRPr="000C156A" w:rsidRDefault="00232E78" w:rsidP="00232E78">
      <w:pPr>
        <w:pStyle w:val="enumlev1"/>
        <w:rPr>
          <w:lang w:val="en-US" w:eastAsia="zh-CN"/>
        </w:rPr>
      </w:pPr>
      <w:r w:rsidRPr="000C156A">
        <w:rPr>
          <w:lang w:val="en-US" w:eastAsia="zh-CN"/>
        </w:rPr>
        <w:tab/>
      </w:r>
      <w:r w:rsidRPr="000C156A">
        <w:rPr>
          <w:rFonts w:hint="eastAsia"/>
          <w:lang w:val="en-US" w:eastAsia="zh-CN"/>
        </w:rPr>
        <w:t>信用质量指国际电联信用延伸到的和所投资的各方被评定的违约风险。</w:t>
      </w:r>
      <w:r w:rsidRPr="00454BAF">
        <w:rPr>
          <w:rFonts w:hint="eastAsia"/>
          <w:lang w:val="en-US" w:eastAsia="zh-CN"/>
        </w:rPr>
        <w:t>国际电联目前正在审查</w:t>
      </w:r>
      <w:r>
        <w:rPr>
          <w:rFonts w:hint="eastAsia"/>
          <w:lang w:val="en-US" w:eastAsia="zh-CN"/>
        </w:rPr>
        <w:t>分摊会费</w:t>
      </w:r>
      <w:r w:rsidRPr="00454BAF">
        <w:rPr>
          <w:rFonts w:hint="eastAsia"/>
          <w:lang w:val="en-US" w:eastAsia="zh-CN"/>
        </w:rPr>
        <w:t>和其他来源的应收账款水平。人们对这些金额的账龄感到担忧，因此</w:t>
      </w:r>
      <w:r w:rsidRPr="00454BAF">
        <w:rPr>
          <w:rFonts w:hint="eastAsia"/>
          <w:lang w:val="en-US" w:eastAsia="zh-CN"/>
        </w:rPr>
        <w:t>2023</w:t>
      </w:r>
      <w:r w:rsidRPr="00454BAF">
        <w:rPr>
          <w:rFonts w:hint="eastAsia"/>
          <w:lang w:val="en-US" w:eastAsia="zh-CN"/>
        </w:rPr>
        <w:t>年注销了</w:t>
      </w:r>
      <w:r w:rsidRPr="00FD6C6F">
        <w:rPr>
          <w:rFonts w:hint="eastAsia"/>
          <w:lang w:val="en-US" w:eastAsia="zh-CN"/>
        </w:rPr>
        <w:t>29</w:t>
      </w:r>
      <w:r>
        <w:rPr>
          <w:lang w:val="en-US" w:eastAsia="zh-CN"/>
        </w:rPr>
        <w:t>0</w:t>
      </w:r>
      <w:r>
        <w:rPr>
          <w:rFonts w:hint="eastAsia"/>
          <w:lang w:val="en-US" w:eastAsia="zh-CN"/>
        </w:rPr>
        <w:t>万</w:t>
      </w:r>
      <w:r w:rsidRPr="00FD6C6F">
        <w:rPr>
          <w:rFonts w:hint="eastAsia"/>
          <w:lang w:val="en-US" w:eastAsia="zh-CN"/>
        </w:rPr>
        <w:t>瑞郎</w:t>
      </w:r>
      <w:r w:rsidRPr="00454BAF">
        <w:rPr>
          <w:rFonts w:hint="eastAsia"/>
          <w:lang w:val="en-US" w:eastAsia="zh-CN"/>
        </w:rPr>
        <w:t>。</w:t>
      </w:r>
      <w:r>
        <w:rPr>
          <w:rFonts w:hint="eastAsia"/>
          <w:lang w:val="en-US" w:eastAsia="zh-CN"/>
        </w:rPr>
        <w:t>通过</w:t>
      </w:r>
      <w:r w:rsidRPr="00454BAF">
        <w:rPr>
          <w:rFonts w:hint="eastAsia"/>
          <w:lang w:val="en-US" w:eastAsia="zh-CN"/>
        </w:rPr>
        <w:t>进一步努力</w:t>
      </w:r>
      <w:r>
        <w:rPr>
          <w:rFonts w:hint="eastAsia"/>
          <w:lang w:val="en-US" w:eastAsia="zh-CN"/>
        </w:rPr>
        <w:t>，</w:t>
      </w:r>
      <w:r w:rsidRPr="00454BAF">
        <w:rPr>
          <w:rFonts w:hint="eastAsia"/>
          <w:lang w:val="en-US" w:eastAsia="zh-CN"/>
        </w:rPr>
        <w:t>确保国际电联今后</w:t>
      </w:r>
      <w:r>
        <w:rPr>
          <w:rFonts w:hint="eastAsia"/>
          <w:lang w:val="en-US" w:eastAsia="zh-CN"/>
        </w:rPr>
        <w:t>将</w:t>
      </w:r>
      <w:r w:rsidRPr="00454BAF">
        <w:rPr>
          <w:rFonts w:hint="eastAsia"/>
          <w:lang w:val="en-US" w:eastAsia="zh-CN"/>
        </w:rPr>
        <w:t>及时收取应收账款。</w:t>
      </w:r>
    </w:p>
    <w:p w14:paraId="112E9984" w14:textId="77777777" w:rsidR="00232E78" w:rsidRPr="000C156A" w:rsidRDefault="00232E78" w:rsidP="00232E78">
      <w:pPr>
        <w:pStyle w:val="enumlev1"/>
        <w:rPr>
          <w:lang w:val="en-US" w:eastAsia="zh-CN"/>
        </w:rPr>
      </w:pPr>
      <w:r w:rsidRPr="000C156A">
        <w:rPr>
          <w:lang w:val="en-US" w:eastAsia="zh-CN"/>
        </w:rPr>
        <w:tab/>
      </w:r>
      <w:r w:rsidRPr="000C156A">
        <w:rPr>
          <w:rFonts w:hint="eastAsia"/>
          <w:lang w:eastAsia="zh-CN"/>
        </w:rPr>
        <w:t>采用发送季度报表和暂停对国际电联工作的参与等措施</w:t>
      </w:r>
      <w:r>
        <w:rPr>
          <w:rFonts w:hint="eastAsia"/>
          <w:lang w:eastAsia="zh-CN"/>
        </w:rPr>
        <w:t>，</w:t>
      </w:r>
      <w:r w:rsidRPr="000C156A">
        <w:rPr>
          <w:rFonts w:hint="eastAsia"/>
          <w:lang w:eastAsia="zh-CN"/>
        </w:rPr>
        <w:t>旨在确保成员国、部门成员和部门准成员付清欠款。此外，为鼓励成员国及时付清欠款，对其采取了丧失表决权的措施。</w:t>
      </w:r>
    </w:p>
    <w:p w14:paraId="43C424BC" w14:textId="77777777" w:rsidR="00232E78" w:rsidRPr="000C156A" w:rsidRDefault="00232E78" w:rsidP="00232E78">
      <w:pPr>
        <w:pStyle w:val="enumlev1"/>
        <w:rPr>
          <w:lang w:val="en-US" w:eastAsia="zh-CN"/>
        </w:rPr>
      </w:pPr>
      <w:r w:rsidRPr="000C156A">
        <w:rPr>
          <w:lang w:val="en-US" w:eastAsia="zh-CN"/>
        </w:rPr>
        <w:tab/>
      </w:r>
      <w:r w:rsidRPr="000C156A">
        <w:rPr>
          <w:rFonts w:hint="eastAsia"/>
          <w:lang w:val="en-US" w:eastAsia="zh-CN"/>
        </w:rPr>
        <w:t>国际电联通过将现金和现金等价物以及投资分散在若干信用评级较高的金融机构缓解信用风险。根据《财务规则和财务细则》第</w:t>
      </w:r>
      <w:r w:rsidRPr="000C156A">
        <w:rPr>
          <w:lang w:val="en-US" w:eastAsia="zh-CN"/>
        </w:rPr>
        <w:t>16</w:t>
      </w:r>
      <w:r w:rsidRPr="000C156A">
        <w:rPr>
          <w:rFonts w:hint="eastAsia"/>
          <w:lang w:val="en-US" w:eastAsia="zh-CN"/>
        </w:rPr>
        <w:t>条，由</w:t>
      </w:r>
      <w:r w:rsidRPr="000C156A">
        <w:rPr>
          <w:rFonts w:hint="eastAsia"/>
          <w:lang w:eastAsia="zh-CN"/>
        </w:rPr>
        <w:t>秘书长选择国际电联存放资金的银行或其它机构。为此，秘书长须确保所做投资首先侧重最大限度地降低本金的风险，同时为满足国际电联对现金流的需求，保障资金的流动性。国际电联不在信用评级低于</w:t>
      </w:r>
      <w:r w:rsidRPr="000C156A">
        <w:rPr>
          <w:lang w:val="en-US" w:eastAsia="zh-CN"/>
        </w:rPr>
        <w:t>A3</w:t>
      </w:r>
      <w:r w:rsidRPr="000C156A">
        <w:rPr>
          <w:rFonts w:hint="eastAsia"/>
          <w:lang w:val="en-US" w:eastAsia="zh-CN"/>
        </w:rPr>
        <w:t>的银行存放资金。</w:t>
      </w:r>
    </w:p>
    <w:p w14:paraId="56C21A96" w14:textId="77777777" w:rsidR="00232E78" w:rsidRPr="000C156A" w:rsidRDefault="00232E78" w:rsidP="00232E78">
      <w:pPr>
        <w:pStyle w:val="enumlev1"/>
        <w:rPr>
          <w:lang w:val="en-US" w:eastAsia="zh-CN"/>
        </w:rPr>
      </w:pPr>
      <w:r w:rsidRPr="000C156A">
        <w:rPr>
          <w:lang w:val="en-US" w:eastAsia="zh-CN"/>
        </w:rPr>
        <w:tab/>
      </w:r>
      <w:r w:rsidRPr="000C156A">
        <w:rPr>
          <w:rFonts w:hint="eastAsia"/>
          <w:lang w:eastAsia="zh-CN"/>
        </w:rPr>
        <w:t>除这些标准外，所进行的投资须实现合理的最高回报率，并符合联合国的相关原则。</w:t>
      </w:r>
    </w:p>
    <w:p w14:paraId="6F82C19C" w14:textId="77777777" w:rsidR="00232E78" w:rsidRPr="000C156A" w:rsidRDefault="00232E78" w:rsidP="00232E78">
      <w:pPr>
        <w:pStyle w:val="enumlev1"/>
        <w:rPr>
          <w:lang w:val="en-US" w:eastAsia="zh-CN"/>
        </w:rPr>
      </w:pPr>
      <w:r w:rsidRPr="000C156A">
        <w:rPr>
          <w:lang w:val="en-US" w:eastAsia="zh-CN"/>
        </w:rPr>
        <w:tab/>
      </w:r>
      <w:r w:rsidRPr="000C156A">
        <w:rPr>
          <w:rFonts w:hint="eastAsia"/>
          <w:lang w:eastAsia="zh-CN"/>
        </w:rPr>
        <w:t>秘书长须指定保管国际电联资金的银行，设立国际电联所需的所有银行账户，并指定相应官员，授予其操作这些账户的签字权。秘书长还须授权进行所有银行账户的结</w:t>
      </w:r>
      <w:r>
        <w:rPr>
          <w:rFonts w:hint="eastAsia"/>
          <w:lang w:eastAsia="zh-CN"/>
        </w:rPr>
        <w:t>账</w:t>
      </w:r>
      <w:r w:rsidRPr="000C156A">
        <w:rPr>
          <w:rFonts w:hint="eastAsia"/>
          <w:lang w:eastAsia="zh-CN"/>
        </w:rPr>
        <w:t>。</w:t>
      </w:r>
    </w:p>
    <w:p w14:paraId="064A64B4" w14:textId="77777777" w:rsidR="00232E78" w:rsidRPr="009F354A" w:rsidRDefault="00232E78" w:rsidP="00232E78">
      <w:pPr>
        <w:pStyle w:val="enumlev1"/>
        <w:rPr>
          <w:rFonts w:asciiTheme="minorHAnsi" w:eastAsia="STKaiti" w:hAnsiTheme="minorHAnsi" w:cstheme="minorHAnsi"/>
          <w:lang w:val="en-US" w:eastAsia="zh-CN"/>
        </w:rPr>
      </w:pPr>
      <w:r w:rsidRPr="009F354A">
        <w:rPr>
          <w:rFonts w:asciiTheme="minorHAnsi" w:eastAsia="STKaiti" w:hAnsiTheme="minorHAnsi" w:cstheme="minorHAnsi"/>
          <w:i/>
          <w:iCs/>
          <w:lang w:val="en-US" w:eastAsia="zh-CN"/>
        </w:rPr>
        <w:t>c)</w:t>
      </w:r>
      <w:r w:rsidRPr="009F354A">
        <w:rPr>
          <w:rFonts w:asciiTheme="minorHAnsi" w:eastAsia="STKaiti" w:hAnsiTheme="minorHAnsi" w:cstheme="minorHAnsi"/>
          <w:lang w:val="en-US" w:eastAsia="zh-CN"/>
        </w:rPr>
        <w:tab/>
      </w:r>
      <w:r w:rsidRPr="009F354A">
        <w:rPr>
          <w:rFonts w:asciiTheme="minorHAnsi" w:eastAsia="STKaiti" w:hAnsiTheme="minorHAnsi" w:cstheme="minorHAnsi" w:hint="eastAsia"/>
          <w:lang w:val="en-US" w:eastAsia="zh-CN"/>
        </w:rPr>
        <w:t>利率风险</w:t>
      </w:r>
    </w:p>
    <w:p w14:paraId="6F05F793" w14:textId="77777777" w:rsidR="00232E78" w:rsidRDefault="00232E78" w:rsidP="00232E78">
      <w:pPr>
        <w:pStyle w:val="enumlev1"/>
        <w:rPr>
          <w:lang w:val="en-US" w:eastAsia="zh-CN"/>
        </w:rPr>
      </w:pPr>
      <w:r w:rsidRPr="000C156A">
        <w:rPr>
          <w:lang w:val="en-US" w:eastAsia="zh-CN"/>
        </w:rPr>
        <w:tab/>
      </w:r>
      <w:r w:rsidRPr="000C156A">
        <w:rPr>
          <w:rFonts w:hint="eastAsia"/>
          <w:lang w:val="en-US" w:eastAsia="zh-CN"/>
        </w:rPr>
        <w:t>国际电联的短期投资面临利率风险。</w:t>
      </w:r>
      <w:r w:rsidRPr="000C156A">
        <w:rPr>
          <w:rFonts w:hint="eastAsia"/>
          <w:lang w:val="en-US" w:eastAsia="zh-CN"/>
        </w:rPr>
        <w:t>2015</w:t>
      </w:r>
      <w:r w:rsidRPr="000C156A">
        <w:rPr>
          <w:rFonts w:hint="eastAsia"/>
          <w:lang w:val="en-US" w:eastAsia="zh-CN"/>
        </w:rPr>
        <w:t>年采用</w:t>
      </w:r>
      <w:r>
        <w:rPr>
          <w:rFonts w:hint="eastAsia"/>
          <w:lang w:val="en-US" w:eastAsia="zh-CN"/>
        </w:rPr>
        <w:t>的</w:t>
      </w:r>
      <w:r w:rsidRPr="000C156A">
        <w:rPr>
          <w:rFonts w:hint="eastAsia"/>
          <w:lang w:val="en-US" w:eastAsia="zh-CN"/>
        </w:rPr>
        <w:t>负利率</w:t>
      </w:r>
      <w:r>
        <w:rPr>
          <w:rFonts w:hint="eastAsia"/>
          <w:lang w:val="en-US" w:eastAsia="zh-CN"/>
        </w:rPr>
        <w:t>于</w:t>
      </w:r>
      <w:r>
        <w:rPr>
          <w:rFonts w:hint="eastAsia"/>
          <w:lang w:val="en-US" w:eastAsia="zh-CN"/>
        </w:rPr>
        <w:t>2</w:t>
      </w:r>
      <w:r>
        <w:rPr>
          <w:lang w:val="en-US" w:eastAsia="zh-CN"/>
        </w:rPr>
        <w:t>022</w:t>
      </w:r>
      <w:r>
        <w:rPr>
          <w:rFonts w:hint="eastAsia"/>
          <w:lang w:val="en-US" w:eastAsia="zh-CN"/>
        </w:rPr>
        <w:t>年</w:t>
      </w:r>
      <w:r>
        <w:rPr>
          <w:rFonts w:hint="eastAsia"/>
          <w:lang w:val="en-US" w:eastAsia="zh-CN"/>
        </w:rPr>
        <w:t>9</w:t>
      </w:r>
      <w:r>
        <w:rPr>
          <w:rFonts w:hint="eastAsia"/>
          <w:lang w:val="en-US" w:eastAsia="zh-CN"/>
        </w:rPr>
        <w:t>月中止。</w:t>
      </w:r>
    </w:p>
    <w:p w14:paraId="52F7A65B" w14:textId="77777777" w:rsidR="00232E78" w:rsidRPr="000C156A" w:rsidRDefault="00232E78" w:rsidP="00232E78">
      <w:pPr>
        <w:pStyle w:val="enumlev1"/>
        <w:rPr>
          <w:lang w:val="en-US" w:eastAsia="zh-CN"/>
        </w:rPr>
      </w:pPr>
      <w:r>
        <w:rPr>
          <w:lang w:val="en-US" w:eastAsia="zh-CN"/>
        </w:rPr>
        <w:tab/>
      </w:r>
      <w:r w:rsidRPr="00A0595D">
        <w:rPr>
          <w:rFonts w:hint="eastAsia"/>
          <w:lang w:val="en-US" w:eastAsia="zh-CN"/>
        </w:rPr>
        <w:t>在</w:t>
      </w:r>
      <w:r w:rsidRPr="00A0595D">
        <w:rPr>
          <w:rFonts w:hint="eastAsia"/>
          <w:lang w:val="en-US" w:eastAsia="zh-CN"/>
        </w:rPr>
        <w:t>2022</w:t>
      </w:r>
      <w:r w:rsidRPr="00A0595D">
        <w:rPr>
          <w:rFonts w:hint="eastAsia"/>
          <w:lang w:val="en-US" w:eastAsia="zh-CN"/>
        </w:rPr>
        <w:t>年，我们还注意到美元短期存款利率提高。这一增长加上新存款产品的使用</w:t>
      </w:r>
      <w:r>
        <w:rPr>
          <w:rFonts w:hint="eastAsia"/>
          <w:lang w:val="en-US" w:eastAsia="zh-CN"/>
        </w:rPr>
        <w:t>，</w:t>
      </w:r>
      <w:r w:rsidRPr="00A0595D">
        <w:rPr>
          <w:rFonts w:hint="eastAsia"/>
          <w:lang w:val="en-US" w:eastAsia="zh-CN"/>
        </w:rPr>
        <w:t>使</w:t>
      </w:r>
      <w:r>
        <w:rPr>
          <w:rFonts w:hint="eastAsia"/>
          <w:lang w:val="en-US" w:eastAsia="zh-CN"/>
        </w:rPr>
        <w:t>国际电联</w:t>
      </w:r>
      <w:r w:rsidRPr="00A0595D">
        <w:rPr>
          <w:rFonts w:hint="eastAsia"/>
          <w:lang w:val="en-US" w:eastAsia="zh-CN"/>
        </w:rPr>
        <w:t>产生了</w:t>
      </w:r>
      <w:r w:rsidRPr="00A0595D">
        <w:rPr>
          <w:rFonts w:hint="eastAsia"/>
          <w:lang w:val="en-US" w:eastAsia="zh-CN"/>
        </w:rPr>
        <w:t>150</w:t>
      </w:r>
      <w:r w:rsidRPr="00A0595D">
        <w:rPr>
          <w:rFonts w:hint="eastAsia"/>
          <w:lang w:val="en-US" w:eastAsia="zh-CN"/>
        </w:rPr>
        <w:t>万瑞郎的利息</w:t>
      </w:r>
      <w:r>
        <w:rPr>
          <w:rFonts w:hint="eastAsia"/>
          <w:lang w:val="en-US" w:eastAsia="zh-CN"/>
        </w:rPr>
        <w:t>收入</w:t>
      </w:r>
      <w:r w:rsidRPr="00A0595D">
        <w:rPr>
          <w:rFonts w:hint="eastAsia"/>
          <w:lang w:val="en-US" w:eastAsia="zh-CN"/>
        </w:rPr>
        <w:t>（</w:t>
      </w:r>
      <w:r w:rsidRPr="00A0595D">
        <w:rPr>
          <w:rFonts w:hint="eastAsia"/>
          <w:lang w:val="en-US" w:eastAsia="zh-CN"/>
        </w:rPr>
        <w:t>2021</w:t>
      </w:r>
      <w:r w:rsidRPr="00A0595D">
        <w:rPr>
          <w:rFonts w:hint="eastAsia"/>
          <w:lang w:val="en-US" w:eastAsia="zh-CN"/>
        </w:rPr>
        <w:t>年为</w:t>
      </w:r>
      <w:r w:rsidRPr="00A0595D">
        <w:rPr>
          <w:rFonts w:hint="eastAsia"/>
          <w:lang w:val="en-US" w:eastAsia="zh-CN"/>
        </w:rPr>
        <w:t>241</w:t>
      </w:r>
      <w:r>
        <w:rPr>
          <w:lang w:val="en-US" w:eastAsia="zh-CN"/>
        </w:rPr>
        <w:t xml:space="preserve"> </w:t>
      </w:r>
      <w:r w:rsidRPr="00A0595D">
        <w:rPr>
          <w:rFonts w:hint="eastAsia"/>
          <w:lang w:val="en-US" w:eastAsia="zh-CN"/>
        </w:rPr>
        <w:t>000</w:t>
      </w:r>
      <w:r w:rsidRPr="00A0595D">
        <w:rPr>
          <w:rFonts w:hint="eastAsia"/>
          <w:lang w:val="en-US" w:eastAsia="zh-CN"/>
        </w:rPr>
        <w:t>瑞郎）。</w:t>
      </w:r>
    </w:p>
    <w:p w14:paraId="01B5D6E4" w14:textId="77777777" w:rsidR="00232E78" w:rsidRPr="000C156A" w:rsidRDefault="00232E78" w:rsidP="00232E78">
      <w:pPr>
        <w:pStyle w:val="enumlev1"/>
        <w:rPr>
          <w:lang w:val="en-US" w:eastAsia="zh-CN"/>
        </w:rPr>
      </w:pPr>
      <w:r w:rsidRPr="000C156A">
        <w:rPr>
          <w:lang w:val="en-US" w:eastAsia="zh-CN"/>
        </w:rPr>
        <w:tab/>
      </w:r>
      <w:r w:rsidRPr="00A0595D">
        <w:rPr>
          <w:rFonts w:hint="eastAsia"/>
          <w:lang w:val="en-US" w:eastAsia="zh-CN"/>
        </w:rPr>
        <w:t>国际电联的现金</w:t>
      </w:r>
      <w:r w:rsidRPr="00A0595D">
        <w:rPr>
          <w:rFonts w:hint="eastAsia"/>
          <w:lang w:val="en-US" w:eastAsia="zh-CN"/>
        </w:rPr>
        <w:t>/</w:t>
      </w:r>
      <w:r w:rsidRPr="00A0595D">
        <w:rPr>
          <w:rFonts w:hint="eastAsia"/>
          <w:lang w:val="en-US" w:eastAsia="zh-CN"/>
        </w:rPr>
        <w:t>现金等价物和投资（短期存款）仍然安全，因为</w:t>
      </w:r>
      <w:r>
        <w:rPr>
          <w:rFonts w:hint="eastAsia"/>
          <w:lang w:val="en-US" w:eastAsia="zh-CN"/>
        </w:rPr>
        <w:t>其</w:t>
      </w:r>
      <w:r w:rsidRPr="00A0595D">
        <w:rPr>
          <w:rFonts w:hint="eastAsia"/>
          <w:lang w:val="en-US" w:eastAsia="zh-CN"/>
        </w:rPr>
        <w:t>持有旨在保护本金的高质量资产。</w:t>
      </w:r>
    </w:p>
    <w:p w14:paraId="38019689" w14:textId="77777777" w:rsidR="00232E78" w:rsidRPr="00F70D27" w:rsidRDefault="00232E78" w:rsidP="00232E78">
      <w:pPr>
        <w:pStyle w:val="enumlev1"/>
        <w:rPr>
          <w:rFonts w:asciiTheme="minorHAnsi" w:eastAsia="STKaiti" w:hAnsiTheme="minorHAnsi" w:cstheme="minorHAnsi"/>
          <w:lang w:val="en-US" w:eastAsia="zh-CN"/>
        </w:rPr>
      </w:pPr>
      <w:r w:rsidRPr="00F70D27">
        <w:rPr>
          <w:rFonts w:asciiTheme="minorHAnsi" w:eastAsia="STKaiti" w:hAnsiTheme="minorHAnsi" w:cstheme="minorHAnsi"/>
          <w:i/>
          <w:iCs/>
          <w:lang w:val="en-US" w:eastAsia="zh-CN"/>
        </w:rPr>
        <w:t>d)</w:t>
      </w:r>
      <w:r w:rsidRPr="00F70D27">
        <w:rPr>
          <w:rFonts w:asciiTheme="minorHAnsi" w:eastAsia="STKaiti" w:hAnsiTheme="minorHAnsi" w:cstheme="minorHAnsi"/>
          <w:i/>
          <w:iCs/>
          <w:lang w:val="en-US" w:eastAsia="zh-CN"/>
        </w:rPr>
        <w:tab/>
      </w:r>
      <w:r w:rsidRPr="00F70D27">
        <w:rPr>
          <w:rFonts w:asciiTheme="minorHAnsi" w:eastAsia="STKaiti" w:hAnsiTheme="minorHAnsi" w:cstheme="minorHAnsi" w:hint="eastAsia"/>
          <w:lang w:val="en-US" w:eastAsia="zh-CN"/>
        </w:rPr>
        <w:t>流动性风险</w:t>
      </w:r>
    </w:p>
    <w:p w14:paraId="2FF8D7F8" w14:textId="77777777" w:rsidR="00232E78" w:rsidRPr="000C156A" w:rsidRDefault="00232E78" w:rsidP="00232E78">
      <w:pPr>
        <w:pStyle w:val="enumlev1"/>
        <w:rPr>
          <w:lang w:val="en-US" w:eastAsia="zh-CN"/>
        </w:rPr>
      </w:pPr>
      <w:r w:rsidRPr="000C156A">
        <w:rPr>
          <w:lang w:val="en-US" w:eastAsia="zh-CN"/>
        </w:rPr>
        <w:tab/>
      </w:r>
      <w:r w:rsidRPr="000C156A">
        <w:rPr>
          <w:rFonts w:hint="eastAsia"/>
          <w:lang w:val="en-US" w:eastAsia="zh-CN"/>
        </w:rPr>
        <w:t>流动性风险指国际电联无法按期履行承付款项的风险。国际电联管理流动性风险的方式是确保为偿还到期债务提供充足的流动性。国际电联采用现金流预测手段，确保现金充足，能够满足预期运行费用的需求。</w:t>
      </w:r>
    </w:p>
    <w:p w14:paraId="78821989" w14:textId="77777777" w:rsidR="00232E78" w:rsidRPr="000C156A" w:rsidRDefault="00232E78" w:rsidP="00232E78">
      <w:pPr>
        <w:pStyle w:val="enumlev1"/>
        <w:rPr>
          <w:lang w:val="en-US" w:eastAsia="zh-CN"/>
        </w:rPr>
      </w:pPr>
      <w:r w:rsidRPr="000C156A">
        <w:rPr>
          <w:lang w:val="en-US" w:eastAsia="zh-CN"/>
        </w:rPr>
        <w:tab/>
      </w:r>
      <w:r w:rsidRPr="000C156A">
        <w:rPr>
          <w:rFonts w:hint="eastAsia"/>
          <w:lang w:val="en-US" w:eastAsia="zh-CN"/>
        </w:rPr>
        <w:t>管理国际电联资本的主要目的是确保以充足的现金满足国际电联的资金需求，包括资本支出，从而保证国际电联保持良好的财政状况。</w:t>
      </w:r>
    </w:p>
    <w:p w14:paraId="321A91CF" w14:textId="77777777" w:rsidR="00232E78" w:rsidRPr="00F70D27" w:rsidRDefault="00232E78" w:rsidP="00232E78">
      <w:pPr>
        <w:pStyle w:val="enumlev1"/>
        <w:rPr>
          <w:rFonts w:asciiTheme="minorHAnsi" w:eastAsia="STKaiti" w:hAnsiTheme="minorHAnsi" w:cstheme="minorHAnsi"/>
          <w:lang w:val="en-US" w:eastAsia="zh-CN"/>
        </w:rPr>
      </w:pPr>
      <w:r w:rsidRPr="00F70D27">
        <w:rPr>
          <w:rFonts w:asciiTheme="minorHAnsi" w:eastAsia="STKaiti" w:hAnsiTheme="minorHAnsi" w:cstheme="minorHAnsi"/>
          <w:i/>
          <w:iCs/>
          <w:lang w:val="en-US" w:eastAsia="zh-CN"/>
        </w:rPr>
        <w:t>e)</w:t>
      </w:r>
      <w:r w:rsidRPr="00F70D27">
        <w:rPr>
          <w:rFonts w:asciiTheme="minorHAnsi" w:eastAsia="STKaiti" w:hAnsiTheme="minorHAnsi" w:cstheme="minorHAnsi"/>
          <w:lang w:val="en-US" w:eastAsia="zh-CN"/>
        </w:rPr>
        <w:tab/>
      </w:r>
      <w:r w:rsidRPr="00F70D27">
        <w:rPr>
          <w:rFonts w:asciiTheme="minorHAnsi" w:eastAsia="STKaiti" w:hAnsiTheme="minorHAnsi" w:cstheme="minorHAnsi" w:hint="eastAsia"/>
          <w:lang w:val="en-US" w:eastAsia="zh-CN"/>
        </w:rPr>
        <w:t>货币风险</w:t>
      </w:r>
    </w:p>
    <w:p w14:paraId="4058818C" w14:textId="77777777" w:rsidR="00232E78" w:rsidRPr="000C156A" w:rsidRDefault="00232E78" w:rsidP="00232E78">
      <w:pPr>
        <w:pStyle w:val="enumlev1"/>
        <w:rPr>
          <w:lang w:val="en-US" w:eastAsia="zh-CN"/>
        </w:rPr>
      </w:pPr>
      <w:r w:rsidRPr="000C156A">
        <w:rPr>
          <w:lang w:val="en-US" w:eastAsia="zh-CN"/>
        </w:rPr>
        <w:lastRenderedPageBreak/>
        <w:tab/>
      </w:r>
      <w:r w:rsidRPr="000C156A">
        <w:rPr>
          <w:rFonts w:hint="eastAsia"/>
          <w:lang w:val="en-US" w:eastAsia="zh-CN"/>
        </w:rPr>
        <w:t>国际电联收到的部分成员和正常预算会费按照瑞郎计算，预算外捐款则以瑞郎以外的其它货币计算。国际电联不依赖定期兑换合同、远期、掉期或现金方案对冲以实现或未实现的外汇损益。可能时，通过直接向相关银行账目分配必要的货币进行自然对冲。</w:t>
      </w:r>
    </w:p>
    <w:p w14:paraId="1E6EBF6A" w14:textId="77777777" w:rsidR="00232E78" w:rsidRPr="000C156A" w:rsidRDefault="00232E78" w:rsidP="00232E78">
      <w:pPr>
        <w:pStyle w:val="enumlev1"/>
        <w:rPr>
          <w:lang w:val="en-US" w:eastAsia="zh-CN"/>
        </w:rPr>
      </w:pPr>
      <w:r w:rsidRPr="000C156A">
        <w:rPr>
          <w:lang w:val="en-US" w:eastAsia="zh-CN"/>
        </w:rPr>
        <w:tab/>
      </w:r>
      <w:r w:rsidRPr="000C156A">
        <w:rPr>
          <w:rFonts w:hint="eastAsia"/>
          <w:lang w:val="en-US" w:eastAsia="zh-CN"/>
        </w:rPr>
        <w:t>应注意的是，新的健康保险方案是用瑞郎管理的，因而大大降低了汇率浮动风险。然而，国际电联仍因使用美元向</w:t>
      </w:r>
      <w:r w:rsidRPr="000C156A">
        <w:rPr>
          <w:lang w:val="en-US" w:eastAsia="zh-CN"/>
        </w:rPr>
        <w:t>UNJSPF</w:t>
      </w:r>
      <w:r w:rsidRPr="000C156A">
        <w:rPr>
          <w:rFonts w:hint="eastAsia"/>
          <w:lang w:val="en-US" w:eastAsia="zh-CN"/>
        </w:rPr>
        <w:t>缴费而面临外汇损益风险。但是，专业类职员的缴费是以美元计算的，而一般事务类职员是用瑞郎计算的。两类职员数量相当，兑换率浮动风险自行抵销。</w:t>
      </w:r>
    </w:p>
    <w:p w14:paraId="19B1FA09" w14:textId="77777777" w:rsidR="00232E78" w:rsidRDefault="00232E78" w:rsidP="00232E78">
      <w:pPr>
        <w:pStyle w:val="enumlev1"/>
        <w:rPr>
          <w:lang w:val="en-US" w:eastAsia="zh-CN"/>
        </w:rPr>
      </w:pPr>
      <w:r w:rsidRPr="000C156A">
        <w:rPr>
          <w:lang w:val="en-US" w:eastAsia="zh-CN"/>
        </w:rPr>
        <w:tab/>
      </w:r>
      <w:r w:rsidRPr="000C156A">
        <w:rPr>
          <w:rFonts w:hint="eastAsia"/>
          <w:lang w:val="en-US" w:eastAsia="zh-CN"/>
        </w:rPr>
        <w:t>预算外缴费采用会费货币管理并为方便列报转换为瑞郎。</w:t>
      </w:r>
      <w:r w:rsidRPr="00A0595D">
        <w:rPr>
          <w:rFonts w:hint="eastAsia"/>
          <w:lang w:val="en-US" w:eastAsia="zh-CN"/>
        </w:rPr>
        <w:t>下表列出了</w:t>
      </w:r>
      <w:r>
        <w:rPr>
          <w:rFonts w:hint="eastAsia"/>
          <w:lang w:val="en-US" w:eastAsia="zh-CN"/>
        </w:rPr>
        <w:t>国际电联在银行</w:t>
      </w:r>
      <w:r w:rsidRPr="00A0595D">
        <w:rPr>
          <w:rFonts w:hint="eastAsia"/>
          <w:lang w:val="en-US" w:eastAsia="zh-CN"/>
        </w:rPr>
        <w:t>持有的主要外币金额，包括欧元和美元。</w:t>
      </w:r>
    </w:p>
    <w:p w14:paraId="5BD1EB68" w14:textId="77777777" w:rsidR="00232E78" w:rsidRDefault="00232E78" w:rsidP="00E40C8A">
      <w:pPr>
        <w:pStyle w:val="Figure"/>
        <w:ind w:left="616"/>
        <w:rPr>
          <w:lang w:val="en-US" w:eastAsia="zh-CN"/>
        </w:rPr>
      </w:pPr>
      <w:r w:rsidRPr="00D87120">
        <w:rPr>
          <w:rFonts w:hint="eastAsia"/>
          <w:noProof/>
        </w:rPr>
        <w:drawing>
          <wp:inline distT="0" distB="0" distL="0" distR="0" wp14:anchorId="046C50E9" wp14:editId="6814CF69">
            <wp:extent cx="5151755" cy="2105660"/>
            <wp:effectExtent l="0" t="0" r="0" b="8890"/>
            <wp:docPr id="16719986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51755" cy="2105660"/>
                    </a:xfrm>
                    <a:prstGeom prst="rect">
                      <a:avLst/>
                    </a:prstGeom>
                    <a:noFill/>
                    <a:ln>
                      <a:noFill/>
                    </a:ln>
                  </pic:spPr>
                </pic:pic>
              </a:graphicData>
            </a:graphic>
          </wp:inline>
        </w:drawing>
      </w:r>
    </w:p>
    <w:p w14:paraId="1F40E134" w14:textId="77777777" w:rsidR="00232E78" w:rsidRPr="00026301" w:rsidRDefault="00232E78" w:rsidP="00232E78">
      <w:pPr>
        <w:pStyle w:val="enumlev1"/>
        <w:rPr>
          <w:rFonts w:asciiTheme="minorHAnsi" w:eastAsia="STKaiti" w:hAnsiTheme="minorHAnsi" w:cstheme="minorHAnsi"/>
          <w:lang w:val="en-US" w:eastAsia="zh-CN"/>
        </w:rPr>
      </w:pPr>
      <w:r w:rsidRPr="00026301">
        <w:rPr>
          <w:rFonts w:asciiTheme="minorHAnsi" w:eastAsia="STKaiti" w:hAnsiTheme="minorHAnsi" w:cstheme="minorHAnsi"/>
          <w:i/>
          <w:iCs/>
          <w:lang w:val="en-US" w:eastAsia="zh-CN"/>
        </w:rPr>
        <w:t>f)</w:t>
      </w:r>
      <w:r w:rsidRPr="00026301">
        <w:rPr>
          <w:rFonts w:asciiTheme="minorHAnsi" w:eastAsia="STKaiti" w:hAnsiTheme="minorHAnsi" w:cstheme="minorHAnsi"/>
          <w:lang w:val="en-US" w:eastAsia="zh-CN"/>
        </w:rPr>
        <w:tab/>
      </w:r>
      <w:r w:rsidRPr="00026301">
        <w:rPr>
          <w:rFonts w:asciiTheme="minorHAnsi" w:eastAsia="STKaiti" w:hAnsiTheme="minorHAnsi" w:cstheme="minorHAnsi" w:hint="eastAsia"/>
          <w:lang w:val="en-US" w:eastAsia="zh-CN"/>
        </w:rPr>
        <w:t>市场风险</w:t>
      </w:r>
    </w:p>
    <w:p w14:paraId="170C5B5D" w14:textId="77777777" w:rsidR="00232E78" w:rsidRDefault="00232E78" w:rsidP="00232E78">
      <w:pPr>
        <w:pStyle w:val="enumlev1"/>
        <w:rPr>
          <w:lang w:val="en-US" w:eastAsia="zh-CN"/>
        </w:rPr>
      </w:pPr>
      <w:r w:rsidRPr="000C156A">
        <w:rPr>
          <w:lang w:val="en-US" w:eastAsia="zh-CN"/>
        </w:rPr>
        <w:tab/>
      </w:r>
      <w:r w:rsidRPr="000C156A">
        <w:rPr>
          <w:rFonts w:hint="eastAsia"/>
          <w:lang w:val="en-US" w:eastAsia="zh-CN"/>
        </w:rPr>
        <w:t>市场风险指市场价格变化风险，如影响国际电联收益或所持金融工具价值的兑换率和利率。市场风险管理的目的是在可接受的范畴内管理和控制市场风险，同时优化风险回报。</w:t>
      </w:r>
    </w:p>
    <w:p w14:paraId="5019BF99" w14:textId="77777777" w:rsidR="00232E78" w:rsidRPr="000C156A" w:rsidRDefault="00232E78" w:rsidP="00232E78">
      <w:pPr>
        <w:pStyle w:val="enumlev1"/>
        <w:rPr>
          <w:lang w:val="en-US" w:eastAsia="zh-CN"/>
        </w:rPr>
      </w:pPr>
      <w:r w:rsidRPr="000C156A">
        <w:rPr>
          <w:lang w:val="en-US" w:eastAsia="zh-CN"/>
        </w:rPr>
        <w:tab/>
      </w:r>
      <w:r w:rsidRPr="00A07DC8">
        <w:rPr>
          <w:rFonts w:hint="eastAsia"/>
          <w:lang w:val="en-US" w:eastAsia="zh-CN"/>
        </w:rPr>
        <w:t>国际电联持有的所有金融工具均在活跃市场中存在报价，其分类为第</w:t>
      </w:r>
      <w:r w:rsidRPr="00A07DC8">
        <w:rPr>
          <w:rFonts w:hint="eastAsia"/>
          <w:lang w:val="en-US" w:eastAsia="zh-CN"/>
        </w:rPr>
        <w:t>1</w:t>
      </w:r>
      <w:r w:rsidRPr="00A07DC8">
        <w:rPr>
          <w:rFonts w:hint="eastAsia"/>
          <w:lang w:val="en-US" w:eastAsia="zh-CN"/>
        </w:rPr>
        <w:t>级。</w:t>
      </w:r>
    </w:p>
    <w:p w14:paraId="06D82EFF" w14:textId="33BB7982" w:rsidR="00232E78" w:rsidRPr="00A07DC8" w:rsidRDefault="00232E78" w:rsidP="00C477C6">
      <w:pPr>
        <w:ind w:firstLineChars="200" w:firstLine="480"/>
        <w:rPr>
          <w:lang w:val="en-US" w:eastAsia="zh-CN"/>
        </w:rPr>
      </w:pPr>
      <w:r w:rsidRPr="00A07DC8">
        <w:rPr>
          <w:rFonts w:hint="eastAsia"/>
          <w:lang w:val="en-US" w:eastAsia="zh-CN"/>
        </w:rPr>
        <w:t>截至</w:t>
      </w:r>
      <w:r w:rsidRPr="00A07DC8">
        <w:rPr>
          <w:lang w:val="en-US" w:eastAsia="zh-CN"/>
        </w:rPr>
        <w:t>20</w:t>
      </w:r>
      <w:r w:rsidRPr="00A07DC8">
        <w:rPr>
          <w:rFonts w:hint="eastAsia"/>
          <w:lang w:val="en-US" w:eastAsia="zh-CN"/>
        </w:rPr>
        <w:t>2</w:t>
      </w:r>
      <w:r w:rsidRPr="00A07DC8">
        <w:rPr>
          <w:lang w:val="en-US" w:eastAsia="zh-CN"/>
        </w:rPr>
        <w:t>2</w:t>
      </w:r>
      <w:r w:rsidRPr="00A07DC8">
        <w:rPr>
          <w:rFonts w:hint="eastAsia"/>
          <w:lang w:val="en-US" w:eastAsia="zh-CN"/>
        </w:rPr>
        <w:t>年</w:t>
      </w:r>
      <w:r w:rsidRPr="00A07DC8">
        <w:rPr>
          <w:lang w:val="en-US" w:eastAsia="zh-CN"/>
        </w:rPr>
        <w:t>12</w:t>
      </w:r>
      <w:r w:rsidRPr="00A07DC8">
        <w:rPr>
          <w:rFonts w:hint="eastAsia"/>
          <w:lang w:val="en-US" w:eastAsia="zh-CN"/>
        </w:rPr>
        <w:t>月</w:t>
      </w:r>
      <w:r w:rsidRPr="00A07DC8">
        <w:rPr>
          <w:lang w:val="en-US" w:eastAsia="zh-CN"/>
        </w:rPr>
        <w:t>31</w:t>
      </w:r>
      <w:r w:rsidRPr="00A07DC8">
        <w:rPr>
          <w:rFonts w:hint="eastAsia"/>
          <w:lang w:val="en-US" w:eastAsia="zh-CN"/>
        </w:rPr>
        <w:t>日各金融工具的到期状况如下：</w:t>
      </w:r>
    </w:p>
    <w:p w14:paraId="2E8F9B05" w14:textId="77777777" w:rsidR="00232E78" w:rsidRDefault="00232E78" w:rsidP="00DC6B4E">
      <w:pPr>
        <w:pStyle w:val="Figure"/>
        <w:keepNext w:val="0"/>
        <w:keepLines w:val="0"/>
        <w:ind w:firstLine="426"/>
        <w:rPr>
          <w:lang w:val="en-US" w:eastAsia="zh-CN"/>
        </w:rPr>
      </w:pPr>
      <w:r w:rsidRPr="0084762D">
        <w:rPr>
          <w:rFonts w:hint="eastAsia"/>
          <w:noProof/>
        </w:rPr>
        <w:drawing>
          <wp:inline distT="0" distB="0" distL="0" distR="0" wp14:anchorId="2D8DA5B1" wp14:editId="49782D20">
            <wp:extent cx="5074285" cy="2157095"/>
            <wp:effectExtent l="0" t="0" r="0" b="4445"/>
            <wp:docPr id="6019451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74285" cy="2157095"/>
                    </a:xfrm>
                    <a:prstGeom prst="rect">
                      <a:avLst/>
                    </a:prstGeom>
                    <a:noFill/>
                    <a:ln>
                      <a:noFill/>
                    </a:ln>
                  </pic:spPr>
                </pic:pic>
              </a:graphicData>
            </a:graphic>
          </wp:inline>
        </w:drawing>
      </w:r>
    </w:p>
    <w:p w14:paraId="563AD300" w14:textId="77777777" w:rsidR="00232E78" w:rsidRPr="00CE269B" w:rsidRDefault="00232E78" w:rsidP="00232E78">
      <w:pPr>
        <w:pStyle w:val="Heading1"/>
        <w:tabs>
          <w:tab w:val="clear" w:pos="794"/>
        </w:tabs>
        <w:ind w:left="1134" w:hanging="1134"/>
        <w:rPr>
          <w:sz w:val="24"/>
          <w:szCs w:val="24"/>
          <w:lang w:val="en-US" w:eastAsia="zh-CN"/>
        </w:rPr>
      </w:pPr>
      <w:bookmarkStart w:id="339" w:name="_Toc482892564"/>
      <w:bookmarkStart w:id="340" w:name="_Toc482870829"/>
      <w:bookmarkStart w:id="341" w:name="_Toc329165780"/>
      <w:bookmarkStart w:id="342" w:name="_Toc305594738"/>
      <w:bookmarkStart w:id="343" w:name="_Toc511813747"/>
      <w:bookmarkStart w:id="344" w:name="_Toc511817830"/>
      <w:bookmarkStart w:id="345" w:name="_Toc520280730"/>
      <w:bookmarkStart w:id="346" w:name="_Toc10536825"/>
      <w:bookmarkStart w:id="347" w:name="_Toc41905866"/>
      <w:bookmarkStart w:id="348" w:name="_Toc41906895"/>
      <w:bookmarkStart w:id="349" w:name="_Toc41907976"/>
      <w:bookmarkStart w:id="350" w:name="_Toc41908044"/>
      <w:bookmarkStart w:id="351" w:name="_Toc73518682"/>
      <w:bookmarkStart w:id="352" w:name="_Toc73518829"/>
      <w:bookmarkStart w:id="353" w:name="_Toc73519229"/>
      <w:bookmarkStart w:id="354" w:name="_Toc73636268"/>
      <w:bookmarkStart w:id="355" w:name="_Toc163723289"/>
      <w:r w:rsidRPr="000C156A">
        <w:rPr>
          <w:rFonts w:cs="Microsoft YaHei" w:hint="eastAsia"/>
          <w:sz w:val="24"/>
          <w:szCs w:val="24"/>
          <w:lang w:val="fr-FR" w:eastAsia="zh-CN"/>
        </w:rPr>
        <w:lastRenderedPageBreak/>
        <w:t>说明</w:t>
      </w:r>
      <w:r w:rsidRPr="00CE269B">
        <w:rPr>
          <w:sz w:val="24"/>
          <w:szCs w:val="24"/>
          <w:lang w:val="en-US" w:eastAsia="zh-CN"/>
        </w:rPr>
        <w:t>6</w:t>
      </w:r>
      <w:r w:rsidRPr="00CE269B">
        <w:rPr>
          <w:sz w:val="24"/>
          <w:szCs w:val="24"/>
          <w:lang w:val="en-US" w:eastAsia="zh-CN"/>
        </w:rPr>
        <w:tab/>
      </w:r>
      <w:r w:rsidRPr="000C156A">
        <w:rPr>
          <w:rFonts w:cs="Microsoft YaHei" w:hint="eastAsia"/>
          <w:sz w:val="24"/>
          <w:szCs w:val="24"/>
          <w:lang w:val="fr-FR" w:eastAsia="zh-CN"/>
        </w:rPr>
        <w:t>判定和会计估算</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29BD8C14" w14:textId="77777777" w:rsidR="00232E78" w:rsidRPr="000C156A" w:rsidRDefault="00232E78" w:rsidP="00232E78">
      <w:pPr>
        <w:ind w:firstLineChars="200" w:firstLine="480"/>
        <w:rPr>
          <w:lang w:eastAsia="zh-CN"/>
        </w:rPr>
      </w:pPr>
      <w:r w:rsidRPr="000C156A">
        <w:rPr>
          <w:rFonts w:hint="eastAsia"/>
          <w:lang w:eastAsia="zh-CN"/>
        </w:rPr>
        <w:t>按照</w:t>
      </w:r>
      <w:r w:rsidRPr="00CE269B">
        <w:rPr>
          <w:lang w:val="en-US" w:eastAsia="zh-CN"/>
        </w:rPr>
        <w:t>IPSAS</w:t>
      </w:r>
      <w:r w:rsidRPr="000C156A">
        <w:rPr>
          <w:rFonts w:hint="eastAsia"/>
          <w:lang w:eastAsia="zh-CN"/>
        </w:rPr>
        <w:t>制定财务报表要求使用一方面对在资产负债表制定当天时所披露的资产和负债数额及</w:t>
      </w:r>
      <w:r>
        <w:rPr>
          <w:rFonts w:hint="eastAsia"/>
          <w:lang w:eastAsia="zh-CN"/>
        </w:rPr>
        <w:t>备用资产</w:t>
      </w:r>
      <w:r w:rsidRPr="000C156A">
        <w:rPr>
          <w:rFonts w:hint="eastAsia"/>
          <w:lang w:eastAsia="zh-CN"/>
        </w:rPr>
        <w:t>和承付款项披露具有影响、另一方面又对会计期间收入和费用数额具有影响的估算和</w:t>
      </w:r>
      <w:r w:rsidRPr="00CE269B">
        <w:rPr>
          <w:lang w:val="en-US" w:eastAsia="zh-CN"/>
        </w:rPr>
        <w:t>/</w:t>
      </w:r>
      <w:r w:rsidRPr="000C156A">
        <w:rPr>
          <w:rFonts w:hint="eastAsia"/>
          <w:lang w:eastAsia="zh-CN"/>
        </w:rPr>
        <w:t>或假设。虽然估算以此前经验和在现行情况下被认为合理的各种因素为基础，但实际得到的结果可能与在做出估算时预测的结果不尽相同。</w:t>
      </w:r>
    </w:p>
    <w:p w14:paraId="67B3B660" w14:textId="77777777" w:rsidR="00232E78" w:rsidRPr="000C156A" w:rsidRDefault="00232E78" w:rsidP="00232E78">
      <w:pPr>
        <w:ind w:firstLineChars="200" w:firstLine="480"/>
        <w:rPr>
          <w:lang w:eastAsia="zh-CN"/>
        </w:rPr>
      </w:pPr>
      <w:r w:rsidRPr="000C156A">
        <w:rPr>
          <w:rFonts w:hint="eastAsia"/>
          <w:lang w:eastAsia="zh-CN"/>
        </w:rPr>
        <w:t>下列方面是需要在很大程度上予以判定和十分复杂的方面，亦或在这些方面做出的假设和估算对财务报表的制定带来了负面影响：</w:t>
      </w:r>
    </w:p>
    <w:p w14:paraId="74687C47" w14:textId="77777777" w:rsidR="00232E78" w:rsidRPr="000C156A" w:rsidRDefault="00232E78" w:rsidP="00232E78">
      <w:pPr>
        <w:pStyle w:val="enumlev1"/>
        <w:rPr>
          <w:lang w:eastAsia="zh-CN"/>
        </w:rPr>
      </w:pPr>
      <w:r w:rsidRPr="000C156A">
        <w:rPr>
          <w:lang w:eastAsia="zh-CN"/>
        </w:rPr>
        <w:t>•</w:t>
      </w:r>
      <w:r w:rsidRPr="000C156A">
        <w:rPr>
          <w:lang w:eastAsia="zh-CN"/>
        </w:rPr>
        <w:tab/>
      </w:r>
      <w:r w:rsidRPr="000C156A">
        <w:rPr>
          <w:rFonts w:hint="eastAsia"/>
          <w:lang w:eastAsia="zh-CN"/>
        </w:rPr>
        <w:t>离职后福利，主要涉及离职后健康保险计划</w:t>
      </w:r>
      <w:r>
        <w:rPr>
          <w:rFonts w:hint="eastAsia"/>
          <w:lang w:eastAsia="zh-CN"/>
        </w:rPr>
        <w:t>（见注</w:t>
      </w:r>
      <w:r>
        <w:rPr>
          <w:rFonts w:hint="eastAsia"/>
          <w:lang w:eastAsia="zh-CN"/>
        </w:rPr>
        <w:t>1</w:t>
      </w:r>
      <w:r>
        <w:rPr>
          <w:lang w:eastAsia="zh-CN"/>
        </w:rPr>
        <w:t>8</w:t>
      </w:r>
      <w:r>
        <w:rPr>
          <w:rFonts w:hint="eastAsia"/>
          <w:lang w:eastAsia="zh-CN"/>
        </w:rPr>
        <w:t>）</w:t>
      </w:r>
      <w:r w:rsidRPr="000C156A">
        <w:rPr>
          <w:rFonts w:hint="eastAsia"/>
          <w:lang w:eastAsia="zh-CN"/>
        </w:rPr>
        <w:t>；</w:t>
      </w:r>
    </w:p>
    <w:p w14:paraId="6774B636" w14:textId="77777777" w:rsidR="00232E78" w:rsidRPr="000C156A" w:rsidRDefault="00232E78" w:rsidP="00232E78">
      <w:pPr>
        <w:pStyle w:val="enumlev1"/>
        <w:rPr>
          <w:lang w:eastAsia="zh-CN"/>
        </w:rPr>
      </w:pPr>
      <w:r w:rsidRPr="000C156A">
        <w:rPr>
          <w:lang w:eastAsia="zh-CN"/>
        </w:rPr>
        <w:t>•</w:t>
      </w:r>
      <w:r w:rsidRPr="000C156A">
        <w:rPr>
          <w:lang w:eastAsia="zh-CN"/>
        </w:rPr>
        <w:tab/>
      </w:r>
      <w:r w:rsidRPr="000C156A">
        <w:rPr>
          <w:rFonts w:hint="eastAsia"/>
          <w:lang w:eastAsia="zh-CN"/>
        </w:rPr>
        <w:t>固定</w:t>
      </w:r>
      <w:r>
        <w:rPr>
          <w:rFonts w:hint="eastAsia"/>
          <w:lang w:eastAsia="zh-CN"/>
        </w:rPr>
        <w:t>和无形</w:t>
      </w:r>
      <w:r w:rsidRPr="000C156A">
        <w:rPr>
          <w:rFonts w:hint="eastAsia"/>
          <w:lang w:eastAsia="zh-CN"/>
        </w:rPr>
        <w:t>资产使用寿命及其可能的价值减损</w:t>
      </w:r>
      <w:r>
        <w:rPr>
          <w:rFonts w:hint="eastAsia"/>
          <w:lang w:eastAsia="zh-CN"/>
        </w:rPr>
        <w:t>（见注：</w:t>
      </w:r>
      <w:r w:rsidRPr="009665AE">
        <w:rPr>
          <w:lang w:val="en-US" w:eastAsia="zh-CN"/>
        </w:rPr>
        <w:t>3.3</w:t>
      </w:r>
      <w:r>
        <w:rPr>
          <w:rFonts w:hint="eastAsia"/>
          <w:lang w:val="en-US" w:eastAsia="zh-CN"/>
        </w:rPr>
        <w:t>、</w:t>
      </w:r>
      <w:r w:rsidRPr="009665AE">
        <w:rPr>
          <w:lang w:val="en-US" w:eastAsia="zh-CN"/>
        </w:rPr>
        <w:t>3.4</w:t>
      </w:r>
      <w:r>
        <w:rPr>
          <w:rFonts w:hint="eastAsia"/>
          <w:lang w:val="en-US" w:eastAsia="zh-CN"/>
        </w:rPr>
        <w:t>和</w:t>
      </w:r>
      <w:r w:rsidRPr="009665AE">
        <w:rPr>
          <w:lang w:val="en-US" w:eastAsia="zh-CN"/>
        </w:rPr>
        <w:t>12-13</w:t>
      </w:r>
      <w:r>
        <w:rPr>
          <w:rFonts w:hint="eastAsia"/>
          <w:lang w:val="en-US" w:eastAsia="zh-CN"/>
        </w:rPr>
        <w:t>）</w:t>
      </w:r>
      <w:r w:rsidRPr="000C156A">
        <w:rPr>
          <w:rFonts w:hint="eastAsia"/>
          <w:lang w:eastAsia="zh-CN"/>
        </w:rPr>
        <w:t>；</w:t>
      </w:r>
    </w:p>
    <w:p w14:paraId="037F30BA" w14:textId="77777777" w:rsidR="00232E78" w:rsidRPr="000C156A" w:rsidRDefault="00232E78" w:rsidP="00232E78">
      <w:pPr>
        <w:pStyle w:val="enumlev1"/>
        <w:rPr>
          <w:lang w:eastAsia="zh-CN"/>
        </w:rPr>
      </w:pPr>
      <w:r w:rsidRPr="000C156A">
        <w:rPr>
          <w:lang w:eastAsia="zh-CN"/>
        </w:rPr>
        <w:t>•</w:t>
      </w:r>
      <w:r w:rsidRPr="000C156A">
        <w:rPr>
          <w:lang w:eastAsia="zh-CN"/>
        </w:rPr>
        <w:tab/>
      </w:r>
      <w:r w:rsidRPr="005E4338">
        <w:rPr>
          <w:rFonts w:hint="eastAsia"/>
          <w:lang w:eastAsia="zh-CN"/>
        </w:rPr>
        <w:t>应收款项减损</w:t>
      </w:r>
      <w:r>
        <w:rPr>
          <w:rFonts w:hint="eastAsia"/>
          <w:lang w:eastAsia="zh-CN"/>
        </w:rPr>
        <w:t>（见注</w:t>
      </w:r>
      <w:r>
        <w:rPr>
          <w:rFonts w:hint="eastAsia"/>
          <w:lang w:eastAsia="zh-CN"/>
        </w:rPr>
        <w:t>9</w:t>
      </w:r>
      <w:r>
        <w:rPr>
          <w:rFonts w:hint="eastAsia"/>
          <w:lang w:eastAsia="zh-CN"/>
        </w:rPr>
        <w:t>）</w:t>
      </w:r>
      <w:r w:rsidRPr="000C156A">
        <w:rPr>
          <w:rFonts w:hint="eastAsia"/>
          <w:lang w:eastAsia="zh-CN"/>
        </w:rPr>
        <w:t>；</w:t>
      </w:r>
    </w:p>
    <w:p w14:paraId="417D13C1" w14:textId="77777777" w:rsidR="00232E78" w:rsidRPr="000C156A" w:rsidRDefault="00232E78" w:rsidP="00232E78">
      <w:pPr>
        <w:pStyle w:val="enumlev1"/>
        <w:rPr>
          <w:lang w:eastAsia="zh-CN"/>
        </w:rPr>
      </w:pPr>
      <w:r w:rsidRPr="000C156A">
        <w:rPr>
          <w:lang w:eastAsia="zh-CN"/>
        </w:rPr>
        <w:t>•</w:t>
      </w:r>
      <w:r w:rsidRPr="000C156A">
        <w:rPr>
          <w:lang w:eastAsia="zh-CN"/>
        </w:rPr>
        <w:tab/>
      </w:r>
      <w:r w:rsidRPr="000C156A">
        <w:rPr>
          <w:rFonts w:hint="eastAsia"/>
          <w:lang w:eastAsia="zh-CN"/>
        </w:rPr>
        <w:t>库存出版物的销售概率</w:t>
      </w:r>
      <w:r>
        <w:rPr>
          <w:rFonts w:hint="eastAsia"/>
          <w:lang w:eastAsia="zh-CN"/>
        </w:rPr>
        <w:t>（见注</w:t>
      </w:r>
      <w:r>
        <w:rPr>
          <w:lang w:eastAsia="zh-CN"/>
        </w:rPr>
        <w:t>10</w:t>
      </w:r>
      <w:r>
        <w:rPr>
          <w:rFonts w:hint="eastAsia"/>
          <w:lang w:eastAsia="zh-CN"/>
        </w:rPr>
        <w:t>）</w:t>
      </w:r>
      <w:r w:rsidRPr="000C156A">
        <w:rPr>
          <w:rFonts w:hint="eastAsia"/>
          <w:lang w:eastAsia="zh-CN"/>
        </w:rPr>
        <w:t>；</w:t>
      </w:r>
    </w:p>
    <w:p w14:paraId="766BB830" w14:textId="77777777" w:rsidR="00232E78" w:rsidRDefault="00232E78" w:rsidP="00232E78">
      <w:pPr>
        <w:pStyle w:val="enumlev1"/>
        <w:rPr>
          <w:lang w:val="en-US" w:eastAsia="zh-CN"/>
        </w:rPr>
      </w:pPr>
      <w:r w:rsidRPr="000C156A">
        <w:rPr>
          <w:lang w:eastAsia="zh-CN"/>
        </w:rPr>
        <w:t>•</w:t>
      </w:r>
      <w:r w:rsidRPr="000C156A">
        <w:rPr>
          <w:lang w:eastAsia="zh-CN"/>
        </w:rPr>
        <w:tab/>
      </w:r>
      <w:r w:rsidRPr="000C156A">
        <w:rPr>
          <w:rFonts w:hint="eastAsia"/>
          <w:lang w:eastAsia="zh-CN"/>
        </w:rPr>
        <w:t>卫星网络申报的递延收入</w:t>
      </w:r>
      <w:r>
        <w:rPr>
          <w:rFonts w:hint="eastAsia"/>
          <w:lang w:eastAsia="zh-CN"/>
        </w:rPr>
        <w:t>（见注</w:t>
      </w:r>
      <w:r>
        <w:rPr>
          <w:lang w:eastAsia="zh-CN"/>
        </w:rPr>
        <w:t>16</w:t>
      </w:r>
      <w:r>
        <w:rPr>
          <w:rFonts w:hint="eastAsia"/>
          <w:lang w:eastAsia="zh-CN"/>
        </w:rPr>
        <w:t>）</w:t>
      </w:r>
      <w:r>
        <w:rPr>
          <w:rFonts w:hint="eastAsia"/>
          <w:lang w:val="en-US" w:eastAsia="zh-CN"/>
        </w:rPr>
        <w:t>；和</w:t>
      </w:r>
    </w:p>
    <w:p w14:paraId="1D860AEA" w14:textId="3A314C77" w:rsidR="00232E78" w:rsidRPr="000C156A" w:rsidRDefault="00232E78" w:rsidP="00232E78">
      <w:pPr>
        <w:pStyle w:val="enumlev1"/>
        <w:rPr>
          <w:lang w:eastAsia="zh-CN"/>
        </w:rPr>
      </w:pPr>
      <w:r w:rsidRPr="000C156A">
        <w:rPr>
          <w:lang w:eastAsia="zh-CN"/>
        </w:rPr>
        <w:t>•</w:t>
      </w:r>
      <w:r w:rsidRPr="000C156A">
        <w:rPr>
          <w:lang w:eastAsia="zh-CN"/>
        </w:rPr>
        <w:tab/>
      </w:r>
      <w:bookmarkStart w:id="356" w:name="lt_pId871"/>
      <w:r>
        <w:rPr>
          <w:rFonts w:hint="eastAsia"/>
          <w:lang w:eastAsia="zh-CN"/>
        </w:rPr>
        <w:t>卫星网络申报和诉讼准备金（见注</w:t>
      </w:r>
      <w:r>
        <w:rPr>
          <w:rFonts w:hint="eastAsia"/>
          <w:lang w:eastAsia="zh-CN"/>
        </w:rPr>
        <w:t>1</w:t>
      </w:r>
      <w:r>
        <w:rPr>
          <w:lang w:eastAsia="zh-CN"/>
        </w:rPr>
        <w:t>9</w:t>
      </w:r>
      <w:r>
        <w:rPr>
          <w:rFonts w:hint="eastAsia"/>
          <w:lang w:eastAsia="zh-CN"/>
        </w:rPr>
        <w:t>）</w:t>
      </w:r>
      <w:bookmarkEnd w:id="356"/>
      <w:r w:rsidR="00C477C6">
        <w:rPr>
          <w:rFonts w:hint="eastAsia"/>
          <w:lang w:eastAsia="zh-CN"/>
        </w:rPr>
        <w:t>。</w:t>
      </w:r>
    </w:p>
    <w:p w14:paraId="3A5D880D" w14:textId="77777777" w:rsidR="00232E78" w:rsidRDefault="00232E78" w:rsidP="00232E78">
      <w:pPr>
        <w:pStyle w:val="Heading1"/>
        <w:tabs>
          <w:tab w:val="clear" w:pos="794"/>
        </w:tabs>
        <w:spacing w:before="240" w:after="120"/>
        <w:ind w:left="1134" w:hanging="1134"/>
        <w:rPr>
          <w:rFonts w:cs="Microsoft YaHei"/>
          <w:sz w:val="24"/>
          <w:szCs w:val="24"/>
          <w:lang w:val="fr-FR" w:eastAsia="zh-CN"/>
        </w:rPr>
      </w:pPr>
      <w:bookmarkStart w:id="357" w:name="_Toc305594740"/>
      <w:bookmarkStart w:id="358" w:name="_Toc482892565"/>
      <w:bookmarkStart w:id="359" w:name="_Toc482870830"/>
      <w:bookmarkStart w:id="360" w:name="_Toc329165781"/>
      <w:bookmarkStart w:id="361" w:name="_Toc511813748"/>
      <w:bookmarkStart w:id="362" w:name="_Toc511817831"/>
      <w:bookmarkStart w:id="363" w:name="_Toc520280731"/>
      <w:bookmarkStart w:id="364" w:name="_Toc10536826"/>
      <w:bookmarkStart w:id="365" w:name="_Toc41905867"/>
      <w:bookmarkStart w:id="366" w:name="_Toc41906896"/>
      <w:bookmarkStart w:id="367" w:name="_Toc41907977"/>
      <w:bookmarkStart w:id="368" w:name="_Toc41908045"/>
      <w:bookmarkStart w:id="369" w:name="_Toc73518683"/>
      <w:bookmarkStart w:id="370" w:name="_Toc73518830"/>
      <w:bookmarkStart w:id="371" w:name="_Toc73519230"/>
      <w:bookmarkStart w:id="372" w:name="_Toc73636269"/>
      <w:bookmarkStart w:id="373" w:name="_Toc163723290"/>
      <w:r w:rsidRPr="000C156A">
        <w:rPr>
          <w:rFonts w:cs="Microsoft YaHei" w:hint="eastAsia"/>
          <w:sz w:val="24"/>
          <w:szCs w:val="24"/>
          <w:lang w:val="fr-FR" w:eastAsia="zh-CN"/>
        </w:rPr>
        <w:t>说明</w:t>
      </w:r>
      <w:r>
        <w:rPr>
          <w:rFonts w:cs="Microsoft YaHei"/>
          <w:sz w:val="24"/>
          <w:szCs w:val="24"/>
          <w:lang w:val="fr-FR" w:eastAsia="zh-CN"/>
        </w:rPr>
        <w:t>7</w:t>
      </w:r>
      <w:r w:rsidRPr="000C156A">
        <w:rPr>
          <w:rFonts w:cs="Microsoft YaHei"/>
          <w:sz w:val="24"/>
          <w:szCs w:val="24"/>
          <w:lang w:val="fr-FR" w:eastAsia="zh-CN"/>
        </w:rPr>
        <w:tab/>
      </w:r>
      <w:r w:rsidRPr="000C156A">
        <w:rPr>
          <w:rFonts w:cs="Microsoft YaHei" w:hint="eastAsia"/>
          <w:sz w:val="24"/>
          <w:szCs w:val="24"/>
          <w:lang w:val="fr-FR" w:eastAsia="zh-CN"/>
        </w:rPr>
        <w:t>现金和现金</w:t>
      </w:r>
      <w:bookmarkEnd w:id="357"/>
      <w:r w:rsidRPr="000C156A">
        <w:rPr>
          <w:rFonts w:cs="Microsoft YaHei" w:hint="eastAsia"/>
          <w:sz w:val="24"/>
          <w:szCs w:val="24"/>
          <w:lang w:val="fr-FR" w:eastAsia="zh-CN"/>
        </w:rPr>
        <w:t>等价物</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31393AC8" w14:textId="77777777" w:rsidR="00232E78" w:rsidRPr="005B155F" w:rsidRDefault="00232E78" w:rsidP="0084762D">
      <w:pPr>
        <w:pStyle w:val="Figure"/>
        <w:rPr>
          <w:lang w:val="fr-FR" w:eastAsia="zh-CN"/>
        </w:rPr>
      </w:pPr>
      <w:r w:rsidRPr="00E109CF">
        <w:rPr>
          <w:noProof/>
        </w:rPr>
        <w:drawing>
          <wp:inline distT="0" distB="0" distL="0" distR="0" wp14:anchorId="427F6590" wp14:editId="5885CF84">
            <wp:extent cx="5000432" cy="1530005"/>
            <wp:effectExtent l="0" t="0" r="0" b="0"/>
            <wp:docPr id="15045218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13109" cy="1533884"/>
                    </a:xfrm>
                    <a:prstGeom prst="rect">
                      <a:avLst/>
                    </a:prstGeom>
                    <a:noFill/>
                    <a:ln>
                      <a:noFill/>
                    </a:ln>
                  </pic:spPr>
                </pic:pic>
              </a:graphicData>
            </a:graphic>
          </wp:inline>
        </w:drawing>
      </w:r>
    </w:p>
    <w:p w14:paraId="7B90DF3F" w14:textId="275BC0A7" w:rsidR="00232E78" w:rsidRDefault="00232E78" w:rsidP="00C477C6">
      <w:pPr>
        <w:ind w:firstLineChars="200" w:firstLine="480"/>
        <w:rPr>
          <w:lang w:eastAsia="zh-CN"/>
        </w:rPr>
      </w:pPr>
      <w:r w:rsidRPr="00713060">
        <w:rPr>
          <w:rFonts w:hint="eastAsia"/>
          <w:lang w:eastAsia="zh-CN"/>
        </w:rPr>
        <w:t>上表说明了截至</w:t>
      </w:r>
      <w:r w:rsidRPr="00CE269B">
        <w:rPr>
          <w:rFonts w:hint="eastAsia"/>
          <w:lang w:val="fr-FR" w:eastAsia="zh-CN"/>
        </w:rPr>
        <w:t>2022</w:t>
      </w:r>
      <w:r w:rsidRPr="00713060">
        <w:rPr>
          <w:rFonts w:hint="eastAsia"/>
          <w:lang w:eastAsia="zh-CN"/>
        </w:rPr>
        <w:t>年</w:t>
      </w:r>
      <w:r w:rsidRPr="00CE269B">
        <w:rPr>
          <w:rFonts w:hint="eastAsia"/>
          <w:lang w:val="fr-FR" w:eastAsia="zh-CN"/>
        </w:rPr>
        <w:t>12</w:t>
      </w:r>
      <w:r w:rsidRPr="00713060">
        <w:rPr>
          <w:rFonts w:hint="eastAsia"/>
          <w:lang w:eastAsia="zh-CN"/>
        </w:rPr>
        <w:t>月</w:t>
      </w:r>
      <w:r w:rsidRPr="00CE269B">
        <w:rPr>
          <w:rFonts w:hint="eastAsia"/>
          <w:lang w:val="fr-FR" w:eastAsia="zh-CN"/>
        </w:rPr>
        <w:t>31</w:t>
      </w:r>
      <w:r w:rsidRPr="00713060">
        <w:rPr>
          <w:rFonts w:hint="eastAsia"/>
          <w:lang w:eastAsia="zh-CN"/>
        </w:rPr>
        <w:t>日和</w:t>
      </w:r>
      <w:r w:rsidRPr="00CE269B">
        <w:rPr>
          <w:rFonts w:hint="eastAsia"/>
          <w:lang w:val="fr-FR" w:eastAsia="zh-CN"/>
        </w:rPr>
        <w:t>2021</w:t>
      </w:r>
      <w:r w:rsidRPr="00713060">
        <w:rPr>
          <w:rFonts w:hint="eastAsia"/>
          <w:lang w:eastAsia="zh-CN"/>
        </w:rPr>
        <w:t>年</w:t>
      </w:r>
      <w:r w:rsidRPr="00CE269B">
        <w:rPr>
          <w:rFonts w:hint="eastAsia"/>
          <w:lang w:val="fr-FR" w:eastAsia="zh-CN"/>
        </w:rPr>
        <w:t>12</w:t>
      </w:r>
      <w:r w:rsidRPr="00713060">
        <w:rPr>
          <w:rFonts w:hint="eastAsia"/>
          <w:lang w:eastAsia="zh-CN"/>
        </w:rPr>
        <w:t>月</w:t>
      </w:r>
      <w:r w:rsidRPr="00CE269B">
        <w:rPr>
          <w:rFonts w:hint="eastAsia"/>
          <w:lang w:val="fr-FR" w:eastAsia="zh-CN"/>
        </w:rPr>
        <w:t>31</w:t>
      </w:r>
      <w:r w:rsidRPr="00713060">
        <w:rPr>
          <w:rFonts w:hint="eastAsia"/>
          <w:lang w:eastAsia="zh-CN"/>
        </w:rPr>
        <w:t>日的现金余额</w:t>
      </w:r>
      <w:r w:rsidRPr="00CE269B">
        <w:rPr>
          <w:rFonts w:hint="eastAsia"/>
          <w:lang w:val="fr-FR" w:eastAsia="zh-CN"/>
        </w:rPr>
        <w:t>，</w:t>
      </w:r>
      <w:r w:rsidRPr="00713060">
        <w:rPr>
          <w:rFonts w:hint="eastAsia"/>
          <w:lang w:eastAsia="zh-CN"/>
        </w:rPr>
        <w:t>下表</w:t>
      </w:r>
      <w:r>
        <w:rPr>
          <w:rFonts w:hint="eastAsia"/>
          <w:lang w:eastAsia="zh-CN"/>
        </w:rPr>
        <w:t>列出</w:t>
      </w:r>
      <w:r w:rsidRPr="00713060">
        <w:rPr>
          <w:rFonts w:hint="eastAsia"/>
          <w:lang w:eastAsia="zh-CN"/>
        </w:rPr>
        <w:t>了</w:t>
      </w:r>
      <w:r>
        <w:rPr>
          <w:rFonts w:hint="eastAsia"/>
          <w:lang w:eastAsia="zh-CN"/>
        </w:rPr>
        <w:t>开展</w:t>
      </w:r>
      <w:r w:rsidRPr="00713060">
        <w:rPr>
          <w:rFonts w:hint="eastAsia"/>
          <w:lang w:eastAsia="zh-CN"/>
        </w:rPr>
        <w:t>日常业务过程中</w:t>
      </w:r>
      <w:r>
        <w:rPr>
          <w:rFonts w:hint="eastAsia"/>
          <w:lang w:eastAsia="zh-CN"/>
        </w:rPr>
        <w:t>随时</w:t>
      </w:r>
      <w:r w:rsidRPr="00713060">
        <w:rPr>
          <w:rFonts w:hint="eastAsia"/>
          <w:lang w:eastAsia="zh-CN"/>
        </w:rPr>
        <w:t>使用</w:t>
      </w:r>
      <w:r>
        <w:rPr>
          <w:rFonts w:hint="eastAsia"/>
          <w:lang w:eastAsia="zh-CN"/>
        </w:rPr>
        <w:t>现金</w:t>
      </w:r>
      <w:r w:rsidRPr="00713060">
        <w:rPr>
          <w:rFonts w:hint="eastAsia"/>
          <w:lang w:eastAsia="zh-CN"/>
        </w:rPr>
        <w:t>的限制。</w:t>
      </w:r>
      <w:r>
        <w:rPr>
          <w:rFonts w:hint="eastAsia"/>
          <w:lang w:eastAsia="zh-CN"/>
        </w:rPr>
        <w:t>使用</w:t>
      </w:r>
      <w:r w:rsidRPr="00713060">
        <w:rPr>
          <w:rFonts w:hint="eastAsia"/>
          <w:lang w:eastAsia="zh-CN"/>
        </w:rPr>
        <w:t>受限</w:t>
      </w:r>
      <w:r>
        <w:rPr>
          <w:rFonts w:hint="eastAsia"/>
          <w:lang w:eastAsia="zh-CN"/>
        </w:rPr>
        <w:t>的</w:t>
      </w:r>
      <w:r w:rsidRPr="00713060">
        <w:rPr>
          <w:rFonts w:hint="eastAsia"/>
          <w:lang w:eastAsia="zh-CN"/>
        </w:rPr>
        <w:t>现金由国际组织不动产基金会（</w:t>
      </w:r>
      <w:r w:rsidRPr="00713060">
        <w:rPr>
          <w:rFonts w:hint="eastAsia"/>
          <w:lang w:eastAsia="zh-CN"/>
        </w:rPr>
        <w:t>FIPOI</w:t>
      </w:r>
      <w:r w:rsidRPr="00713060">
        <w:rPr>
          <w:rFonts w:hint="eastAsia"/>
          <w:lang w:eastAsia="zh-CN"/>
        </w:rPr>
        <w:t>）</w:t>
      </w:r>
      <w:r>
        <w:rPr>
          <w:rFonts w:hint="eastAsia"/>
          <w:lang w:eastAsia="zh-CN"/>
        </w:rPr>
        <w:t>的资金、针对</w:t>
      </w:r>
      <w:r w:rsidRPr="00713060">
        <w:rPr>
          <w:rFonts w:hint="eastAsia"/>
          <w:lang w:eastAsia="zh-CN"/>
        </w:rPr>
        <w:t>新大楼的捐</w:t>
      </w:r>
      <w:r>
        <w:rPr>
          <w:rFonts w:hint="eastAsia"/>
          <w:lang w:eastAsia="zh-CN"/>
        </w:rPr>
        <w:t>款</w:t>
      </w:r>
      <w:r w:rsidRPr="00713060">
        <w:rPr>
          <w:rFonts w:hint="eastAsia"/>
          <w:lang w:eastAsia="zh-CN"/>
        </w:rPr>
        <w:t>以及国际电联的</w:t>
      </w:r>
      <w:r>
        <w:rPr>
          <w:rFonts w:hint="eastAsia"/>
          <w:lang w:eastAsia="zh-CN"/>
        </w:rPr>
        <w:t>原</w:t>
      </w:r>
      <w:r w:rsidRPr="00713060">
        <w:rPr>
          <w:rFonts w:hint="eastAsia"/>
          <w:lang w:eastAsia="zh-CN"/>
        </w:rPr>
        <w:t>养</w:t>
      </w:r>
      <w:proofErr w:type="gramStart"/>
      <w:r>
        <w:rPr>
          <w:rFonts w:hint="eastAsia"/>
          <w:lang w:eastAsia="zh-CN"/>
        </w:rPr>
        <w:t>恤</w:t>
      </w:r>
      <w:proofErr w:type="gramEnd"/>
      <w:r w:rsidRPr="00713060">
        <w:rPr>
          <w:rFonts w:hint="eastAsia"/>
          <w:lang w:eastAsia="zh-CN"/>
        </w:rPr>
        <w:t>基金</w:t>
      </w:r>
      <w:r>
        <w:rPr>
          <w:rFonts w:hint="eastAsia"/>
          <w:lang w:eastAsia="zh-CN"/>
        </w:rPr>
        <w:t>构</w:t>
      </w:r>
      <w:r w:rsidRPr="00713060">
        <w:rPr>
          <w:rFonts w:hint="eastAsia"/>
          <w:lang w:eastAsia="zh-CN"/>
        </w:rPr>
        <w:t>成。</w:t>
      </w:r>
    </w:p>
    <w:p w14:paraId="7FD176DC" w14:textId="77777777" w:rsidR="00232E78" w:rsidRPr="00DA100B" w:rsidRDefault="00232E78" w:rsidP="0084762D">
      <w:pPr>
        <w:pStyle w:val="Figure"/>
        <w:keepNext w:val="0"/>
        <w:keepLines w:val="0"/>
        <w:spacing w:after="0"/>
        <w:rPr>
          <w:lang w:eastAsia="zh-CN"/>
        </w:rPr>
      </w:pPr>
      <w:r w:rsidRPr="0084762D">
        <w:rPr>
          <w:rFonts w:hint="eastAsia"/>
          <w:noProof/>
        </w:rPr>
        <w:drawing>
          <wp:inline distT="0" distB="0" distL="0" distR="0" wp14:anchorId="2E948E77" wp14:editId="1E6B7A94">
            <wp:extent cx="4786367" cy="2714665"/>
            <wp:effectExtent l="0" t="0" r="0" b="0"/>
            <wp:docPr id="202851058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795119" cy="2719629"/>
                    </a:xfrm>
                    <a:prstGeom prst="rect">
                      <a:avLst/>
                    </a:prstGeom>
                    <a:noFill/>
                    <a:ln>
                      <a:noFill/>
                    </a:ln>
                  </pic:spPr>
                </pic:pic>
              </a:graphicData>
            </a:graphic>
          </wp:inline>
        </w:drawing>
      </w:r>
    </w:p>
    <w:p w14:paraId="21C9C33F" w14:textId="77777777" w:rsidR="00232E78" w:rsidRPr="000C156A" w:rsidRDefault="00232E78" w:rsidP="00232E78">
      <w:pPr>
        <w:pStyle w:val="Heading1"/>
        <w:tabs>
          <w:tab w:val="clear" w:pos="794"/>
        </w:tabs>
        <w:spacing w:before="240"/>
        <w:ind w:left="1134" w:hanging="1134"/>
        <w:rPr>
          <w:rFonts w:cs="Microsoft YaHei"/>
          <w:sz w:val="24"/>
          <w:szCs w:val="24"/>
          <w:lang w:val="en" w:eastAsia="zh-CN"/>
        </w:rPr>
      </w:pPr>
      <w:bookmarkStart w:id="374" w:name="_Toc482892566"/>
      <w:bookmarkStart w:id="375" w:name="_Toc482870831"/>
      <w:bookmarkStart w:id="376" w:name="_Toc329011632"/>
      <w:bookmarkStart w:id="377" w:name="_Toc305764082"/>
      <w:bookmarkStart w:id="378" w:name="_Toc511813749"/>
      <w:bookmarkStart w:id="379" w:name="_Toc511817832"/>
      <w:bookmarkStart w:id="380" w:name="_Toc520280732"/>
      <w:bookmarkStart w:id="381" w:name="_Toc10536827"/>
      <w:bookmarkStart w:id="382" w:name="_Toc41905868"/>
      <w:bookmarkStart w:id="383" w:name="_Toc41906897"/>
      <w:bookmarkStart w:id="384" w:name="_Toc41907978"/>
      <w:bookmarkStart w:id="385" w:name="_Toc41908046"/>
      <w:bookmarkStart w:id="386" w:name="_Toc73518684"/>
      <w:bookmarkStart w:id="387" w:name="_Toc73518831"/>
      <w:bookmarkStart w:id="388" w:name="_Toc73519231"/>
      <w:bookmarkStart w:id="389" w:name="_Toc73636270"/>
      <w:bookmarkStart w:id="390" w:name="_Toc163723291"/>
      <w:r w:rsidRPr="000C156A">
        <w:rPr>
          <w:rFonts w:cs="Microsoft YaHei" w:hint="eastAsia"/>
          <w:sz w:val="24"/>
          <w:szCs w:val="24"/>
          <w:lang w:val="fr-FR" w:eastAsia="zh-CN"/>
        </w:rPr>
        <w:lastRenderedPageBreak/>
        <w:t>说明</w:t>
      </w:r>
      <w:r>
        <w:rPr>
          <w:rFonts w:cs="Microsoft YaHei"/>
          <w:sz w:val="24"/>
          <w:szCs w:val="24"/>
          <w:lang w:val="en" w:eastAsia="zh-CN"/>
        </w:rPr>
        <w:t>8</w:t>
      </w:r>
      <w:r w:rsidRPr="000C156A">
        <w:rPr>
          <w:rFonts w:cs="Microsoft YaHei"/>
          <w:sz w:val="24"/>
          <w:szCs w:val="24"/>
          <w:lang w:val="en" w:eastAsia="zh-CN"/>
        </w:rPr>
        <w:tab/>
      </w:r>
      <w:r w:rsidRPr="000C156A">
        <w:rPr>
          <w:rFonts w:cs="Microsoft YaHei" w:hint="eastAsia"/>
          <w:sz w:val="24"/>
          <w:szCs w:val="24"/>
          <w:lang w:val="fr-FR" w:eastAsia="zh-CN"/>
        </w:rPr>
        <w:t>投资</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5453FBF6" w14:textId="77777777" w:rsidR="00232E78" w:rsidRDefault="00232E78" w:rsidP="00232E78">
      <w:pPr>
        <w:ind w:firstLineChars="200" w:firstLine="480"/>
        <w:rPr>
          <w:lang w:val="en-US" w:eastAsia="zh-CN"/>
        </w:rPr>
      </w:pPr>
      <w:r w:rsidRPr="000C156A">
        <w:rPr>
          <w:rFonts w:hint="eastAsia"/>
          <w:lang w:val="en-US" w:eastAsia="zh-CN"/>
        </w:rPr>
        <w:t>定期投资按市价获利并按公允价值通过盈余</w:t>
      </w:r>
      <w:r w:rsidRPr="000C156A">
        <w:rPr>
          <w:lang w:val="en-US" w:eastAsia="zh-CN"/>
        </w:rPr>
        <w:t>/</w:t>
      </w:r>
      <w:r w:rsidRPr="000C156A">
        <w:rPr>
          <w:rFonts w:hint="eastAsia"/>
          <w:lang w:val="en-US" w:eastAsia="zh-CN"/>
        </w:rPr>
        <w:t>赤字划分为不同金融工具。现金存款的公允价值等同于其账面金额。</w:t>
      </w:r>
    </w:p>
    <w:p w14:paraId="34F5EF6C" w14:textId="77777777" w:rsidR="00232E78" w:rsidRPr="000C156A" w:rsidRDefault="00232E78" w:rsidP="00232E78">
      <w:pPr>
        <w:ind w:firstLineChars="200" w:firstLine="480"/>
        <w:rPr>
          <w:lang w:val="en-US" w:eastAsia="zh-CN"/>
        </w:rPr>
      </w:pPr>
      <w:r w:rsidRPr="00713060">
        <w:rPr>
          <w:rFonts w:hint="eastAsia"/>
          <w:lang w:val="en-US" w:eastAsia="zh-CN"/>
        </w:rPr>
        <w:t>投资减少的主要原因是</w:t>
      </w:r>
      <w:r w:rsidRPr="00713060">
        <w:rPr>
          <w:rFonts w:hint="eastAsia"/>
          <w:lang w:val="en-US" w:eastAsia="zh-CN"/>
        </w:rPr>
        <w:t>2021</w:t>
      </w:r>
      <w:r w:rsidRPr="00713060">
        <w:rPr>
          <w:rFonts w:hint="eastAsia"/>
          <w:lang w:val="en-US" w:eastAsia="zh-CN"/>
        </w:rPr>
        <w:t>年收到的预算外项目收入</w:t>
      </w:r>
      <w:r>
        <w:rPr>
          <w:rFonts w:hint="eastAsia"/>
          <w:lang w:val="en-US" w:eastAsia="zh-CN"/>
        </w:rPr>
        <w:t>使用</w:t>
      </w:r>
      <w:r w:rsidRPr="00713060">
        <w:rPr>
          <w:rFonts w:hint="eastAsia"/>
          <w:lang w:val="en-US" w:eastAsia="zh-CN"/>
        </w:rPr>
        <w:t>率</w:t>
      </w:r>
      <w:r>
        <w:rPr>
          <w:rFonts w:hint="eastAsia"/>
          <w:lang w:val="en-US" w:eastAsia="zh-CN"/>
        </w:rPr>
        <w:t>更</w:t>
      </w:r>
      <w:r w:rsidRPr="00713060">
        <w:rPr>
          <w:rFonts w:hint="eastAsia"/>
          <w:lang w:val="en-US" w:eastAsia="zh-CN"/>
        </w:rPr>
        <w:t>高，这</w:t>
      </w:r>
      <w:r>
        <w:rPr>
          <w:rFonts w:hint="eastAsia"/>
          <w:lang w:val="en-US" w:eastAsia="zh-CN"/>
        </w:rPr>
        <w:t>一点</w:t>
      </w:r>
      <w:r w:rsidRPr="00713060">
        <w:rPr>
          <w:rFonts w:hint="eastAsia"/>
          <w:lang w:val="en-US" w:eastAsia="zh-CN"/>
        </w:rPr>
        <w:t>可</w:t>
      </w:r>
      <w:r>
        <w:rPr>
          <w:rFonts w:hint="eastAsia"/>
          <w:lang w:val="en-US" w:eastAsia="zh-CN"/>
        </w:rPr>
        <w:t>以</w:t>
      </w:r>
      <w:r w:rsidRPr="00713060">
        <w:rPr>
          <w:rFonts w:hint="eastAsia"/>
          <w:lang w:val="en-US" w:eastAsia="zh-CN"/>
        </w:rPr>
        <w:t>从第三方资金</w:t>
      </w:r>
      <w:r>
        <w:rPr>
          <w:rFonts w:hint="eastAsia"/>
          <w:lang w:val="en-US" w:eastAsia="zh-CN"/>
        </w:rPr>
        <w:t>数量</w:t>
      </w:r>
      <w:r w:rsidRPr="00713060">
        <w:rPr>
          <w:rFonts w:hint="eastAsia"/>
          <w:lang w:val="en-US" w:eastAsia="zh-CN"/>
        </w:rPr>
        <w:t>减少看出（见注</w:t>
      </w:r>
      <w:r w:rsidRPr="00713060">
        <w:rPr>
          <w:rFonts w:hint="eastAsia"/>
          <w:lang w:val="en-US" w:eastAsia="zh-CN"/>
        </w:rPr>
        <w:t>21</w:t>
      </w:r>
      <w:r w:rsidRPr="00713060">
        <w:rPr>
          <w:rFonts w:hint="eastAsia"/>
          <w:lang w:val="en-US" w:eastAsia="zh-CN"/>
        </w:rPr>
        <w:t>）。此外，</w:t>
      </w:r>
      <w:r>
        <w:rPr>
          <w:rFonts w:hint="eastAsia"/>
          <w:lang w:val="en-US" w:eastAsia="zh-CN"/>
        </w:rPr>
        <w:t>项目</w:t>
      </w:r>
      <w:r w:rsidRPr="00713060">
        <w:rPr>
          <w:rFonts w:hint="eastAsia"/>
          <w:lang w:val="en-US" w:eastAsia="zh-CN"/>
        </w:rPr>
        <w:t>预算的实际收入低于预算</w:t>
      </w:r>
      <w:r>
        <w:rPr>
          <w:rFonts w:hint="eastAsia"/>
          <w:lang w:val="en-US" w:eastAsia="zh-CN"/>
        </w:rPr>
        <w:t>金</w:t>
      </w:r>
      <w:r w:rsidRPr="00713060">
        <w:rPr>
          <w:rFonts w:hint="eastAsia"/>
          <w:lang w:val="en-US" w:eastAsia="zh-CN"/>
        </w:rPr>
        <w:t>额，这进一步减少了可用于投资的资金。</w:t>
      </w:r>
    </w:p>
    <w:p w14:paraId="59EEE104" w14:textId="77777777" w:rsidR="00232E78" w:rsidRDefault="00232E78" w:rsidP="00232E78">
      <w:pPr>
        <w:ind w:firstLineChars="200" w:firstLine="480"/>
        <w:rPr>
          <w:lang w:eastAsia="zh-CN"/>
        </w:rPr>
      </w:pPr>
      <w:r w:rsidRPr="000C156A">
        <w:rPr>
          <w:rFonts w:hint="eastAsia"/>
          <w:lang w:eastAsia="zh-CN"/>
        </w:rPr>
        <w:t>以下按到期日（剩余期限）和币种分列各不同定期投资：</w:t>
      </w:r>
    </w:p>
    <w:p w14:paraId="3C3B4E0A" w14:textId="77777777" w:rsidR="00232E78" w:rsidRPr="000C156A" w:rsidRDefault="00232E78" w:rsidP="0084762D">
      <w:pPr>
        <w:pStyle w:val="Figure"/>
        <w:rPr>
          <w:lang w:eastAsia="zh-CN"/>
        </w:rPr>
      </w:pPr>
      <w:r w:rsidRPr="00F17791">
        <w:rPr>
          <w:rFonts w:hint="eastAsia"/>
          <w:noProof/>
        </w:rPr>
        <w:drawing>
          <wp:inline distT="0" distB="0" distL="0" distR="0" wp14:anchorId="342FDAA5" wp14:editId="4B3427C9">
            <wp:extent cx="4302321" cy="1510748"/>
            <wp:effectExtent l="0" t="0" r="3175" b="0"/>
            <wp:docPr id="8564218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06072" cy="1512065"/>
                    </a:xfrm>
                    <a:prstGeom prst="rect">
                      <a:avLst/>
                    </a:prstGeom>
                    <a:noFill/>
                    <a:ln>
                      <a:noFill/>
                    </a:ln>
                  </pic:spPr>
                </pic:pic>
              </a:graphicData>
            </a:graphic>
          </wp:inline>
        </w:drawing>
      </w:r>
    </w:p>
    <w:p w14:paraId="4A2DAB93" w14:textId="77777777" w:rsidR="00232E78" w:rsidRDefault="00232E78" w:rsidP="00232E78">
      <w:pPr>
        <w:pStyle w:val="Heading1"/>
        <w:tabs>
          <w:tab w:val="clear" w:pos="794"/>
        </w:tabs>
        <w:spacing w:before="240"/>
        <w:ind w:left="1134" w:hanging="1134"/>
        <w:rPr>
          <w:rFonts w:cs="Microsoft YaHei"/>
          <w:sz w:val="24"/>
          <w:szCs w:val="24"/>
          <w:lang w:val="fr-FR" w:eastAsia="zh-CN"/>
        </w:rPr>
      </w:pPr>
      <w:bookmarkStart w:id="391" w:name="_Toc305594743"/>
      <w:bookmarkStart w:id="392" w:name="_Toc482892567"/>
      <w:bookmarkStart w:id="393" w:name="_Toc482870832"/>
      <w:bookmarkStart w:id="394" w:name="_Toc329165783"/>
      <w:bookmarkStart w:id="395" w:name="_Toc511813750"/>
      <w:bookmarkStart w:id="396" w:name="_Toc511817833"/>
      <w:bookmarkStart w:id="397" w:name="_Toc520280733"/>
      <w:bookmarkStart w:id="398" w:name="_Toc10536828"/>
      <w:bookmarkStart w:id="399" w:name="_Toc41905869"/>
      <w:bookmarkStart w:id="400" w:name="_Toc41906898"/>
      <w:bookmarkStart w:id="401" w:name="_Toc41907979"/>
      <w:bookmarkStart w:id="402" w:name="_Toc41908047"/>
      <w:bookmarkStart w:id="403" w:name="_Toc73518685"/>
      <w:bookmarkStart w:id="404" w:name="_Toc73518832"/>
      <w:bookmarkStart w:id="405" w:name="_Toc73519232"/>
      <w:bookmarkStart w:id="406" w:name="_Toc73636271"/>
      <w:bookmarkStart w:id="407" w:name="_Toc163723292"/>
      <w:r w:rsidRPr="000C156A">
        <w:rPr>
          <w:rFonts w:cs="Microsoft YaHei" w:hint="eastAsia"/>
          <w:sz w:val="24"/>
          <w:szCs w:val="24"/>
          <w:lang w:val="fr-FR" w:eastAsia="zh-CN"/>
        </w:rPr>
        <w:t>说明</w:t>
      </w:r>
      <w:r>
        <w:rPr>
          <w:rFonts w:cs="Microsoft YaHei"/>
          <w:sz w:val="24"/>
          <w:szCs w:val="24"/>
          <w:lang w:eastAsia="zh-CN"/>
        </w:rPr>
        <w:t>9</w:t>
      </w:r>
      <w:r w:rsidRPr="000C156A">
        <w:rPr>
          <w:rFonts w:cs="Microsoft YaHei"/>
          <w:sz w:val="24"/>
          <w:szCs w:val="24"/>
          <w:lang w:eastAsia="zh-CN"/>
        </w:rPr>
        <w:tab/>
      </w:r>
      <w:bookmarkEnd w:id="391"/>
      <w:r w:rsidRPr="000C156A">
        <w:rPr>
          <w:rFonts w:cs="Microsoft YaHei" w:hint="eastAsia"/>
          <w:sz w:val="24"/>
          <w:szCs w:val="24"/>
          <w:lang w:val="fr-FR" w:eastAsia="zh-CN"/>
        </w:rPr>
        <w:t>应收款项</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551C0D5A" w14:textId="77777777" w:rsidR="00232E78" w:rsidRPr="00E03EF0" w:rsidRDefault="00232E78" w:rsidP="0084762D">
      <w:pPr>
        <w:pStyle w:val="Figure"/>
        <w:rPr>
          <w:lang w:val="fr-FR" w:eastAsia="zh-CN"/>
        </w:rPr>
      </w:pPr>
      <w:r w:rsidRPr="001106CD">
        <w:rPr>
          <w:noProof/>
        </w:rPr>
        <w:drawing>
          <wp:inline distT="0" distB="0" distL="0" distR="0" wp14:anchorId="7C477C6F" wp14:editId="5D7D9AE5">
            <wp:extent cx="5760085" cy="3434715"/>
            <wp:effectExtent l="0" t="0" r="0" b="0"/>
            <wp:docPr id="2853155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60085" cy="3434715"/>
                    </a:xfrm>
                    <a:prstGeom prst="rect">
                      <a:avLst/>
                    </a:prstGeom>
                    <a:noFill/>
                    <a:ln>
                      <a:noFill/>
                    </a:ln>
                  </pic:spPr>
                </pic:pic>
              </a:graphicData>
            </a:graphic>
          </wp:inline>
        </w:drawing>
      </w:r>
    </w:p>
    <w:p w14:paraId="30392591" w14:textId="77777777" w:rsidR="00232E78" w:rsidRPr="00CE269B" w:rsidRDefault="00232E78" w:rsidP="00232E78">
      <w:pPr>
        <w:ind w:firstLineChars="200" w:firstLine="480"/>
        <w:rPr>
          <w:lang w:val="fr-FR" w:eastAsia="zh-CN"/>
        </w:rPr>
      </w:pPr>
      <w:r w:rsidRPr="000C156A">
        <w:rPr>
          <w:rFonts w:hint="eastAsia"/>
          <w:lang w:eastAsia="zh-CN"/>
        </w:rPr>
        <w:t>非流动、非兑换应收款项为成员承诺按照债务还款时间表</w:t>
      </w:r>
      <w:r w:rsidRPr="00CE269B">
        <w:rPr>
          <w:rFonts w:hint="eastAsia"/>
          <w:lang w:val="fr-FR" w:eastAsia="zh-CN"/>
        </w:rPr>
        <w:t>（</w:t>
      </w:r>
      <w:r w:rsidRPr="000C156A">
        <w:rPr>
          <w:rFonts w:hint="eastAsia"/>
          <w:lang w:eastAsia="zh-CN"/>
        </w:rPr>
        <w:t>在涵盖若干时期的协议框架范围内</w:t>
      </w:r>
      <w:r w:rsidRPr="00CE269B">
        <w:rPr>
          <w:rFonts w:hint="eastAsia"/>
          <w:lang w:val="fr-FR" w:eastAsia="zh-CN"/>
        </w:rPr>
        <w:t>）</w:t>
      </w:r>
      <w:r w:rsidRPr="000C156A">
        <w:rPr>
          <w:rFonts w:hint="eastAsia"/>
          <w:lang w:eastAsia="zh-CN"/>
        </w:rPr>
        <w:t>进行债务偿还的应收款项。</w:t>
      </w:r>
    </w:p>
    <w:p w14:paraId="1B62E66C" w14:textId="77777777" w:rsidR="00232E78" w:rsidRPr="00CE269B" w:rsidRDefault="00232E78" w:rsidP="00232E78">
      <w:pPr>
        <w:spacing w:after="120"/>
        <w:ind w:firstLineChars="200" w:firstLine="480"/>
        <w:rPr>
          <w:lang w:val="fr-FR" w:eastAsia="zh-CN"/>
        </w:rPr>
      </w:pPr>
      <w:r w:rsidRPr="000C156A">
        <w:rPr>
          <w:rFonts w:hint="eastAsia"/>
          <w:lang w:eastAsia="zh-CN"/>
        </w:rPr>
        <w:t>其它应收款项为与电信展览部服务和自愿捐款相关的、尚未收取的收入。</w:t>
      </w:r>
    </w:p>
    <w:p w14:paraId="3C2E804C" w14:textId="77777777" w:rsidR="00232E78" w:rsidRPr="00014D0F" w:rsidRDefault="00232E78" w:rsidP="00232E78">
      <w:pPr>
        <w:ind w:firstLineChars="200" w:firstLine="480"/>
        <w:rPr>
          <w:rFonts w:cs="Calibri"/>
          <w:b/>
          <w:sz w:val="22"/>
          <w:lang w:val="en-US" w:eastAsia="zh-CN"/>
        </w:rPr>
      </w:pPr>
      <w:bookmarkStart w:id="408" w:name="_Hlk40424775"/>
      <w:r w:rsidRPr="000C156A">
        <w:rPr>
          <w:rFonts w:hint="eastAsia"/>
          <w:lang w:eastAsia="zh-CN"/>
        </w:rPr>
        <w:t>在收到</w:t>
      </w:r>
      <w:r w:rsidRPr="00CE269B">
        <w:rPr>
          <w:lang w:val="fr-FR" w:eastAsia="zh-CN"/>
        </w:rPr>
        <w:t>480</w:t>
      </w:r>
      <w:proofErr w:type="gramStart"/>
      <w:r w:rsidRPr="000C156A">
        <w:rPr>
          <w:rFonts w:hint="eastAsia"/>
          <w:lang w:eastAsia="zh-CN"/>
        </w:rPr>
        <w:t>万瑞</w:t>
      </w:r>
      <w:proofErr w:type="gramEnd"/>
      <w:r w:rsidRPr="000C156A">
        <w:rPr>
          <w:rFonts w:hint="eastAsia"/>
          <w:lang w:eastAsia="zh-CN"/>
        </w:rPr>
        <w:t>郎的应收账</w:t>
      </w:r>
      <w:r>
        <w:rPr>
          <w:rFonts w:hint="eastAsia"/>
          <w:lang w:eastAsia="zh-CN"/>
        </w:rPr>
        <w:t>款</w:t>
      </w:r>
      <w:r w:rsidRPr="00CE269B">
        <w:rPr>
          <w:rFonts w:hint="eastAsia"/>
          <w:lang w:val="fr-FR" w:eastAsia="zh-CN"/>
        </w:rPr>
        <w:t>（</w:t>
      </w:r>
      <w:r w:rsidRPr="000C156A">
        <w:rPr>
          <w:rFonts w:hint="eastAsia"/>
          <w:lang w:eastAsia="zh-CN"/>
        </w:rPr>
        <w:t>已在过去若干年中</w:t>
      </w:r>
      <w:r>
        <w:rPr>
          <w:rFonts w:hint="eastAsia"/>
          <w:lang w:eastAsia="zh-CN"/>
        </w:rPr>
        <w:t>记为减值</w:t>
      </w:r>
      <w:r w:rsidRPr="00CE269B">
        <w:rPr>
          <w:rFonts w:hint="eastAsia"/>
          <w:lang w:val="fr-FR" w:eastAsia="zh-CN"/>
        </w:rPr>
        <w:t>）</w:t>
      </w:r>
      <w:r w:rsidRPr="000C156A">
        <w:rPr>
          <w:rFonts w:hint="eastAsia"/>
          <w:lang w:eastAsia="zh-CN"/>
        </w:rPr>
        <w:t>之后</w:t>
      </w:r>
      <w:r w:rsidRPr="00CE269B">
        <w:rPr>
          <w:rFonts w:hint="eastAsia"/>
          <w:lang w:val="fr-FR" w:eastAsia="zh-CN"/>
        </w:rPr>
        <w:t>，</w:t>
      </w:r>
      <w:r w:rsidRPr="000C156A">
        <w:rPr>
          <w:rFonts w:hint="eastAsia"/>
          <w:lang w:eastAsia="zh-CN"/>
        </w:rPr>
        <w:t>疑似债务</w:t>
      </w:r>
      <w:r>
        <w:rPr>
          <w:rFonts w:hint="eastAsia"/>
          <w:lang w:eastAsia="zh-CN"/>
        </w:rPr>
        <w:t>减值</w:t>
      </w:r>
      <w:r w:rsidRPr="000C156A">
        <w:rPr>
          <w:rFonts w:hint="eastAsia"/>
          <w:lang w:eastAsia="zh-CN"/>
        </w:rPr>
        <w:t>的数额相应下降。年底记录的正常预算相关疑似债务</w:t>
      </w:r>
      <w:r>
        <w:rPr>
          <w:rFonts w:hint="eastAsia"/>
          <w:lang w:eastAsia="zh-CN"/>
        </w:rPr>
        <w:t>减值</w:t>
      </w:r>
      <w:r w:rsidRPr="000C156A">
        <w:rPr>
          <w:rFonts w:hint="eastAsia"/>
          <w:lang w:eastAsia="zh-CN"/>
        </w:rPr>
        <w:t>调整为</w:t>
      </w:r>
      <w:r>
        <w:rPr>
          <w:rFonts w:hint="eastAsia"/>
          <w:lang w:eastAsia="zh-CN"/>
        </w:rPr>
        <w:t>1</w:t>
      </w:r>
      <w:r w:rsidRPr="000C156A">
        <w:rPr>
          <w:rFonts w:hint="eastAsia"/>
          <w:lang w:eastAsia="zh-CN"/>
        </w:rPr>
        <w:t>80</w:t>
      </w:r>
      <w:proofErr w:type="gramStart"/>
      <w:r w:rsidRPr="000C156A">
        <w:rPr>
          <w:rFonts w:hint="eastAsia"/>
          <w:lang w:eastAsia="zh-CN"/>
        </w:rPr>
        <w:t>万瑞</w:t>
      </w:r>
      <w:proofErr w:type="gramEnd"/>
      <w:r w:rsidRPr="000C156A">
        <w:rPr>
          <w:rFonts w:hint="eastAsia"/>
          <w:lang w:eastAsia="zh-CN"/>
        </w:rPr>
        <w:t>郎。</w:t>
      </w:r>
    </w:p>
    <w:bookmarkEnd w:id="408"/>
    <w:p w14:paraId="5EFCACE3" w14:textId="77777777" w:rsidR="00232E78" w:rsidRPr="000C156A" w:rsidRDefault="00232E78" w:rsidP="00232E78">
      <w:pPr>
        <w:spacing w:after="240"/>
        <w:ind w:firstLineChars="200" w:firstLine="480"/>
        <w:jc w:val="both"/>
        <w:rPr>
          <w:rFonts w:cs="Microsoft YaHei"/>
          <w:lang w:eastAsia="zh-CN"/>
        </w:rPr>
      </w:pPr>
      <w:r w:rsidRPr="005C7AA1">
        <w:rPr>
          <w:rFonts w:hint="eastAsia"/>
          <w:lang w:eastAsia="zh-CN"/>
        </w:rPr>
        <w:t>2022</w:t>
      </w:r>
      <w:r w:rsidRPr="005C7AA1">
        <w:rPr>
          <w:rFonts w:hint="eastAsia"/>
          <w:lang w:eastAsia="zh-CN"/>
        </w:rPr>
        <w:t>年，根据《公约》第</w:t>
      </w:r>
      <w:r w:rsidRPr="005C7AA1">
        <w:rPr>
          <w:rFonts w:hint="eastAsia"/>
          <w:lang w:eastAsia="zh-CN"/>
        </w:rPr>
        <w:t>33</w:t>
      </w:r>
      <w:r w:rsidRPr="005C7AA1">
        <w:rPr>
          <w:rFonts w:hint="eastAsia"/>
          <w:lang w:eastAsia="zh-CN"/>
        </w:rPr>
        <w:t>条第</w:t>
      </w:r>
      <w:r w:rsidRPr="005C7AA1">
        <w:rPr>
          <w:rFonts w:hint="eastAsia"/>
          <w:lang w:eastAsia="zh-CN"/>
        </w:rPr>
        <w:t>474</w:t>
      </w:r>
      <w:r w:rsidRPr="005C7AA1">
        <w:rPr>
          <w:rFonts w:hint="eastAsia"/>
          <w:lang w:eastAsia="zh-CN"/>
        </w:rPr>
        <w:t>款计算的逾期欠款利息为</w:t>
      </w:r>
      <w:r w:rsidRPr="005C7AA1">
        <w:rPr>
          <w:rFonts w:hint="eastAsia"/>
          <w:lang w:eastAsia="zh-CN"/>
        </w:rPr>
        <w:t>150</w:t>
      </w:r>
      <w:r w:rsidRPr="005C7AA1">
        <w:rPr>
          <w:rFonts w:hint="eastAsia"/>
          <w:lang w:eastAsia="zh-CN"/>
        </w:rPr>
        <w:t>万瑞郎（</w:t>
      </w:r>
      <w:r w:rsidRPr="005C7AA1">
        <w:rPr>
          <w:rFonts w:hint="eastAsia"/>
          <w:lang w:eastAsia="zh-CN"/>
        </w:rPr>
        <w:t>2021</w:t>
      </w:r>
      <w:r w:rsidRPr="005C7AA1">
        <w:rPr>
          <w:rFonts w:hint="eastAsia"/>
          <w:lang w:eastAsia="zh-CN"/>
        </w:rPr>
        <w:t>年</w:t>
      </w:r>
      <w:r>
        <w:rPr>
          <w:rFonts w:hint="eastAsia"/>
          <w:lang w:eastAsia="zh-CN"/>
        </w:rPr>
        <w:t>：</w:t>
      </w:r>
      <w:r w:rsidRPr="005C7AA1">
        <w:rPr>
          <w:rFonts w:hint="eastAsia"/>
          <w:lang w:eastAsia="zh-CN"/>
        </w:rPr>
        <w:t>180</w:t>
      </w:r>
      <w:r w:rsidRPr="005C7AA1">
        <w:rPr>
          <w:rFonts w:hint="eastAsia"/>
          <w:lang w:eastAsia="zh-CN"/>
        </w:rPr>
        <w:t>万瑞郎）。</w:t>
      </w:r>
    </w:p>
    <w:p w14:paraId="1E817308" w14:textId="550FC095" w:rsidR="00232E78" w:rsidRPr="00EF4B50" w:rsidRDefault="00CE269B" w:rsidP="00232E78">
      <w:pPr>
        <w:spacing w:after="240"/>
        <w:ind w:firstLineChars="200" w:firstLine="480"/>
        <w:jc w:val="both"/>
        <w:rPr>
          <w:lang w:eastAsia="zh-CN"/>
        </w:rPr>
      </w:pPr>
      <w:hyperlink r:id="rId47" w:history="1">
        <w:r w:rsidR="00232E78" w:rsidRPr="00CE269B">
          <w:rPr>
            <w:rStyle w:val="Hyperlink"/>
            <w:lang w:eastAsia="zh-CN"/>
          </w:rPr>
          <w:t>C23/INF/4</w:t>
        </w:r>
      </w:hyperlink>
      <w:r w:rsidR="00232E78">
        <w:rPr>
          <w:rFonts w:hint="eastAsia"/>
          <w:color w:val="000000" w:themeColor="text1"/>
          <w:lang w:eastAsia="zh-CN"/>
        </w:rPr>
        <w:t>号</w:t>
      </w:r>
      <w:r w:rsidR="00232E78" w:rsidRPr="000C156A">
        <w:rPr>
          <w:rFonts w:cs="Microsoft YaHei" w:hint="eastAsia"/>
          <w:lang w:eastAsia="zh-CN"/>
        </w:rPr>
        <w:t>文件显示了截至</w:t>
      </w:r>
      <w:r w:rsidR="00232E78" w:rsidRPr="000C156A">
        <w:rPr>
          <w:lang w:eastAsia="zh-CN"/>
        </w:rPr>
        <w:t>20</w:t>
      </w:r>
      <w:r w:rsidR="00232E78" w:rsidRPr="000C156A">
        <w:rPr>
          <w:rFonts w:hint="eastAsia"/>
          <w:lang w:eastAsia="zh-CN"/>
        </w:rPr>
        <w:t>2</w:t>
      </w:r>
      <w:r w:rsidR="00232E78">
        <w:rPr>
          <w:lang w:eastAsia="zh-CN"/>
        </w:rPr>
        <w:t>2</w:t>
      </w:r>
      <w:r w:rsidR="00232E78" w:rsidRPr="000C156A">
        <w:rPr>
          <w:rFonts w:cs="Microsoft YaHei" w:hint="eastAsia"/>
          <w:lang w:eastAsia="zh-CN"/>
        </w:rPr>
        <w:t>年</w:t>
      </w:r>
      <w:r w:rsidR="00232E78" w:rsidRPr="000C156A">
        <w:rPr>
          <w:lang w:eastAsia="zh-CN"/>
        </w:rPr>
        <w:t>12</w:t>
      </w:r>
      <w:r w:rsidR="00232E78" w:rsidRPr="000C156A">
        <w:rPr>
          <w:rFonts w:cs="Microsoft YaHei" w:hint="eastAsia"/>
          <w:lang w:eastAsia="zh-CN"/>
        </w:rPr>
        <w:t>月</w:t>
      </w:r>
      <w:r w:rsidR="00232E78" w:rsidRPr="000C156A">
        <w:rPr>
          <w:lang w:eastAsia="zh-CN"/>
        </w:rPr>
        <w:t>31</w:t>
      </w:r>
      <w:r w:rsidR="00232E78" w:rsidRPr="000C156A">
        <w:rPr>
          <w:rFonts w:cs="Microsoft YaHei" w:hint="eastAsia"/>
          <w:lang w:eastAsia="zh-CN"/>
        </w:rPr>
        <w:t>日国际电联正常预算的欠款状况。</w:t>
      </w:r>
    </w:p>
    <w:p w14:paraId="6726C954" w14:textId="77777777" w:rsidR="00232E78" w:rsidRDefault="00232E78" w:rsidP="00232E78">
      <w:pPr>
        <w:pStyle w:val="Heading1"/>
        <w:tabs>
          <w:tab w:val="clear" w:pos="794"/>
        </w:tabs>
        <w:ind w:left="1134" w:hanging="1134"/>
        <w:rPr>
          <w:rFonts w:cs="Microsoft YaHei"/>
          <w:sz w:val="24"/>
          <w:szCs w:val="24"/>
          <w:lang w:val="fr-FR"/>
        </w:rPr>
      </w:pPr>
      <w:bookmarkStart w:id="409" w:name="_Toc482870833"/>
      <w:bookmarkStart w:id="410" w:name="_Toc482892568"/>
      <w:bookmarkStart w:id="411" w:name="_Toc511813751"/>
      <w:bookmarkStart w:id="412" w:name="_Toc511817834"/>
      <w:bookmarkStart w:id="413" w:name="_Toc520280734"/>
      <w:bookmarkStart w:id="414" w:name="_Toc10536829"/>
      <w:bookmarkStart w:id="415" w:name="_Toc41905870"/>
      <w:bookmarkStart w:id="416" w:name="_Toc41906899"/>
      <w:bookmarkStart w:id="417" w:name="_Toc41907980"/>
      <w:bookmarkStart w:id="418" w:name="_Toc41908048"/>
      <w:bookmarkStart w:id="419" w:name="_Toc73518686"/>
      <w:bookmarkStart w:id="420" w:name="_Toc73518833"/>
      <w:bookmarkStart w:id="421" w:name="_Toc73519233"/>
      <w:bookmarkStart w:id="422" w:name="_Toc73636272"/>
      <w:bookmarkStart w:id="423" w:name="_Toc163723293"/>
      <w:r w:rsidRPr="000C156A">
        <w:rPr>
          <w:rFonts w:cs="Microsoft YaHei" w:hint="eastAsia"/>
          <w:sz w:val="24"/>
          <w:szCs w:val="24"/>
          <w:lang w:val="fr-FR"/>
        </w:rPr>
        <w:t>说明</w:t>
      </w:r>
      <w:r>
        <w:rPr>
          <w:rFonts w:cs="Microsoft YaHei"/>
          <w:sz w:val="24"/>
          <w:szCs w:val="24"/>
          <w:lang w:val="fr-FR"/>
        </w:rPr>
        <w:t>10</w:t>
      </w:r>
      <w:r w:rsidRPr="000C156A">
        <w:rPr>
          <w:rFonts w:cs="Microsoft YaHei"/>
          <w:sz w:val="24"/>
          <w:szCs w:val="24"/>
          <w:lang w:val="fr-FR"/>
        </w:rPr>
        <w:tab/>
      </w:r>
      <w:r w:rsidRPr="000C156A">
        <w:rPr>
          <w:rFonts w:cs="Microsoft YaHei" w:hint="eastAsia"/>
          <w:sz w:val="24"/>
          <w:szCs w:val="24"/>
          <w:lang w:val="fr-FR"/>
        </w:rPr>
        <w:t>库存</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6068A09" w14:textId="77777777" w:rsidR="00232E78" w:rsidRPr="00761EA0" w:rsidRDefault="00232E78" w:rsidP="0084762D">
      <w:pPr>
        <w:pStyle w:val="Figure"/>
        <w:rPr>
          <w:lang w:val="fr-FR"/>
        </w:rPr>
      </w:pPr>
      <w:r w:rsidRPr="001106CD">
        <w:rPr>
          <w:noProof/>
        </w:rPr>
        <w:drawing>
          <wp:inline distT="0" distB="0" distL="0" distR="0" wp14:anchorId="36AC24AD" wp14:editId="4EF543C8">
            <wp:extent cx="4378724" cy="1240404"/>
            <wp:effectExtent l="0" t="0" r="3175" b="0"/>
            <wp:docPr id="6580834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379603" cy="1240653"/>
                    </a:xfrm>
                    <a:prstGeom prst="rect">
                      <a:avLst/>
                    </a:prstGeom>
                    <a:noFill/>
                    <a:ln>
                      <a:noFill/>
                    </a:ln>
                  </pic:spPr>
                </pic:pic>
              </a:graphicData>
            </a:graphic>
          </wp:inline>
        </w:drawing>
      </w:r>
    </w:p>
    <w:p w14:paraId="53EA5209" w14:textId="77777777" w:rsidR="00232E78" w:rsidRDefault="00232E78" w:rsidP="00232E78">
      <w:pPr>
        <w:pStyle w:val="Heading1"/>
        <w:tabs>
          <w:tab w:val="clear" w:pos="794"/>
        </w:tabs>
        <w:spacing w:after="120"/>
        <w:ind w:left="1134" w:hanging="1134"/>
        <w:rPr>
          <w:rFonts w:cs="Microsoft YaHei"/>
          <w:sz w:val="24"/>
          <w:szCs w:val="24"/>
          <w:lang w:val="fr-FR"/>
        </w:rPr>
      </w:pPr>
      <w:bookmarkStart w:id="424" w:name="_Toc329165785"/>
      <w:bookmarkStart w:id="425" w:name="_Toc482892569"/>
      <w:bookmarkStart w:id="426" w:name="_Toc482870834"/>
      <w:bookmarkStart w:id="427" w:name="_Toc511813752"/>
      <w:bookmarkStart w:id="428" w:name="_Toc511817835"/>
      <w:bookmarkStart w:id="429" w:name="_Toc520280735"/>
      <w:bookmarkStart w:id="430" w:name="_Toc10536830"/>
      <w:bookmarkStart w:id="431" w:name="_Toc41905871"/>
      <w:bookmarkStart w:id="432" w:name="_Toc41906900"/>
      <w:bookmarkStart w:id="433" w:name="_Toc41907981"/>
      <w:bookmarkStart w:id="434" w:name="_Toc41908049"/>
      <w:bookmarkStart w:id="435" w:name="_Toc73518687"/>
      <w:bookmarkStart w:id="436" w:name="_Toc73518834"/>
      <w:bookmarkStart w:id="437" w:name="_Toc73519234"/>
      <w:bookmarkStart w:id="438" w:name="_Toc73636273"/>
      <w:bookmarkStart w:id="439" w:name="_Toc163723294"/>
      <w:r w:rsidRPr="000C156A">
        <w:rPr>
          <w:rFonts w:cs="Microsoft YaHei" w:hint="eastAsia"/>
          <w:sz w:val="24"/>
          <w:szCs w:val="24"/>
          <w:lang w:val="fr-FR"/>
        </w:rPr>
        <w:t>说明</w:t>
      </w:r>
      <w:r w:rsidRPr="000C156A">
        <w:rPr>
          <w:rFonts w:cs="Microsoft YaHei"/>
          <w:sz w:val="24"/>
          <w:szCs w:val="24"/>
          <w:lang w:val="fr-FR"/>
        </w:rPr>
        <w:t>1</w:t>
      </w:r>
      <w:r>
        <w:rPr>
          <w:rFonts w:cs="Microsoft YaHei"/>
          <w:sz w:val="24"/>
          <w:szCs w:val="24"/>
          <w:lang w:val="fr-FR"/>
        </w:rPr>
        <w:t>1</w:t>
      </w:r>
      <w:r w:rsidRPr="000C156A">
        <w:rPr>
          <w:rFonts w:cs="Microsoft YaHei"/>
          <w:sz w:val="24"/>
          <w:szCs w:val="24"/>
          <w:lang w:val="fr-FR"/>
        </w:rPr>
        <w:tab/>
      </w:r>
      <w:r w:rsidRPr="000C156A">
        <w:rPr>
          <w:rFonts w:cs="Microsoft YaHei" w:hint="eastAsia"/>
          <w:sz w:val="24"/>
          <w:szCs w:val="24"/>
          <w:lang w:val="fr-FR"/>
        </w:rPr>
        <w:t>其它应收款项</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5F5A0A25" w14:textId="77777777" w:rsidR="00232E78" w:rsidRPr="00761EA0" w:rsidRDefault="00232E78" w:rsidP="0084762D">
      <w:pPr>
        <w:pStyle w:val="Figure"/>
        <w:rPr>
          <w:lang w:val="fr-FR"/>
        </w:rPr>
      </w:pPr>
      <w:r w:rsidRPr="00636B0E">
        <w:rPr>
          <w:noProof/>
        </w:rPr>
        <w:drawing>
          <wp:inline distT="0" distB="0" distL="0" distR="0" wp14:anchorId="156C7101" wp14:editId="7C38016F">
            <wp:extent cx="5383530" cy="1744980"/>
            <wp:effectExtent l="0" t="0" r="7620" b="7620"/>
            <wp:docPr id="132918817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83530" cy="1744980"/>
                    </a:xfrm>
                    <a:prstGeom prst="rect">
                      <a:avLst/>
                    </a:prstGeom>
                    <a:noFill/>
                    <a:ln>
                      <a:noFill/>
                    </a:ln>
                  </pic:spPr>
                </pic:pic>
              </a:graphicData>
            </a:graphic>
          </wp:inline>
        </w:drawing>
      </w:r>
    </w:p>
    <w:p w14:paraId="1C441658" w14:textId="77777777" w:rsidR="00232E78" w:rsidRPr="00CE269B" w:rsidRDefault="00232E78" w:rsidP="00232E78">
      <w:pPr>
        <w:pStyle w:val="Heading1"/>
        <w:tabs>
          <w:tab w:val="clear" w:pos="794"/>
        </w:tabs>
        <w:ind w:left="1134" w:hanging="1134"/>
        <w:rPr>
          <w:rFonts w:cs="Microsoft YaHei"/>
          <w:sz w:val="24"/>
          <w:szCs w:val="24"/>
          <w:lang w:val="fr-FR" w:eastAsia="zh-CN"/>
        </w:rPr>
      </w:pPr>
      <w:bookmarkStart w:id="440" w:name="_Toc482892570"/>
      <w:bookmarkStart w:id="441" w:name="_Toc482870835"/>
      <w:bookmarkStart w:id="442" w:name="_Toc329165786"/>
      <w:bookmarkStart w:id="443" w:name="_Toc305594745"/>
      <w:bookmarkStart w:id="444" w:name="_Toc511813753"/>
      <w:bookmarkStart w:id="445" w:name="_Toc511817836"/>
      <w:bookmarkStart w:id="446" w:name="_Toc520280736"/>
      <w:bookmarkStart w:id="447" w:name="_Toc10536831"/>
      <w:bookmarkStart w:id="448" w:name="_Toc41905872"/>
      <w:bookmarkStart w:id="449" w:name="_Toc41906901"/>
      <w:bookmarkStart w:id="450" w:name="_Toc41907982"/>
      <w:bookmarkStart w:id="451" w:name="_Toc41908050"/>
      <w:bookmarkStart w:id="452" w:name="_Toc73518688"/>
      <w:bookmarkStart w:id="453" w:name="_Toc73518835"/>
      <w:bookmarkStart w:id="454" w:name="_Toc73519235"/>
      <w:bookmarkStart w:id="455" w:name="_Toc73636274"/>
      <w:bookmarkStart w:id="456" w:name="_Toc163723295"/>
      <w:r w:rsidRPr="000C156A">
        <w:rPr>
          <w:rFonts w:cs="Microsoft YaHei" w:hint="eastAsia"/>
          <w:sz w:val="24"/>
          <w:szCs w:val="24"/>
          <w:lang w:val="fr-FR" w:eastAsia="zh-CN"/>
        </w:rPr>
        <w:t>说明</w:t>
      </w:r>
      <w:r w:rsidRPr="00CE269B">
        <w:rPr>
          <w:rFonts w:cs="Microsoft YaHei"/>
          <w:sz w:val="24"/>
          <w:szCs w:val="24"/>
          <w:lang w:val="fr-FR" w:eastAsia="zh-CN"/>
        </w:rPr>
        <w:t>12</w:t>
      </w:r>
      <w:r w:rsidRPr="00CE269B">
        <w:rPr>
          <w:rFonts w:cs="Microsoft YaHei"/>
          <w:sz w:val="24"/>
          <w:szCs w:val="24"/>
          <w:lang w:val="fr-FR" w:eastAsia="zh-CN"/>
        </w:rPr>
        <w:tab/>
      </w:r>
      <w:r w:rsidRPr="000C156A">
        <w:rPr>
          <w:rFonts w:cs="Microsoft YaHei" w:hint="eastAsia"/>
          <w:sz w:val="24"/>
          <w:szCs w:val="24"/>
          <w:lang w:val="fr-FR" w:eastAsia="zh-CN"/>
        </w:rPr>
        <w:t>财产和设备</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7B19ECD5" w14:textId="77777777" w:rsidR="00232E78" w:rsidRPr="00CE269B" w:rsidRDefault="00232E78" w:rsidP="00232E78">
      <w:pPr>
        <w:ind w:firstLineChars="200" w:firstLine="480"/>
        <w:rPr>
          <w:lang w:val="fr-FR" w:eastAsia="zh-CN"/>
        </w:rPr>
      </w:pPr>
      <w:r w:rsidRPr="000C156A">
        <w:rPr>
          <w:rFonts w:hint="eastAsia"/>
          <w:lang w:eastAsia="zh-CN"/>
        </w:rPr>
        <w:t>国际电联办公楼包括下列楼宇</w:t>
      </w:r>
      <w:r w:rsidRPr="00CE269B">
        <w:rPr>
          <w:rFonts w:hint="eastAsia"/>
          <w:lang w:val="fr-FR" w:eastAsia="zh-CN"/>
        </w:rPr>
        <w:t>：</w:t>
      </w:r>
    </w:p>
    <w:p w14:paraId="2C9F906E" w14:textId="77777777" w:rsidR="00232E78" w:rsidRPr="00CE269B" w:rsidRDefault="00232E78" w:rsidP="00232E78">
      <w:pPr>
        <w:pStyle w:val="enumlev1"/>
        <w:rPr>
          <w:lang w:val="fr-CH" w:eastAsia="zh-CN"/>
        </w:rPr>
      </w:pPr>
      <w:r w:rsidRPr="00CE269B">
        <w:rPr>
          <w:lang w:val="fr-CH"/>
        </w:rPr>
        <w:t>–</w:t>
      </w:r>
      <w:r w:rsidRPr="00CE269B">
        <w:rPr>
          <w:lang w:val="fr-CH"/>
        </w:rPr>
        <w:tab/>
      </w:r>
      <w:proofErr w:type="spellStart"/>
      <w:r w:rsidRPr="000C156A">
        <w:rPr>
          <w:rFonts w:hint="eastAsia"/>
        </w:rPr>
        <w:t>塔楼</w:t>
      </w:r>
      <w:r w:rsidRPr="00CE269B">
        <w:rPr>
          <w:rFonts w:hint="eastAsia"/>
          <w:lang w:val="fr-CH"/>
        </w:rPr>
        <w:t>，</w:t>
      </w:r>
      <w:r w:rsidRPr="000C156A">
        <w:rPr>
          <w:rFonts w:hint="eastAsia"/>
        </w:rPr>
        <w:t>日内瓦</w:t>
      </w:r>
      <w:proofErr w:type="spellEnd"/>
      <w:r w:rsidRPr="00CE269B">
        <w:rPr>
          <w:lang w:val="fr-CH"/>
        </w:rPr>
        <w:t xml:space="preserve">rue de </w:t>
      </w:r>
      <w:proofErr w:type="spellStart"/>
      <w:r w:rsidRPr="00CE269B">
        <w:rPr>
          <w:lang w:val="fr-CH"/>
        </w:rPr>
        <w:t>Varembé</w:t>
      </w:r>
      <w:proofErr w:type="spellEnd"/>
      <w:r w:rsidRPr="00CE269B">
        <w:rPr>
          <w:rFonts w:hint="eastAsia"/>
          <w:lang w:val="fr-CH" w:eastAsia="zh-CN"/>
        </w:rPr>
        <w:t>；</w:t>
      </w:r>
    </w:p>
    <w:p w14:paraId="007498EB" w14:textId="77777777" w:rsidR="00232E78" w:rsidRPr="000C156A" w:rsidRDefault="00232E78" w:rsidP="00232E78">
      <w:pPr>
        <w:pStyle w:val="enumlev1"/>
      </w:pPr>
      <w:r w:rsidRPr="00CE269B">
        <w:rPr>
          <w:lang w:val="fr-CH"/>
        </w:rPr>
        <w:t>–</w:t>
      </w:r>
      <w:r w:rsidRPr="00CE269B">
        <w:rPr>
          <w:lang w:val="fr-CH"/>
        </w:rPr>
        <w:tab/>
      </w:r>
      <w:proofErr w:type="spellStart"/>
      <w:r w:rsidRPr="00CE269B">
        <w:rPr>
          <w:lang w:val="fr-CH"/>
        </w:rPr>
        <w:t>Varembé</w:t>
      </w:r>
      <w:r w:rsidRPr="000C156A">
        <w:rPr>
          <w:rFonts w:hint="eastAsia"/>
        </w:rPr>
        <w:t>楼</w:t>
      </w:r>
      <w:r w:rsidRPr="00CE269B">
        <w:rPr>
          <w:rFonts w:hint="eastAsia"/>
          <w:lang w:val="fr-CH"/>
        </w:rPr>
        <w:t>，</w:t>
      </w:r>
      <w:r w:rsidRPr="000C156A">
        <w:rPr>
          <w:rFonts w:hint="eastAsia"/>
        </w:rPr>
        <w:t>日内瓦</w:t>
      </w:r>
      <w:proofErr w:type="spellEnd"/>
      <w:r w:rsidRPr="00CE269B">
        <w:rPr>
          <w:lang w:val="fr-CH"/>
        </w:rPr>
        <w:t xml:space="preserve">rue de </w:t>
      </w:r>
      <w:proofErr w:type="spellStart"/>
      <w:r w:rsidRPr="00CE269B">
        <w:rPr>
          <w:lang w:val="fr-CH"/>
        </w:rPr>
        <w:t>Varembé</w:t>
      </w:r>
      <w:proofErr w:type="spellEnd"/>
      <w:r w:rsidRPr="00CE269B">
        <w:rPr>
          <w:lang w:val="fr-CH"/>
        </w:rPr>
        <w:t>；</w:t>
      </w:r>
      <w:proofErr w:type="spellStart"/>
      <w:r w:rsidRPr="00966B55">
        <w:rPr>
          <w:rFonts w:hint="eastAsia"/>
        </w:rPr>
        <w:t>由于预期新楼项目将于</w:t>
      </w:r>
      <w:proofErr w:type="spellEnd"/>
      <w:r w:rsidRPr="00CE269B">
        <w:rPr>
          <w:rFonts w:hint="eastAsia"/>
          <w:lang w:val="fr-CH"/>
        </w:rPr>
        <w:t>2022</w:t>
      </w:r>
      <w:r w:rsidRPr="00966B55">
        <w:rPr>
          <w:rFonts w:hint="eastAsia"/>
        </w:rPr>
        <w:t>年</w:t>
      </w:r>
      <w:r w:rsidRPr="00CE269B">
        <w:rPr>
          <w:rFonts w:hint="eastAsia"/>
          <w:lang w:val="fr-CH"/>
        </w:rPr>
        <w:t>12</w:t>
      </w:r>
      <w:r w:rsidRPr="00966B55">
        <w:rPr>
          <w:rFonts w:hint="eastAsia"/>
        </w:rPr>
        <w:t>月</w:t>
      </w:r>
      <w:r w:rsidRPr="00CE269B">
        <w:rPr>
          <w:rFonts w:hint="eastAsia"/>
          <w:lang w:val="fr-CH"/>
        </w:rPr>
        <w:t>31</w:t>
      </w:r>
      <w:proofErr w:type="spellStart"/>
      <w:r w:rsidRPr="00966B55">
        <w:rPr>
          <w:rFonts w:hint="eastAsia"/>
        </w:rPr>
        <w:t>日动工</w:t>
      </w:r>
      <w:r w:rsidRPr="00CE269B">
        <w:rPr>
          <w:rFonts w:hint="eastAsia"/>
          <w:lang w:val="fr-CH"/>
        </w:rPr>
        <w:t>，</w:t>
      </w:r>
      <w:r w:rsidRPr="00966B55">
        <w:rPr>
          <w:rFonts w:hint="eastAsia"/>
        </w:rPr>
        <w:t>该大楼已全额折旧</w:t>
      </w:r>
      <w:proofErr w:type="spellEnd"/>
      <w:r w:rsidRPr="00CE269B">
        <w:rPr>
          <w:rFonts w:hint="eastAsia"/>
          <w:lang w:val="fr-CH"/>
        </w:rPr>
        <w:t>（</w:t>
      </w:r>
      <w:r w:rsidRPr="00CE269B">
        <w:rPr>
          <w:rFonts w:hint="eastAsia"/>
          <w:lang w:val="fr-CH"/>
        </w:rPr>
        <w:t>*</w:t>
      </w:r>
      <w:proofErr w:type="spellStart"/>
      <w:r w:rsidRPr="00966B55">
        <w:rPr>
          <w:rFonts w:hint="eastAsia"/>
        </w:rPr>
        <w:t>见下表</w:t>
      </w:r>
      <w:proofErr w:type="spellEnd"/>
      <w:r w:rsidRPr="00CE269B">
        <w:rPr>
          <w:rFonts w:hint="eastAsia"/>
          <w:lang w:val="fr-CH"/>
        </w:rPr>
        <w:t>）</w:t>
      </w:r>
      <w:r w:rsidRPr="00966B55">
        <w:rPr>
          <w:rFonts w:hint="eastAsia"/>
        </w:rPr>
        <w:t>。</w:t>
      </w:r>
      <w:proofErr w:type="spellStart"/>
      <w:r w:rsidRPr="00966B55">
        <w:rPr>
          <w:rFonts w:hint="eastAsia"/>
        </w:rPr>
        <w:t>目前这座</w:t>
      </w:r>
      <w:proofErr w:type="spellEnd"/>
      <w:r>
        <w:rPr>
          <w:rFonts w:hint="eastAsia"/>
          <w:lang w:eastAsia="zh-CN"/>
        </w:rPr>
        <w:t>旧楼</w:t>
      </w:r>
      <w:r w:rsidRPr="00966B55">
        <w:rPr>
          <w:rFonts w:hint="eastAsia"/>
        </w:rPr>
        <w:t>仍在使用</w:t>
      </w:r>
      <w:r>
        <w:rPr>
          <w:rFonts w:hint="eastAsia"/>
          <w:lang w:eastAsia="zh-CN"/>
        </w:rPr>
        <w:t>；</w:t>
      </w:r>
    </w:p>
    <w:p w14:paraId="141B1164" w14:textId="77777777" w:rsidR="00232E78" w:rsidRPr="000C156A" w:rsidRDefault="00232E78" w:rsidP="00232E78">
      <w:pPr>
        <w:pStyle w:val="enumlev1"/>
      </w:pPr>
      <w:r w:rsidRPr="000C156A">
        <w:t>–</w:t>
      </w:r>
      <w:r w:rsidRPr="000C156A">
        <w:tab/>
        <w:t>C</w:t>
      </w:r>
      <w:r w:rsidRPr="000C156A">
        <w:rPr>
          <w:rFonts w:hint="eastAsia"/>
        </w:rPr>
        <w:t>翼和咖啡厅，日内瓦</w:t>
      </w:r>
      <w:r w:rsidRPr="000C156A">
        <w:t>rue de Varembé</w:t>
      </w:r>
      <w:r w:rsidRPr="000C156A">
        <w:t>；</w:t>
      </w:r>
    </w:p>
    <w:p w14:paraId="6D76EEA3" w14:textId="77777777" w:rsidR="00232E78" w:rsidRPr="000C156A" w:rsidRDefault="00232E78" w:rsidP="00232E78">
      <w:pPr>
        <w:pStyle w:val="enumlev1"/>
        <w:rPr>
          <w:lang w:eastAsia="zh-CN"/>
        </w:rPr>
      </w:pPr>
      <w:r w:rsidRPr="000C156A">
        <w:rPr>
          <w:lang w:eastAsia="zh-CN"/>
        </w:rPr>
        <w:t>–</w:t>
      </w:r>
      <w:r w:rsidRPr="000C156A">
        <w:rPr>
          <w:lang w:eastAsia="zh-CN"/>
        </w:rPr>
        <w:tab/>
        <w:t>Montbrillant</w:t>
      </w:r>
      <w:r w:rsidRPr="000C156A">
        <w:rPr>
          <w:rFonts w:hint="eastAsia"/>
          <w:lang w:eastAsia="zh-CN"/>
        </w:rPr>
        <w:t>楼，日内瓦</w:t>
      </w:r>
      <w:r w:rsidRPr="000C156A">
        <w:rPr>
          <w:lang w:eastAsia="zh-CN"/>
        </w:rPr>
        <w:t>rue de Varembé</w:t>
      </w:r>
      <w:r w:rsidRPr="000C156A">
        <w:rPr>
          <w:lang w:eastAsia="zh-CN"/>
        </w:rPr>
        <w:t>。</w:t>
      </w:r>
    </w:p>
    <w:p w14:paraId="06ADC93C" w14:textId="77777777" w:rsidR="00232E78" w:rsidRPr="00014D0F" w:rsidRDefault="00232E78" w:rsidP="00232E78">
      <w:pPr>
        <w:spacing w:after="120"/>
        <w:ind w:firstLineChars="200" w:firstLine="480"/>
        <w:rPr>
          <w:lang w:eastAsia="zh-CN"/>
        </w:rPr>
      </w:pPr>
      <w:r w:rsidRPr="000C156A">
        <w:rPr>
          <w:rFonts w:hint="eastAsia"/>
          <w:lang w:eastAsia="zh-CN"/>
        </w:rPr>
        <w:t>截至</w:t>
      </w:r>
      <w:r w:rsidRPr="000C156A">
        <w:rPr>
          <w:lang w:eastAsia="zh-CN"/>
        </w:rPr>
        <w:t>20</w:t>
      </w:r>
      <w:r w:rsidRPr="000C156A">
        <w:rPr>
          <w:rFonts w:hint="eastAsia"/>
          <w:lang w:eastAsia="zh-CN"/>
        </w:rPr>
        <w:t>2</w:t>
      </w:r>
      <w:r>
        <w:rPr>
          <w:lang w:eastAsia="zh-CN"/>
        </w:rPr>
        <w:t>2</w:t>
      </w:r>
      <w:r w:rsidRPr="000C156A">
        <w:rPr>
          <w:rFonts w:hint="eastAsia"/>
          <w:lang w:eastAsia="zh-CN"/>
        </w:rPr>
        <w:t>年</w:t>
      </w:r>
      <w:r w:rsidRPr="000C156A">
        <w:rPr>
          <w:lang w:eastAsia="zh-CN"/>
        </w:rPr>
        <w:t>12</w:t>
      </w:r>
      <w:r w:rsidRPr="000C156A">
        <w:rPr>
          <w:rFonts w:hint="eastAsia"/>
          <w:lang w:eastAsia="zh-CN"/>
        </w:rPr>
        <w:t>月没有任何财产、固定资产或设备被承诺作为债务抵押。</w:t>
      </w:r>
      <w:r w:rsidRPr="00966B55">
        <w:rPr>
          <w:rFonts w:hint="eastAsia"/>
          <w:lang w:val="en-US" w:eastAsia="zh-CN"/>
        </w:rPr>
        <w:t>国际电联</w:t>
      </w:r>
      <w:r>
        <w:rPr>
          <w:rFonts w:hint="eastAsia"/>
          <w:lang w:val="en-US" w:eastAsia="zh-CN"/>
        </w:rPr>
        <w:t>仍在</w:t>
      </w:r>
      <w:r w:rsidRPr="00966B55">
        <w:rPr>
          <w:rFonts w:hint="eastAsia"/>
          <w:lang w:val="en-US" w:eastAsia="zh-CN"/>
        </w:rPr>
        <w:t>维护</w:t>
      </w:r>
      <w:r>
        <w:rPr>
          <w:rFonts w:hint="eastAsia"/>
          <w:lang w:val="en-US" w:eastAsia="zh-CN"/>
        </w:rPr>
        <w:t>有关不动</w:t>
      </w:r>
      <w:r w:rsidRPr="00966B55">
        <w:rPr>
          <w:rFonts w:hint="eastAsia"/>
          <w:lang w:val="en-US" w:eastAsia="zh-CN"/>
        </w:rPr>
        <w:t>产、厂房和设备的全面清单。该</w:t>
      </w:r>
      <w:r>
        <w:rPr>
          <w:rFonts w:hint="eastAsia"/>
          <w:lang w:val="en-US" w:eastAsia="zh-CN"/>
        </w:rPr>
        <w:t>清单的内容</w:t>
      </w:r>
      <w:r w:rsidRPr="00966B55">
        <w:rPr>
          <w:rFonts w:hint="eastAsia"/>
          <w:lang w:val="en-US" w:eastAsia="zh-CN"/>
        </w:rPr>
        <w:t>包括已完全折旧但仍在</w:t>
      </w:r>
      <w:r>
        <w:rPr>
          <w:rFonts w:hint="eastAsia"/>
          <w:lang w:val="en-US" w:eastAsia="zh-CN"/>
        </w:rPr>
        <w:t>该</w:t>
      </w:r>
      <w:r w:rsidRPr="00966B55">
        <w:rPr>
          <w:rFonts w:hint="eastAsia"/>
          <w:lang w:val="en-US" w:eastAsia="zh-CN"/>
        </w:rPr>
        <w:t>组织内</w:t>
      </w:r>
      <w:r>
        <w:rPr>
          <w:rFonts w:hint="eastAsia"/>
          <w:lang w:val="en-US" w:eastAsia="zh-CN"/>
        </w:rPr>
        <w:t>部</w:t>
      </w:r>
      <w:r w:rsidRPr="00966B55">
        <w:rPr>
          <w:rFonts w:hint="eastAsia"/>
          <w:lang w:val="en-US" w:eastAsia="zh-CN"/>
        </w:rPr>
        <w:t>有效使用的资产。截至</w:t>
      </w:r>
      <w:r w:rsidRPr="00966B55">
        <w:rPr>
          <w:rFonts w:hint="eastAsia"/>
          <w:lang w:val="en-US" w:eastAsia="zh-CN"/>
        </w:rPr>
        <w:t>2022</w:t>
      </w:r>
      <w:r w:rsidRPr="00966B55">
        <w:rPr>
          <w:rFonts w:hint="eastAsia"/>
          <w:lang w:val="en-US" w:eastAsia="zh-CN"/>
        </w:rPr>
        <w:t>年</w:t>
      </w:r>
      <w:r w:rsidRPr="00966B55">
        <w:rPr>
          <w:rFonts w:hint="eastAsia"/>
          <w:lang w:val="en-US" w:eastAsia="zh-CN"/>
        </w:rPr>
        <w:t>12</w:t>
      </w:r>
      <w:r w:rsidRPr="00966B55">
        <w:rPr>
          <w:rFonts w:hint="eastAsia"/>
          <w:lang w:val="en-US" w:eastAsia="zh-CN"/>
        </w:rPr>
        <w:t>月</w:t>
      </w:r>
      <w:r w:rsidRPr="00966B55">
        <w:rPr>
          <w:rFonts w:hint="eastAsia"/>
          <w:lang w:val="en-US" w:eastAsia="zh-CN"/>
        </w:rPr>
        <w:t>31</w:t>
      </w:r>
      <w:r w:rsidRPr="00966B55">
        <w:rPr>
          <w:rFonts w:hint="eastAsia"/>
          <w:lang w:val="en-US" w:eastAsia="zh-CN"/>
        </w:rPr>
        <w:t>日仍在使用</w:t>
      </w:r>
      <w:r>
        <w:rPr>
          <w:rFonts w:hint="eastAsia"/>
          <w:lang w:val="en-US" w:eastAsia="zh-CN"/>
        </w:rPr>
        <w:t>且</w:t>
      </w:r>
      <w:r w:rsidRPr="00966B55">
        <w:rPr>
          <w:rFonts w:hint="eastAsia"/>
          <w:lang w:val="en-US" w:eastAsia="zh-CN"/>
        </w:rPr>
        <w:t>已完全折旧的</w:t>
      </w:r>
      <w:r>
        <w:rPr>
          <w:rFonts w:hint="eastAsia"/>
          <w:lang w:val="en-US" w:eastAsia="zh-CN"/>
        </w:rPr>
        <w:t>不动产</w:t>
      </w:r>
      <w:r w:rsidRPr="00966B55">
        <w:rPr>
          <w:rFonts w:hint="eastAsia"/>
          <w:lang w:val="en-US" w:eastAsia="zh-CN"/>
        </w:rPr>
        <w:t>、</w:t>
      </w:r>
      <w:r>
        <w:rPr>
          <w:rFonts w:hint="eastAsia"/>
          <w:lang w:val="en-US" w:eastAsia="zh-CN"/>
        </w:rPr>
        <w:t>厂房</w:t>
      </w:r>
      <w:r w:rsidRPr="00966B55">
        <w:rPr>
          <w:rFonts w:hint="eastAsia"/>
          <w:lang w:val="en-US" w:eastAsia="zh-CN"/>
        </w:rPr>
        <w:t>和设备的账面总值如下</w:t>
      </w:r>
      <w:r>
        <w:rPr>
          <w:rFonts w:hint="eastAsia"/>
          <w:lang w:val="en-US" w:eastAsia="zh-CN"/>
        </w:rPr>
        <w:t>：</w:t>
      </w:r>
    </w:p>
    <w:p w14:paraId="540DAEC7" w14:textId="77777777" w:rsidR="00232E78" w:rsidRPr="009665AE" w:rsidRDefault="00232E78" w:rsidP="0084762D">
      <w:pPr>
        <w:pStyle w:val="Figure"/>
        <w:keepNext w:val="0"/>
        <w:keepLines w:val="0"/>
        <w:spacing w:after="0"/>
        <w:rPr>
          <w:b/>
          <w:bCs/>
          <w:szCs w:val="24"/>
        </w:rPr>
      </w:pPr>
      <w:r w:rsidRPr="00D7784A">
        <w:rPr>
          <w:noProof/>
        </w:rPr>
        <w:drawing>
          <wp:inline distT="0" distB="0" distL="0" distR="0" wp14:anchorId="0B9C09DF" wp14:editId="7C335DF0">
            <wp:extent cx="3271520" cy="1365250"/>
            <wp:effectExtent l="0" t="0" r="5080" b="6350"/>
            <wp:docPr id="3831455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271520" cy="1365250"/>
                    </a:xfrm>
                    <a:prstGeom prst="rect">
                      <a:avLst/>
                    </a:prstGeom>
                    <a:noFill/>
                    <a:ln>
                      <a:noFill/>
                    </a:ln>
                  </pic:spPr>
                </pic:pic>
              </a:graphicData>
            </a:graphic>
          </wp:inline>
        </w:drawing>
      </w:r>
    </w:p>
    <w:p w14:paraId="2BF6FA09" w14:textId="77777777" w:rsidR="00232E78" w:rsidRPr="00AB698A" w:rsidRDefault="00232E78" w:rsidP="00232E78">
      <w:pPr>
        <w:pStyle w:val="Figuretitle"/>
        <w:spacing w:after="240"/>
      </w:pPr>
      <w:r w:rsidRPr="009665AE">
        <w:lastRenderedPageBreak/>
        <w:t>2022</w:t>
      </w:r>
      <w:r>
        <w:rPr>
          <w:rFonts w:hint="eastAsia"/>
          <w:lang w:eastAsia="zh-CN"/>
        </w:rPr>
        <w:t>年</w:t>
      </w:r>
    </w:p>
    <w:p w14:paraId="3CE2FAC5" w14:textId="77777777" w:rsidR="00232E78" w:rsidRDefault="00232E78" w:rsidP="0084762D">
      <w:pPr>
        <w:pStyle w:val="Figure"/>
        <w:rPr>
          <w:b/>
          <w:bCs/>
          <w:szCs w:val="24"/>
        </w:rPr>
      </w:pPr>
      <w:r w:rsidRPr="00010E49">
        <w:rPr>
          <w:noProof/>
        </w:rPr>
        <w:drawing>
          <wp:inline distT="0" distB="0" distL="0" distR="0" wp14:anchorId="59A7CDA7" wp14:editId="1589571D">
            <wp:extent cx="5760085" cy="2785745"/>
            <wp:effectExtent l="0" t="0" r="0" b="0"/>
            <wp:docPr id="57526093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60085" cy="2785745"/>
                    </a:xfrm>
                    <a:prstGeom prst="rect">
                      <a:avLst/>
                    </a:prstGeom>
                    <a:noFill/>
                    <a:ln>
                      <a:noFill/>
                    </a:ln>
                  </pic:spPr>
                </pic:pic>
              </a:graphicData>
            </a:graphic>
          </wp:inline>
        </w:drawing>
      </w:r>
    </w:p>
    <w:p w14:paraId="6ABB26B0" w14:textId="77777777" w:rsidR="00232E78" w:rsidRPr="0077555E" w:rsidRDefault="00232E78" w:rsidP="00232E78">
      <w:pPr>
        <w:pStyle w:val="Figuretitle"/>
        <w:spacing w:after="240"/>
      </w:pPr>
      <w:r w:rsidRPr="0077555E">
        <w:t>2021</w:t>
      </w:r>
      <w:r w:rsidRPr="0077555E">
        <w:rPr>
          <w:rFonts w:hint="eastAsia"/>
        </w:rPr>
        <w:t>年</w:t>
      </w:r>
    </w:p>
    <w:p w14:paraId="28C826F3" w14:textId="77777777" w:rsidR="00232E78" w:rsidRPr="00AB698A" w:rsidRDefault="00232E78" w:rsidP="0084762D">
      <w:pPr>
        <w:pStyle w:val="Figure"/>
        <w:rPr>
          <w:b/>
          <w:bCs/>
          <w:szCs w:val="24"/>
        </w:rPr>
      </w:pPr>
      <w:r w:rsidRPr="00010E49">
        <w:rPr>
          <w:noProof/>
        </w:rPr>
        <w:drawing>
          <wp:inline distT="0" distB="0" distL="0" distR="0" wp14:anchorId="50DFA609" wp14:editId="2EF19172">
            <wp:extent cx="5760085" cy="3305810"/>
            <wp:effectExtent l="0" t="0" r="0" b="8890"/>
            <wp:docPr id="17670406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60085" cy="3305810"/>
                    </a:xfrm>
                    <a:prstGeom prst="rect">
                      <a:avLst/>
                    </a:prstGeom>
                    <a:noFill/>
                    <a:ln>
                      <a:noFill/>
                    </a:ln>
                  </pic:spPr>
                </pic:pic>
              </a:graphicData>
            </a:graphic>
          </wp:inline>
        </w:drawing>
      </w:r>
    </w:p>
    <w:p w14:paraId="218AF92B" w14:textId="77777777" w:rsidR="00232E78" w:rsidRPr="004346EE" w:rsidRDefault="00232E78" w:rsidP="00232E78">
      <w:pPr>
        <w:pStyle w:val="Heading1"/>
        <w:tabs>
          <w:tab w:val="clear" w:pos="794"/>
        </w:tabs>
        <w:spacing w:before="240" w:after="240"/>
        <w:ind w:left="1134" w:hanging="1134"/>
        <w:rPr>
          <w:rFonts w:cs="Microsoft YaHei"/>
          <w:sz w:val="24"/>
          <w:szCs w:val="24"/>
          <w:lang w:eastAsia="zh-CN"/>
        </w:rPr>
      </w:pPr>
      <w:bookmarkStart w:id="457" w:name="_Toc482870836"/>
      <w:bookmarkStart w:id="458" w:name="_Toc482892571"/>
      <w:bookmarkStart w:id="459" w:name="_Toc511813754"/>
      <w:bookmarkStart w:id="460" w:name="_Toc511817837"/>
      <w:bookmarkStart w:id="461" w:name="_Toc520280737"/>
      <w:bookmarkStart w:id="462" w:name="_Toc10536832"/>
      <w:bookmarkStart w:id="463" w:name="_Toc41905873"/>
      <w:bookmarkStart w:id="464" w:name="_Toc41906902"/>
      <w:bookmarkStart w:id="465" w:name="_Toc41907983"/>
      <w:bookmarkStart w:id="466" w:name="_Toc41908051"/>
      <w:bookmarkStart w:id="467" w:name="_Toc73518689"/>
      <w:bookmarkStart w:id="468" w:name="_Toc73518836"/>
      <w:bookmarkStart w:id="469" w:name="_Toc73519236"/>
      <w:bookmarkStart w:id="470" w:name="_Toc73636275"/>
      <w:bookmarkStart w:id="471" w:name="_Toc163723296"/>
      <w:r w:rsidRPr="000C156A">
        <w:rPr>
          <w:rFonts w:cs="Microsoft YaHei" w:hint="eastAsia"/>
          <w:sz w:val="24"/>
          <w:szCs w:val="24"/>
          <w:lang w:val="fr-FR" w:eastAsia="zh-CN"/>
        </w:rPr>
        <w:t>说明</w:t>
      </w:r>
      <w:r w:rsidRPr="004346EE">
        <w:rPr>
          <w:rFonts w:cs="Microsoft YaHei"/>
          <w:sz w:val="24"/>
          <w:szCs w:val="24"/>
          <w:lang w:eastAsia="zh-CN"/>
        </w:rPr>
        <w:t>13</w:t>
      </w:r>
      <w:r w:rsidRPr="004346EE">
        <w:rPr>
          <w:rFonts w:cs="Microsoft YaHei"/>
          <w:sz w:val="24"/>
          <w:szCs w:val="24"/>
          <w:lang w:eastAsia="zh-CN"/>
        </w:rPr>
        <w:tab/>
      </w:r>
      <w:r w:rsidRPr="000C156A">
        <w:rPr>
          <w:rFonts w:cs="Microsoft YaHei" w:hint="eastAsia"/>
          <w:sz w:val="24"/>
          <w:szCs w:val="24"/>
          <w:lang w:val="fr-FR" w:eastAsia="zh-CN"/>
        </w:rPr>
        <w:t>无形资产</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6B85A5A2" w14:textId="77777777" w:rsidR="00232E78" w:rsidRDefault="00232E78" w:rsidP="00232E78">
      <w:pPr>
        <w:ind w:firstLineChars="200" w:firstLine="440"/>
        <w:rPr>
          <w:rFonts w:cs="Calibri"/>
          <w:sz w:val="22"/>
          <w:szCs w:val="22"/>
          <w:lang w:eastAsia="zh-CN"/>
        </w:rPr>
      </w:pPr>
      <w:r w:rsidRPr="00966B55">
        <w:rPr>
          <w:rFonts w:cs="Calibri" w:hint="eastAsia"/>
          <w:sz w:val="22"/>
          <w:szCs w:val="22"/>
          <w:lang w:eastAsia="zh-CN"/>
        </w:rPr>
        <w:t>根据</w:t>
      </w:r>
      <w:r>
        <w:rPr>
          <w:rFonts w:cs="Calibri" w:hint="eastAsia"/>
          <w:sz w:val="22"/>
          <w:szCs w:val="22"/>
          <w:lang w:eastAsia="zh-CN"/>
        </w:rPr>
        <w:t>国际电联</w:t>
      </w:r>
      <w:r w:rsidRPr="00966B55">
        <w:rPr>
          <w:rFonts w:cs="Calibri" w:hint="eastAsia"/>
          <w:sz w:val="22"/>
          <w:szCs w:val="22"/>
          <w:lang w:eastAsia="zh-CN"/>
        </w:rPr>
        <w:t>财务报告</w:t>
      </w:r>
      <w:r>
        <w:rPr>
          <w:rFonts w:cs="Calibri" w:hint="eastAsia"/>
          <w:sz w:val="22"/>
          <w:szCs w:val="22"/>
          <w:lang w:eastAsia="zh-CN"/>
        </w:rPr>
        <w:t>的做法</w:t>
      </w:r>
      <w:r w:rsidRPr="00966B55">
        <w:rPr>
          <w:rFonts w:cs="Calibri" w:hint="eastAsia"/>
          <w:sz w:val="22"/>
          <w:szCs w:val="22"/>
          <w:lang w:eastAsia="zh-CN"/>
        </w:rPr>
        <w:t>，我们评估了无形资产记录的</w:t>
      </w:r>
      <w:r>
        <w:rPr>
          <w:rFonts w:cs="Calibri" w:hint="eastAsia"/>
          <w:sz w:val="22"/>
          <w:szCs w:val="22"/>
          <w:lang w:eastAsia="zh-CN"/>
        </w:rPr>
        <w:t>实质性</w:t>
      </w:r>
      <w:r w:rsidRPr="00966B55">
        <w:rPr>
          <w:rFonts w:cs="Calibri" w:hint="eastAsia"/>
          <w:sz w:val="22"/>
          <w:szCs w:val="22"/>
          <w:lang w:eastAsia="zh-CN"/>
        </w:rPr>
        <w:t>水平，并</w:t>
      </w:r>
      <w:r>
        <w:rPr>
          <w:rFonts w:cs="Calibri" w:hint="eastAsia"/>
          <w:sz w:val="22"/>
          <w:szCs w:val="22"/>
          <w:lang w:eastAsia="zh-CN"/>
        </w:rPr>
        <w:t>确定</w:t>
      </w:r>
      <w:r w:rsidRPr="00966B55">
        <w:rPr>
          <w:rFonts w:cs="Calibri" w:hint="eastAsia"/>
          <w:sz w:val="22"/>
          <w:szCs w:val="22"/>
          <w:lang w:eastAsia="zh-CN"/>
        </w:rPr>
        <w:t>了</w:t>
      </w:r>
      <w:r>
        <w:rPr>
          <w:rFonts w:cs="Calibri" w:hint="eastAsia"/>
          <w:sz w:val="22"/>
          <w:szCs w:val="22"/>
          <w:lang w:eastAsia="zh-CN"/>
        </w:rPr>
        <w:t>实质性</w:t>
      </w:r>
      <w:r w:rsidRPr="00966B55">
        <w:rPr>
          <w:rFonts w:cs="Calibri" w:hint="eastAsia"/>
          <w:sz w:val="22"/>
          <w:szCs w:val="22"/>
          <w:lang w:eastAsia="zh-CN"/>
        </w:rPr>
        <w:t>门槛</w:t>
      </w:r>
      <w:r>
        <w:rPr>
          <w:rFonts w:cs="Calibri" w:hint="eastAsia"/>
          <w:sz w:val="22"/>
          <w:szCs w:val="22"/>
          <w:lang w:eastAsia="zh-CN"/>
        </w:rPr>
        <w:t>达</w:t>
      </w:r>
      <w:r w:rsidRPr="00966B55">
        <w:rPr>
          <w:rFonts w:cs="Calibri" w:hint="eastAsia"/>
          <w:sz w:val="22"/>
          <w:szCs w:val="22"/>
          <w:lang w:eastAsia="zh-CN"/>
        </w:rPr>
        <w:t>100</w:t>
      </w:r>
      <w:r>
        <w:rPr>
          <w:rFonts w:cs="Calibri"/>
          <w:sz w:val="22"/>
          <w:szCs w:val="22"/>
          <w:lang w:eastAsia="zh-CN"/>
        </w:rPr>
        <w:t xml:space="preserve"> </w:t>
      </w:r>
      <w:r w:rsidRPr="00966B55">
        <w:rPr>
          <w:rFonts w:cs="Calibri" w:hint="eastAsia"/>
          <w:sz w:val="22"/>
          <w:szCs w:val="22"/>
          <w:lang w:eastAsia="zh-CN"/>
        </w:rPr>
        <w:t>000</w:t>
      </w:r>
      <w:r w:rsidRPr="00966B55">
        <w:rPr>
          <w:rFonts w:cs="Calibri" w:hint="eastAsia"/>
          <w:sz w:val="22"/>
          <w:szCs w:val="22"/>
          <w:lang w:eastAsia="zh-CN"/>
        </w:rPr>
        <w:t>瑞郎的项目。截至</w:t>
      </w:r>
      <w:r w:rsidRPr="00966B55">
        <w:rPr>
          <w:rFonts w:cs="Calibri" w:hint="eastAsia"/>
          <w:sz w:val="22"/>
          <w:szCs w:val="22"/>
          <w:lang w:eastAsia="zh-CN"/>
        </w:rPr>
        <w:t>2022</w:t>
      </w:r>
      <w:r w:rsidRPr="00966B55">
        <w:rPr>
          <w:rFonts w:cs="Calibri" w:hint="eastAsia"/>
          <w:sz w:val="22"/>
          <w:szCs w:val="22"/>
          <w:lang w:eastAsia="zh-CN"/>
        </w:rPr>
        <w:t>年</w:t>
      </w:r>
      <w:r w:rsidRPr="00966B55">
        <w:rPr>
          <w:rFonts w:cs="Calibri" w:hint="eastAsia"/>
          <w:sz w:val="22"/>
          <w:szCs w:val="22"/>
          <w:lang w:eastAsia="zh-CN"/>
        </w:rPr>
        <w:t>12</w:t>
      </w:r>
      <w:r w:rsidRPr="00966B55">
        <w:rPr>
          <w:rFonts w:cs="Calibri" w:hint="eastAsia"/>
          <w:sz w:val="22"/>
          <w:szCs w:val="22"/>
          <w:lang w:eastAsia="zh-CN"/>
        </w:rPr>
        <w:t>月</w:t>
      </w:r>
      <w:r w:rsidRPr="00966B55">
        <w:rPr>
          <w:rFonts w:cs="Calibri" w:hint="eastAsia"/>
          <w:sz w:val="22"/>
          <w:szCs w:val="22"/>
          <w:lang w:eastAsia="zh-CN"/>
        </w:rPr>
        <w:t>31</w:t>
      </w:r>
      <w:r w:rsidRPr="00966B55">
        <w:rPr>
          <w:rFonts w:cs="Calibri" w:hint="eastAsia"/>
          <w:sz w:val="22"/>
          <w:szCs w:val="22"/>
          <w:lang w:eastAsia="zh-CN"/>
        </w:rPr>
        <w:t>日，我们</w:t>
      </w:r>
      <w:r>
        <w:rPr>
          <w:rFonts w:cs="Calibri" w:hint="eastAsia"/>
          <w:sz w:val="22"/>
          <w:szCs w:val="22"/>
          <w:lang w:eastAsia="zh-CN"/>
        </w:rPr>
        <w:t>通过</w:t>
      </w:r>
      <w:r w:rsidRPr="00966B55">
        <w:rPr>
          <w:rFonts w:cs="Calibri" w:hint="eastAsia"/>
          <w:sz w:val="22"/>
          <w:szCs w:val="22"/>
          <w:lang w:eastAsia="zh-CN"/>
        </w:rPr>
        <w:t>评估确定了无形资产类别中的</w:t>
      </w:r>
      <w:r w:rsidRPr="00966B55">
        <w:rPr>
          <w:rFonts w:cs="Calibri" w:hint="eastAsia"/>
          <w:sz w:val="22"/>
          <w:szCs w:val="22"/>
          <w:lang w:eastAsia="zh-CN"/>
        </w:rPr>
        <w:t>8</w:t>
      </w:r>
      <w:r w:rsidRPr="00966B55">
        <w:rPr>
          <w:rFonts w:cs="Calibri" w:hint="eastAsia"/>
          <w:sz w:val="22"/>
          <w:szCs w:val="22"/>
          <w:lang w:eastAsia="zh-CN"/>
        </w:rPr>
        <w:t>个项目，这些项目的有用经济寿命接近</w:t>
      </w:r>
      <w:r w:rsidRPr="00966B55">
        <w:rPr>
          <w:rFonts w:cs="Calibri" w:hint="eastAsia"/>
          <w:sz w:val="22"/>
          <w:szCs w:val="22"/>
          <w:lang w:eastAsia="zh-CN"/>
        </w:rPr>
        <w:t>2</w:t>
      </w:r>
      <w:r w:rsidRPr="00966B55">
        <w:rPr>
          <w:rFonts w:cs="Calibri" w:hint="eastAsia"/>
          <w:sz w:val="22"/>
          <w:szCs w:val="22"/>
          <w:lang w:eastAsia="zh-CN"/>
        </w:rPr>
        <w:t>年，价值</w:t>
      </w:r>
      <w:r>
        <w:rPr>
          <w:rFonts w:cs="Calibri" w:hint="eastAsia"/>
          <w:sz w:val="22"/>
          <w:szCs w:val="22"/>
          <w:lang w:eastAsia="zh-CN"/>
        </w:rPr>
        <w:t>为</w:t>
      </w:r>
      <w:r w:rsidRPr="00966B55">
        <w:rPr>
          <w:rFonts w:cs="Calibri" w:hint="eastAsia"/>
          <w:sz w:val="22"/>
          <w:szCs w:val="22"/>
          <w:lang w:eastAsia="zh-CN"/>
        </w:rPr>
        <w:t>246.8</w:t>
      </w:r>
      <w:r w:rsidRPr="00966B55">
        <w:rPr>
          <w:rFonts w:cs="Calibri" w:hint="eastAsia"/>
          <w:sz w:val="22"/>
          <w:szCs w:val="22"/>
          <w:lang w:eastAsia="zh-CN"/>
        </w:rPr>
        <w:t>万瑞郎。这些项目包括</w:t>
      </w:r>
      <w:r>
        <w:rPr>
          <w:rFonts w:cs="Calibri" w:hint="eastAsia"/>
          <w:sz w:val="22"/>
          <w:szCs w:val="22"/>
          <w:lang w:eastAsia="zh-CN"/>
        </w:rPr>
        <w:t>“</w:t>
      </w:r>
      <w:r w:rsidRPr="00966B55">
        <w:rPr>
          <w:rFonts w:cs="Calibri" w:hint="eastAsia"/>
          <w:sz w:val="22"/>
          <w:szCs w:val="22"/>
          <w:lang w:eastAsia="zh-CN"/>
        </w:rPr>
        <w:t>空间</w:t>
      </w:r>
      <w:r>
        <w:rPr>
          <w:rFonts w:cs="Calibri" w:hint="eastAsia"/>
          <w:sz w:val="22"/>
          <w:szCs w:val="22"/>
          <w:lang w:eastAsia="zh-CN"/>
        </w:rPr>
        <w:t>”</w:t>
      </w:r>
      <w:r w:rsidRPr="00966B55">
        <w:rPr>
          <w:rFonts w:cs="Calibri" w:hint="eastAsia"/>
          <w:sz w:val="22"/>
          <w:szCs w:val="22"/>
          <w:lang w:eastAsia="zh-CN"/>
        </w:rPr>
        <w:t>管理</w:t>
      </w:r>
      <w:r>
        <w:rPr>
          <w:rFonts w:cs="Calibri" w:hint="eastAsia"/>
          <w:sz w:val="22"/>
          <w:szCs w:val="22"/>
          <w:lang w:eastAsia="zh-CN"/>
        </w:rPr>
        <w:t>的</w:t>
      </w:r>
      <w:r w:rsidRPr="00966B55">
        <w:rPr>
          <w:rFonts w:cs="Calibri" w:hint="eastAsia"/>
          <w:sz w:val="22"/>
          <w:szCs w:val="22"/>
          <w:lang w:eastAsia="zh-CN"/>
        </w:rPr>
        <w:t>开发、</w:t>
      </w:r>
      <w:r w:rsidRPr="00966B55">
        <w:rPr>
          <w:rFonts w:cs="Calibri" w:hint="eastAsia"/>
          <w:sz w:val="22"/>
          <w:szCs w:val="22"/>
          <w:lang w:eastAsia="zh-CN"/>
        </w:rPr>
        <w:t>SAP</w:t>
      </w:r>
      <w:r>
        <w:rPr>
          <w:rFonts w:cs="Calibri" w:hint="eastAsia"/>
          <w:sz w:val="22"/>
          <w:szCs w:val="22"/>
          <w:lang w:eastAsia="zh-CN"/>
        </w:rPr>
        <w:t>的</w:t>
      </w:r>
      <w:r w:rsidRPr="00966B55">
        <w:rPr>
          <w:rFonts w:cs="Calibri" w:hint="eastAsia"/>
          <w:sz w:val="22"/>
          <w:szCs w:val="22"/>
          <w:lang w:eastAsia="zh-CN"/>
        </w:rPr>
        <w:t>开发和招聘模块。此外，</w:t>
      </w:r>
      <w:r>
        <w:rPr>
          <w:rFonts w:cs="Calibri" w:hint="eastAsia"/>
          <w:sz w:val="22"/>
          <w:szCs w:val="22"/>
          <w:lang w:eastAsia="zh-CN"/>
        </w:rPr>
        <w:t>截至</w:t>
      </w:r>
      <w:r w:rsidRPr="00966B55">
        <w:rPr>
          <w:rFonts w:cs="Calibri" w:hint="eastAsia"/>
          <w:sz w:val="22"/>
          <w:szCs w:val="22"/>
          <w:lang w:eastAsia="zh-CN"/>
        </w:rPr>
        <w:t>2022</w:t>
      </w:r>
      <w:r w:rsidRPr="00966B55">
        <w:rPr>
          <w:rFonts w:cs="Calibri" w:hint="eastAsia"/>
          <w:sz w:val="22"/>
          <w:szCs w:val="22"/>
          <w:lang w:eastAsia="zh-CN"/>
        </w:rPr>
        <w:t>年</w:t>
      </w:r>
      <w:r w:rsidRPr="00966B55">
        <w:rPr>
          <w:rFonts w:cs="Calibri" w:hint="eastAsia"/>
          <w:sz w:val="22"/>
          <w:szCs w:val="22"/>
          <w:lang w:eastAsia="zh-CN"/>
        </w:rPr>
        <w:t>12</w:t>
      </w:r>
      <w:r w:rsidRPr="00966B55">
        <w:rPr>
          <w:rFonts w:cs="Calibri" w:hint="eastAsia"/>
          <w:sz w:val="22"/>
          <w:szCs w:val="22"/>
          <w:lang w:eastAsia="zh-CN"/>
        </w:rPr>
        <w:t>月</w:t>
      </w:r>
      <w:r w:rsidRPr="00966B55">
        <w:rPr>
          <w:rFonts w:cs="Calibri" w:hint="eastAsia"/>
          <w:sz w:val="22"/>
          <w:szCs w:val="22"/>
          <w:lang w:eastAsia="zh-CN"/>
        </w:rPr>
        <w:t>31</w:t>
      </w:r>
      <w:r w:rsidRPr="00966B55">
        <w:rPr>
          <w:rFonts w:cs="Calibri" w:hint="eastAsia"/>
          <w:sz w:val="22"/>
          <w:szCs w:val="22"/>
          <w:lang w:eastAsia="zh-CN"/>
        </w:rPr>
        <w:t>日并无</w:t>
      </w:r>
      <w:r>
        <w:rPr>
          <w:rFonts w:cs="Calibri" w:hint="eastAsia"/>
          <w:sz w:val="22"/>
          <w:szCs w:val="22"/>
          <w:lang w:eastAsia="zh-CN"/>
        </w:rPr>
        <w:t>有关</w:t>
      </w:r>
      <w:r w:rsidRPr="00966B55">
        <w:rPr>
          <w:rFonts w:cs="Calibri" w:hint="eastAsia"/>
          <w:sz w:val="22"/>
          <w:szCs w:val="22"/>
          <w:lang w:eastAsia="zh-CN"/>
        </w:rPr>
        <w:t>无形资产的重大合</w:t>
      </w:r>
      <w:r>
        <w:rPr>
          <w:rFonts w:cs="Calibri" w:hint="eastAsia"/>
          <w:sz w:val="22"/>
          <w:szCs w:val="22"/>
          <w:lang w:eastAsia="zh-CN"/>
        </w:rPr>
        <w:t>同</w:t>
      </w:r>
      <w:r w:rsidRPr="00966B55">
        <w:rPr>
          <w:rFonts w:cs="Calibri" w:hint="eastAsia"/>
          <w:sz w:val="22"/>
          <w:szCs w:val="22"/>
          <w:lang w:eastAsia="zh-CN"/>
        </w:rPr>
        <w:t>承</w:t>
      </w:r>
      <w:r>
        <w:rPr>
          <w:rFonts w:cs="Calibri" w:hint="eastAsia"/>
          <w:sz w:val="22"/>
          <w:szCs w:val="22"/>
          <w:lang w:eastAsia="zh-CN"/>
        </w:rPr>
        <w:t>诺</w:t>
      </w:r>
      <w:r w:rsidRPr="00966B55">
        <w:rPr>
          <w:rFonts w:cs="Calibri" w:hint="eastAsia"/>
          <w:sz w:val="22"/>
          <w:szCs w:val="22"/>
          <w:lang w:eastAsia="zh-CN"/>
        </w:rPr>
        <w:t>。</w:t>
      </w:r>
    </w:p>
    <w:p w14:paraId="01302ED8" w14:textId="77777777" w:rsidR="00232E78" w:rsidRPr="00966B55" w:rsidRDefault="00232E78" w:rsidP="0084762D">
      <w:pPr>
        <w:pStyle w:val="Figure"/>
        <w:rPr>
          <w:rFonts w:cs="Calibri"/>
          <w:sz w:val="22"/>
          <w:szCs w:val="22"/>
          <w:lang w:eastAsia="zh-CN"/>
        </w:rPr>
      </w:pPr>
      <w:r w:rsidRPr="00010E49">
        <w:rPr>
          <w:rFonts w:hint="eastAsia"/>
          <w:noProof/>
        </w:rPr>
        <w:lastRenderedPageBreak/>
        <w:drawing>
          <wp:inline distT="0" distB="0" distL="0" distR="0" wp14:anchorId="046584A8" wp14:editId="459EC406">
            <wp:extent cx="5760085" cy="3543300"/>
            <wp:effectExtent l="0" t="0" r="0" b="0"/>
            <wp:docPr id="12118916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60085" cy="3543300"/>
                    </a:xfrm>
                    <a:prstGeom prst="rect">
                      <a:avLst/>
                    </a:prstGeom>
                    <a:noFill/>
                    <a:ln>
                      <a:noFill/>
                    </a:ln>
                  </pic:spPr>
                </pic:pic>
              </a:graphicData>
            </a:graphic>
          </wp:inline>
        </w:drawing>
      </w:r>
    </w:p>
    <w:p w14:paraId="3081B2AB" w14:textId="77777777" w:rsidR="00232E78" w:rsidRDefault="00232E78" w:rsidP="00232E78">
      <w:pPr>
        <w:spacing w:before="240"/>
        <w:ind w:firstLineChars="200" w:firstLine="480"/>
        <w:rPr>
          <w:lang w:val="en-US" w:eastAsia="zh-CN"/>
        </w:rPr>
      </w:pPr>
      <w:r w:rsidRPr="00124181">
        <w:rPr>
          <w:rFonts w:hint="eastAsia"/>
          <w:lang w:val="en-US" w:eastAsia="zh-CN"/>
        </w:rPr>
        <w:t>截至</w:t>
      </w:r>
      <w:r w:rsidRPr="00124181">
        <w:rPr>
          <w:rFonts w:hint="eastAsia"/>
          <w:lang w:val="en-US" w:eastAsia="zh-CN"/>
        </w:rPr>
        <w:t>2022</w:t>
      </w:r>
      <w:r w:rsidRPr="00124181">
        <w:rPr>
          <w:rFonts w:hint="eastAsia"/>
          <w:lang w:val="en-US" w:eastAsia="zh-CN"/>
        </w:rPr>
        <w:t>年</w:t>
      </w:r>
      <w:r w:rsidRPr="00124181">
        <w:rPr>
          <w:rFonts w:hint="eastAsia"/>
          <w:lang w:val="en-US" w:eastAsia="zh-CN"/>
        </w:rPr>
        <w:t>12</w:t>
      </w:r>
      <w:r w:rsidRPr="00124181">
        <w:rPr>
          <w:rFonts w:hint="eastAsia"/>
          <w:lang w:val="en-US" w:eastAsia="zh-CN"/>
        </w:rPr>
        <w:t>月</w:t>
      </w:r>
      <w:r w:rsidRPr="00124181">
        <w:rPr>
          <w:rFonts w:hint="eastAsia"/>
          <w:lang w:val="en-US" w:eastAsia="zh-CN"/>
        </w:rPr>
        <w:t>31</w:t>
      </w:r>
      <w:r w:rsidRPr="00124181">
        <w:rPr>
          <w:rFonts w:hint="eastAsia"/>
          <w:lang w:val="en-US" w:eastAsia="zh-CN"/>
        </w:rPr>
        <w:t>日，国际电</w:t>
      </w:r>
      <w:r>
        <w:rPr>
          <w:rFonts w:hint="eastAsia"/>
          <w:lang w:val="en-US" w:eastAsia="zh-CN"/>
        </w:rPr>
        <w:t>保有</w:t>
      </w:r>
      <w:r w:rsidRPr="00124181">
        <w:rPr>
          <w:rFonts w:hint="eastAsia"/>
          <w:lang w:val="en-US" w:eastAsia="zh-CN"/>
        </w:rPr>
        <w:t>一份全面的无形资产清单。该</w:t>
      </w:r>
      <w:r>
        <w:rPr>
          <w:rFonts w:hint="eastAsia"/>
          <w:lang w:val="en-US" w:eastAsia="zh-CN"/>
        </w:rPr>
        <w:t>清单的内容</w:t>
      </w:r>
      <w:r w:rsidRPr="00124181">
        <w:rPr>
          <w:rFonts w:hint="eastAsia"/>
          <w:lang w:val="en-US" w:eastAsia="zh-CN"/>
        </w:rPr>
        <w:t>包括已达到完全折旧</w:t>
      </w:r>
      <w:r>
        <w:rPr>
          <w:rFonts w:hint="eastAsia"/>
          <w:lang w:val="en-US" w:eastAsia="zh-CN"/>
        </w:rPr>
        <w:t>水平</w:t>
      </w:r>
      <w:r w:rsidRPr="00124181">
        <w:rPr>
          <w:rFonts w:hint="eastAsia"/>
          <w:lang w:val="en-US" w:eastAsia="zh-CN"/>
        </w:rPr>
        <w:t>但仍在</w:t>
      </w:r>
      <w:r>
        <w:rPr>
          <w:rFonts w:hint="eastAsia"/>
          <w:lang w:val="en-US" w:eastAsia="zh-CN"/>
        </w:rPr>
        <w:t>该</w:t>
      </w:r>
      <w:r w:rsidRPr="00124181">
        <w:rPr>
          <w:rFonts w:hint="eastAsia"/>
          <w:lang w:val="en-US" w:eastAsia="zh-CN"/>
        </w:rPr>
        <w:t>组织内有效使用的资产。截至</w:t>
      </w:r>
      <w:r w:rsidRPr="00124181">
        <w:rPr>
          <w:rFonts w:hint="eastAsia"/>
          <w:lang w:val="en-US" w:eastAsia="zh-CN"/>
        </w:rPr>
        <w:t>2022</w:t>
      </w:r>
      <w:r w:rsidRPr="00124181">
        <w:rPr>
          <w:rFonts w:hint="eastAsia"/>
          <w:lang w:val="en-US" w:eastAsia="zh-CN"/>
        </w:rPr>
        <w:t>年</w:t>
      </w:r>
      <w:r w:rsidRPr="00124181">
        <w:rPr>
          <w:rFonts w:hint="eastAsia"/>
          <w:lang w:val="en-US" w:eastAsia="zh-CN"/>
        </w:rPr>
        <w:t>12</w:t>
      </w:r>
      <w:r w:rsidRPr="00124181">
        <w:rPr>
          <w:rFonts w:hint="eastAsia"/>
          <w:lang w:val="en-US" w:eastAsia="zh-CN"/>
        </w:rPr>
        <w:t>月</w:t>
      </w:r>
      <w:r w:rsidRPr="00124181">
        <w:rPr>
          <w:rFonts w:hint="eastAsia"/>
          <w:lang w:val="en-US" w:eastAsia="zh-CN"/>
        </w:rPr>
        <w:t>31</w:t>
      </w:r>
      <w:r w:rsidRPr="00124181">
        <w:rPr>
          <w:rFonts w:hint="eastAsia"/>
          <w:lang w:val="en-US" w:eastAsia="zh-CN"/>
        </w:rPr>
        <w:t>日仍在使用</w:t>
      </w:r>
      <w:r>
        <w:rPr>
          <w:rFonts w:hint="eastAsia"/>
          <w:lang w:val="en-US" w:eastAsia="zh-CN"/>
        </w:rPr>
        <w:t>且</w:t>
      </w:r>
      <w:r w:rsidRPr="00124181">
        <w:rPr>
          <w:rFonts w:hint="eastAsia"/>
          <w:lang w:val="en-US" w:eastAsia="zh-CN"/>
        </w:rPr>
        <w:t>已完全折旧无形资产的账面总值如下</w:t>
      </w:r>
      <w:r>
        <w:rPr>
          <w:rFonts w:hint="eastAsia"/>
          <w:lang w:val="en-US" w:eastAsia="zh-CN"/>
        </w:rPr>
        <w:t>：</w:t>
      </w:r>
    </w:p>
    <w:p w14:paraId="7AB00550" w14:textId="77777777" w:rsidR="00232E78" w:rsidRPr="0049694E" w:rsidRDefault="00232E78" w:rsidP="0084762D">
      <w:pPr>
        <w:pStyle w:val="Figure"/>
        <w:rPr>
          <w:lang w:val="en-US" w:eastAsia="zh-CN"/>
        </w:rPr>
      </w:pPr>
      <w:r w:rsidRPr="006A0CAC">
        <w:rPr>
          <w:rFonts w:hint="eastAsia"/>
          <w:noProof/>
        </w:rPr>
        <w:drawing>
          <wp:inline distT="0" distB="0" distL="0" distR="0" wp14:anchorId="76D2ED59" wp14:editId="14E86100">
            <wp:extent cx="3226435" cy="669925"/>
            <wp:effectExtent l="0" t="0" r="0" b="0"/>
            <wp:docPr id="148920191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226435" cy="669925"/>
                    </a:xfrm>
                    <a:prstGeom prst="rect">
                      <a:avLst/>
                    </a:prstGeom>
                    <a:noFill/>
                    <a:ln>
                      <a:noFill/>
                    </a:ln>
                  </pic:spPr>
                </pic:pic>
              </a:graphicData>
            </a:graphic>
          </wp:inline>
        </w:drawing>
      </w:r>
    </w:p>
    <w:p w14:paraId="4DC8C66F" w14:textId="77777777" w:rsidR="00232E78" w:rsidRPr="00CE269B" w:rsidRDefault="00232E78" w:rsidP="00232E78">
      <w:pPr>
        <w:pStyle w:val="Heading1"/>
        <w:tabs>
          <w:tab w:val="clear" w:pos="794"/>
        </w:tabs>
        <w:spacing w:before="200" w:after="240"/>
        <w:ind w:left="1134" w:hanging="1134"/>
        <w:rPr>
          <w:rFonts w:cs="Microsoft YaHei"/>
          <w:sz w:val="24"/>
          <w:szCs w:val="24"/>
          <w:lang w:val="en-US" w:eastAsia="zh-CN"/>
        </w:rPr>
      </w:pPr>
      <w:bookmarkStart w:id="472" w:name="_Toc511813755"/>
      <w:bookmarkStart w:id="473" w:name="_Toc511817838"/>
      <w:bookmarkStart w:id="474" w:name="_Toc520280738"/>
      <w:bookmarkStart w:id="475" w:name="_Toc10536833"/>
      <w:bookmarkStart w:id="476" w:name="_Toc41905874"/>
      <w:bookmarkStart w:id="477" w:name="_Toc41906903"/>
      <w:bookmarkStart w:id="478" w:name="_Toc41907984"/>
      <w:bookmarkStart w:id="479" w:name="_Toc41908052"/>
      <w:bookmarkStart w:id="480" w:name="_Toc73518690"/>
      <w:bookmarkStart w:id="481" w:name="_Toc73518837"/>
      <w:bookmarkStart w:id="482" w:name="_Toc73519237"/>
      <w:bookmarkStart w:id="483" w:name="_Toc73636276"/>
      <w:bookmarkStart w:id="484" w:name="_Toc163723297"/>
      <w:bookmarkStart w:id="485" w:name="_Toc482892572"/>
      <w:bookmarkStart w:id="486" w:name="_Toc482870837"/>
      <w:bookmarkStart w:id="487" w:name="_Toc329165788"/>
      <w:bookmarkStart w:id="488" w:name="_Toc305594747"/>
      <w:r w:rsidRPr="000C156A">
        <w:rPr>
          <w:rFonts w:cs="Microsoft YaHei" w:hint="eastAsia"/>
          <w:sz w:val="24"/>
          <w:szCs w:val="24"/>
          <w:lang w:val="fr-FR" w:eastAsia="zh-CN"/>
        </w:rPr>
        <w:t>说明</w:t>
      </w:r>
      <w:r w:rsidRPr="00CE269B">
        <w:rPr>
          <w:rFonts w:cs="Microsoft YaHei"/>
          <w:sz w:val="24"/>
          <w:szCs w:val="24"/>
          <w:lang w:val="en-US" w:eastAsia="zh-CN"/>
        </w:rPr>
        <w:t>14</w:t>
      </w:r>
      <w:r w:rsidRPr="00CE269B">
        <w:rPr>
          <w:rFonts w:cs="Microsoft YaHei"/>
          <w:sz w:val="24"/>
          <w:szCs w:val="24"/>
          <w:lang w:val="en-US" w:eastAsia="zh-CN"/>
        </w:rPr>
        <w:tab/>
      </w:r>
      <w:r w:rsidRPr="000C156A">
        <w:rPr>
          <w:rFonts w:cs="Microsoft YaHei" w:hint="eastAsia"/>
          <w:sz w:val="24"/>
          <w:szCs w:val="24"/>
          <w:lang w:val="fr-FR" w:eastAsia="zh-CN"/>
        </w:rPr>
        <w:t>建设中的资产</w:t>
      </w:r>
      <w:bookmarkEnd w:id="472"/>
      <w:bookmarkEnd w:id="473"/>
      <w:bookmarkEnd w:id="474"/>
      <w:bookmarkEnd w:id="475"/>
      <w:bookmarkEnd w:id="476"/>
      <w:bookmarkEnd w:id="477"/>
      <w:bookmarkEnd w:id="478"/>
      <w:bookmarkEnd w:id="479"/>
      <w:bookmarkEnd w:id="480"/>
      <w:bookmarkEnd w:id="481"/>
      <w:bookmarkEnd w:id="482"/>
      <w:bookmarkEnd w:id="483"/>
      <w:bookmarkEnd w:id="484"/>
    </w:p>
    <w:p w14:paraId="75F3A9E0" w14:textId="77777777" w:rsidR="00E40C8A" w:rsidRDefault="00232E78" w:rsidP="00E40C8A">
      <w:pPr>
        <w:spacing w:before="240"/>
        <w:ind w:firstLineChars="200" w:firstLine="480"/>
        <w:rPr>
          <w:lang w:eastAsia="zh-CN"/>
        </w:rPr>
      </w:pPr>
      <w:bookmarkStart w:id="489" w:name="_Toc41905875"/>
      <w:r w:rsidRPr="000C156A">
        <w:rPr>
          <w:rFonts w:hint="eastAsia"/>
          <w:lang w:val="en-US" w:eastAsia="zh-CN"/>
        </w:rPr>
        <w:t>现已做出决定，另行披露建设中的资产，以便对新楼项目做出预期，从而在施工阶段对项目进行透明的跟进。</w:t>
      </w:r>
      <w:bookmarkEnd w:id="489"/>
      <w:r w:rsidRPr="00124181">
        <w:rPr>
          <w:rFonts w:hint="eastAsia"/>
          <w:lang w:eastAsia="zh-CN"/>
        </w:rPr>
        <w:t>截至</w:t>
      </w:r>
      <w:r w:rsidRPr="00124181">
        <w:rPr>
          <w:rFonts w:hint="eastAsia"/>
          <w:lang w:eastAsia="zh-CN"/>
        </w:rPr>
        <w:t>2022</w:t>
      </w:r>
      <w:r w:rsidRPr="00124181">
        <w:rPr>
          <w:rFonts w:hint="eastAsia"/>
          <w:lang w:eastAsia="zh-CN"/>
        </w:rPr>
        <w:t>年</w:t>
      </w:r>
      <w:r w:rsidRPr="00124181">
        <w:rPr>
          <w:rFonts w:hint="eastAsia"/>
          <w:lang w:eastAsia="zh-CN"/>
        </w:rPr>
        <w:t>12</w:t>
      </w:r>
      <w:r w:rsidRPr="00124181">
        <w:rPr>
          <w:rFonts w:hint="eastAsia"/>
          <w:lang w:eastAsia="zh-CN"/>
        </w:rPr>
        <w:t>月</w:t>
      </w:r>
      <w:r w:rsidRPr="00124181">
        <w:rPr>
          <w:rFonts w:hint="eastAsia"/>
          <w:lang w:eastAsia="zh-CN"/>
        </w:rPr>
        <w:t>31</w:t>
      </w:r>
      <w:r w:rsidRPr="00124181">
        <w:rPr>
          <w:rFonts w:hint="eastAsia"/>
          <w:lang w:eastAsia="zh-CN"/>
        </w:rPr>
        <w:t>日，并</w:t>
      </w:r>
      <w:r>
        <w:rPr>
          <w:rFonts w:hint="eastAsia"/>
          <w:lang w:eastAsia="zh-CN"/>
        </w:rPr>
        <w:t>未做出任何</w:t>
      </w:r>
      <w:r w:rsidRPr="00124181">
        <w:rPr>
          <w:rFonts w:hint="eastAsia"/>
          <w:lang w:eastAsia="zh-CN"/>
        </w:rPr>
        <w:t>重大合同承诺。</w:t>
      </w:r>
    </w:p>
    <w:p w14:paraId="2A717601" w14:textId="28E86190" w:rsidR="00232E78" w:rsidRPr="000C156A" w:rsidRDefault="00232E78" w:rsidP="0084762D">
      <w:pPr>
        <w:pStyle w:val="Figure"/>
        <w:keepNext w:val="0"/>
        <w:keepLines w:val="0"/>
        <w:rPr>
          <w:lang w:val="en-US" w:eastAsia="zh-CN"/>
        </w:rPr>
      </w:pPr>
      <w:r w:rsidRPr="00010E49">
        <w:rPr>
          <w:noProof/>
        </w:rPr>
        <w:drawing>
          <wp:inline distT="0" distB="0" distL="0" distR="0" wp14:anchorId="31DE059B" wp14:editId="2D89E586">
            <wp:extent cx="5760085" cy="1348105"/>
            <wp:effectExtent l="0" t="0" r="0" b="4445"/>
            <wp:docPr id="72501672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60085" cy="1348105"/>
                    </a:xfrm>
                    <a:prstGeom prst="rect">
                      <a:avLst/>
                    </a:prstGeom>
                    <a:noFill/>
                    <a:ln>
                      <a:noFill/>
                    </a:ln>
                  </pic:spPr>
                </pic:pic>
              </a:graphicData>
            </a:graphic>
          </wp:inline>
        </w:drawing>
      </w:r>
    </w:p>
    <w:p w14:paraId="5DC8CA7F" w14:textId="77777777" w:rsidR="00232E78" w:rsidRPr="00CE269B" w:rsidRDefault="00232E78" w:rsidP="00232E78">
      <w:pPr>
        <w:pStyle w:val="Heading1"/>
        <w:tabs>
          <w:tab w:val="clear" w:pos="794"/>
        </w:tabs>
        <w:spacing w:after="120"/>
        <w:ind w:left="1134" w:hanging="1134"/>
        <w:rPr>
          <w:rFonts w:cs="Microsoft YaHei"/>
          <w:sz w:val="24"/>
          <w:szCs w:val="24"/>
          <w:lang w:val="en-US" w:eastAsia="zh-CN"/>
        </w:rPr>
      </w:pPr>
      <w:bookmarkStart w:id="490" w:name="_Toc511813756"/>
      <w:bookmarkStart w:id="491" w:name="_Toc511817839"/>
      <w:bookmarkStart w:id="492" w:name="_Toc520280739"/>
      <w:bookmarkStart w:id="493" w:name="_Toc10536834"/>
      <w:bookmarkStart w:id="494" w:name="_Toc41905876"/>
      <w:bookmarkStart w:id="495" w:name="_Toc41906904"/>
      <w:bookmarkStart w:id="496" w:name="_Toc41907985"/>
      <w:bookmarkStart w:id="497" w:name="_Toc41908053"/>
      <w:bookmarkStart w:id="498" w:name="_Toc73518691"/>
      <w:bookmarkStart w:id="499" w:name="_Toc73518838"/>
      <w:bookmarkStart w:id="500" w:name="_Toc73519238"/>
      <w:bookmarkStart w:id="501" w:name="_Toc73636277"/>
      <w:bookmarkStart w:id="502" w:name="_Toc163723298"/>
      <w:r w:rsidRPr="000C156A">
        <w:rPr>
          <w:rFonts w:cs="Microsoft YaHei" w:hint="eastAsia"/>
          <w:sz w:val="24"/>
          <w:szCs w:val="24"/>
          <w:lang w:val="fr-FR" w:eastAsia="zh-CN"/>
        </w:rPr>
        <w:lastRenderedPageBreak/>
        <w:t>说明</w:t>
      </w:r>
      <w:r w:rsidRPr="000C156A">
        <w:rPr>
          <w:rFonts w:cs="Microsoft YaHei"/>
          <w:sz w:val="24"/>
          <w:szCs w:val="24"/>
          <w:lang w:val="en-US" w:eastAsia="zh-CN"/>
        </w:rPr>
        <w:t>1</w:t>
      </w:r>
      <w:r>
        <w:rPr>
          <w:rFonts w:cs="Microsoft YaHei"/>
          <w:sz w:val="24"/>
          <w:szCs w:val="24"/>
          <w:lang w:val="en-US" w:eastAsia="zh-CN"/>
        </w:rPr>
        <w:t>5</w:t>
      </w:r>
      <w:r w:rsidRPr="000C156A">
        <w:rPr>
          <w:rFonts w:cs="Microsoft YaHei"/>
          <w:sz w:val="24"/>
          <w:szCs w:val="24"/>
          <w:lang w:val="en-US" w:eastAsia="zh-CN"/>
        </w:rPr>
        <w:tab/>
      </w:r>
      <w:r w:rsidRPr="000C156A">
        <w:rPr>
          <w:rFonts w:cs="Microsoft YaHei" w:hint="eastAsia"/>
          <w:sz w:val="24"/>
          <w:szCs w:val="24"/>
          <w:lang w:val="fr-FR" w:eastAsia="zh-CN"/>
        </w:rPr>
        <w:t>供货商和其它债权方</w:t>
      </w:r>
      <w:bookmarkEnd w:id="485"/>
      <w:bookmarkEnd w:id="486"/>
      <w:bookmarkEnd w:id="487"/>
      <w:bookmarkEnd w:id="488"/>
      <w:bookmarkEnd w:id="490"/>
      <w:bookmarkEnd w:id="491"/>
      <w:bookmarkEnd w:id="492"/>
      <w:bookmarkEnd w:id="493"/>
      <w:bookmarkEnd w:id="494"/>
      <w:bookmarkEnd w:id="495"/>
      <w:bookmarkEnd w:id="496"/>
      <w:bookmarkEnd w:id="497"/>
      <w:bookmarkEnd w:id="498"/>
      <w:bookmarkEnd w:id="499"/>
      <w:bookmarkEnd w:id="500"/>
      <w:bookmarkEnd w:id="501"/>
      <w:bookmarkEnd w:id="502"/>
    </w:p>
    <w:p w14:paraId="7B0D4492" w14:textId="77777777" w:rsidR="00232E78" w:rsidRPr="0049694E" w:rsidRDefault="00232E78" w:rsidP="0084762D">
      <w:pPr>
        <w:pStyle w:val="Figure"/>
        <w:rPr>
          <w:lang w:val="fr-FR" w:eastAsia="zh-CN"/>
        </w:rPr>
      </w:pPr>
      <w:r w:rsidRPr="00010E49">
        <w:rPr>
          <w:noProof/>
        </w:rPr>
        <w:drawing>
          <wp:inline distT="0" distB="0" distL="0" distR="0" wp14:anchorId="1E3713D5" wp14:editId="4200972A">
            <wp:extent cx="5196840" cy="1377950"/>
            <wp:effectExtent l="0" t="0" r="3810" b="0"/>
            <wp:docPr id="64914410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196840" cy="1377950"/>
                    </a:xfrm>
                    <a:prstGeom prst="rect">
                      <a:avLst/>
                    </a:prstGeom>
                    <a:noFill/>
                    <a:ln>
                      <a:noFill/>
                    </a:ln>
                  </pic:spPr>
                </pic:pic>
              </a:graphicData>
            </a:graphic>
          </wp:inline>
        </w:drawing>
      </w:r>
      <w:bookmarkStart w:id="503" w:name="_Toc305764088"/>
    </w:p>
    <w:p w14:paraId="470C9E75" w14:textId="77777777" w:rsidR="00232E78" w:rsidRPr="00CE269B" w:rsidRDefault="00232E78" w:rsidP="00232E78">
      <w:pPr>
        <w:spacing w:before="240"/>
        <w:ind w:firstLineChars="200" w:firstLine="480"/>
        <w:rPr>
          <w:lang w:val="fr-FR" w:eastAsia="zh-CN"/>
        </w:rPr>
      </w:pPr>
      <w:r w:rsidRPr="000C156A">
        <w:rPr>
          <w:rFonts w:hint="eastAsia"/>
          <w:lang w:eastAsia="zh-CN"/>
        </w:rPr>
        <w:t>与供货</w:t>
      </w:r>
      <w:proofErr w:type="gramStart"/>
      <w:r w:rsidRPr="000C156A">
        <w:rPr>
          <w:rFonts w:hint="eastAsia"/>
          <w:lang w:eastAsia="zh-CN"/>
        </w:rPr>
        <w:t>商相关</w:t>
      </w:r>
      <w:proofErr w:type="gramEnd"/>
      <w:r w:rsidRPr="000C156A">
        <w:rPr>
          <w:rFonts w:hint="eastAsia"/>
          <w:lang w:eastAsia="zh-CN"/>
        </w:rPr>
        <w:t>的金额主要涉及尚未支付的发票、人员账目以及有待与</w:t>
      </w:r>
      <w:r w:rsidRPr="00CE269B">
        <w:rPr>
          <w:lang w:val="fr-FR" w:eastAsia="zh-CN"/>
        </w:rPr>
        <w:t>UNDP</w:t>
      </w:r>
      <w:r w:rsidRPr="000C156A">
        <w:rPr>
          <w:rFonts w:hint="eastAsia"/>
          <w:lang w:eastAsia="zh-CN"/>
        </w:rPr>
        <w:t>结算的</w:t>
      </w:r>
      <w:r w:rsidRPr="00CE269B">
        <w:rPr>
          <w:lang w:val="fr-FR" w:eastAsia="zh-CN"/>
        </w:rPr>
        <w:t>IOV</w:t>
      </w:r>
      <w:r w:rsidRPr="000C156A">
        <w:rPr>
          <w:rFonts w:hint="eastAsia"/>
          <w:lang w:eastAsia="zh-CN"/>
        </w:rPr>
        <w:t>发票。</w:t>
      </w:r>
    </w:p>
    <w:p w14:paraId="4A27CD70" w14:textId="77777777" w:rsidR="00232E78" w:rsidRPr="000C156A" w:rsidRDefault="00232E78" w:rsidP="00232E78">
      <w:pPr>
        <w:ind w:firstLineChars="200" w:firstLine="480"/>
        <w:rPr>
          <w:lang w:eastAsia="zh-CN"/>
        </w:rPr>
      </w:pPr>
      <w:r>
        <w:rPr>
          <w:rFonts w:hint="eastAsia"/>
          <w:lang w:val="en-US" w:eastAsia="zh-CN"/>
        </w:rPr>
        <w:t>从客户那里</w:t>
      </w:r>
      <w:r w:rsidRPr="000C156A">
        <w:rPr>
          <w:rFonts w:hint="eastAsia"/>
          <w:lang w:eastAsia="zh-CN"/>
        </w:rPr>
        <w:t>收到的</w:t>
      </w:r>
      <w:r>
        <w:rPr>
          <w:rFonts w:hint="eastAsia"/>
          <w:lang w:eastAsia="zh-CN"/>
        </w:rPr>
        <w:t>预付款</w:t>
      </w:r>
      <w:r w:rsidRPr="000C156A">
        <w:rPr>
          <w:rFonts w:hint="eastAsia"/>
          <w:lang w:eastAsia="zh-CN"/>
        </w:rPr>
        <w:t>用于卫星网络申报</w:t>
      </w:r>
      <w:r>
        <w:rPr>
          <w:rFonts w:hint="eastAsia"/>
          <w:lang w:eastAsia="zh-CN"/>
        </w:rPr>
        <w:t>以及</w:t>
      </w:r>
      <w:r w:rsidRPr="000C156A">
        <w:rPr>
          <w:rFonts w:hint="eastAsia"/>
          <w:lang w:eastAsia="zh-CN"/>
        </w:rPr>
        <w:t>未来出版物</w:t>
      </w:r>
      <w:r>
        <w:rPr>
          <w:rFonts w:hint="eastAsia"/>
          <w:lang w:eastAsia="zh-CN"/>
        </w:rPr>
        <w:t>的购买</w:t>
      </w:r>
      <w:r w:rsidRPr="000C156A">
        <w:rPr>
          <w:rFonts w:hint="eastAsia"/>
          <w:lang w:eastAsia="zh-CN"/>
        </w:rPr>
        <w:t>或发票。这些款项将退还受益方或结付未来卫星网络申报和出版物的发票。</w:t>
      </w:r>
      <w:r w:rsidRPr="00124181">
        <w:rPr>
          <w:rFonts w:hint="eastAsia"/>
          <w:lang w:eastAsia="zh-CN"/>
        </w:rPr>
        <w:t>应成员国的要求，以</w:t>
      </w:r>
      <w:r>
        <w:rPr>
          <w:rFonts w:hint="eastAsia"/>
          <w:lang w:eastAsia="zh-CN"/>
        </w:rPr>
        <w:t>往登入</w:t>
      </w:r>
      <w:r w:rsidRPr="00124181">
        <w:rPr>
          <w:rFonts w:hint="eastAsia"/>
          <w:lang w:eastAsia="zh-CN"/>
        </w:rPr>
        <w:t>未分配资金项下的</w:t>
      </w:r>
      <w:r>
        <w:rPr>
          <w:rFonts w:hint="eastAsia"/>
          <w:lang w:eastAsia="zh-CN"/>
        </w:rPr>
        <w:t>部分已收讫</w:t>
      </w:r>
      <w:r w:rsidRPr="00124181">
        <w:rPr>
          <w:rFonts w:hint="eastAsia"/>
          <w:lang w:eastAsia="zh-CN"/>
        </w:rPr>
        <w:t>资金</w:t>
      </w:r>
      <w:r>
        <w:rPr>
          <w:rFonts w:hint="eastAsia"/>
          <w:lang w:eastAsia="zh-CN"/>
        </w:rPr>
        <w:t>，现</w:t>
      </w:r>
      <w:r w:rsidRPr="00124181">
        <w:rPr>
          <w:rFonts w:hint="eastAsia"/>
          <w:lang w:eastAsia="zh-CN"/>
        </w:rPr>
        <w:t>重新分类</w:t>
      </w:r>
      <w:r>
        <w:rPr>
          <w:rFonts w:hint="eastAsia"/>
          <w:lang w:eastAsia="zh-CN"/>
        </w:rPr>
        <w:t>至存入保证金</w:t>
      </w:r>
      <w:r w:rsidRPr="00124181">
        <w:rPr>
          <w:rFonts w:hint="eastAsia"/>
          <w:lang w:eastAsia="zh-CN"/>
        </w:rPr>
        <w:t>项下，这是该类别</w:t>
      </w:r>
      <w:r>
        <w:rPr>
          <w:rFonts w:hint="eastAsia"/>
          <w:lang w:eastAsia="zh-CN"/>
        </w:rPr>
        <w:t>金额</w:t>
      </w:r>
      <w:r w:rsidRPr="00124181">
        <w:rPr>
          <w:rFonts w:hint="eastAsia"/>
          <w:lang w:eastAsia="zh-CN"/>
        </w:rPr>
        <w:t>增加的原因。</w:t>
      </w:r>
    </w:p>
    <w:p w14:paraId="740120D8" w14:textId="77777777" w:rsidR="00232E78" w:rsidRPr="000C156A" w:rsidRDefault="00232E78" w:rsidP="00232E78">
      <w:pPr>
        <w:ind w:firstLineChars="200" w:firstLine="480"/>
        <w:rPr>
          <w:lang w:eastAsia="zh-CN"/>
        </w:rPr>
      </w:pPr>
      <w:r>
        <w:rPr>
          <w:rFonts w:hint="eastAsia"/>
          <w:lang w:eastAsia="zh-CN"/>
        </w:rPr>
        <w:t>大会预</w:t>
      </w:r>
      <w:r w:rsidRPr="000C156A">
        <w:rPr>
          <w:rFonts w:hint="eastAsia"/>
          <w:lang w:eastAsia="zh-CN"/>
        </w:rPr>
        <w:t>付款是为了举办世界大会等活动，由东道国预先向国际电联账户做出的预付款。</w:t>
      </w:r>
      <w:bookmarkStart w:id="504" w:name="_Toc328992862"/>
      <w:r w:rsidRPr="000C156A">
        <w:rPr>
          <w:rFonts w:hint="eastAsia"/>
          <w:lang w:eastAsia="zh-CN"/>
        </w:rPr>
        <w:t>相关</w:t>
      </w:r>
      <w:r w:rsidRPr="000C156A">
        <w:rPr>
          <w:lang w:eastAsia="zh-CN"/>
        </w:rPr>
        <w:t>活动结束后，余额将按照签署的协议</w:t>
      </w:r>
      <w:r w:rsidRPr="000C156A">
        <w:rPr>
          <w:rFonts w:hint="eastAsia"/>
          <w:lang w:eastAsia="zh-CN"/>
        </w:rPr>
        <w:t>返还</w:t>
      </w:r>
      <w:r w:rsidRPr="000C156A">
        <w:rPr>
          <w:lang w:eastAsia="zh-CN"/>
        </w:rPr>
        <w:t>东道国。</w:t>
      </w:r>
      <w:bookmarkEnd w:id="504"/>
    </w:p>
    <w:p w14:paraId="6A55F288" w14:textId="77777777" w:rsidR="00232E78" w:rsidRPr="00CE269B" w:rsidRDefault="00232E78" w:rsidP="00232E78">
      <w:pPr>
        <w:pStyle w:val="Heading1"/>
        <w:tabs>
          <w:tab w:val="clear" w:pos="794"/>
        </w:tabs>
        <w:spacing w:after="120"/>
        <w:ind w:left="1134" w:hanging="1134"/>
        <w:rPr>
          <w:rFonts w:cs="Microsoft YaHei"/>
          <w:sz w:val="24"/>
          <w:szCs w:val="24"/>
          <w:lang w:eastAsia="zh-CN"/>
        </w:rPr>
      </w:pPr>
      <w:bookmarkStart w:id="505" w:name="_Toc482892573"/>
      <w:bookmarkStart w:id="506" w:name="_Toc482870838"/>
      <w:bookmarkStart w:id="507" w:name="_Toc329165789"/>
      <w:bookmarkStart w:id="508" w:name="_Toc305594748"/>
      <w:bookmarkStart w:id="509" w:name="_Toc511813757"/>
      <w:bookmarkStart w:id="510" w:name="_Toc511817840"/>
      <w:bookmarkStart w:id="511" w:name="_Toc520280740"/>
      <w:bookmarkStart w:id="512" w:name="_Toc10536835"/>
      <w:bookmarkStart w:id="513" w:name="_Toc41905877"/>
      <w:bookmarkStart w:id="514" w:name="_Toc41906905"/>
      <w:bookmarkStart w:id="515" w:name="_Toc41907986"/>
      <w:bookmarkStart w:id="516" w:name="_Toc41908054"/>
      <w:bookmarkStart w:id="517" w:name="_Toc73518692"/>
      <w:bookmarkStart w:id="518" w:name="_Toc73518839"/>
      <w:bookmarkStart w:id="519" w:name="_Toc73519239"/>
      <w:bookmarkStart w:id="520" w:name="_Toc73636278"/>
      <w:bookmarkStart w:id="521" w:name="_Toc163723299"/>
      <w:bookmarkEnd w:id="503"/>
      <w:r w:rsidRPr="000C156A">
        <w:rPr>
          <w:rFonts w:cs="Microsoft YaHei" w:hint="eastAsia"/>
          <w:sz w:val="24"/>
          <w:szCs w:val="24"/>
          <w:lang w:val="fr-FR" w:eastAsia="zh-CN"/>
        </w:rPr>
        <w:t>说明</w:t>
      </w:r>
      <w:r w:rsidRPr="00CE269B">
        <w:rPr>
          <w:rFonts w:cs="Microsoft YaHei"/>
          <w:sz w:val="24"/>
          <w:szCs w:val="24"/>
          <w:lang w:eastAsia="zh-CN"/>
        </w:rPr>
        <w:t>16</w:t>
      </w:r>
      <w:r w:rsidRPr="00CE269B">
        <w:rPr>
          <w:rFonts w:cs="Microsoft YaHei"/>
          <w:sz w:val="24"/>
          <w:szCs w:val="24"/>
          <w:lang w:eastAsia="zh-CN"/>
        </w:rPr>
        <w:tab/>
      </w:r>
      <w:r w:rsidRPr="0016375D">
        <w:rPr>
          <w:rFonts w:cs="Microsoft YaHei" w:hint="eastAsia"/>
          <w:sz w:val="24"/>
          <w:szCs w:val="24"/>
          <w:lang w:val="fr-FR" w:eastAsia="zh-CN"/>
        </w:rPr>
        <w:t>提前缴纳的会费和</w:t>
      </w:r>
      <w:r w:rsidRPr="000C156A">
        <w:rPr>
          <w:rFonts w:cs="Microsoft YaHei" w:hint="eastAsia"/>
          <w:sz w:val="24"/>
          <w:szCs w:val="24"/>
          <w:lang w:val="fr-FR" w:eastAsia="zh-CN"/>
        </w:rPr>
        <w:t>递延收入</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7E46332E" w14:textId="77777777" w:rsidR="00232E78" w:rsidRPr="00AC72AF" w:rsidRDefault="00232E78" w:rsidP="0084762D">
      <w:pPr>
        <w:pStyle w:val="Figure"/>
        <w:rPr>
          <w:lang w:val="fr-FR" w:eastAsia="zh-CN"/>
        </w:rPr>
      </w:pPr>
      <w:r w:rsidRPr="00010E49">
        <w:rPr>
          <w:noProof/>
        </w:rPr>
        <w:drawing>
          <wp:inline distT="0" distB="0" distL="0" distR="0" wp14:anchorId="2BB3F65C" wp14:editId="31FEE191">
            <wp:extent cx="5093335" cy="1570990"/>
            <wp:effectExtent l="0" t="0" r="0" b="0"/>
            <wp:docPr id="189937157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093335" cy="1570990"/>
                    </a:xfrm>
                    <a:prstGeom prst="rect">
                      <a:avLst/>
                    </a:prstGeom>
                    <a:noFill/>
                    <a:ln>
                      <a:noFill/>
                    </a:ln>
                  </pic:spPr>
                </pic:pic>
              </a:graphicData>
            </a:graphic>
          </wp:inline>
        </w:drawing>
      </w:r>
    </w:p>
    <w:p w14:paraId="66265B80" w14:textId="77777777" w:rsidR="00232E78" w:rsidRPr="00CE269B" w:rsidRDefault="00232E78" w:rsidP="00232E78">
      <w:pPr>
        <w:spacing w:before="240"/>
        <w:ind w:firstLineChars="200" w:firstLine="480"/>
        <w:rPr>
          <w:lang w:val="fr-FR" w:eastAsia="zh-CN"/>
        </w:rPr>
      </w:pPr>
      <w:r w:rsidRPr="0016375D">
        <w:rPr>
          <w:rFonts w:hint="eastAsia"/>
          <w:lang w:eastAsia="zh-CN"/>
        </w:rPr>
        <w:t>提前缴纳的会费</w:t>
      </w:r>
      <w:r>
        <w:rPr>
          <w:rFonts w:hint="eastAsia"/>
          <w:lang w:eastAsia="zh-CN"/>
        </w:rPr>
        <w:t>金</w:t>
      </w:r>
      <w:r w:rsidRPr="0016375D">
        <w:rPr>
          <w:rFonts w:hint="eastAsia"/>
          <w:lang w:eastAsia="zh-CN"/>
        </w:rPr>
        <w:t>额主要涉及</w:t>
      </w:r>
      <w:r w:rsidRPr="00CE269B">
        <w:rPr>
          <w:rFonts w:hint="eastAsia"/>
          <w:lang w:val="fr-FR" w:eastAsia="zh-CN"/>
        </w:rPr>
        <w:t>2022</w:t>
      </w:r>
      <w:r w:rsidRPr="0016375D">
        <w:rPr>
          <w:rFonts w:hint="eastAsia"/>
          <w:lang w:eastAsia="zh-CN"/>
        </w:rPr>
        <w:t>年从成员国收到的</w:t>
      </w:r>
      <w:r w:rsidRPr="00CE269B">
        <w:rPr>
          <w:rFonts w:hint="eastAsia"/>
          <w:lang w:val="fr-FR" w:eastAsia="zh-CN"/>
        </w:rPr>
        <w:t>2023</w:t>
      </w:r>
      <w:r w:rsidRPr="0016375D">
        <w:rPr>
          <w:rFonts w:hint="eastAsia"/>
          <w:lang w:eastAsia="zh-CN"/>
        </w:rPr>
        <w:t>年</w:t>
      </w:r>
      <w:r>
        <w:rPr>
          <w:rFonts w:hint="eastAsia"/>
          <w:lang w:eastAsia="zh-CN"/>
        </w:rPr>
        <w:t>分摊会费</w:t>
      </w:r>
      <w:r w:rsidRPr="0016375D">
        <w:rPr>
          <w:rFonts w:hint="eastAsia"/>
          <w:lang w:eastAsia="zh-CN"/>
        </w:rPr>
        <w:t>。</w:t>
      </w:r>
    </w:p>
    <w:p w14:paraId="68913E00" w14:textId="77777777" w:rsidR="00232E78" w:rsidRPr="00AC72AF" w:rsidRDefault="00232E78" w:rsidP="0084762D">
      <w:pPr>
        <w:pStyle w:val="Figure"/>
        <w:rPr>
          <w:lang w:eastAsia="zh-CN"/>
        </w:rPr>
      </w:pPr>
      <w:r w:rsidRPr="007824BE">
        <w:rPr>
          <w:rFonts w:hint="eastAsia"/>
          <w:noProof/>
        </w:rPr>
        <w:drawing>
          <wp:inline distT="0" distB="0" distL="0" distR="0" wp14:anchorId="1A204FB8" wp14:editId="649F09BA">
            <wp:extent cx="4262755" cy="1197610"/>
            <wp:effectExtent l="0" t="0" r="4445" b="2540"/>
            <wp:docPr id="170058506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262755" cy="1197610"/>
                    </a:xfrm>
                    <a:prstGeom prst="rect">
                      <a:avLst/>
                    </a:prstGeom>
                    <a:noFill/>
                    <a:ln>
                      <a:noFill/>
                    </a:ln>
                  </pic:spPr>
                </pic:pic>
              </a:graphicData>
            </a:graphic>
          </wp:inline>
        </w:drawing>
      </w:r>
    </w:p>
    <w:p w14:paraId="2704738C" w14:textId="77777777" w:rsidR="00232E78" w:rsidRPr="000C156A" w:rsidRDefault="00232E78" w:rsidP="00232E78">
      <w:pPr>
        <w:spacing w:before="240"/>
        <w:ind w:firstLineChars="200" w:firstLine="480"/>
        <w:rPr>
          <w:lang w:eastAsia="zh-CN"/>
        </w:rPr>
      </w:pPr>
      <w:r w:rsidRPr="00D37913">
        <w:rPr>
          <w:rFonts w:hint="eastAsia"/>
          <w:lang w:val="en-US" w:eastAsia="zh-CN"/>
        </w:rPr>
        <w:t>2022</w:t>
      </w:r>
      <w:r w:rsidRPr="00D37913">
        <w:rPr>
          <w:rFonts w:hint="eastAsia"/>
          <w:lang w:val="en-US" w:eastAsia="zh-CN"/>
        </w:rPr>
        <w:t>年，递延收入主要涉及</w:t>
      </w:r>
      <w:r>
        <w:rPr>
          <w:rFonts w:hint="eastAsia"/>
          <w:lang w:val="en-US" w:eastAsia="zh-CN"/>
        </w:rPr>
        <w:t>在</w:t>
      </w:r>
      <w:r w:rsidRPr="00D37913">
        <w:rPr>
          <w:rFonts w:hint="eastAsia"/>
          <w:lang w:val="en-US" w:eastAsia="zh-CN"/>
        </w:rPr>
        <w:t>2022</w:t>
      </w:r>
      <w:r w:rsidRPr="00D37913">
        <w:rPr>
          <w:rFonts w:hint="eastAsia"/>
          <w:lang w:val="en-US" w:eastAsia="zh-CN"/>
        </w:rPr>
        <w:t>年处理并开具发票的</w:t>
      </w:r>
      <w:r>
        <w:rPr>
          <w:rFonts w:hint="eastAsia"/>
          <w:lang w:val="en-US" w:eastAsia="zh-CN"/>
        </w:rPr>
        <w:t>相关</w:t>
      </w:r>
      <w:r w:rsidRPr="00D37913">
        <w:rPr>
          <w:rFonts w:hint="eastAsia"/>
          <w:lang w:val="en-US" w:eastAsia="zh-CN"/>
        </w:rPr>
        <w:t>卫星网络</w:t>
      </w:r>
      <w:r>
        <w:rPr>
          <w:rFonts w:hint="eastAsia"/>
          <w:lang w:val="en-US" w:eastAsia="zh-CN"/>
        </w:rPr>
        <w:t>申报</w:t>
      </w:r>
      <w:r w:rsidRPr="00D37913">
        <w:rPr>
          <w:rFonts w:hint="eastAsia"/>
          <w:lang w:val="en-US" w:eastAsia="zh-CN"/>
        </w:rPr>
        <w:t>请求，</w:t>
      </w:r>
      <w:r>
        <w:rPr>
          <w:rFonts w:hint="eastAsia"/>
          <w:lang w:val="en-US" w:eastAsia="zh-CN"/>
        </w:rPr>
        <w:t>这些申报</w:t>
      </w:r>
      <w:r w:rsidRPr="00D37913">
        <w:rPr>
          <w:rFonts w:hint="eastAsia"/>
          <w:lang w:val="en-US" w:eastAsia="zh-CN"/>
        </w:rPr>
        <w:t>尚未在</w:t>
      </w:r>
      <w:r>
        <w:rPr>
          <w:rFonts w:hint="eastAsia"/>
          <w:lang w:val="en-US" w:eastAsia="zh-CN"/>
        </w:rPr>
        <w:t>无线电通信局《</w:t>
      </w:r>
      <w:r w:rsidRPr="00D37913">
        <w:rPr>
          <w:rFonts w:hint="eastAsia"/>
          <w:lang w:val="en-US" w:eastAsia="zh-CN"/>
        </w:rPr>
        <w:t>国际频率信息通</w:t>
      </w:r>
      <w:r>
        <w:rPr>
          <w:rFonts w:hint="eastAsia"/>
          <w:lang w:val="en-US" w:eastAsia="zh-CN"/>
        </w:rPr>
        <w:t>报》</w:t>
      </w:r>
      <w:r w:rsidRPr="00D37913">
        <w:rPr>
          <w:rFonts w:hint="eastAsia"/>
          <w:lang w:val="en-US" w:eastAsia="zh-CN"/>
        </w:rPr>
        <w:t>（</w:t>
      </w:r>
      <w:r w:rsidRPr="00D37913">
        <w:rPr>
          <w:rFonts w:hint="eastAsia"/>
          <w:lang w:val="en-US" w:eastAsia="zh-CN"/>
        </w:rPr>
        <w:t>IFIC</w:t>
      </w:r>
      <w:r w:rsidRPr="00D37913">
        <w:rPr>
          <w:rFonts w:hint="eastAsia"/>
          <w:lang w:val="en-US" w:eastAsia="zh-CN"/>
        </w:rPr>
        <w:t>）中最终发布。自愿捐款递延收入</w:t>
      </w:r>
      <w:r>
        <w:rPr>
          <w:rFonts w:hint="eastAsia"/>
          <w:lang w:val="en-US" w:eastAsia="zh-CN"/>
        </w:rPr>
        <w:t>涉及</w:t>
      </w:r>
      <w:r w:rsidRPr="00D37913">
        <w:rPr>
          <w:rFonts w:hint="eastAsia"/>
          <w:lang w:val="en-US" w:eastAsia="zh-CN"/>
        </w:rPr>
        <w:t>2022</w:t>
      </w:r>
      <w:r w:rsidRPr="00D37913">
        <w:rPr>
          <w:rFonts w:hint="eastAsia"/>
          <w:lang w:val="en-US" w:eastAsia="zh-CN"/>
        </w:rPr>
        <w:t>年尚未收</w:t>
      </w:r>
      <w:r>
        <w:rPr>
          <w:rFonts w:hint="eastAsia"/>
          <w:lang w:val="en-US" w:eastAsia="zh-CN"/>
        </w:rPr>
        <w:t>讫，但</w:t>
      </w:r>
      <w:r w:rsidRPr="00D37913">
        <w:rPr>
          <w:rFonts w:hint="eastAsia"/>
          <w:lang w:val="en-US" w:eastAsia="zh-CN"/>
        </w:rPr>
        <w:t>已签署</w:t>
      </w:r>
      <w:r>
        <w:rPr>
          <w:rFonts w:hint="eastAsia"/>
          <w:lang w:val="en-US" w:eastAsia="zh-CN"/>
        </w:rPr>
        <w:t>的具有</w:t>
      </w:r>
      <w:r w:rsidRPr="00D37913">
        <w:rPr>
          <w:rFonts w:hint="eastAsia"/>
          <w:lang w:val="en-US" w:eastAsia="zh-CN"/>
        </w:rPr>
        <w:t>约束</w:t>
      </w:r>
      <w:r>
        <w:rPr>
          <w:rFonts w:hint="eastAsia"/>
          <w:lang w:val="en-US" w:eastAsia="zh-CN"/>
        </w:rPr>
        <w:t>力的</w:t>
      </w:r>
      <w:r w:rsidRPr="00D37913">
        <w:rPr>
          <w:rFonts w:hint="eastAsia"/>
          <w:lang w:val="en-US" w:eastAsia="zh-CN"/>
        </w:rPr>
        <w:t>协议。</w:t>
      </w:r>
    </w:p>
    <w:p w14:paraId="70D18AC3" w14:textId="77777777" w:rsidR="00232E78" w:rsidRPr="00CE269B" w:rsidRDefault="00232E78" w:rsidP="00232E78">
      <w:pPr>
        <w:pStyle w:val="Heading1"/>
        <w:tabs>
          <w:tab w:val="clear" w:pos="794"/>
        </w:tabs>
        <w:spacing w:before="360" w:after="240"/>
        <w:ind w:left="1134" w:hanging="1134"/>
        <w:rPr>
          <w:rFonts w:cs="Microsoft YaHei"/>
          <w:sz w:val="24"/>
          <w:szCs w:val="24"/>
          <w:lang w:eastAsia="zh-CN"/>
        </w:rPr>
      </w:pPr>
      <w:bookmarkStart w:id="522" w:name="_Toc73518693"/>
      <w:bookmarkStart w:id="523" w:name="_Toc73518840"/>
      <w:bookmarkStart w:id="524" w:name="_Toc73519240"/>
      <w:bookmarkStart w:id="525" w:name="_Toc73636279"/>
      <w:bookmarkStart w:id="526" w:name="_Toc163723300"/>
      <w:r w:rsidRPr="000C156A">
        <w:rPr>
          <w:rFonts w:cs="Microsoft YaHei" w:hint="eastAsia"/>
          <w:sz w:val="24"/>
          <w:szCs w:val="24"/>
          <w:lang w:val="fr-FR" w:eastAsia="zh-CN"/>
        </w:rPr>
        <w:lastRenderedPageBreak/>
        <w:t>说明</w:t>
      </w:r>
      <w:r w:rsidRPr="000C156A">
        <w:rPr>
          <w:rFonts w:cs="Microsoft YaHei"/>
          <w:sz w:val="24"/>
          <w:szCs w:val="24"/>
          <w:lang w:eastAsia="zh-CN"/>
        </w:rPr>
        <w:t>1</w:t>
      </w:r>
      <w:r>
        <w:rPr>
          <w:rFonts w:cs="Microsoft YaHei"/>
          <w:sz w:val="24"/>
          <w:szCs w:val="24"/>
          <w:lang w:eastAsia="zh-CN"/>
        </w:rPr>
        <w:t>7</w:t>
      </w:r>
      <w:r w:rsidRPr="000C156A">
        <w:rPr>
          <w:rFonts w:cs="Microsoft YaHei"/>
          <w:sz w:val="24"/>
          <w:szCs w:val="24"/>
          <w:lang w:eastAsia="zh-CN"/>
        </w:rPr>
        <w:tab/>
      </w:r>
      <w:r w:rsidRPr="000C156A">
        <w:rPr>
          <w:rFonts w:cs="Microsoft YaHei" w:hint="eastAsia"/>
          <w:sz w:val="24"/>
          <w:szCs w:val="24"/>
          <w:lang w:val="fr-FR" w:eastAsia="zh-CN"/>
        </w:rPr>
        <w:t>借款及其它</w:t>
      </w:r>
      <w:bookmarkEnd w:id="298"/>
      <w:bookmarkEnd w:id="299"/>
      <w:r w:rsidRPr="000C156A">
        <w:rPr>
          <w:rFonts w:cs="Microsoft YaHei" w:hint="eastAsia"/>
          <w:sz w:val="24"/>
          <w:szCs w:val="24"/>
          <w:lang w:val="fr-FR" w:eastAsia="zh-CN"/>
        </w:rPr>
        <w:t>财务负债</w:t>
      </w:r>
      <w:bookmarkEnd w:id="300"/>
      <w:bookmarkEnd w:id="301"/>
      <w:bookmarkEnd w:id="302"/>
      <w:bookmarkEnd w:id="303"/>
      <w:bookmarkEnd w:id="304"/>
      <w:bookmarkEnd w:id="305"/>
      <w:bookmarkEnd w:id="306"/>
      <w:bookmarkEnd w:id="307"/>
      <w:bookmarkEnd w:id="308"/>
      <w:bookmarkEnd w:id="309"/>
      <w:bookmarkEnd w:id="522"/>
      <w:bookmarkEnd w:id="523"/>
      <w:bookmarkEnd w:id="524"/>
      <w:bookmarkEnd w:id="525"/>
      <w:bookmarkEnd w:id="526"/>
    </w:p>
    <w:p w14:paraId="31C550EE" w14:textId="77777777" w:rsidR="00232E78" w:rsidRPr="000F137E" w:rsidRDefault="00232E78" w:rsidP="0084762D">
      <w:pPr>
        <w:pStyle w:val="Figure"/>
        <w:rPr>
          <w:lang w:val="fr-FR" w:eastAsia="zh-CN"/>
        </w:rPr>
      </w:pPr>
      <w:r w:rsidRPr="00071F49">
        <w:rPr>
          <w:noProof/>
        </w:rPr>
        <w:drawing>
          <wp:inline distT="0" distB="0" distL="0" distR="0" wp14:anchorId="44451423" wp14:editId="29226E50">
            <wp:extent cx="5190490" cy="2099310"/>
            <wp:effectExtent l="0" t="0" r="0" b="0"/>
            <wp:docPr id="6245832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190490" cy="2099310"/>
                    </a:xfrm>
                    <a:prstGeom prst="rect">
                      <a:avLst/>
                    </a:prstGeom>
                    <a:noFill/>
                    <a:ln>
                      <a:noFill/>
                    </a:ln>
                  </pic:spPr>
                </pic:pic>
              </a:graphicData>
            </a:graphic>
          </wp:inline>
        </w:drawing>
      </w:r>
      <w:bookmarkStart w:id="527" w:name="lt_pId942"/>
      <w:bookmarkStart w:id="528" w:name="_Toc329011641"/>
      <w:bookmarkStart w:id="529" w:name="_Toc305764090"/>
    </w:p>
    <w:bookmarkEnd w:id="527"/>
    <w:p w14:paraId="79BE7820" w14:textId="77777777" w:rsidR="00232E78" w:rsidRPr="004A5E18" w:rsidRDefault="00232E78" w:rsidP="00232E78">
      <w:pPr>
        <w:spacing w:before="240"/>
        <w:ind w:firstLineChars="200" w:firstLine="480"/>
        <w:jc w:val="both"/>
        <w:rPr>
          <w:lang w:val="en-US" w:eastAsia="zh-CN"/>
        </w:rPr>
      </w:pPr>
      <w:r w:rsidRPr="004A5E18">
        <w:rPr>
          <w:rFonts w:hint="eastAsia"/>
          <w:lang w:val="en-US" w:eastAsia="zh-CN"/>
        </w:rPr>
        <w:t>根据</w:t>
      </w:r>
      <w:r>
        <w:rPr>
          <w:rFonts w:hint="eastAsia"/>
          <w:lang w:val="en-US" w:eastAsia="zh-CN"/>
        </w:rPr>
        <w:t>《</w:t>
      </w:r>
      <w:r w:rsidRPr="004A5E18">
        <w:rPr>
          <w:rFonts w:hint="eastAsia"/>
          <w:lang w:val="en-US" w:eastAsia="zh-CN"/>
        </w:rPr>
        <w:t>国际公共部门会计准则</w:t>
      </w:r>
      <w:r>
        <w:rPr>
          <w:rFonts w:hint="eastAsia"/>
          <w:lang w:val="en-US" w:eastAsia="zh-CN"/>
        </w:rPr>
        <w:t>》</w:t>
      </w:r>
      <w:r w:rsidRPr="00CE269B">
        <w:rPr>
          <w:rFonts w:hint="eastAsia"/>
          <w:lang w:val="fr-FR" w:eastAsia="zh-CN"/>
        </w:rPr>
        <w:t>（</w:t>
      </w:r>
      <w:r w:rsidRPr="00CE269B">
        <w:rPr>
          <w:rFonts w:asciiTheme="minorHAnsi" w:eastAsia="Segoe UI" w:hAnsiTheme="minorHAnsi" w:cstheme="minorHAnsi"/>
          <w:szCs w:val="24"/>
          <w:lang w:val="fr-FR" w:eastAsia="zh-CN"/>
        </w:rPr>
        <w:t>IPSAS</w:t>
      </w:r>
      <w:r w:rsidRPr="00CE269B">
        <w:rPr>
          <w:rFonts w:hint="eastAsia"/>
          <w:lang w:val="fr-FR" w:eastAsia="zh-CN"/>
        </w:rPr>
        <w:t>）</w:t>
      </w:r>
      <w:r w:rsidRPr="00CE269B">
        <w:rPr>
          <w:rFonts w:hint="eastAsia"/>
          <w:lang w:val="fr-FR" w:eastAsia="zh-CN"/>
        </w:rPr>
        <w:t>29</w:t>
      </w:r>
      <w:r w:rsidRPr="00CE269B">
        <w:rPr>
          <w:rFonts w:hint="eastAsia"/>
          <w:lang w:val="fr-FR" w:eastAsia="zh-CN"/>
        </w:rPr>
        <w:t>“</w:t>
      </w:r>
      <w:r w:rsidRPr="004A5E18">
        <w:rPr>
          <w:rFonts w:hint="eastAsia"/>
          <w:lang w:val="en-US" w:eastAsia="zh-CN"/>
        </w:rPr>
        <w:t>金融工具</w:t>
      </w:r>
      <w:r w:rsidRPr="00CE269B">
        <w:rPr>
          <w:rFonts w:hint="eastAsia"/>
          <w:lang w:val="fr-FR" w:eastAsia="zh-CN"/>
        </w:rPr>
        <w:t>：</w:t>
      </w:r>
      <w:r w:rsidRPr="004A5E18">
        <w:rPr>
          <w:rFonts w:hint="eastAsia"/>
          <w:lang w:val="en-US" w:eastAsia="zh-CN"/>
        </w:rPr>
        <w:t>确认和计量</w:t>
      </w:r>
      <w:r w:rsidRPr="00CE269B">
        <w:rPr>
          <w:rFonts w:hint="eastAsia"/>
          <w:lang w:val="fr-FR" w:eastAsia="zh-CN"/>
        </w:rPr>
        <w:t>”，</w:t>
      </w:r>
      <w:r w:rsidRPr="004A5E18">
        <w:rPr>
          <w:rFonts w:hint="eastAsia"/>
          <w:lang w:val="en-US" w:eastAsia="zh-CN"/>
        </w:rPr>
        <w:t>上表所列</w:t>
      </w:r>
      <w:r w:rsidRPr="00CE269B">
        <w:rPr>
          <w:rFonts w:hint="eastAsia"/>
          <w:lang w:val="fr-FR" w:eastAsia="zh-CN"/>
        </w:rPr>
        <w:t>FIPOI</w:t>
      </w:r>
      <w:r w:rsidRPr="004A5E18">
        <w:rPr>
          <w:rFonts w:hint="eastAsia"/>
          <w:lang w:val="en-US" w:eastAsia="zh-CN"/>
        </w:rPr>
        <w:t>无息贷款按公允价值确认</w:t>
      </w:r>
      <w:r w:rsidRPr="00CE269B">
        <w:rPr>
          <w:rFonts w:hint="eastAsia"/>
          <w:lang w:val="fr-FR" w:eastAsia="zh-CN"/>
        </w:rPr>
        <w:t>，</w:t>
      </w:r>
      <w:r w:rsidRPr="004A5E18">
        <w:rPr>
          <w:rFonts w:hint="eastAsia"/>
          <w:lang w:val="en-US" w:eastAsia="zh-CN"/>
        </w:rPr>
        <w:t>即</w:t>
      </w:r>
      <w:r w:rsidRPr="00CE269B">
        <w:rPr>
          <w:rFonts w:hint="eastAsia"/>
          <w:lang w:val="fr-FR" w:eastAsia="zh-CN"/>
        </w:rPr>
        <w:t>1.476%</w:t>
      </w:r>
      <w:r w:rsidRPr="004A5E18">
        <w:rPr>
          <w:rFonts w:hint="eastAsia"/>
          <w:lang w:val="en-US" w:eastAsia="zh-CN"/>
        </w:rPr>
        <w:t>的利率与无息贷款之间的差额</w:t>
      </w:r>
      <w:r w:rsidRPr="00CE269B">
        <w:rPr>
          <w:rFonts w:hint="eastAsia"/>
          <w:lang w:val="fr-FR" w:eastAsia="zh-CN"/>
        </w:rPr>
        <w:t>（</w:t>
      </w:r>
      <w:r w:rsidRPr="00CE269B">
        <w:rPr>
          <w:rFonts w:hint="eastAsia"/>
          <w:lang w:val="fr-FR" w:eastAsia="zh-CN"/>
        </w:rPr>
        <w:t>620</w:t>
      </w:r>
      <w:proofErr w:type="gramStart"/>
      <w:r w:rsidRPr="004A5E18">
        <w:rPr>
          <w:rFonts w:hint="eastAsia"/>
          <w:lang w:val="en-US" w:eastAsia="zh-CN"/>
        </w:rPr>
        <w:t>万瑞</w:t>
      </w:r>
      <w:proofErr w:type="gramEnd"/>
      <w:r w:rsidRPr="004A5E18">
        <w:rPr>
          <w:rFonts w:hint="eastAsia"/>
          <w:lang w:val="en-US" w:eastAsia="zh-CN"/>
        </w:rPr>
        <w:t>郎</w:t>
      </w:r>
      <w:r w:rsidRPr="00CE269B">
        <w:rPr>
          <w:rFonts w:hint="eastAsia"/>
          <w:lang w:val="fr-FR" w:eastAsia="zh-CN"/>
        </w:rPr>
        <w:t>）</w:t>
      </w:r>
      <w:r w:rsidRPr="004A5E18">
        <w:rPr>
          <w:rFonts w:hint="eastAsia"/>
          <w:lang w:val="en-US" w:eastAsia="zh-CN"/>
        </w:rPr>
        <w:t>。截至</w:t>
      </w:r>
      <w:r w:rsidRPr="004A5E18">
        <w:rPr>
          <w:rFonts w:hint="eastAsia"/>
          <w:lang w:val="en-US" w:eastAsia="zh-CN"/>
        </w:rPr>
        <w:t>2022</w:t>
      </w:r>
      <w:r w:rsidRPr="004A5E18">
        <w:rPr>
          <w:rFonts w:hint="eastAsia"/>
          <w:lang w:val="en-US" w:eastAsia="zh-CN"/>
        </w:rPr>
        <w:t>年</w:t>
      </w:r>
      <w:r w:rsidRPr="004A5E18">
        <w:rPr>
          <w:rFonts w:hint="eastAsia"/>
          <w:lang w:val="en-US" w:eastAsia="zh-CN"/>
        </w:rPr>
        <w:t>12</w:t>
      </w:r>
      <w:r w:rsidRPr="004A5E18">
        <w:rPr>
          <w:rFonts w:hint="eastAsia"/>
          <w:lang w:val="en-US" w:eastAsia="zh-CN"/>
        </w:rPr>
        <w:t>月</w:t>
      </w:r>
      <w:r w:rsidRPr="004A5E18">
        <w:rPr>
          <w:rFonts w:hint="eastAsia"/>
          <w:lang w:val="en-US" w:eastAsia="zh-CN"/>
        </w:rPr>
        <w:t>31</w:t>
      </w:r>
      <w:r w:rsidRPr="004A5E18">
        <w:rPr>
          <w:rFonts w:hint="eastAsia"/>
          <w:lang w:val="en-US" w:eastAsia="zh-CN"/>
        </w:rPr>
        <w:t>日</w:t>
      </w:r>
      <w:proofErr w:type="gramStart"/>
      <w:r w:rsidRPr="004A5E18">
        <w:rPr>
          <w:rFonts w:hint="eastAsia"/>
          <w:lang w:val="en-US" w:eastAsia="zh-CN"/>
        </w:rPr>
        <w:t>未偿</w:t>
      </w:r>
      <w:proofErr w:type="gramEnd"/>
      <w:r w:rsidRPr="004A5E18">
        <w:rPr>
          <w:rFonts w:hint="eastAsia"/>
          <w:lang w:val="en-US" w:eastAsia="zh-CN"/>
        </w:rPr>
        <w:t>还借款为</w:t>
      </w:r>
      <w:r w:rsidRPr="004A5E18">
        <w:rPr>
          <w:rFonts w:hint="eastAsia"/>
          <w:lang w:val="en-US" w:eastAsia="zh-CN"/>
        </w:rPr>
        <w:t>4</w:t>
      </w:r>
      <w:r>
        <w:rPr>
          <w:lang w:val="en-US" w:eastAsia="zh-CN"/>
        </w:rPr>
        <w:t xml:space="preserve"> </w:t>
      </w:r>
      <w:r w:rsidRPr="004A5E18">
        <w:rPr>
          <w:rFonts w:hint="eastAsia"/>
          <w:lang w:val="en-US" w:eastAsia="zh-CN"/>
        </w:rPr>
        <w:t>830</w:t>
      </w:r>
      <w:proofErr w:type="gramStart"/>
      <w:r w:rsidRPr="004A5E18">
        <w:rPr>
          <w:rFonts w:hint="eastAsia"/>
          <w:lang w:val="en-US" w:eastAsia="zh-CN"/>
        </w:rPr>
        <w:t>万</w:t>
      </w:r>
      <w:r>
        <w:rPr>
          <w:rFonts w:hint="eastAsia"/>
          <w:lang w:val="en-US" w:eastAsia="zh-CN"/>
        </w:rPr>
        <w:t>瑞</w:t>
      </w:r>
      <w:proofErr w:type="gramEnd"/>
      <w:r>
        <w:rPr>
          <w:rFonts w:hint="eastAsia"/>
          <w:lang w:val="en-US" w:eastAsia="zh-CN"/>
        </w:rPr>
        <w:t>郎</w:t>
      </w:r>
      <w:r w:rsidRPr="004A5E18">
        <w:rPr>
          <w:rFonts w:hint="eastAsia"/>
          <w:lang w:val="en-US" w:eastAsia="zh-CN"/>
        </w:rPr>
        <w:t>（</w:t>
      </w:r>
      <w:r w:rsidRPr="004A5E18">
        <w:rPr>
          <w:rFonts w:hint="eastAsia"/>
          <w:lang w:val="en-US" w:eastAsia="zh-CN"/>
        </w:rPr>
        <w:t>2021</w:t>
      </w:r>
      <w:r w:rsidRPr="004A5E18">
        <w:rPr>
          <w:rFonts w:hint="eastAsia"/>
          <w:lang w:val="en-US" w:eastAsia="zh-CN"/>
        </w:rPr>
        <w:t>年</w:t>
      </w:r>
      <w:r>
        <w:rPr>
          <w:rFonts w:hint="eastAsia"/>
          <w:lang w:val="en-US" w:eastAsia="zh-CN"/>
        </w:rPr>
        <w:t>：</w:t>
      </w:r>
      <w:r w:rsidRPr="004A5E18">
        <w:rPr>
          <w:rFonts w:hint="eastAsia"/>
          <w:lang w:val="en-US" w:eastAsia="zh-CN"/>
        </w:rPr>
        <w:t>5</w:t>
      </w:r>
      <w:r>
        <w:rPr>
          <w:lang w:val="en-US" w:eastAsia="zh-CN"/>
        </w:rPr>
        <w:t xml:space="preserve"> </w:t>
      </w:r>
      <w:r w:rsidRPr="004A5E18">
        <w:rPr>
          <w:rFonts w:hint="eastAsia"/>
          <w:lang w:val="en-US" w:eastAsia="zh-CN"/>
        </w:rPr>
        <w:t>340</w:t>
      </w:r>
      <w:proofErr w:type="gramStart"/>
      <w:r w:rsidRPr="004A5E18">
        <w:rPr>
          <w:rFonts w:hint="eastAsia"/>
          <w:lang w:val="en-US" w:eastAsia="zh-CN"/>
        </w:rPr>
        <w:t>万瑞</w:t>
      </w:r>
      <w:proofErr w:type="gramEnd"/>
      <w:r w:rsidRPr="004A5E18">
        <w:rPr>
          <w:rFonts w:hint="eastAsia"/>
          <w:lang w:val="en-US" w:eastAsia="zh-CN"/>
        </w:rPr>
        <w:t>郎）。</w:t>
      </w:r>
    </w:p>
    <w:p w14:paraId="1B135046" w14:textId="77777777" w:rsidR="00232E78" w:rsidRPr="004A5E18" w:rsidRDefault="00232E78" w:rsidP="00570A54">
      <w:pPr>
        <w:ind w:firstLineChars="200" w:firstLine="480"/>
        <w:jc w:val="both"/>
        <w:rPr>
          <w:lang w:val="en-US" w:eastAsia="zh-CN"/>
        </w:rPr>
      </w:pPr>
      <w:r w:rsidRPr="004A5E18">
        <w:rPr>
          <w:rFonts w:hint="eastAsia"/>
          <w:lang w:val="en-US" w:eastAsia="zh-CN"/>
        </w:rPr>
        <w:t>由于会计政策的这一变化，有必要</w:t>
      </w:r>
      <w:r>
        <w:rPr>
          <w:rFonts w:hint="eastAsia"/>
          <w:lang w:val="en-US" w:eastAsia="zh-CN"/>
        </w:rPr>
        <w:t>按</w:t>
      </w:r>
      <w:r w:rsidRPr="004A5E18">
        <w:rPr>
          <w:rFonts w:hint="eastAsia"/>
          <w:lang w:val="en-US" w:eastAsia="zh-CN"/>
        </w:rPr>
        <w:t>上表所述，重新报告截至</w:t>
      </w:r>
      <w:r w:rsidRPr="004A5E18">
        <w:rPr>
          <w:rFonts w:hint="eastAsia"/>
          <w:lang w:val="en-US" w:eastAsia="zh-CN"/>
        </w:rPr>
        <w:t>2022</w:t>
      </w:r>
      <w:r w:rsidRPr="004A5E18">
        <w:rPr>
          <w:rFonts w:hint="eastAsia"/>
          <w:lang w:val="en-US" w:eastAsia="zh-CN"/>
        </w:rPr>
        <w:t>年</w:t>
      </w:r>
      <w:r w:rsidRPr="004A5E18">
        <w:rPr>
          <w:rFonts w:hint="eastAsia"/>
          <w:lang w:val="en-US" w:eastAsia="zh-CN"/>
        </w:rPr>
        <w:t>12</w:t>
      </w:r>
      <w:r w:rsidRPr="004A5E18">
        <w:rPr>
          <w:rFonts w:hint="eastAsia"/>
          <w:lang w:val="en-US" w:eastAsia="zh-CN"/>
        </w:rPr>
        <w:t>月</w:t>
      </w:r>
      <w:r w:rsidRPr="004A5E18">
        <w:rPr>
          <w:rFonts w:hint="eastAsia"/>
          <w:lang w:val="en-US" w:eastAsia="zh-CN"/>
        </w:rPr>
        <w:t>31</w:t>
      </w:r>
      <w:r w:rsidRPr="004A5E18">
        <w:rPr>
          <w:rFonts w:hint="eastAsia"/>
          <w:lang w:val="en-US" w:eastAsia="zh-CN"/>
        </w:rPr>
        <w:t>日的所有未偿贷款。由于负利率</w:t>
      </w:r>
      <w:r>
        <w:rPr>
          <w:rFonts w:hint="eastAsia"/>
          <w:lang w:val="en-US" w:eastAsia="zh-CN"/>
        </w:rPr>
        <w:t>仅</w:t>
      </w:r>
      <w:r w:rsidRPr="004A5E18">
        <w:rPr>
          <w:rFonts w:hint="eastAsia"/>
          <w:lang w:val="en-US" w:eastAsia="zh-CN"/>
        </w:rPr>
        <w:t>于</w:t>
      </w:r>
      <w:r w:rsidRPr="004A5E18">
        <w:rPr>
          <w:rFonts w:hint="eastAsia"/>
          <w:lang w:val="en-US" w:eastAsia="zh-CN"/>
        </w:rPr>
        <w:t>2021</w:t>
      </w:r>
      <w:r w:rsidRPr="004A5E18">
        <w:rPr>
          <w:rFonts w:hint="eastAsia"/>
          <w:lang w:val="en-US" w:eastAsia="zh-CN"/>
        </w:rPr>
        <w:t>年</w:t>
      </w:r>
      <w:r w:rsidRPr="004A5E18">
        <w:rPr>
          <w:rFonts w:hint="eastAsia"/>
          <w:lang w:val="en-US" w:eastAsia="zh-CN"/>
        </w:rPr>
        <w:t>12</w:t>
      </w:r>
      <w:r w:rsidRPr="004A5E18">
        <w:rPr>
          <w:rFonts w:hint="eastAsia"/>
          <w:lang w:val="en-US" w:eastAsia="zh-CN"/>
        </w:rPr>
        <w:t>月</w:t>
      </w:r>
      <w:r w:rsidRPr="004A5E18">
        <w:rPr>
          <w:rFonts w:hint="eastAsia"/>
          <w:lang w:val="en-US" w:eastAsia="zh-CN"/>
        </w:rPr>
        <w:t>31</w:t>
      </w:r>
      <w:r w:rsidRPr="004A5E18">
        <w:rPr>
          <w:rFonts w:hint="eastAsia"/>
          <w:lang w:val="en-US" w:eastAsia="zh-CN"/>
        </w:rPr>
        <w:t>日</w:t>
      </w:r>
      <w:r>
        <w:rPr>
          <w:rFonts w:hint="eastAsia"/>
          <w:lang w:val="en-US" w:eastAsia="zh-CN"/>
        </w:rPr>
        <w:t>开始</w:t>
      </w:r>
      <w:r w:rsidRPr="004A5E18">
        <w:rPr>
          <w:rFonts w:hint="eastAsia"/>
          <w:lang w:val="en-US" w:eastAsia="zh-CN"/>
        </w:rPr>
        <w:t>适用，此举会减少</w:t>
      </w:r>
      <w:r w:rsidRPr="004A5E18">
        <w:rPr>
          <w:rFonts w:hint="eastAsia"/>
          <w:lang w:val="en-US" w:eastAsia="zh-CN"/>
        </w:rPr>
        <w:t>2022</w:t>
      </w:r>
      <w:r w:rsidRPr="004A5E18">
        <w:rPr>
          <w:rFonts w:hint="eastAsia"/>
          <w:lang w:val="en-US" w:eastAsia="zh-CN"/>
        </w:rPr>
        <w:t>年</w:t>
      </w:r>
      <w:r w:rsidRPr="004A5E18">
        <w:rPr>
          <w:rFonts w:hint="eastAsia"/>
          <w:lang w:val="en-US" w:eastAsia="zh-CN"/>
        </w:rPr>
        <w:t>12</w:t>
      </w:r>
      <w:r w:rsidRPr="004A5E18">
        <w:rPr>
          <w:rFonts w:hint="eastAsia"/>
          <w:lang w:val="en-US" w:eastAsia="zh-CN"/>
        </w:rPr>
        <w:t>月</w:t>
      </w:r>
      <w:r w:rsidRPr="004A5E18">
        <w:rPr>
          <w:rFonts w:hint="eastAsia"/>
          <w:lang w:val="en-US" w:eastAsia="zh-CN"/>
        </w:rPr>
        <w:t>31</w:t>
      </w:r>
      <w:r w:rsidRPr="004A5E18">
        <w:rPr>
          <w:rFonts w:hint="eastAsia"/>
          <w:lang w:val="en-US" w:eastAsia="zh-CN"/>
        </w:rPr>
        <w:t>日财务</w:t>
      </w:r>
      <w:r>
        <w:rPr>
          <w:rFonts w:hint="eastAsia"/>
          <w:lang w:val="en-US" w:eastAsia="zh-CN"/>
        </w:rPr>
        <w:t>报</w:t>
      </w:r>
      <w:r w:rsidRPr="004A5E18">
        <w:rPr>
          <w:rFonts w:hint="eastAsia"/>
          <w:lang w:val="en-US" w:eastAsia="zh-CN"/>
        </w:rPr>
        <w:t>表</w:t>
      </w:r>
      <w:r>
        <w:rPr>
          <w:rFonts w:hint="eastAsia"/>
          <w:lang w:val="en-US" w:eastAsia="zh-CN"/>
        </w:rPr>
        <w:t>一</w:t>
      </w:r>
      <w:r w:rsidRPr="004A5E18">
        <w:rPr>
          <w:rFonts w:hint="eastAsia"/>
          <w:lang w:val="en-US" w:eastAsia="zh-CN"/>
        </w:rPr>
        <w:t>中的未偿还贷款</w:t>
      </w:r>
      <w:r>
        <w:rPr>
          <w:rFonts w:hint="eastAsia"/>
          <w:lang w:val="en-US" w:eastAsia="zh-CN"/>
        </w:rPr>
        <w:t>金额</w:t>
      </w:r>
      <w:r w:rsidRPr="004A5E18">
        <w:rPr>
          <w:rFonts w:hint="eastAsia"/>
          <w:lang w:val="en-US" w:eastAsia="zh-CN"/>
        </w:rPr>
        <w:t>。注</w:t>
      </w:r>
      <w:r w:rsidRPr="004A5E18">
        <w:rPr>
          <w:rFonts w:hint="eastAsia"/>
          <w:lang w:val="en-US" w:eastAsia="zh-CN"/>
        </w:rPr>
        <w:t>30</w:t>
      </w:r>
      <w:r w:rsidRPr="004A5E18">
        <w:rPr>
          <w:rFonts w:hint="eastAsia"/>
          <w:lang w:val="en-US" w:eastAsia="zh-CN"/>
        </w:rPr>
        <w:t>详细说明了会计政策变</w:t>
      </w:r>
      <w:r>
        <w:rPr>
          <w:rFonts w:hint="eastAsia"/>
          <w:lang w:val="en-US" w:eastAsia="zh-CN"/>
        </w:rPr>
        <w:t>化</w:t>
      </w:r>
      <w:r w:rsidRPr="004A5E18">
        <w:rPr>
          <w:rFonts w:hint="eastAsia"/>
          <w:lang w:val="en-US" w:eastAsia="zh-CN"/>
        </w:rPr>
        <w:t>的影响。</w:t>
      </w:r>
    </w:p>
    <w:p w14:paraId="4EFB4F97" w14:textId="77777777" w:rsidR="00232E78" w:rsidRDefault="00232E78" w:rsidP="00570A54">
      <w:pPr>
        <w:ind w:firstLineChars="200" w:firstLine="480"/>
        <w:jc w:val="both"/>
        <w:rPr>
          <w:lang w:val="en-US" w:eastAsia="zh-CN"/>
        </w:rPr>
      </w:pPr>
      <w:r w:rsidRPr="004A5E18">
        <w:rPr>
          <w:rFonts w:hint="eastAsia"/>
          <w:lang w:val="en-US" w:eastAsia="zh-CN"/>
        </w:rPr>
        <w:t>2017</w:t>
      </w:r>
      <w:r w:rsidRPr="004A5E18">
        <w:rPr>
          <w:rFonts w:hint="eastAsia"/>
          <w:lang w:val="en-US" w:eastAsia="zh-CN"/>
        </w:rPr>
        <w:t>年，为国际电联新</w:t>
      </w:r>
      <w:r>
        <w:rPr>
          <w:rFonts w:hint="eastAsia"/>
          <w:lang w:val="en-US" w:eastAsia="zh-CN"/>
        </w:rPr>
        <w:t>办公</w:t>
      </w:r>
      <w:r w:rsidRPr="004A5E18">
        <w:rPr>
          <w:rFonts w:hint="eastAsia"/>
          <w:lang w:val="en-US" w:eastAsia="zh-CN"/>
        </w:rPr>
        <w:t>楼项目提供了一笔</w:t>
      </w:r>
      <w:r w:rsidRPr="004A5E18">
        <w:rPr>
          <w:rFonts w:hint="eastAsia"/>
          <w:lang w:val="en-US" w:eastAsia="zh-CN"/>
        </w:rPr>
        <w:t>1.5</w:t>
      </w:r>
      <w:r w:rsidRPr="004A5E18">
        <w:rPr>
          <w:rFonts w:hint="eastAsia"/>
          <w:lang w:val="en-US" w:eastAsia="zh-CN"/>
        </w:rPr>
        <w:t>亿瑞郎的无息贷款。截至</w:t>
      </w:r>
      <w:r w:rsidRPr="004A5E18">
        <w:rPr>
          <w:rFonts w:hint="eastAsia"/>
          <w:lang w:val="en-US" w:eastAsia="zh-CN"/>
        </w:rPr>
        <w:t>2022</w:t>
      </w:r>
      <w:r w:rsidRPr="004A5E18">
        <w:rPr>
          <w:rFonts w:hint="eastAsia"/>
          <w:lang w:val="en-US" w:eastAsia="zh-CN"/>
        </w:rPr>
        <w:t>年</w:t>
      </w:r>
      <w:r w:rsidRPr="004A5E18">
        <w:rPr>
          <w:rFonts w:hint="eastAsia"/>
          <w:lang w:val="en-US" w:eastAsia="zh-CN"/>
        </w:rPr>
        <w:t>12</w:t>
      </w:r>
      <w:r w:rsidRPr="004A5E18">
        <w:rPr>
          <w:rFonts w:hint="eastAsia"/>
          <w:lang w:val="en-US" w:eastAsia="zh-CN"/>
        </w:rPr>
        <w:t>月</w:t>
      </w:r>
      <w:r w:rsidRPr="004A5E18">
        <w:rPr>
          <w:rFonts w:hint="eastAsia"/>
          <w:lang w:val="en-US" w:eastAsia="zh-CN"/>
        </w:rPr>
        <w:t>31</w:t>
      </w:r>
      <w:r w:rsidRPr="004A5E18">
        <w:rPr>
          <w:rFonts w:hint="eastAsia"/>
          <w:lang w:val="en-US" w:eastAsia="zh-CN"/>
        </w:rPr>
        <w:t>日，已收到</w:t>
      </w:r>
      <w:r w:rsidRPr="009665AE">
        <w:rPr>
          <w:lang w:val="en-US" w:eastAsia="zh-CN"/>
        </w:rPr>
        <w:t>19</w:t>
      </w:r>
      <w:r>
        <w:rPr>
          <w:lang w:val="en-US" w:eastAsia="zh-CN"/>
        </w:rPr>
        <w:t xml:space="preserve"> </w:t>
      </w:r>
      <w:r w:rsidRPr="009665AE">
        <w:rPr>
          <w:lang w:val="en-US" w:eastAsia="zh-CN"/>
        </w:rPr>
        <w:t>472</w:t>
      </w:r>
      <w:r>
        <w:rPr>
          <w:lang w:val="en-US" w:eastAsia="zh-CN"/>
        </w:rPr>
        <w:t xml:space="preserve"> </w:t>
      </w:r>
      <w:r w:rsidRPr="009665AE">
        <w:rPr>
          <w:lang w:val="en-US" w:eastAsia="zh-CN"/>
        </w:rPr>
        <w:t>000</w:t>
      </w:r>
      <w:r w:rsidRPr="004A5E18">
        <w:rPr>
          <w:rFonts w:hint="eastAsia"/>
          <w:lang w:val="en-US" w:eastAsia="zh-CN"/>
        </w:rPr>
        <w:t>瑞郎。只有在新</w:t>
      </w:r>
      <w:r>
        <w:rPr>
          <w:rFonts w:hint="eastAsia"/>
          <w:lang w:val="en-US" w:eastAsia="zh-CN"/>
        </w:rPr>
        <w:t>办公</w:t>
      </w:r>
      <w:r w:rsidRPr="004A5E18">
        <w:rPr>
          <w:rFonts w:hint="eastAsia"/>
          <w:lang w:val="en-US" w:eastAsia="zh-CN"/>
        </w:rPr>
        <w:t>楼成功交付后，才会开始偿还为国际电联新</w:t>
      </w:r>
      <w:r>
        <w:rPr>
          <w:rFonts w:hint="eastAsia"/>
          <w:lang w:val="en-US" w:eastAsia="zh-CN"/>
        </w:rPr>
        <w:t>办公</w:t>
      </w:r>
      <w:r w:rsidRPr="004A5E18">
        <w:rPr>
          <w:rFonts w:hint="eastAsia"/>
          <w:lang w:val="en-US" w:eastAsia="zh-CN"/>
        </w:rPr>
        <w:t>楼发放的贷款。该贷款最初按公允价值确认，随后按摊余成本计</w:t>
      </w:r>
      <w:r>
        <w:rPr>
          <w:rFonts w:hint="eastAsia"/>
          <w:lang w:val="en-US" w:eastAsia="zh-CN"/>
        </w:rPr>
        <w:t>量</w:t>
      </w:r>
      <w:r w:rsidRPr="004A5E18">
        <w:rPr>
          <w:rFonts w:hint="eastAsia"/>
          <w:lang w:val="en-US" w:eastAsia="zh-CN"/>
        </w:rPr>
        <w:t>。这笔贷款的处理方式将与</w:t>
      </w:r>
      <w:r w:rsidRPr="004A5E18">
        <w:rPr>
          <w:rFonts w:hint="eastAsia"/>
          <w:lang w:val="en-US" w:eastAsia="zh-CN"/>
        </w:rPr>
        <w:t>FIPOI</w:t>
      </w:r>
      <w:r w:rsidRPr="004A5E18">
        <w:rPr>
          <w:rFonts w:hint="eastAsia"/>
          <w:lang w:val="en-US" w:eastAsia="zh-CN"/>
        </w:rPr>
        <w:t>的其他优惠贷款类似。国际电联的新</w:t>
      </w:r>
      <w:r>
        <w:rPr>
          <w:rFonts w:hint="eastAsia"/>
          <w:lang w:val="en-US" w:eastAsia="zh-CN"/>
        </w:rPr>
        <w:t>办公</w:t>
      </w:r>
      <w:r w:rsidRPr="004A5E18">
        <w:rPr>
          <w:rFonts w:hint="eastAsia"/>
          <w:lang w:val="en-US" w:eastAsia="zh-CN"/>
        </w:rPr>
        <w:t>楼项目尚未开始，因此也没有安排还款计划。一旦有新的信息，国际电联将在其财务报表中</w:t>
      </w:r>
      <w:r>
        <w:rPr>
          <w:rFonts w:hint="eastAsia"/>
          <w:lang w:val="en-US" w:eastAsia="zh-CN"/>
        </w:rPr>
        <w:t>体现</w:t>
      </w:r>
      <w:r w:rsidRPr="004A5E18">
        <w:rPr>
          <w:rFonts w:hint="eastAsia"/>
          <w:lang w:val="en-US" w:eastAsia="zh-CN"/>
        </w:rPr>
        <w:t>这些决定。</w:t>
      </w:r>
    </w:p>
    <w:p w14:paraId="1A293C9C" w14:textId="77777777" w:rsidR="00232E78" w:rsidRPr="000C156A" w:rsidRDefault="00232E78" w:rsidP="00232E78">
      <w:pPr>
        <w:pStyle w:val="Heading1"/>
        <w:tabs>
          <w:tab w:val="clear" w:pos="794"/>
        </w:tabs>
        <w:spacing w:before="360"/>
        <w:ind w:left="1134" w:hanging="1134"/>
        <w:rPr>
          <w:rFonts w:cs="Microsoft YaHei"/>
          <w:sz w:val="24"/>
          <w:szCs w:val="24"/>
          <w:lang w:eastAsia="zh-CN"/>
        </w:rPr>
      </w:pPr>
      <w:bookmarkStart w:id="530" w:name="_Toc482892575"/>
      <w:bookmarkStart w:id="531" w:name="_Toc482870840"/>
      <w:bookmarkStart w:id="532" w:name="_Toc329165791"/>
      <w:bookmarkStart w:id="533" w:name="_Toc305594751"/>
      <w:bookmarkStart w:id="534" w:name="_Toc511813759"/>
      <w:bookmarkStart w:id="535" w:name="_Toc511817842"/>
      <w:bookmarkStart w:id="536" w:name="_Toc520280742"/>
      <w:bookmarkStart w:id="537" w:name="_Toc10536837"/>
      <w:bookmarkStart w:id="538" w:name="_Toc41905879"/>
      <w:bookmarkStart w:id="539" w:name="_Toc41906907"/>
      <w:bookmarkStart w:id="540" w:name="_Toc41907988"/>
      <w:bookmarkStart w:id="541" w:name="_Toc41908056"/>
      <w:bookmarkStart w:id="542" w:name="_Toc73518694"/>
      <w:bookmarkStart w:id="543" w:name="_Toc73518841"/>
      <w:bookmarkStart w:id="544" w:name="_Toc73519241"/>
      <w:bookmarkStart w:id="545" w:name="_Toc73636280"/>
      <w:bookmarkStart w:id="546" w:name="_Toc163723301"/>
      <w:bookmarkEnd w:id="528"/>
      <w:bookmarkEnd w:id="529"/>
      <w:r w:rsidRPr="000C156A">
        <w:rPr>
          <w:rFonts w:cs="Microsoft YaHei" w:hint="eastAsia"/>
          <w:sz w:val="24"/>
          <w:szCs w:val="24"/>
          <w:lang w:val="fr-FR" w:eastAsia="zh-CN"/>
        </w:rPr>
        <w:t>说明</w:t>
      </w:r>
      <w:r w:rsidRPr="000C156A">
        <w:rPr>
          <w:rFonts w:cs="Microsoft YaHei"/>
          <w:sz w:val="24"/>
          <w:szCs w:val="24"/>
          <w:lang w:eastAsia="zh-CN"/>
        </w:rPr>
        <w:t>1</w:t>
      </w:r>
      <w:r>
        <w:rPr>
          <w:rFonts w:cs="Microsoft YaHei"/>
          <w:sz w:val="24"/>
          <w:szCs w:val="24"/>
          <w:lang w:eastAsia="zh-CN"/>
        </w:rPr>
        <w:t>8</w:t>
      </w:r>
      <w:r w:rsidRPr="000C156A">
        <w:rPr>
          <w:rFonts w:cs="Microsoft YaHei"/>
          <w:sz w:val="24"/>
          <w:szCs w:val="24"/>
          <w:lang w:eastAsia="zh-CN"/>
        </w:rPr>
        <w:tab/>
      </w:r>
      <w:r w:rsidRPr="000C156A">
        <w:rPr>
          <w:rFonts w:cs="Microsoft YaHei" w:hint="eastAsia"/>
          <w:sz w:val="24"/>
          <w:szCs w:val="24"/>
          <w:lang w:val="fr-FR" w:eastAsia="zh-CN"/>
        </w:rPr>
        <w:t>职员福利</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14:paraId="3B06DD9A" w14:textId="77777777" w:rsidR="00232E78" w:rsidRDefault="00232E78" w:rsidP="00232E78">
      <w:pPr>
        <w:keepNext/>
        <w:keepLines/>
        <w:ind w:firstLineChars="200" w:firstLine="480"/>
        <w:rPr>
          <w:lang w:eastAsia="zh-CN"/>
        </w:rPr>
      </w:pPr>
      <w:r w:rsidRPr="000C156A">
        <w:rPr>
          <w:rFonts w:hint="eastAsia"/>
          <w:lang w:eastAsia="zh-CN"/>
        </w:rPr>
        <w:t>职员福利系指国际电联为职员所提供服务而回报的各种形式的补偿，</w:t>
      </w:r>
      <w:bookmarkStart w:id="547" w:name="_Toc329011642"/>
      <w:bookmarkStart w:id="548" w:name="_Toc305764091"/>
      <w:r w:rsidRPr="000C156A">
        <w:rPr>
          <w:rFonts w:hint="eastAsia"/>
          <w:lang w:eastAsia="zh-CN"/>
        </w:rPr>
        <w:t>雇员获得这些补偿即表示他们的工作得到认可。</w:t>
      </w:r>
    </w:p>
    <w:p w14:paraId="117027E0" w14:textId="77777777" w:rsidR="00232E78" w:rsidRPr="002E1916" w:rsidRDefault="00232E78" w:rsidP="0084762D">
      <w:pPr>
        <w:pStyle w:val="Figure"/>
        <w:keepNext w:val="0"/>
        <w:keepLines w:val="0"/>
        <w:rPr>
          <w:szCs w:val="24"/>
          <w:lang w:val="en-US" w:eastAsia="zh-CN"/>
        </w:rPr>
      </w:pPr>
      <w:r w:rsidRPr="0087254C">
        <w:rPr>
          <w:noProof/>
        </w:rPr>
        <w:drawing>
          <wp:inline distT="0" distB="0" distL="0" distR="0" wp14:anchorId="28EEC69C" wp14:editId="6B461673">
            <wp:extent cx="5760085" cy="2357755"/>
            <wp:effectExtent l="0" t="0" r="0" b="4445"/>
            <wp:docPr id="10556655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60085" cy="2357755"/>
                    </a:xfrm>
                    <a:prstGeom prst="rect">
                      <a:avLst/>
                    </a:prstGeom>
                    <a:noFill/>
                    <a:ln>
                      <a:noFill/>
                    </a:ln>
                  </pic:spPr>
                </pic:pic>
              </a:graphicData>
            </a:graphic>
          </wp:inline>
        </w:drawing>
      </w:r>
      <w:bookmarkEnd w:id="547"/>
      <w:bookmarkEnd w:id="548"/>
    </w:p>
    <w:p w14:paraId="16B6886E" w14:textId="77777777" w:rsidR="00232E78" w:rsidRDefault="00232E78" w:rsidP="00232E78">
      <w:pPr>
        <w:pStyle w:val="Heading2"/>
        <w:rPr>
          <w:bCs/>
          <w:iCs/>
          <w:lang w:eastAsia="zh-CN"/>
        </w:rPr>
      </w:pPr>
      <w:bookmarkStart w:id="549" w:name="_Toc41905884"/>
      <w:bookmarkStart w:id="550" w:name="_Toc73518699"/>
      <w:bookmarkStart w:id="551" w:name="_Toc73518846"/>
      <w:bookmarkStart w:id="552" w:name="_Toc73519246"/>
      <w:bookmarkStart w:id="553" w:name="_Toc73636285"/>
      <w:r>
        <w:rPr>
          <w:bCs/>
          <w:iCs/>
          <w:lang w:eastAsia="zh-CN"/>
        </w:rPr>
        <w:lastRenderedPageBreak/>
        <w:t>18.1</w:t>
      </w:r>
      <w:r>
        <w:rPr>
          <w:bCs/>
          <w:iCs/>
          <w:lang w:eastAsia="zh-CN"/>
        </w:rPr>
        <w:tab/>
      </w:r>
      <w:r w:rsidRPr="00C943A0">
        <w:rPr>
          <w:rFonts w:hint="eastAsia"/>
          <w:lang w:val="en-US" w:eastAsia="zh-CN"/>
        </w:rPr>
        <w:t>离职后健康保险</w:t>
      </w:r>
    </w:p>
    <w:p w14:paraId="739CA572" w14:textId="77777777" w:rsidR="00232E78" w:rsidRPr="000C156A" w:rsidRDefault="00232E78" w:rsidP="00232E78">
      <w:pPr>
        <w:pStyle w:val="Heading3"/>
        <w:ind w:left="1134" w:hanging="1134"/>
        <w:rPr>
          <w:b w:val="0"/>
          <w:bCs/>
          <w:i w:val="0"/>
          <w:iCs/>
          <w:lang w:eastAsia="zh-CN"/>
        </w:rPr>
      </w:pPr>
      <w:r w:rsidRPr="000C156A">
        <w:rPr>
          <w:b w:val="0"/>
          <w:bCs/>
          <w:iCs/>
          <w:lang w:eastAsia="zh-CN"/>
        </w:rPr>
        <w:t>1</w:t>
      </w:r>
      <w:r>
        <w:rPr>
          <w:b w:val="0"/>
          <w:bCs/>
          <w:iCs/>
          <w:lang w:eastAsia="zh-CN"/>
        </w:rPr>
        <w:t>8</w:t>
      </w:r>
      <w:r w:rsidRPr="000C156A">
        <w:rPr>
          <w:b w:val="0"/>
          <w:bCs/>
          <w:iCs/>
          <w:lang w:eastAsia="zh-CN"/>
        </w:rPr>
        <w:t>.</w:t>
      </w:r>
      <w:r>
        <w:rPr>
          <w:b w:val="0"/>
          <w:bCs/>
          <w:iCs/>
          <w:lang w:eastAsia="zh-CN"/>
        </w:rPr>
        <w:t>1</w:t>
      </w:r>
      <w:r w:rsidRPr="000C156A">
        <w:rPr>
          <w:b w:val="0"/>
          <w:bCs/>
          <w:iCs/>
          <w:lang w:eastAsia="zh-CN"/>
        </w:rPr>
        <w:t>.1</w:t>
      </w:r>
      <w:r w:rsidRPr="000C156A">
        <w:rPr>
          <w:b w:val="0"/>
          <w:bCs/>
          <w:iCs/>
          <w:lang w:eastAsia="zh-CN"/>
        </w:rPr>
        <w:tab/>
      </w:r>
      <w:r w:rsidRPr="00071F49">
        <w:rPr>
          <w:b w:val="0"/>
          <w:bCs/>
          <w:i w:val="0"/>
          <w:lang w:eastAsia="zh-CN"/>
        </w:rPr>
        <w:t>ASHI</w:t>
      </w:r>
      <w:r w:rsidRPr="00071F49">
        <w:rPr>
          <w:rFonts w:eastAsia="STKaiti" w:cs="Microsoft YaHei" w:hint="eastAsia"/>
          <w:b w:val="0"/>
          <w:bCs/>
          <w:i w:val="0"/>
          <w:lang w:val="fr-FR" w:eastAsia="zh-CN"/>
        </w:rPr>
        <w:t>计划的离职后福利的精算估值</w:t>
      </w:r>
      <w:bookmarkEnd w:id="549"/>
      <w:bookmarkEnd w:id="550"/>
      <w:bookmarkEnd w:id="551"/>
      <w:bookmarkEnd w:id="552"/>
      <w:bookmarkEnd w:id="553"/>
    </w:p>
    <w:p w14:paraId="5B83FD2D" w14:textId="77777777" w:rsidR="00232E78" w:rsidRPr="000C156A" w:rsidRDefault="00232E78" w:rsidP="00232E78">
      <w:pPr>
        <w:keepNext/>
        <w:keepLines/>
        <w:ind w:firstLineChars="200" w:firstLine="480"/>
        <w:rPr>
          <w:lang w:eastAsia="zh-CN"/>
        </w:rPr>
      </w:pPr>
      <w:r w:rsidRPr="000C156A">
        <w:rPr>
          <w:rFonts w:hint="eastAsia"/>
          <w:lang w:eastAsia="zh-CN"/>
        </w:rPr>
        <w:t>承付款项结算通过一家独立咨询公司进行的年度精算研究确定。最近于</w:t>
      </w:r>
      <w:r w:rsidRPr="000C156A">
        <w:rPr>
          <w:lang w:eastAsia="zh-CN"/>
        </w:rPr>
        <w:t>202</w:t>
      </w:r>
      <w:r>
        <w:rPr>
          <w:lang w:eastAsia="zh-CN"/>
        </w:rPr>
        <w:t>3</w:t>
      </w:r>
      <w:r w:rsidRPr="000C156A">
        <w:rPr>
          <w:rFonts w:hint="eastAsia"/>
          <w:lang w:eastAsia="zh-CN"/>
        </w:rPr>
        <w:t>年</w:t>
      </w:r>
      <w:r w:rsidRPr="000C156A">
        <w:rPr>
          <w:lang w:eastAsia="zh-CN"/>
        </w:rPr>
        <w:t>1</w:t>
      </w:r>
      <w:r w:rsidRPr="000C156A">
        <w:rPr>
          <w:rFonts w:hint="eastAsia"/>
          <w:lang w:eastAsia="zh-CN"/>
        </w:rPr>
        <w:t>月进行的估值符合</w:t>
      </w:r>
      <w:r w:rsidRPr="000C156A">
        <w:rPr>
          <w:lang w:eastAsia="zh-CN"/>
        </w:rPr>
        <w:t>202</w:t>
      </w:r>
      <w:r>
        <w:rPr>
          <w:lang w:eastAsia="zh-CN"/>
        </w:rPr>
        <w:t>2</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w:t>
      </w:r>
      <w:r>
        <w:rPr>
          <w:rFonts w:hint="eastAsia"/>
          <w:lang w:eastAsia="zh-CN"/>
        </w:rPr>
        <w:t>（</w:t>
      </w:r>
      <w:r>
        <w:rPr>
          <w:rFonts w:hint="eastAsia"/>
          <w:lang w:eastAsia="zh-CN"/>
        </w:rPr>
        <w:t>2</w:t>
      </w:r>
      <w:r>
        <w:rPr>
          <w:lang w:eastAsia="zh-CN"/>
        </w:rPr>
        <w:t>021</w:t>
      </w:r>
      <w:r>
        <w:rPr>
          <w:rFonts w:hint="eastAsia"/>
          <w:lang w:eastAsia="zh-CN"/>
        </w:rPr>
        <w:t>年：</w:t>
      </w:r>
      <w:r>
        <w:rPr>
          <w:rFonts w:hint="eastAsia"/>
          <w:lang w:eastAsia="zh-CN"/>
        </w:rPr>
        <w:t>5</w:t>
      </w:r>
      <w:r>
        <w:rPr>
          <w:lang w:eastAsia="zh-CN"/>
        </w:rPr>
        <w:t>.456</w:t>
      </w:r>
      <w:r>
        <w:rPr>
          <w:rFonts w:hint="eastAsia"/>
          <w:lang w:eastAsia="zh-CN"/>
        </w:rPr>
        <w:t>亿瑞郎）</w:t>
      </w:r>
      <w:r w:rsidRPr="000C156A">
        <w:rPr>
          <w:rFonts w:hint="eastAsia"/>
          <w:lang w:eastAsia="zh-CN"/>
        </w:rPr>
        <w:t>特定条件的职员离职后医疗保险福利的国际电联承付款项确定为</w:t>
      </w:r>
      <w:r>
        <w:rPr>
          <w:lang w:eastAsia="zh-CN"/>
        </w:rPr>
        <w:t>3</w:t>
      </w:r>
      <w:r w:rsidRPr="000C156A">
        <w:rPr>
          <w:lang w:eastAsia="zh-CN"/>
        </w:rPr>
        <w:t>.</w:t>
      </w:r>
      <w:r>
        <w:rPr>
          <w:lang w:eastAsia="zh-CN"/>
        </w:rPr>
        <w:t>441</w:t>
      </w:r>
      <w:r w:rsidRPr="000C156A">
        <w:rPr>
          <w:rFonts w:hint="eastAsia"/>
          <w:lang w:eastAsia="zh-CN"/>
        </w:rPr>
        <w:t>亿瑞郎。精算研究基于国际电联提供的数据</w:t>
      </w:r>
      <w:r>
        <w:rPr>
          <w:rFonts w:hint="eastAsia"/>
          <w:lang w:eastAsia="zh-CN"/>
        </w:rPr>
        <w:t>（报销费用</w:t>
      </w:r>
      <w:r>
        <w:rPr>
          <w:rFonts w:hint="eastAsia"/>
          <w:lang w:eastAsia="zh-CN"/>
        </w:rPr>
        <w:t>/</w:t>
      </w:r>
      <w:r>
        <w:rPr>
          <w:rFonts w:hint="eastAsia"/>
          <w:lang w:eastAsia="zh-CN"/>
        </w:rPr>
        <w:t>支付的保费</w:t>
      </w:r>
      <w:r>
        <w:rPr>
          <w:rFonts w:hint="eastAsia"/>
          <w:lang w:eastAsia="zh-CN"/>
        </w:rPr>
        <w:t>/</w:t>
      </w:r>
      <w:r>
        <w:rPr>
          <w:rFonts w:hint="eastAsia"/>
          <w:lang w:eastAsia="zh-CN"/>
        </w:rPr>
        <w:t>合乎资格的人员）</w:t>
      </w:r>
      <w:r w:rsidRPr="000C156A">
        <w:rPr>
          <w:rFonts w:hint="eastAsia"/>
          <w:lang w:eastAsia="zh-CN"/>
        </w:rPr>
        <w:t>。</w:t>
      </w:r>
    </w:p>
    <w:p w14:paraId="71947D70" w14:textId="77777777" w:rsidR="00232E78" w:rsidRPr="00CE269B" w:rsidRDefault="00232E78" w:rsidP="00232E78">
      <w:pPr>
        <w:pStyle w:val="Heading3"/>
        <w:ind w:left="1134" w:hanging="1134"/>
        <w:rPr>
          <w:b w:val="0"/>
          <w:bCs/>
          <w:lang w:eastAsia="zh-CN"/>
        </w:rPr>
      </w:pPr>
      <w:bookmarkStart w:id="554" w:name="_Toc41905885"/>
      <w:bookmarkStart w:id="555" w:name="_Toc73518700"/>
      <w:bookmarkStart w:id="556" w:name="_Toc73518847"/>
      <w:bookmarkStart w:id="557" w:name="_Toc73519247"/>
      <w:bookmarkStart w:id="558" w:name="_Toc73636286"/>
      <w:r w:rsidRPr="00CE269B">
        <w:rPr>
          <w:b w:val="0"/>
          <w:bCs/>
          <w:iCs/>
          <w:lang w:eastAsia="zh-CN"/>
        </w:rPr>
        <w:t>18.1.2</w:t>
      </w:r>
      <w:r w:rsidRPr="00CE269B">
        <w:rPr>
          <w:b w:val="0"/>
          <w:bCs/>
          <w:iCs/>
          <w:lang w:eastAsia="zh-CN"/>
        </w:rPr>
        <w:tab/>
      </w:r>
      <w:r w:rsidRPr="00071F49">
        <w:rPr>
          <w:rFonts w:ascii="STKaiti" w:eastAsia="STKaiti" w:hAnsi="STKaiti" w:hint="eastAsia"/>
          <w:b w:val="0"/>
          <w:bCs/>
          <w:i w:val="0"/>
          <w:lang w:val="fr-FR" w:eastAsia="zh-CN"/>
        </w:rPr>
        <w:t>精算估值</w:t>
      </w:r>
      <w:r w:rsidRPr="00CE269B">
        <w:rPr>
          <w:rFonts w:asciiTheme="minorHAnsi" w:eastAsia="STKaiti" w:hAnsiTheme="minorHAnsi"/>
          <w:b w:val="0"/>
          <w:bCs/>
          <w:i w:val="0"/>
          <w:lang w:eastAsia="zh-CN"/>
        </w:rPr>
        <w:t xml:space="preserve"> – </w:t>
      </w:r>
      <w:r w:rsidRPr="00071F49">
        <w:rPr>
          <w:rFonts w:ascii="STKaiti" w:eastAsia="STKaiti" w:hAnsi="STKaiti" w:hint="eastAsia"/>
          <w:b w:val="0"/>
          <w:bCs/>
          <w:i w:val="0"/>
          <w:lang w:val="fr-FR" w:eastAsia="zh-CN"/>
        </w:rPr>
        <w:t>假设和方法</w:t>
      </w:r>
      <w:bookmarkEnd w:id="554"/>
      <w:bookmarkEnd w:id="555"/>
      <w:bookmarkEnd w:id="556"/>
      <w:bookmarkEnd w:id="557"/>
      <w:bookmarkEnd w:id="558"/>
    </w:p>
    <w:p w14:paraId="689D2693" w14:textId="77777777" w:rsidR="00232E78" w:rsidRPr="000C156A" w:rsidRDefault="00232E78" w:rsidP="00DC6B4E">
      <w:pPr>
        <w:spacing w:after="120"/>
        <w:ind w:firstLineChars="200" w:firstLine="480"/>
        <w:rPr>
          <w:lang w:eastAsia="zh-CN"/>
        </w:rPr>
      </w:pPr>
      <w:r w:rsidRPr="000C156A">
        <w:rPr>
          <w:rFonts w:hint="eastAsia"/>
          <w:lang w:eastAsia="zh-CN"/>
        </w:rPr>
        <w:t>在</w:t>
      </w:r>
      <w:r w:rsidRPr="00CE269B">
        <w:rPr>
          <w:lang w:eastAsia="zh-CN"/>
        </w:rPr>
        <w:t>20</w:t>
      </w:r>
      <w:r w:rsidRPr="000C156A">
        <w:rPr>
          <w:lang w:eastAsia="zh-CN"/>
        </w:rPr>
        <w:t>2</w:t>
      </w:r>
      <w:r>
        <w:rPr>
          <w:lang w:eastAsia="zh-CN"/>
        </w:rPr>
        <w:t>2</w:t>
      </w:r>
      <w:r w:rsidRPr="000C156A">
        <w:rPr>
          <w:rFonts w:hint="eastAsia"/>
          <w:lang w:eastAsia="zh-CN"/>
        </w:rPr>
        <w:t>年</w:t>
      </w:r>
      <w:r w:rsidRPr="00CE269B">
        <w:rPr>
          <w:lang w:eastAsia="zh-CN"/>
        </w:rPr>
        <w:t>12</w:t>
      </w:r>
      <w:r w:rsidRPr="000C156A">
        <w:rPr>
          <w:rFonts w:hint="eastAsia"/>
          <w:lang w:eastAsia="zh-CN"/>
        </w:rPr>
        <w:t>月</w:t>
      </w:r>
      <w:r w:rsidRPr="00CE269B">
        <w:rPr>
          <w:lang w:eastAsia="zh-CN"/>
        </w:rPr>
        <w:t>31</w:t>
      </w:r>
      <w:r w:rsidRPr="000C156A">
        <w:rPr>
          <w:rFonts w:hint="eastAsia"/>
          <w:lang w:eastAsia="zh-CN"/>
        </w:rPr>
        <w:t>日与</w:t>
      </w:r>
      <w:r w:rsidRPr="00CE269B">
        <w:rPr>
          <w:lang w:eastAsia="zh-CN"/>
        </w:rPr>
        <w:t>ASHI</w:t>
      </w:r>
      <w:r w:rsidRPr="000C156A">
        <w:rPr>
          <w:rFonts w:hint="eastAsia"/>
          <w:lang w:eastAsia="zh-CN"/>
        </w:rPr>
        <w:t>计划相关承付款项估值以及</w:t>
      </w:r>
      <w:r w:rsidRPr="00CE269B">
        <w:rPr>
          <w:lang w:eastAsia="zh-CN"/>
        </w:rPr>
        <w:t>20</w:t>
      </w:r>
      <w:r w:rsidRPr="000C156A">
        <w:rPr>
          <w:lang w:eastAsia="zh-CN"/>
        </w:rPr>
        <w:t>2</w:t>
      </w:r>
      <w:r>
        <w:rPr>
          <w:lang w:eastAsia="zh-CN"/>
        </w:rPr>
        <w:t>2</w:t>
      </w:r>
      <w:r w:rsidRPr="000C156A">
        <w:rPr>
          <w:rFonts w:hint="eastAsia"/>
          <w:lang w:eastAsia="zh-CN"/>
        </w:rPr>
        <w:t>年间缴费相关的框架范围内</w:t>
      </w:r>
      <w:r w:rsidRPr="00CE269B">
        <w:rPr>
          <w:rFonts w:hint="eastAsia"/>
          <w:lang w:eastAsia="zh-CN"/>
        </w:rPr>
        <w:t>，</w:t>
      </w:r>
      <w:r w:rsidRPr="000C156A">
        <w:rPr>
          <w:rFonts w:hint="eastAsia"/>
          <w:lang w:eastAsia="zh-CN"/>
        </w:rPr>
        <w:t>国际电联对精算师使用的假设和方法进行证实。下述为</w:t>
      </w:r>
      <w:r w:rsidRPr="000C156A">
        <w:rPr>
          <w:lang w:eastAsia="zh-CN"/>
        </w:rPr>
        <w:t>202</w:t>
      </w:r>
      <w:r>
        <w:rPr>
          <w:lang w:eastAsia="zh-CN"/>
        </w:rPr>
        <w:t>2</w:t>
      </w:r>
      <w:r w:rsidRPr="000C156A">
        <w:rPr>
          <w:rFonts w:hint="eastAsia"/>
          <w:lang w:eastAsia="zh-CN"/>
        </w:rPr>
        <w:t>年期间估值所采用的假设与方法。</w:t>
      </w:r>
    </w:p>
    <w:tbl>
      <w:tblPr>
        <w:tblW w:w="90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6645"/>
      </w:tblGrid>
      <w:tr w:rsidR="00232E78" w:rsidRPr="000C156A" w14:paraId="6D637CDC" w14:textId="77777777" w:rsidTr="00DC6B4E">
        <w:tc>
          <w:tcPr>
            <w:tcW w:w="2439" w:type="dxa"/>
            <w:tcBorders>
              <w:top w:val="single" w:sz="4" w:space="0" w:color="auto"/>
              <w:left w:val="single" w:sz="4" w:space="0" w:color="auto"/>
              <w:bottom w:val="single" w:sz="4" w:space="0" w:color="auto"/>
              <w:right w:val="single" w:sz="4" w:space="0" w:color="auto"/>
            </w:tcBorders>
            <w:hideMark/>
          </w:tcPr>
          <w:p w14:paraId="6FDDBD07" w14:textId="77777777" w:rsidR="00232E78" w:rsidRPr="000C156A" w:rsidRDefault="00232E78" w:rsidP="00A54C2B">
            <w:pPr>
              <w:pStyle w:val="Tabletext"/>
              <w:rPr>
                <w:sz w:val="20"/>
                <w:lang w:val="en-US"/>
              </w:rPr>
            </w:pPr>
            <w:r w:rsidRPr="000C156A">
              <w:rPr>
                <w:rFonts w:hint="eastAsia"/>
                <w:sz w:val="20"/>
                <w:lang w:val="en-US"/>
              </w:rPr>
              <w:t>贴现率</w:t>
            </w:r>
          </w:p>
        </w:tc>
        <w:tc>
          <w:tcPr>
            <w:tcW w:w="6645" w:type="dxa"/>
            <w:tcBorders>
              <w:top w:val="single" w:sz="4" w:space="0" w:color="auto"/>
              <w:left w:val="single" w:sz="4" w:space="0" w:color="auto"/>
              <w:bottom w:val="single" w:sz="4" w:space="0" w:color="auto"/>
              <w:right w:val="single" w:sz="4" w:space="0" w:color="auto"/>
            </w:tcBorders>
            <w:hideMark/>
          </w:tcPr>
          <w:p w14:paraId="28A99767" w14:textId="77777777" w:rsidR="00232E78" w:rsidRPr="004C609B" w:rsidRDefault="00232E78" w:rsidP="00A54C2B">
            <w:pPr>
              <w:pStyle w:val="Tabletext"/>
              <w:pageBreakBefore/>
              <w:rPr>
                <w:rFonts w:cs="Calibri"/>
                <w:sz w:val="20"/>
                <w:lang w:eastAsia="zh-CN"/>
              </w:rPr>
            </w:pPr>
            <w:r w:rsidRPr="004C609B">
              <w:rPr>
                <w:rFonts w:cs="Calibri" w:hint="eastAsia"/>
                <w:sz w:val="20"/>
                <w:lang w:eastAsia="zh-CN"/>
              </w:rPr>
              <w:t>2022</w:t>
            </w:r>
            <w:r w:rsidRPr="004C609B">
              <w:rPr>
                <w:rFonts w:cs="Calibri" w:hint="eastAsia"/>
                <w:sz w:val="20"/>
                <w:lang w:eastAsia="zh-CN"/>
              </w:rPr>
              <w:t>年为</w:t>
            </w:r>
            <w:r w:rsidRPr="004C609B">
              <w:rPr>
                <w:rFonts w:cs="Calibri" w:hint="eastAsia"/>
                <w:sz w:val="20"/>
                <w:lang w:eastAsia="zh-CN"/>
              </w:rPr>
              <w:t>2.50%</w:t>
            </w:r>
            <w:r w:rsidRPr="004C609B">
              <w:rPr>
                <w:rFonts w:cs="Calibri" w:hint="eastAsia"/>
                <w:sz w:val="20"/>
                <w:lang w:eastAsia="zh-CN"/>
              </w:rPr>
              <w:t>，</w:t>
            </w:r>
            <w:r w:rsidRPr="004C609B">
              <w:rPr>
                <w:rFonts w:cs="Calibri" w:hint="eastAsia"/>
                <w:sz w:val="20"/>
                <w:lang w:eastAsia="zh-CN"/>
              </w:rPr>
              <w:t>2021</w:t>
            </w:r>
            <w:r w:rsidRPr="004C609B">
              <w:rPr>
                <w:rFonts w:cs="Calibri" w:hint="eastAsia"/>
                <w:sz w:val="20"/>
                <w:lang w:eastAsia="zh-CN"/>
              </w:rPr>
              <w:t>年为</w:t>
            </w:r>
            <w:r w:rsidRPr="004C609B">
              <w:rPr>
                <w:rFonts w:cs="Calibri" w:hint="eastAsia"/>
                <w:sz w:val="20"/>
                <w:lang w:eastAsia="zh-CN"/>
              </w:rPr>
              <w:t>0.50%</w:t>
            </w:r>
            <w:r w:rsidRPr="004C609B">
              <w:rPr>
                <w:rFonts w:cs="Calibri" w:hint="eastAsia"/>
                <w:sz w:val="20"/>
                <w:lang w:eastAsia="zh-CN"/>
              </w:rPr>
              <w:t>。</w:t>
            </w:r>
          </w:p>
          <w:p w14:paraId="0D220697" w14:textId="77777777" w:rsidR="00232E78" w:rsidRPr="000C156A" w:rsidRDefault="00232E78" w:rsidP="00A54C2B">
            <w:pPr>
              <w:pStyle w:val="Tabletext"/>
              <w:pageBreakBefore/>
              <w:rPr>
                <w:sz w:val="20"/>
                <w:lang w:val="en-US" w:eastAsia="zh-CN"/>
              </w:rPr>
            </w:pPr>
            <w:r w:rsidRPr="004C609B">
              <w:rPr>
                <w:rFonts w:cs="Calibri" w:hint="eastAsia"/>
                <w:sz w:val="20"/>
                <w:lang w:eastAsia="zh-CN"/>
              </w:rPr>
              <w:t>此次估值的贴现率首先</w:t>
            </w:r>
            <w:r>
              <w:rPr>
                <w:rFonts w:cs="Calibri" w:hint="eastAsia"/>
                <w:sz w:val="20"/>
                <w:lang w:eastAsia="zh-CN"/>
              </w:rPr>
              <w:t>通过</w:t>
            </w:r>
            <w:r w:rsidRPr="004C609B">
              <w:rPr>
                <w:rFonts w:cs="Calibri" w:hint="eastAsia"/>
                <w:sz w:val="20"/>
                <w:lang w:eastAsia="zh-CN"/>
              </w:rPr>
              <w:t>2022</w:t>
            </w:r>
            <w:r w:rsidRPr="004C609B">
              <w:rPr>
                <w:rFonts w:cs="Calibri" w:hint="eastAsia"/>
                <w:sz w:val="20"/>
                <w:lang w:eastAsia="zh-CN"/>
              </w:rPr>
              <w:t>年</w:t>
            </w:r>
            <w:r w:rsidRPr="004C609B">
              <w:rPr>
                <w:rFonts w:cs="Calibri" w:hint="eastAsia"/>
                <w:sz w:val="20"/>
                <w:lang w:eastAsia="zh-CN"/>
              </w:rPr>
              <w:t>12</w:t>
            </w:r>
            <w:r w:rsidRPr="004C609B">
              <w:rPr>
                <w:rFonts w:cs="Calibri" w:hint="eastAsia"/>
                <w:sz w:val="20"/>
                <w:lang w:eastAsia="zh-CN"/>
              </w:rPr>
              <w:t>月</w:t>
            </w:r>
            <w:r w:rsidRPr="004C609B">
              <w:rPr>
                <w:rFonts w:cs="Calibri" w:hint="eastAsia"/>
                <w:sz w:val="20"/>
                <w:lang w:eastAsia="zh-CN"/>
              </w:rPr>
              <w:t>31</w:t>
            </w:r>
            <w:r w:rsidRPr="004C609B">
              <w:rPr>
                <w:rFonts w:cs="Calibri" w:hint="eastAsia"/>
                <w:sz w:val="20"/>
                <w:lang w:eastAsia="zh-CN"/>
              </w:rPr>
              <w:t>日的</w:t>
            </w:r>
            <w:r w:rsidRPr="00DB0142">
              <w:rPr>
                <w:rFonts w:eastAsia="Times New Roman"/>
                <w:sz w:val="20"/>
                <w:lang w:eastAsia="zh-CN"/>
              </w:rPr>
              <w:t>Aon</w:t>
            </w:r>
            <w:r w:rsidRPr="004C609B">
              <w:rPr>
                <w:rFonts w:cs="Calibri" w:hint="eastAsia"/>
                <w:sz w:val="20"/>
                <w:lang w:eastAsia="zh-CN"/>
              </w:rPr>
              <w:t xml:space="preserve"> AA</w:t>
            </w:r>
            <w:r w:rsidRPr="004C609B">
              <w:rPr>
                <w:rFonts w:cs="Calibri" w:hint="eastAsia"/>
                <w:sz w:val="20"/>
                <w:lang w:eastAsia="zh-CN"/>
              </w:rPr>
              <w:t>公司债券收益率曲线分别确定，</w:t>
            </w:r>
            <w:r>
              <w:rPr>
                <w:rFonts w:cs="Calibri" w:hint="eastAsia"/>
                <w:sz w:val="20"/>
                <w:lang w:eastAsia="zh-CN"/>
              </w:rPr>
              <w:t>其中</w:t>
            </w:r>
            <w:r w:rsidRPr="004C609B">
              <w:rPr>
                <w:rFonts w:cs="Calibri" w:hint="eastAsia"/>
                <w:sz w:val="20"/>
                <w:lang w:eastAsia="zh-CN"/>
              </w:rPr>
              <w:t>包括瑞郎、美元和欧元</w:t>
            </w:r>
            <w:r>
              <w:rPr>
                <w:rFonts w:cs="Calibri" w:hint="eastAsia"/>
                <w:sz w:val="20"/>
                <w:lang w:eastAsia="zh-CN"/>
              </w:rPr>
              <w:t>这些主要币种</w:t>
            </w:r>
            <w:r w:rsidRPr="004C609B">
              <w:rPr>
                <w:rFonts w:cs="Calibri" w:hint="eastAsia"/>
                <w:sz w:val="20"/>
                <w:lang w:eastAsia="zh-CN"/>
              </w:rPr>
              <w:t>。然后，通过</w:t>
            </w:r>
            <w:r>
              <w:rPr>
                <w:rFonts w:cs="Calibri" w:hint="eastAsia"/>
                <w:sz w:val="20"/>
                <w:lang w:eastAsia="zh-CN"/>
              </w:rPr>
              <w:t>计算</w:t>
            </w:r>
            <w:r w:rsidRPr="004C609B">
              <w:rPr>
                <w:rFonts w:cs="Calibri" w:hint="eastAsia"/>
                <w:sz w:val="20"/>
                <w:lang w:eastAsia="zh-CN"/>
              </w:rPr>
              <w:t>以货币计价的贴现率平均</w:t>
            </w:r>
            <w:r>
              <w:rPr>
                <w:rFonts w:cs="Calibri" w:hint="eastAsia"/>
                <w:sz w:val="20"/>
                <w:lang w:eastAsia="zh-CN"/>
              </w:rPr>
              <w:t>值</w:t>
            </w:r>
            <w:r w:rsidRPr="004C609B">
              <w:rPr>
                <w:rFonts w:cs="Calibri" w:hint="eastAsia"/>
                <w:sz w:val="20"/>
                <w:lang w:eastAsia="zh-CN"/>
              </w:rPr>
              <w:t>，并以</w:t>
            </w:r>
            <w:r>
              <w:rPr>
                <w:rFonts w:cs="Calibri" w:hint="eastAsia"/>
                <w:sz w:val="20"/>
                <w:lang w:eastAsia="zh-CN"/>
              </w:rPr>
              <w:t>通过各</w:t>
            </w:r>
            <w:r w:rsidRPr="004C609B">
              <w:rPr>
                <w:rFonts w:cs="Calibri" w:hint="eastAsia"/>
                <w:sz w:val="20"/>
                <w:lang w:eastAsia="zh-CN"/>
              </w:rPr>
              <w:t>种货币支付给当前</w:t>
            </w:r>
            <w:r>
              <w:rPr>
                <w:rFonts w:cs="Calibri" w:hint="eastAsia"/>
                <w:sz w:val="20"/>
                <w:lang w:eastAsia="zh-CN"/>
              </w:rPr>
              <w:t>离职人员</w:t>
            </w:r>
            <w:r w:rsidRPr="004C609B">
              <w:rPr>
                <w:rFonts w:cs="Calibri" w:hint="eastAsia"/>
                <w:sz w:val="20"/>
                <w:lang w:eastAsia="zh-CN"/>
              </w:rPr>
              <w:t>的</w:t>
            </w:r>
            <w:r>
              <w:rPr>
                <w:rFonts w:cs="Calibri" w:hint="eastAsia"/>
                <w:sz w:val="20"/>
                <w:lang w:eastAsia="zh-CN"/>
              </w:rPr>
              <w:t>福利</w:t>
            </w:r>
            <w:r w:rsidRPr="004C609B">
              <w:rPr>
                <w:rFonts w:cs="Calibri" w:hint="eastAsia"/>
                <w:sz w:val="20"/>
                <w:lang w:eastAsia="zh-CN"/>
              </w:rPr>
              <w:t>金</w:t>
            </w:r>
            <w:r>
              <w:rPr>
                <w:rFonts w:cs="Calibri" w:hint="eastAsia"/>
                <w:sz w:val="20"/>
                <w:lang w:eastAsia="zh-CN"/>
              </w:rPr>
              <w:t>做为</w:t>
            </w:r>
            <w:r w:rsidRPr="004C609B">
              <w:rPr>
                <w:rFonts w:cs="Calibri" w:hint="eastAsia"/>
                <w:sz w:val="20"/>
                <w:lang w:eastAsia="zh-CN"/>
              </w:rPr>
              <w:t>加权</w:t>
            </w:r>
            <w:r>
              <w:rPr>
                <w:rFonts w:cs="Calibri" w:hint="eastAsia"/>
                <w:sz w:val="20"/>
                <w:lang w:eastAsia="zh-CN"/>
              </w:rPr>
              <w:t>值</w:t>
            </w:r>
            <w:r w:rsidRPr="004C609B">
              <w:rPr>
                <w:rFonts w:cs="Calibri" w:hint="eastAsia"/>
                <w:sz w:val="20"/>
                <w:lang w:eastAsia="zh-CN"/>
              </w:rPr>
              <w:t>，确定最终贴现率。</w:t>
            </w:r>
          </w:p>
        </w:tc>
      </w:tr>
      <w:tr w:rsidR="00232E78" w:rsidRPr="000C156A" w14:paraId="2E403055" w14:textId="77777777" w:rsidTr="00DC6B4E">
        <w:tc>
          <w:tcPr>
            <w:tcW w:w="2439" w:type="dxa"/>
            <w:tcBorders>
              <w:top w:val="single" w:sz="4" w:space="0" w:color="auto"/>
              <w:left w:val="single" w:sz="4" w:space="0" w:color="auto"/>
              <w:bottom w:val="single" w:sz="4" w:space="0" w:color="auto"/>
              <w:right w:val="single" w:sz="4" w:space="0" w:color="auto"/>
            </w:tcBorders>
            <w:hideMark/>
          </w:tcPr>
          <w:p w14:paraId="1CB9F1FE" w14:textId="77777777" w:rsidR="00232E78" w:rsidRPr="000C156A" w:rsidRDefault="00232E78" w:rsidP="00A54C2B">
            <w:pPr>
              <w:pStyle w:val="Tabletext"/>
              <w:rPr>
                <w:sz w:val="20"/>
                <w:lang w:val="en-US" w:eastAsia="zh-CN"/>
              </w:rPr>
            </w:pPr>
            <w:r w:rsidRPr="000C156A">
              <w:rPr>
                <w:rFonts w:hint="eastAsia"/>
                <w:sz w:val="20"/>
                <w:lang w:val="en-US" w:eastAsia="zh-CN"/>
              </w:rPr>
              <w:t>医疗费用增长</w:t>
            </w:r>
          </w:p>
        </w:tc>
        <w:tc>
          <w:tcPr>
            <w:tcW w:w="6645" w:type="dxa"/>
            <w:tcBorders>
              <w:top w:val="single" w:sz="4" w:space="0" w:color="auto"/>
              <w:left w:val="single" w:sz="4" w:space="0" w:color="auto"/>
              <w:bottom w:val="single" w:sz="4" w:space="0" w:color="auto"/>
              <w:right w:val="single" w:sz="4" w:space="0" w:color="auto"/>
            </w:tcBorders>
            <w:hideMark/>
          </w:tcPr>
          <w:p w14:paraId="248570AC" w14:textId="77777777" w:rsidR="00232E78" w:rsidRPr="000C156A" w:rsidRDefault="00232E78" w:rsidP="00A54C2B">
            <w:pPr>
              <w:pStyle w:val="Tabletext"/>
              <w:pageBreakBefore/>
              <w:rPr>
                <w:sz w:val="20"/>
                <w:lang w:val="en-US" w:eastAsia="zh-CN"/>
              </w:rPr>
            </w:pPr>
            <w:r w:rsidRPr="00306738">
              <w:rPr>
                <w:rFonts w:cs="Calibri" w:hint="eastAsia"/>
                <w:sz w:val="20"/>
                <w:lang w:eastAsia="zh-CN"/>
              </w:rPr>
              <w:t>2022</w:t>
            </w:r>
            <w:r w:rsidRPr="00306738">
              <w:rPr>
                <w:rFonts w:cs="Calibri" w:hint="eastAsia"/>
                <w:sz w:val="20"/>
                <w:lang w:eastAsia="zh-CN"/>
              </w:rPr>
              <w:t>年为</w:t>
            </w:r>
            <w:r w:rsidRPr="00306738">
              <w:rPr>
                <w:rFonts w:cs="Calibri" w:hint="eastAsia"/>
                <w:sz w:val="20"/>
                <w:lang w:eastAsia="zh-CN"/>
              </w:rPr>
              <w:t>2.80%</w:t>
            </w:r>
            <w:r w:rsidRPr="00306738">
              <w:rPr>
                <w:rFonts w:cs="Calibri" w:hint="eastAsia"/>
                <w:sz w:val="20"/>
                <w:lang w:eastAsia="zh-CN"/>
              </w:rPr>
              <w:t>，</w:t>
            </w:r>
            <w:r w:rsidRPr="00306738">
              <w:rPr>
                <w:rFonts w:cs="Calibri" w:hint="eastAsia"/>
                <w:sz w:val="20"/>
                <w:lang w:eastAsia="zh-CN"/>
              </w:rPr>
              <w:t>2021</w:t>
            </w:r>
            <w:r w:rsidRPr="00306738">
              <w:rPr>
                <w:rFonts w:cs="Calibri" w:hint="eastAsia"/>
                <w:sz w:val="20"/>
                <w:lang w:eastAsia="zh-CN"/>
              </w:rPr>
              <w:t>年为</w:t>
            </w:r>
            <w:r w:rsidRPr="00306738">
              <w:rPr>
                <w:rFonts w:cs="Calibri" w:hint="eastAsia"/>
                <w:sz w:val="20"/>
                <w:lang w:eastAsia="zh-CN"/>
              </w:rPr>
              <w:t>2.50%</w:t>
            </w:r>
            <w:r w:rsidRPr="00306738">
              <w:rPr>
                <w:rFonts w:cs="Calibri" w:hint="eastAsia"/>
                <w:sz w:val="20"/>
                <w:lang w:eastAsia="zh-CN"/>
              </w:rPr>
              <w:t>。</w:t>
            </w:r>
          </w:p>
        </w:tc>
      </w:tr>
      <w:tr w:rsidR="00232E78" w:rsidRPr="000C156A" w14:paraId="144EDECB" w14:textId="77777777" w:rsidTr="00DC6B4E">
        <w:tc>
          <w:tcPr>
            <w:tcW w:w="2439" w:type="dxa"/>
            <w:tcBorders>
              <w:top w:val="single" w:sz="4" w:space="0" w:color="auto"/>
              <w:left w:val="single" w:sz="4" w:space="0" w:color="auto"/>
              <w:bottom w:val="single" w:sz="4" w:space="0" w:color="auto"/>
              <w:right w:val="single" w:sz="4" w:space="0" w:color="auto"/>
            </w:tcBorders>
            <w:hideMark/>
          </w:tcPr>
          <w:p w14:paraId="6F8AE90B" w14:textId="77777777" w:rsidR="00232E78" w:rsidRPr="000C156A" w:rsidRDefault="00232E78" w:rsidP="00A54C2B">
            <w:pPr>
              <w:pStyle w:val="Tabletext"/>
              <w:rPr>
                <w:sz w:val="20"/>
                <w:lang w:val="en-US" w:eastAsia="zh-CN"/>
              </w:rPr>
            </w:pPr>
            <w:r w:rsidRPr="000C156A">
              <w:rPr>
                <w:rFonts w:hint="eastAsia"/>
                <w:sz w:val="20"/>
                <w:lang w:val="en-US" w:eastAsia="zh-CN"/>
              </w:rPr>
              <w:t>薪酬增长</w:t>
            </w:r>
          </w:p>
        </w:tc>
        <w:tc>
          <w:tcPr>
            <w:tcW w:w="6645" w:type="dxa"/>
            <w:tcBorders>
              <w:top w:val="single" w:sz="4" w:space="0" w:color="auto"/>
              <w:left w:val="single" w:sz="4" w:space="0" w:color="auto"/>
              <w:bottom w:val="single" w:sz="4" w:space="0" w:color="auto"/>
              <w:right w:val="single" w:sz="4" w:space="0" w:color="auto"/>
            </w:tcBorders>
            <w:hideMark/>
          </w:tcPr>
          <w:p w14:paraId="3F1B45BB" w14:textId="77777777" w:rsidR="00232E78" w:rsidRPr="000C156A" w:rsidRDefault="00232E78" w:rsidP="00A54C2B">
            <w:pPr>
              <w:pStyle w:val="Tabletext"/>
              <w:rPr>
                <w:sz w:val="20"/>
                <w:lang w:val="en-US" w:eastAsia="zh-CN"/>
              </w:rPr>
            </w:pPr>
            <w:r w:rsidRPr="000C156A">
              <w:rPr>
                <w:sz w:val="20"/>
                <w:lang w:val="en-US" w:eastAsia="zh-CN"/>
              </w:rPr>
              <w:t>3%</w:t>
            </w:r>
            <w:r w:rsidRPr="000C156A">
              <w:rPr>
                <w:rFonts w:hint="eastAsia"/>
                <w:sz w:val="20"/>
                <w:lang w:val="en-US" w:eastAsia="zh-CN"/>
              </w:rPr>
              <w:t>加上</w:t>
            </w:r>
            <w:r w:rsidRPr="000C156A">
              <w:rPr>
                <w:rFonts w:hint="eastAsia"/>
                <w:sz w:val="20"/>
                <w:lang w:val="en-US" w:eastAsia="zh-CN"/>
              </w:rPr>
              <w:t>2</w:t>
            </w:r>
            <w:r w:rsidRPr="000C156A">
              <w:rPr>
                <w:sz w:val="20"/>
                <w:lang w:val="en-US" w:eastAsia="zh-CN"/>
              </w:rPr>
              <w:t>019</w:t>
            </w:r>
            <w:r w:rsidRPr="000C156A">
              <w:rPr>
                <w:rFonts w:hint="eastAsia"/>
                <w:sz w:val="20"/>
                <w:lang w:val="en-US" w:eastAsia="zh-CN"/>
              </w:rPr>
              <w:t>年</w:t>
            </w:r>
            <w:r w:rsidRPr="000C156A">
              <w:rPr>
                <w:sz w:val="20"/>
                <w:lang w:val="en-US" w:eastAsia="zh-CN"/>
              </w:rPr>
              <w:t>UNJSPF</w:t>
            </w:r>
            <w:r w:rsidRPr="000C156A">
              <w:rPr>
                <w:sz w:val="20"/>
                <w:lang w:eastAsia="zh-CN"/>
              </w:rPr>
              <w:t>静态薪金表</w:t>
            </w:r>
          </w:p>
        </w:tc>
      </w:tr>
      <w:tr w:rsidR="00232E78" w:rsidRPr="000C156A" w14:paraId="0B796ECF" w14:textId="77777777" w:rsidTr="00DC6B4E">
        <w:tc>
          <w:tcPr>
            <w:tcW w:w="2439" w:type="dxa"/>
            <w:tcBorders>
              <w:top w:val="single" w:sz="4" w:space="0" w:color="auto"/>
              <w:left w:val="single" w:sz="4" w:space="0" w:color="auto"/>
              <w:bottom w:val="single" w:sz="4" w:space="0" w:color="auto"/>
              <w:right w:val="single" w:sz="4" w:space="0" w:color="auto"/>
            </w:tcBorders>
            <w:hideMark/>
          </w:tcPr>
          <w:p w14:paraId="30C5CCA4" w14:textId="77777777" w:rsidR="00232E78" w:rsidRPr="000C156A" w:rsidRDefault="00232E78" w:rsidP="00A54C2B">
            <w:pPr>
              <w:pStyle w:val="Tabletext"/>
              <w:rPr>
                <w:sz w:val="20"/>
                <w:lang w:val="en-US" w:eastAsia="zh-CN"/>
              </w:rPr>
            </w:pPr>
            <w:r w:rsidRPr="000C156A">
              <w:rPr>
                <w:rFonts w:hint="eastAsia"/>
                <w:sz w:val="20"/>
                <w:lang w:val="en-US" w:eastAsia="zh-CN"/>
              </w:rPr>
              <w:t>养恤金增长</w:t>
            </w:r>
          </w:p>
        </w:tc>
        <w:tc>
          <w:tcPr>
            <w:tcW w:w="6645" w:type="dxa"/>
            <w:tcBorders>
              <w:top w:val="single" w:sz="4" w:space="0" w:color="auto"/>
              <w:left w:val="single" w:sz="4" w:space="0" w:color="auto"/>
              <w:bottom w:val="single" w:sz="4" w:space="0" w:color="auto"/>
              <w:right w:val="single" w:sz="4" w:space="0" w:color="auto"/>
            </w:tcBorders>
            <w:hideMark/>
          </w:tcPr>
          <w:p w14:paraId="2F488094" w14:textId="77777777" w:rsidR="00232E78" w:rsidRPr="000C156A" w:rsidRDefault="00232E78" w:rsidP="00A54C2B">
            <w:pPr>
              <w:pStyle w:val="Tabletext"/>
              <w:rPr>
                <w:sz w:val="20"/>
                <w:lang w:val="en-US" w:eastAsia="zh-CN"/>
              </w:rPr>
            </w:pPr>
            <w:r w:rsidRPr="000C156A">
              <w:rPr>
                <w:sz w:val="20"/>
                <w:lang w:val="en-US" w:eastAsia="zh-CN"/>
              </w:rPr>
              <w:t>202</w:t>
            </w:r>
            <w:r>
              <w:rPr>
                <w:sz w:val="20"/>
                <w:lang w:val="en-US" w:eastAsia="zh-CN"/>
              </w:rPr>
              <w:t>2</w:t>
            </w:r>
            <w:r w:rsidRPr="000C156A">
              <w:rPr>
                <w:rFonts w:hint="eastAsia"/>
                <w:sz w:val="20"/>
                <w:lang w:val="en-US" w:eastAsia="zh-CN"/>
              </w:rPr>
              <w:t>和</w:t>
            </w:r>
            <w:r w:rsidRPr="000C156A">
              <w:rPr>
                <w:sz w:val="20"/>
                <w:lang w:val="en-US" w:eastAsia="zh-CN"/>
              </w:rPr>
              <w:t>20</w:t>
            </w:r>
            <w:r>
              <w:rPr>
                <w:sz w:val="20"/>
                <w:lang w:val="en-US" w:eastAsia="zh-CN"/>
              </w:rPr>
              <w:t>21</w:t>
            </w:r>
            <w:r w:rsidRPr="000C156A">
              <w:rPr>
                <w:rFonts w:hint="eastAsia"/>
                <w:sz w:val="20"/>
                <w:lang w:val="en-US" w:eastAsia="zh-CN"/>
              </w:rPr>
              <w:t>年均为</w:t>
            </w:r>
            <w:r w:rsidRPr="000C156A">
              <w:rPr>
                <w:sz w:val="20"/>
                <w:lang w:val="en-US" w:eastAsia="zh-CN"/>
              </w:rPr>
              <w:t>2.50%</w:t>
            </w:r>
          </w:p>
        </w:tc>
      </w:tr>
      <w:tr w:rsidR="00232E78" w:rsidRPr="000C156A" w14:paraId="46934683" w14:textId="77777777" w:rsidTr="00DC6B4E">
        <w:tc>
          <w:tcPr>
            <w:tcW w:w="2439" w:type="dxa"/>
            <w:tcBorders>
              <w:top w:val="single" w:sz="4" w:space="0" w:color="auto"/>
              <w:left w:val="single" w:sz="4" w:space="0" w:color="auto"/>
              <w:bottom w:val="single" w:sz="4" w:space="0" w:color="auto"/>
              <w:right w:val="single" w:sz="4" w:space="0" w:color="auto"/>
            </w:tcBorders>
            <w:hideMark/>
          </w:tcPr>
          <w:p w14:paraId="4C9CA1C9" w14:textId="77777777" w:rsidR="00232E78" w:rsidRPr="000C156A" w:rsidRDefault="00232E78" w:rsidP="00A54C2B">
            <w:pPr>
              <w:pStyle w:val="Tabletext"/>
              <w:rPr>
                <w:sz w:val="20"/>
                <w:lang w:val="en-US" w:eastAsia="zh-CN"/>
              </w:rPr>
            </w:pPr>
            <w:r w:rsidRPr="000C156A">
              <w:rPr>
                <w:sz w:val="20"/>
                <w:lang w:val="en-US" w:eastAsia="zh-CN"/>
              </w:rPr>
              <w:t>20</w:t>
            </w:r>
            <w:r>
              <w:rPr>
                <w:sz w:val="20"/>
                <w:lang w:val="en-US" w:eastAsia="zh-CN"/>
              </w:rPr>
              <w:t>22</w:t>
            </w:r>
            <w:r w:rsidRPr="000C156A">
              <w:rPr>
                <w:rFonts w:hint="eastAsia"/>
                <w:sz w:val="20"/>
                <w:lang w:val="en-US" w:eastAsia="zh-CN"/>
              </w:rPr>
              <w:t>年医疗费用报销申请年预期平均成本和不同年龄的医疗费用变化</w:t>
            </w:r>
          </w:p>
        </w:tc>
        <w:tc>
          <w:tcPr>
            <w:tcW w:w="6645" w:type="dxa"/>
            <w:tcBorders>
              <w:top w:val="single" w:sz="4" w:space="0" w:color="auto"/>
              <w:left w:val="single" w:sz="4" w:space="0" w:color="auto"/>
              <w:bottom w:val="single" w:sz="4" w:space="0" w:color="auto"/>
              <w:right w:val="single" w:sz="4" w:space="0" w:color="auto"/>
            </w:tcBorders>
            <w:hideMark/>
          </w:tcPr>
          <w:p w14:paraId="2FF78AC4" w14:textId="69CFB1FE" w:rsidR="00232E78" w:rsidRPr="000C156A" w:rsidRDefault="00232E78" w:rsidP="00A54C2B">
            <w:pPr>
              <w:pStyle w:val="Tabletext"/>
              <w:rPr>
                <w:sz w:val="20"/>
                <w:lang w:val="en-US" w:eastAsia="zh-CN"/>
              </w:rPr>
            </w:pPr>
            <w:r w:rsidRPr="000C156A">
              <w:rPr>
                <w:sz w:val="20"/>
                <w:lang w:val="en-US" w:eastAsia="zh-CN"/>
              </w:rPr>
              <w:t>202</w:t>
            </w:r>
            <w:r>
              <w:rPr>
                <w:sz w:val="20"/>
                <w:lang w:val="en-US" w:eastAsia="zh-CN"/>
              </w:rPr>
              <w:t>2</w:t>
            </w:r>
            <w:r w:rsidRPr="000C156A">
              <w:rPr>
                <w:rFonts w:hint="eastAsia"/>
                <w:sz w:val="20"/>
                <w:lang w:val="en-US" w:eastAsia="zh-CN"/>
              </w:rPr>
              <w:t>年精算报告基于</w:t>
            </w:r>
            <w:r w:rsidRPr="000C156A">
              <w:rPr>
                <w:sz w:val="20"/>
                <w:lang w:val="en-US" w:eastAsia="zh-CN"/>
              </w:rPr>
              <w:t>202</w:t>
            </w:r>
            <w:r>
              <w:rPr>
                <w:sz w:val="20"/>
                <w:lang w:val="en-US" w:eastAsia="zh-CN"/>
              </w:rPr>
              <w:t>2</w:t>
            </w:r>
            <w:r w:rsidRPr="000C156A">
              <w:rPr>
                <w:rFonts w:hint="eastAsia"/>
                <w:sz w:val="20"/>
                <w:lang w:val="en-US" w:eastAsia="zh-CN"/>
              </w:rPr>
              <w:t>年底年龄分别为</w:t>
            </w:r>
            <w:r w:rsidRPr="000C156A">
              <w:rPr>
                <w:sz w:val="20"/>
                <w:lang w:val="en-US" w:eastAsia="zh-CN"/>
              </w:rPr>
              <w:t>50</w:t>
            </w:r>
            <w:r w:rsidRPr="000C156A">
              <w:rPr>
                <w:rFonts w:hint="eastAsia"/>
                <w:sz w:val="20"/>
                <w:lang w:val="en-US" w:eastAsia="zh-CN"/>
              </w:rPr>
              <w:t>、</w:t>
            </w:r>
            <w:r w:rsidRPr="000C156A">
              <w:rPr>
                <w:sz w:val="20"/>
                <w:lang w:val="en-US" w:eastAsia="zh-CN"/>
              </w:rPr>
              <w:t>55</w:t>
            </w:r>
            <w:r w:rsidRPr="000C156A">
              <w:rPr>
                <w:rFonts w:hint="eastAsia"/>
                <w:sz w:val="20"/>
                <w:lang w:val="en-US" w:eastAsia="zh-CN"/>
              </w:rPr>
              <w:t>、</w:t>
            </w:r>
            <w:r w:rsidRPr="000C156A">
              <w:rPr>
                <w:sz w:val="20"/>
                <w:lang w:val="en-US" w:eastAsia="zh-CN"/>
              </w:rPr>
              <w:t>60</w:t>
            </w:r>
            <w:r w:rsidRPr="000C156A">
              <w:rPr>
                <w:rFonts w:hint="eastAsia"/>
                <w:sz w:val="20"/>
                <w:lang w:val="en-US" w:eastAsia="zh-CN"/>
              </w:rPr>
              <w:t>、</w:t>
            </w:r>
            <w:r w:rsidRPr="000C156A">
              <w:rPr>
                <w:sz w:val="20"/>
                <w:lang w:val="en-US" w:eastAsia="zh-CN"/>
              </w:rPr>
              <w:t>65</w:t>
            </w:r>
            <w:r w:rsidRPr="000C156A">
              <w:rPr>
                <w:rFonts w:hint="eastAsia"/>
                <w:sz w:val="20"/>
                <w:lang w:val="en-US" w:eastAsia="zh-CN"/>
              </w:rPr>
              <w:t>、</w:t>
            </w:r>
            <w:r w:rsidRPr="000C156A">
              <w:rPr>
                <w:sz w:val="20"/>
                <w:lang w:val="en-US" w:eastAsia="zh-CN"/>
              </w:rPr>
              <w:t>70</w:t>
            </w:r>
            <w:r w:rsidRPr="000C156A">
              <w:rPr>
                <w:rFonts w:hint="eastAsia"/>
                <w:sz w:val="20"/>
                <w:lang w:val="en-US" w:eastAsia="zh-CN"/>
              </w:rPr>
              <w:t>、</w:t>
            </w:r>
            <w:r w:rsidRPr="000C156A">
              <w:rPr>
                <w:sz w:val="20"/>
                <w:lang w:val="en-US" w:eastAsia="zh-CN"/>
              </w:rPr>
              <w:t>75</w:t>
            </w:r>
            <w:r w:rsidRPr="000C156A">
              <w:rPr>
                <w:rFonts w:hint="eastAsia"/>
                <w:sz w:val="20"/>
                <w:lang w:val="en-US" w:eastAsia="zh-CN"/>
              </w:rPr>
              <w:t>和</w:t>
            </w:r>
            <w:r w:rsidRPr="000C156A">
              <w:rPr>
                <w:sz w:val="20"/>
                <w:lang w:val="en-US" w:eastAsia="zh-CN"/>
              </w:rPr>
              <w:t>80</w:t>
            </w:r>
            <w:r w:rsidRPr="000C156A">
              <w:rPr>
                <w:rFonts w:hint="eastAsia"/>
                <w:sz w:val="20"/>
                <w:lang w:val="en-US" w:eastAsia="zh-CN"/>
              </w:rPr>
              <w:t>岁的人员估算的</w:t>
            </w:r>
            <w:r>
              <w:rPr>
                <w:rFonts w:hint="eastAsia"/>
                <w:sz w:val="20"/>
                <w:lang w:val="en-US" w:eastAsia="zh-CN"/>
              </w:rPr>
              <w:t>各</w:t>
            </w:r>
            <w:r w:rsidRPr="000C156A">
              <w:rPr>
                <w:rFonts w:hint="eastAsia"/>
                <w:sz w:val="20"/>
                <w:lang w:val="en-US" w:eastAsia="zh-CN"/>
              </w:rPr>
              <w:t>年龄段报销申请平均费用：</w:t>
            </w:r>
            <w:r w:rsidRPr="00306738">
              <w:rPr>
                <w:rFonts w:hint="eastAsia"/>
                <w:sz w:val="20"/>
                <w:lang w:val="en-US" w:eastAsia="zh-CN"/>
              </w:rPr>
              <w:t>3</w:t>
            </w:r>
            <w:r>
              <w:rPr>
                <w:sz w:val="20"/>
                <w:lang w:val="en-US" w:eastAsia="zh-CN"/>
              </w:rPr>
              <w:t xml:space="preserve"> </w:t>
            </w:r>
            <w:r w:rsidRPr="00306738">
              <w:rPr>
                <w:rFonts w:hint="eastAsia"/>
                <w:sz w:val="20"/>
                <w:lang w:val="en-US" w:eastAsia="zh-CN"/>
              </w:rPr>
              <w:t>138</w:t>
            </w:r>
            <w:r>
              <w:rPr>
                <w:rFonts w:hint="eastAsia"/>
                <w:sz w:val="20"/>
                <w:lang w:val="en-US" w:eastAsia="zh-CN"/>
              </w:rPr>
              <w:t>瑞郎</w:t>
            </w:r>
            <w:r w:rsidRPr="00306738">
              <w:rPr>
                <w:rFonts w:hint="eastAsia"/>
                <w:sz w:val="20"/>
                <w:lang w:val="en-US" w:eastAsia="zh-CN"/>
              </w:rPr>
              <w:t>、</w:t>
            </w:r>
            <w:r w:rsidRPr="00306738">
              <w:rPr>
                <w:rFonts w:hint="eastAsia"/>
                <w:sz w:val="20"/>
                <w:lang w:val="en-US" w:eastAsia="zh-CN"/>
              </w:rPr>
              <w:t>3</w:t>
            </w:r>
            <w:r>
              <w:rPr>
                <w:sz w:val="20"/>
                <w:lang w:val="en-US" w:eastAsia="zh-CN"/>
              </w:rPr>
              <w:t xml:space="preserve"> </w:t>
            </w:r>
            <w:r w:rsidRPr="00306738">
              <w:rPr>
                <w:rFonts w:hint="eastAsia"/>
                <w:sz w:val="20"/>
                <w:lang w:val="en-US" w:eastAsia="zh-CN"/>
              </w:rPr>
              <w:t>928</w:t>
            </w:r>
            <w:r>
              <w:rPr>
                <w:rFonts w:hint="eastAsia"/>
                <w:sz w:val="20"/>
                <w:lang w:val="en-US" w:eastAsia="zh-CN"/>
              </w:rPr>
              <w:t>瑞郎</w:t>
            </w:r>
            <w:r w:rsidRPr="00306738">
              <w:rPr>
                <w:rFonts w:hint="eastAsia"/>
                <w:sz w:val="20"/>
                <w:lang w:val="en-US" w:eastAsia="zh-CN"/>
              </w:rPr>
              <w:t>、</w:t>
            </w:r>
            <w:r w:rsidR="00DC6B4E">
              <w:rPr>
                <w:sz w:val="20"/>
                <w:lang w:val="en-US" w:eastAsia="zh-CN"/>
              </w:rPr>
              <w:br/>
            </w:r>
            <w:r w:rsidRPr="00306738">
              <w:rPr>
                <w:rFonts w:hint="eastAsia"/>
                <w:sz w:val="20"/>
                <w:lang w:val="en-US" w:eastAsia="zh-CN"/>
              </w:rPr>
              <w:t>4</w:t>
            </w:r>
            <w:r>
              <w:rPr>
                <w:sz w:val="20"/>
                <w:lang w:val="en-US" w:eastAsia="zh-CN"/>
              </w:rPr>
              <w:t xml:space="preserve"> </w:t>
            </w:r>
            <w:r w:rsidRPr="00306738">
              <w:rPr>
                <w:rFonts w:hint="eastAsia"/>
                <w:sz w:val="20"/>
                <w:lang w:val="en-US" w:eastAsia="zh-CN"/>
              </w:rPr>
              <w:t>925</w:t>
            </w:r>
            <w:r>
              <w:rPr>
                <w:rFonts w:hint="eastAsia"/>
                <w:sz w:val="20"/>
                <w:lang w:val="en-US" w:eastAsia="zh-CN"/>
              </w:rPr>
              <w:t>瑞郎</w:t>
            </w:r>
            <w:r w:rsidRPr="00306738">
              <w:rPr>
                <w:rFonts w:hint="eastAsia"/>
                <w:sz w:val="20"/>
                <w:lang w:val="en-US" w:eastAsia="zh-CN"/>
              </w:rPr>
              <w:t>、</w:t>
            </w:r>
            <w:r w:rsidRPr="00306738">
              <w:rPr>
                <w:rFonts w:hint="eastAsia"/>
                <w:sz w:val="20"/>
                <w:lang w:val="en-US" w:eastAsia="zh-CN"/>
              </w:rPr>
              <w:t>6</w:t>
            </w:r>
            <w:r>
              <w:rPr>
                <w:sz w:val="20"/>
                <w:lang w:val="en-US" w:eastAsia="zh-CN"/>
              </w:rPr>
              <w:t xml:space="preserve"> </w:t>
            </w:r>
            <w:r w:rsidRPr="00306738">
              <w:rPr>
                <w:rFonts w:hint="eastAsia"/>
                <w:sz w:val="20"/>
                <w:lang w:val="en-US" w:eastAsia="zh-CN"/>
              </w:rPr>
              <w:t>184</w:t>
            </w:r>
            <w:r>
              <w:rPr>
                <w:rFonts w:hint="eastAsia"/>
                <w:sz w:val="20"/>
                <w:lang w:val="en-US" w:eastAsia="zh-CN"/>
              </w:rPr>
              <w:t>瑞郎</w:t>
            </w:r>
            <w:r w:rsidRPr="00306738">
              <w:rPr>
                <w:rFonts w:hint="eastAsia"/>
                <w:sz w:val="20"/>
                <w:lang w:val="en-US" w:eastAsia="zh-CN"/>
              </w:rPr>
              <w:t>、</w:t>
            </w:r>
            <w:r w:rsidRPr="00306738">
              <w:rPr>
                <w:rFonts w:hint="eastAsia"/>
                <w:sz w:val="20"/>
                <w:lang w:val="en-US" w:eastAsia="zh-CN"/>
              </w:rPr>
              <w:t>7</w:t>
            </w:r>
            <w:r>
              <w:rPr>
                <w:sz w:val="20"/>
                <w:lang w:val="en-US" w:eastAsia="zh-CN"/>
              </w:rPr>
              <w:t xml:space="preserve"> </w:t>
            </w:r>
            <w:r w:rsidRPr="00306738">
              <w:rPr>
                <w:rFonts w:hint="eastAsia"/>
                <w:sz w:val="20"/>
                <w:lang w:val="en-US" w:eastAsia="zh-CN"/>
              </w:rPr>
              <w:t>777</w:t>
            </w:r>
            <w:r>
              <w:rPr>
                <w:rFonts w:hint="eastAsia"/>
                <w:sz w:val="20"/>
                <w:lang w:val="en-US" w:eastAsia="zh-CN"/>
              </w:rPr>
              <w:t>瑞郎</w:t>
            </w:r>
            <w:r w:rsidRPr="00306738">
              <w:rPr>
                <w:rFonts w:hint="eastAsia"/>
                <w:sz w:val="20"/>
                <w:lang w:val="en-US" w:eastAsia="zh-CN"/>
              </w:rPr>
              <w:t>、</w:t>
            </w:r>
            <w:r w:rsidRPr="00306738">
              <w:rPr>
                <w:rFonts w:hint="eastAsia"/>
                <w:sz w:val="20"/>
                <w:lang w:val="en-US" w:eastAsia="zh-CN"/>
              </w:rPr>
              <w:t>9</w:t>
            </w:r>
            <w:r>
              <w:rPr>
                <w:sz w:val="20"/>
                <w:lang w:val="en-US" w:eastAsia="zh-CN"/>
              </w:rPr>
              <w:t xml:space="preserve"> </w:t>
            </w:r>
            <w:r w:rsidRPr="00306738">
              <w:rPr>
                <w:rFonts w:hint="eastAsia"/>
                <w:sz w:val="20"/>
                <w:lang w:val="en-US" w:eastAsia="zh-CN"/>
              </w:rPr>
              <w:t>800</w:t>
            </w:r>
            <w:r>
              <w:rPr>
                <w:rFonts w:hint="eastAsia"/>
                <w:sz w:val="20"/>
                <w:lang w:val="en-US" w:eastAsia="zh-CN"/>
              </w:rPr>
              <w:t>瑞郎</w:t>
            </w:r>
            <w:r w:rsidRPr="00306738">
              <w:rPr>
                <w:rFonts w:hint="eastAsia"/>
                <w:sz w:val="20"/>
                <w:lang w:val="en-US" w:eastAsia="zh-CN"/>
              </w:rPr>
              <w:t>、</w:t>
            </w:r>
            <w:r w:rsidRPr="00306738">
              <w:rPr>
                <w:rFonts w:hint="eastAsia"/>
                <w:sz w:val="20"/>
                <w:lang w:val="en-US" w:eastAsia="zh-CN"/>
              </w:rPr>
              <w:t>12</w:t>
            </w:r>
            <w:r>
              <w:rPr>
                <w:sz w:val="20"/>
                <w:lang w:val="en-US" w:eastAsia="zh-CN"/>
              </w:rPr>
              <w:t xml:space="preserve"> </w:t>
            </w:r>
            <w:r w:rsidRPr="00306738">
              <w:rPr>
                <w:rFonts w:hint="eastAsia"/>
                <w:sz w:val="20"/>
                <w:lang w:val="en-US" w:eastAsia="zh-CN"/>
              </w:rPr>
              <w:t>369</w:t>
            </w:r>
            <w:r>
              <w:rPr>
                <w:rFonts w:hint="eastAsia"/>
                <w:sz w:val="20"/>
                <w:lang w:val="en-US" w:eastAsia="zh-CN"/>
              </w:rPr>
              <w:t>瑞郎</w:t>
            </w:r>
            <w:r w:rsidRPr="00306738">
              <w:rPr>
                <w:rFonts w:hint="eastAsia"/>
                <w:sz w:val="20"/>
                <w:lang w:val="en-US" w:eastAsia="zh-CN"/>
              </w:rPr>
              <w:t>。</w:t>
            </w:r>
          </w:p>
        </w:tc>
      </w:tr>
      <w:tr w:rsidR="00232E78" w:rsidRPr="000C156A" w14:paraId="5C91C341" w14:textId="77777777" w:rsidTr="00DC6B4E">
        <w:tc>
          <w:tcPr>
            <w:tcW w:w="2439" w:type="dxa"/>
            <w:tcBorders>
              <w:top w:val="single" w:sz="4" w:space="0" w:color="auto"/>
              <w:left w:val="single" w:sz="4" w:space="0" w:color="auto"/>
              <w:bottom w:val="single" w:sz="4" w:space="0" w:color="auto"/>
              <w:right w:val="single" w:sz="4" w:space="0" w:color="auto"/>
            </w:tcBorders>
            <w:hideMark/>
          </w:tcPr>
          <w:p w14:paraId="1B04EA1B" w14:textId="77777777" w:rsidR="00232E78" w:rsidRPr="000C156A" w:rsidRDefault="00232E78" w:rsidP="00A54C2B">
            <w:pPr>
              <w:pStyle w:val="Tabletext"/>
              <w:rPr>
                <w:sz w:val="20"/>
                <w:lang w:val="en-US"/>
              </w:rPr>
            </w:pPr>
            <w:r w:rsidRPr="000C156A">
              <w:rPr>
                <w:rFonts w:hint="eastAsia"/>
                <w:sz w:val="20"/>
                <w:lang w:val="en-US"/>
              </w:rPr>
              <w:t>行政费用</w:t>
            </w:r>
          </w:p>
        </w:tc>
        <w:tc>
          <w:tcPr>
            <w:tcW w:w="6645" w:type="dxa"/>
            <w:tcBorders>
              <w:top w:val="single" w:sz="4" w:space="0" w:color="auto"/>
              <w:left w:val="single" w:sz="4" w:space="0" w:color="auto"/>
              <w:bottom w:val="single" w:sz="4" w:space="0" w:color="auto"/>
              <w:right w:val="single" w:sz="4" w:space="0" w:color="auto"/>
            </w:tcBorders>
            <w:hideMark/>
          </w:tcPr>
          <w:p w14:paraId="2695D179" w14:textId="77777777" w:rsidR="00232E78" w:rsidRPr="000C156A" w:rsidRDefault="00232E78" w:rsidP="00A54C2B">
            <w:pPr>
              <w:pStyle w:val="Tabletext"/>
              <w:rPr>
                <w:sz w:val="20"/>
                <w:lang w:val="en-US" w:eastAsia="zh-CN"/>
              </w:rPr>
            </w:pPr>
            <w:r w:rsidRPr="000C156A">
              <w:rPr>
                <w:rFonts w:hint="eastAsia"/>
                <w:sz w:val="20"/>
                <w:lang w:val="en-US" w:eastAsia="zh-CN"/>
              </w:rPr>
              <w:t>每人年平均行政费用为</w:t>
            </w:r>
            <w:r w:rsidRPr="000C156A">
              <w:rPr>
                <w:sz w:val="20"/>
                <w:lang w:val="en-US" w:eastAsia="zh-CN"/>
              </w:rPr>
              <w:t>16</w:t>
            </w:r>
            <w:r>
              <w:rPr>
                <w:sz w:val="20"/>
                <w:lang w:val="en-US" w:eastAsia="zh-CN"/>
              </w:rPr>
              <w:t>2</w:t>
            </w:r>
            <w:r w:rsidRPr="000C156A">
              <w:rPr>
                <w:rFonts w:hint="eastAsia"/>
                <w:sz w:val="20"/>
                <w:lang w:val="en-US" w:eastAsia="zh-CN"/>
              </w:rPr>
              <w:t>瑞郎。</w:t>
            </w:r>
          </w:p>
        </w:tc>
      </w:tr>
      <w:tr w:rsidR="00232E78" w:rsidRPr="000C156A" w14:paraId="1EB13200" w14:textId="77777777" w:rsidTr="00DC6B4E">
        <w:tc>
          <w:tcPr>
            <w:tcW w:w="2439" w:type="dxa"/>
            <w:tcBorders>
              <w:top w:val="single" w:sz="4" w:space="0" w:color="auto"/>
              <w:left w:val="single" w:sz="4" w:space="0" w:color="auto"/>
              <w:bottom w:val="single" w:sz="4" w:space="0" w:color="auto"/>
              <w:right w:val="single" w:sz="4" w:space="0" w:color="auto"/>
            </w:tcBorders>
            <w:hideMark/>
          </w:tcPr>
          <w:p w14:paraId="5EFC8C92" w14:textId="77777777" w:rsidR="00232E78" w:rsidRPr="000C156A" w:rsidRDefault="00232E78" w:rsidP="00A54C2B">
            <w:pPr>
              <w:pStyle w:val="Tabletext"/>
              <w:rPr>
                <w:sz w:val="20"/>
                <w:lang w:val="en-US"/>
              </w:rPr>
            </w:pPr>
            <w:r w:rsidRPr="000C156A">
              <w:rPr>
                <w:rFonts w:hint="eastAsia"/>
                <w:sz w:val="20"/>
                <w:lang w:val="en-US"/>
              </w:rPr>
              <w:t>死亡率</w:t>
            </w:r>
          </w:p>
        </w:tc>
        <w:tc>
          <w:tcPr>
            <w:tcW w:w="6645" w:type="dxa"/>
            <w:tcBorders>
              <w:top w:val="single" w:sz="4" w:space="0" w:color="auto"/>
              <w:left w:val="single" w:sz="4" w:space="0" w:color="auto"/>
              <w:bottom w:val="single" w:sz="4" w:space="0" w:color="auto"/>
              <w:right w:val="single" w:sz="4" w:space="0" w:color="auto"/>
            </w:tcBorders>
            <w:hideMark/>
          </w:tcPr>
          <w:p w14:paraId="19A9B5D3" w14:textId="77777777" w:rsidR="00232E78" w:rsidRPr="000C156A" w:rsidRDefault="00232E78" w:rsidP="00A54C2B">
            <w:pPr>
              <w:pStyle w:val="Tabletext"/>
              <w:rPr>
                <w:sz w:val="20"/>
                <w:lang w:val="en-US" w:eastAsia="zh-CN"/>
              </w:rPr>
            </w:pPr>
            <w:r w:rsidRPr="000C156A">
              <w:rPr>
                <w:sz w:val="20"/>
                <w:lang w:eastAsia="zh-CN"/>
              </w:rPr>
              <w:t>死亡率基于上一份按性别分列的联合国死亡率表</w:t>
            </w:r>
            <w:r w:rsidRPr="000C156A">
              <w:rPr>
                <w:rFonts w:hint="eastAsia"/>
                <w:sz w:val="20"/>
                <w:lang w:eastAsia="zh-CN"/>
              </w:rPr>
              <w:t>（</w:t>
            </w:r>
            <w:r w:rsidRPr="000C156A">
              <w:rPr>
                <w:sz w:val="20"/>
                <w:lang w:eastAsia="zh-CN"/>
              </w:rPr>
              <w:t>202</w:t>
            </w:r>
            <w:r>
              <w:rPr>
                <w:sz w:val="20"/>
                <w:lang w:eastAsia="zh-CN"/>
              </w:rPr>
              <w:t>3</w:t>
            </w:r>
            <w:r w:rsidRPr="000C156A">
              <w:rPr>
                <w:sz w:val="20"/>
                <w:lang w:eastAsia="zh-CN"/>
              </w:rPr>
              <w:t>年</w:t>
            </w:r>
            <w:r w:rsidRPr="000C156A">
              <w:rPr>
                <w:rFonts w:hint="eastAsia"/>
                <w:sz w:val="20"/>
                <w:lang w:eastAsia="zh-CN"/>
              </w:rPr>
              <w:t>1</w:t>
            </w:r>
            <w:r w:rsidRPr="000C156A">
              <w:rPr>
                <w:sz w:val="20"/>
                <w:lang w:eastAsia="zh-CN"/>
              </w:rPr>
              <w:t>月</w:t>
            </w:r>
            <w:r w:rsidRPr="000C156A">
              <w:rPr>
                <w:rFonts w:hint="eastAsia"/>
                <w:sz w:val="20"/>
                <w:lang w:eastAsia="zh-CN"/>
              </w:rPr>
              <w:t>）</w:t>
            </w:r>
            <w:r w:rsidRPr="000C156A">
              <w:rPr>
                <w:sz w:val="20"/>
                <w:lang w:eastAsia="zh-CN"/>
              </w:rPr>
              <w:t>，</w:t>
            </w:r>
            <w:r w:rsidRPr="000C156A">
              <w:rPr>
                <w:rFonts w:hint="eastAsia"/>
                <w:sz w:val="20"/>
                <w:lang w:eastAsia="zh-CN"/>
              </w:rPr>
              <w:t>现职</w:t>
            </w:r>
            <w:r w:rsidRPr="000C156A">
              <w:rPr>
                <w:sz w:val="20"/>
                <w:lang w:eastAsia="zh-CN"/>
              </w:rPr>
              <w:t>人员和残疾退休人员的寿命没有</w:t>
            </w:r>
            <w:r w:rsidRPr="000C156A">
              <w:rPr>
                <w:rFonts w:hint="eastAsia"/>
                <w:sz w:val="20"/>
                <w:lang w:eastAsia="zh-CN"/>
              </w:rPr>
              <w:t>延长</w:t>
            </w:r>
            <w:r w:rsidRPr="000C156A">
              <w:rPr>
                <w:sz w:val="20"/>
                <w:lang w:eastAsia="zh-CN"/>
              </w:rPr>
              <w:t>，</w:t>
            </w:r>
            <w:r w:rsidRPr="000C156A">
              <w:rPr>
                <w:rFonts w:hint="eastAsia"/>
                <w:sz w:val="20"/>
                <w:lang w:val="en-US" w:eastAsia="zh-CN"/>
              </w:rPr>
              <w:t>养恤金领取人员、遗属</w:t>
            </w:r>
            <w:r w:rsidRPr="000C156A">
              <w:rPr>
                <w:sz w:val="20"/>
                <w:lang w:eastAsia="zh-CN"/>
              </w:rPr>
              <w:t>的寿命在</w:t>
            </w:r>
            <w:r w:rsidRPr="000C156A">
              <w:rPr>
                <w:sz w:val="20"/>
                <w:lang w:eastAsia="zh-CN"/>
              </w:rPr>
              <w:t>204</w:t>
            </w:r>
            <w:r>
              <w:rPr>
                <w:sz w:val="20"/>
                <w:lang w:eastAsia="zh-CN"/>
              </w:rPr>
              <w:t>2</w:t>
            </w:r>
            <w:r w:rsidRPr="000C156A">
              <w:rPr>
                <w:sz w:val="20"/>
                <w:lang w:eastAsia="zh-CN"/>
              </w:rPr>
              <w:t>年之前一直保持</w:t>
            </w:r>
            <w:r w:rsidRPr="000C156A">
              <w:rPr>
                <w:rFonts w:hint="eastAsia"/>
                <w:sz w:val="20"/>
                <w:lang w:eastAsia="zh-CN"/>
              </w:rPr>
              <w:t>总体延长</w:t>
            </w:r>
            <w:r w:rsidRPr="000C156A">
              <w:rPr>
                <w:sz w:val="20"/>
                <w:lang w:eastAsia="zh-CN"/>
              </w:rPr>
              <w:t>。</w:t>
            </w:r>
            <w:r w:rsidRPr="000C156A">
              <w:rPr>
                <w:rFonts w:hint="eastAsia"/>
                <w:sz w:val="20"/>
                <w:lang w:val="en-US" w:eastAsia="zh-CN"/>
              </w:rPr>
              <w:t>基础年份为</w:t>
            </w:r>
            <w:r w:rsidRPr="000C156A">
              <w:rPr>
                <w:sz w:val="20"/>
                <w:lang w:val="en-US" w:eastAsia="zh-CN"/>
              </w:rPr>
              <w:t>2017</w:t>
            </w:r>
            <w:r w:rsidRPr="000C156A">
              <w:rPr>
                <w:rFonts w:hint="eastAsia"/>
                <w:sz w:val="20"/>
                <w:lang w:val="en-US" w:eastAsia="zh-CN"/>
              </w:rPr>
              <w:t>年，总体寿命延长（</w:t>
            </w:r>
            <w:r w:rsidRPr="000C156A">
              <w:rPr>
                <w:sz w:val="20"/>
                <w:lang w:val="en-US" w:eastAsia="zh-CN"/>
              </w:rPr>
              <w:t>generational improvement</w:t>
            </w:r>
            <w:r w:rsidRPr="000C156A">
              <w:rPr>
                <w:rFonts w:hint="eastAsia"/>
                <w:sz w:val="20"/>
                <w:lang w:val="en-US" w:eastAsia="zh-CN"/>
              </w:rPr>
              <w:t>）。</w:t>
            </w:r>
          </w:p>
        </w:tc>
      </w:tr>
      <w:tr w:rsidR="00232E78" w:rsidRPr="000C156A" w14:paraId="659876C8" w14:textId="77777777" w:rsidTr="00DC6B4E">
        <w:tc>
          <w:tcPr>
            <w:tcW w:w="2439" w:type="dxa"/>
            <w:tcBorders>
              <w:top w:val="single" w:sz="4" w:space="0" w:color="auto"/>
              <w:left w:val="single" w:sz="4" w:space="0" w:color="auto"/>
              <w:bottom w:val="single" w:sz="4" w:space="0" w:color="auto"/>
              <w:right w:val="single" w:sz="4" w:space="0" w:color="auto"/>
            </w:tcBorders>
            <w:hideMark/>
          </w:tcPr>
          <w:p w14:paraId="0ED7F562" w14:textId="77777777" w:rsidR="00232E78" w:rsidRPr="000C156A" w:rsidRDefault="00232E78" w:rsidP="00A54C2B">
            <w:pPr>
              <w:pStyle w:val="Tabletext"/>
              <w:rPr>
                <w:sz w:val="20"/>
                <w:lang w:val="en-US"/>
              </w:rPr>
            </w:pPr>
            <w:r w:rsidRPr="000C156A">
              <w:rPr>
                <w:rFonts w:hint="eastAsia"/>
                <w:sz w:val="20"/>
                <w:lang w:val="en-US"/>
              </w:rPr>
              <w:t>资产估值</w:t>
            </w:r>
          </w:p>
        </w:tc>
        <w:tc>
          <w:tcPr>
            <w:tcW w:w="6645" w:type="dxa"/>
            <w:tcBorders>
              <w:top w:val="single" w:sz="4" w:space="0" w:color="auto"/>
              <w:left w:val="single" w:sz="4" w:space="0" w:color="auto"/>
              <w:bottom w:val="single" w:sz="4" w:space="0" w:color="auto"/>
              <w:right w:val="single" w:sz="4" w:space="0" w:color="auto"/>
            </w:tcBorders>
            <w:hideMark/>
          </w:tcPr>
          <w:p w14:paraId="0DED59BE" w14:textId="77777777" w:rsidR="00232E78" w:rsidRPr="000C156A" w:rsidRDefault="00232E78" w:rsidP="00A54C2B">
            <w:pPr>
              <w:pStyle w:val="Tabletext"/>
              <w:rPr>
                <w:sz w:val="20"/>
                <w:lang w:val="en-US" w:eastAsia="zh-CN"/>
              </w:rPr>
            </w:pPr>
            <w:r w:rsidRPr="000C156A">
              <w:rPr>
                <w:rFonts w:hint="eastAsia"/>
                <w:sz w:val="20"/>
                <w:lang w:val="en-US" w:eastAsia="zh-CN"/>
              </w:rPr>
              <w:t>截至</w:t>
            </w:r>
            <w:r w:rsidRPr="000C156A">
              <w:rPr>
                <w:sz w:val="20"/>
                <w:lang w:val="en-US" w:eastAsia="zh-CN"/>
              </w:rPr>
              <w:t>20</w:t>
            </w:r>
            <w:r w:rsidRPr="000C156A">
              <w:rPr>
                <w:rFonts w:hint="eastAsia"/>
                <w:sz w:val="20"/>
                <w:lang w:val="en-US" w:eastAsia="zh-CN"/>
              </w:rPr>
              <w:t>2</w:t>
            </w:r>
            <w:r>
              <w:rPr>
                <w:sz w:val="20"/>
                <w:lang w:val="en-US" w:eastAsia="zh-CN"/>
              </w:rPr>
              <w:t>2</w:t>
            </w:r>
            <w:r w:rsidRPr="000C156A">
              <w:rPr>
                <w:rFonts w:hint="eastAsia"/>
                <w:sz w:val="20"/>
                <w:lang w:val="en-US" w:eastAsia="zh-CN"/>
              </w:rPr>
              <w:t>年</w:t>
            </w:r>
            <w:r w:rsidRPr="000C156A">
              <w:rPr>
                <w:sz w:val="20"/>
                <w:lang w:val="en-US" w:eastAsia="zh-CN"/>
              </w:rPr>
              <w:t>12</w:t>
            </w:r>
            <w:r w:rsidRPr="000C156A">
              <w:rPr>
                <w:rFonts w:hint="eastAsia"/>
                <w:sz w:val="20"/>
                <w:lang w:val="en-US" w:eastAsia="zh-CN"/>
              </w:rPr>
              <w:t>月</w:t>
            </w:r>
            <w:r w:rsidRPr="000C156A">
              <w:rPr>
                <w:sz w:val="20"/>
                <w:lang w:val="en-US" w:eastAsia="zh-CN"/>
              </w:rPr>
              <w:t>31</w:t>
            </w:r>
            <w:r w:rsidRPr="000C156A">
              <w:rPr>
                <w:rFonts w:hint="eastAsia"/>
                <w:sz w:val="20"/>
                <w:lang w:val="en-US" w:eastAsia="zh-CN"/>
              </w:rPr>
              <w:t>日，国际电联在保障基金下无财产。</w:t>
            </w:r>
          </w:p>
        </w:tc>
      </w:tr>
      <w:tr w:rsidR="00232E78" w:rsidRPr="000C156A" w14:paraId="5C32F61A" w14:textId="77777777" w:rsidTr="00DC6B4E">
        <w:tc>
          <w:tcPr>
            <w:tcW w:w="2439" w:type="dxa"/>
            <w:tcBorders>
              <w:top w:val="single" w:sz="4" w:space="0" w:color="auto"/>
              <w:left w:val="single" w:sz="4" w:space="0" w:color="auto"/>
              <w:bottom w:val="single" w:sz="4" w:space="0" w:color="auto"/>
              <w:right w:val="single" w:sz="4" w:space="0" w:color="auto"/>
            </w:tcBorders>
            <w:hideMark/>
          </w:tcPr>
          <w:p w14:paraId="2511CFAB" w14:textId="77777777" w:rsidR="00232E78" w:rsidRPr="000C156A" w:rsidRDefault="00232E78" w:rsidP="00A54C2B">
            <w:pPr>
              <w:pStyle w:val="Tabletext"/>
              <w:rPr>
                <w:sz w:val="20"/>
                <w:lang w:val="en-US" w:eastAsia="zh-CN"/>
              </w:rPr>
            </w:pPr>
            <w:r w:rsidRPr="000C156A">
              <w:rPr>
                <w:rFonts w:hint="eastAsia"/>
                <w:sz w:val="20"/>
                <w:lang w:val="en-US" w:eastAsia="zh-CN"/>
              </w:rPr>
              <w:t>残疾率</w:t>
            </w:r>
          </w:p>
        </w:tc>
        <w:tc>
          <w:tcPr>
            <w:tcW w:w="6645" w:type="dxa"/>
            <w:tcBorders>
              <w:top w:val="single" w:sz="4" w:space="0" w:color="auto"/>
              <w:left w:val="single" w:sz="4" w:space="0" w:color="auto"/>
              <w:bottom w:val="single" w:sz="4" w:space="0" w:color="auto"/>
              <w:right w:val="single" w:sz="4" w:space="0" w:color="auto"/>
            </w:tcBorders>
            <w:hideMark/>
          </w:tcPr>
          <w:p w14:paraId="37589403" w14:textId="77777777" w:rsidR="00232E78" w:rsidRPr="000C156A" w:rsidRDefault="00232E78" w:rsidP="00A54C2B">
            <w:pPr>
              <w:pStyle w:val="Tabletext"/>
              <w:rPr>
                <w:sz w:val="20"/>
                <w:lang w:val="en-US" w:eastAsia="zh-CN"/>
              </w:rPr>
            </w:pPr>
            <w:r w:rsidRPr="000C156A">
              <w:rPr>
                <w:rFonts w:hint="eastAsia"/>
                <w:sz w:val="20"/>
                <w:lang w:val="en-US" w:eastAsia="zh-CN"/>
              </w:rPr>
              <w:t>该数字随年龄和性别以及专业类职员和一般事务类职员的不同而不同，并随年龄的增长而增加。残疾率以</w:t>
            </w:r>
            <w:r w:rsidRPr="000C156A">
              <w:rPr>
                <w:rFonts w:hint="eastAsia"/>
                <w:sz w:val="20"/>
                <w:lang w:val="en-US" w:eastAsia="zh-CN"/>
              </w:rPr>
              <w:t>2</w:t>
            </w:r>
            <w:r w:rsidRPr="000C156A">
              <w:rPr>
                <w:sz w:val="20"/>
                <w:lang w:val="en-US" w:eastAsia="zh-CN"/>
              </w:rPr>
              <w:t>02</w:t>
            </w:r>
            <w:r>
              <w:rPr>
                <w:sz w:val="20"/>
                <w:lang w:val="en-US" w:eastAsia="zh-CN"/>
              </w:rPr>
              <w:t>3</w:t>
            </w:r>
            <w:r w:rsidRPr="000C156A">
              <w:rPr>
                <w:rFonts w:hint="eastAsia"/>
                <w:sz w:val="20"/>
                <w:lang w:val="en-US" w:eastAsia="zh-CN"/>
              </w:rPr>
              <w:t>年</w:t>
            </w:r>
            <w:r>
              <w:rPr>
                <w:sz w:val="20"/>
                <w:lang w:val="en-US" w:eastAsia="zh-CN"/>
              </w:rPr>
              <w:t>1</w:t>
            </w:r>
            <w:r w:rsidRPr="000C156A">
              <w:rPr>
                <w:rFonts w:hint="eastAsia"/>
                <w:sz w:val="20"/>
                <w:lang w:val="en-US" w:eastAsia="zh-CN"/>
              </w:rPr>
              <w:t>月通报的联合国残疾表为基础。</w:t>
            </w:r>
          </w:p>
        </w:tc>
      </w:tr>
      <w:tr w:rsidR="00232E78" w:rsidRPr="000C156A" w14:paraId="07D857A9" w14:textId="77777777" w:rsidTr="00DC6B4E">
        <w:tc>
          <w:tcPr>
            <w:tcW w:w="2439" w:type="dxa"/>
            <w:tcBorders>
              <w:top w:val="single" w:sz="4" w:space="0" w:color="auto"/>
              <w:left w:val="single" w:sz="4" w:space="0" w:color="auto"/>
              <w:bottom w:val="single" w:sz="4" w:space="0" w:color="auto"/>
              <w:right w:val="single" w:sz="4" w:space="0" w:color="auto"/>
            </w:tcBorders>
            <w:hideMark/>
          </w:tcPr>
          <w:p w14:paraId="2A183A6F" w14:textId="77777777" w:rsidR="00232E78" w:rsidRPr="000C156A" w:rsidRDefault="00232E78" w:rsidP="00A54C2B">
            <w:pPr>
              <w:pStyle w:val="Tabletext"/>
              <w:rPr>
                <w:sz w:val="20"/>
                <w:lang w:val="en-US" w:eastAsia="zh-CN"/>
              </w:rPr>
            </w:pPr>
            <w:r w:rsidRPr="000C156A">
              <w:rPr>
                <w:rFonts w:hint="eastAsia"/>
                <w:sz w:val="20"/>
                <w:lang w:val="en-US" w:eastAsia="zh-CN"/>
              </w:rPr>
              <w:t>福利权利转换率</w:t>
            </w:r>
          </w:p>
        </w:tc>
        <w:tc>
          <w:tcPr>
            <w:tcW w:w="6645" w:type="dxa"/>
            <w:tcBorders>
              <w:top w:val="single" w:sz="4" w:space="0" w:color="auto"/>
              <w:left w:val="single" w:sz="4" w:space="0" w:color="auto"/>
              <w:bottom w:val="single" w:sz="4" w:space="0" w:color="auto"/>
              <w:right w:val="single" w:sz="4" w:space="0" w:color="auto"/>
            </w:tcBorders>
            <w:hideMark/>
          </w:tcPr>
          <w:p w14:paraId="7E8678E1" w14:textId="77777777" w:rsidR="00232E78" w:rsidRPr="000C156A" w:rsidRDefault="00232E78" w:rsidP="00A54C2B">
            <w:pPr>
              <w:pStyle w:val="Tabletext"/>
              <w:rPr>
                <w:sz w:val="20"/>
                <w:lang w:val="en-US" w:eastAsia="zh-CN"/>
              </w:rPr>
            </w:pPr>
            <w:r w:rsidRPr="000C156A">
              <w:rPr>
                <w:rFonts w:hint="eastAsia"/>
                <w:sz w:val="20"/>
                <w:lang w:val="en-US" w:eastAsia="zh-CN"/>
              </w:rPr>
              <w:t>该转换率随着年龄和服务年限的不同而不同，头一年提出的转换申请更多。</w:t>
            </w:r>
          </w:p>
        </w:tc>
      </w:tr>
      <w:tr w:rsidR="00232E78" w:rsidRPr="000C156A" w14:paraId="5BBF2BF9" w14:textId="77777777" w:rsidTr="00DC6B4E">
        <w:tc>
          <w:tcPr>
            <w:tcW w:w="2439" w:type="dxa"/>
            <w:tcBorders>
              <w:top w:val="single" w:sz="4" w:space="0" w:color="auto"/>
              <w:left w:val="single" w:sz="4" w:space="0" w:color="auto"/>
              <w:bottom w:val="single" w:sz="4" w:space="0" w:color="auto"/>
              <w:right w:val="single" w:sz="4" w:space="0" w:color="auto"/>
            </w:tcBorders>
            <w:hideMark/>
          </w:tcPr>
          <w:p w14:paraId="11A7B50E" w14:textId="77777777" w:rsidR="00232E78" w:rsidRPr="000C156A" w:rsidRDefault="00232E78" w:rsidP="00A54C2B">
            <w:pPr>
              <w:pStyle w:val="Tabletext"/>
              <w:rPr>
                <w:sz w:val="20"/>
                <w:lang w:val="en-US" w:eastAsia="zh-CN"/>
              </w:rPr>
            </w:pPr>
            <w:r w:rsidRPr="000C156A">
              <w:rPr>
                <w:rFonts w:hint="eastAsia"/>
                <w:sz w:val="20"/>
                <w:lang w:val="en-US" w:eastAsia="zh-CN"/>
              </w:rPr>
              <w:t>职员流动</w:t>
            </w:r>
          </w:p>
        </w:tc>
        <w:tc>
          <w:tcPr>
            <w:tcW w:w="6645" w:type="dxa"/>
            <w:tcBorders>
              <w:top w:val="single" w:sz="4" w:space="0" w:color="auto"/>
              <w:left w:val="single" w:sz="4" w:space="0" w:color="auto"/>
              <w:bottom w:val="single" w:sz="4" w:space="0" w:color="auto"/>
              <w:right w:val="single" w:sz="4" w:space="0" w:color="auto"/>
            </w:tcBorders>
            <w:hideMark/>
          </w:tcPr>
          <w:p w14:paraId="69D99893" w14:textId="77777777" w:rsidR="00232E78" w:rsidRPr="000C156A" w:rsidRDefault="00232E78" w:rsidP="00A54C2B">
            <w:pPr>
              <w:pStyle w:val="Tabletext"/>
              <w:rPr>
                <w:sz w:val="20"/>
                <w:lang w:val="en-US" w:eastAsia="zh-CN"/>
              </w:rPr>
            </w:pPr>
            <w:r w:rsidRPr="000C156A">
              <w:rPr>
                <w:rFonts w:hint="eastAsia"/>
                <w:sz w:val="20"/>
                <w:lang w:val="en-US" w:eastAsia="zh-CN"/>
              </w:rPr>
              <w:t>估值中被考虑的、离开组织的职员离职率随年龄和性别的不同而不同。</w:t>
            </w:r>
          </w:p>
        </w:tc>
      </w:tr>
      <w:tr w:rsidR="00232E78" w:rsidRPr="000C156A" w14:paraId="5B417C80" w14:textId="77777777" w:rsidTr="00DC6B4E">
        <w:tc>
          <w:tcPr>
            <w:tcW w:w="2439" w:type="dxa"/>
            <w:tcBorders>
              <w:top w:val="single" w:sz="4" w:space="0" w:color="auto"/>
              <w:left w:val="single" w:sz="4" w:space="0" w:color="auto"/>
              <w:bottom w:val="single" w:sz="4" w:space="0" w:color="auto"/>
              <w:right w:val="single" w:sz="4" w:space="0" w:color="auto"/>
            </w:tcBorders>
            <w:hideMark/>
          </w:tcPr>
          <w:p w14:paraId="5006D0DD" w14:textId="77777777" w:rsidR="00232E78" w:rsidRPr="000C156A" w:rsidRDefault="00232E78" w:rsidP="00A54C2B">
            <w:pPr>
              <w:pStyle w:val="Tabletext"/>
              <w:rPr>
                <w:sz w:val="20"/>
                <w:lang w:val="en-US"/>
              </w:rPr>
            </w:pPr>
            <w:r w:rsidRPr="000C156A">
              <w:rPr>
                <w:rFonts w:hint="eastAsia"/>
                <w:sz w:val="20"/>
                <w:lang w:val="en-US"/>
              </w:rPr>
              <w:t>退休率</w:t>
            </w:r>
          </w:p>
        </w:tc>
        <w:tc>
          <w:tcPr>
            <w:tcW w:w="6645" w:type="dxa"/>
            <w:tcBorders>
              <w:top w:val="single" w:sz="4" w:space="0" w:color="auto"/>
              <w:left w:val="single" w:sz="4" w:space="0" w:color="auto"/>
              <w:bottom w:val="single" w:sz="4" w:space="0" w:color="auto"/>
              <w:right w:val="single" w:sz="4" w:space="0" w:color="auto"/>
            </w:tcBorders>
            <w:hideMark/>
          </w:tcPr>
          <w:p w14:paraId="30878D38" w14:textId="77777777" w:rsidR="00232E78" w:rsidRPr="000C156A" w:rsidRDefault="00232E78" w:rsidP="00A54C2B">
            <w:pPr>
              <w:pStyle w:val="Tabletext"/>
              <w:rPr>
                <w:sz w:val="20"/>
                <w:lang w:val="en-US" w:eastAsia="zh-CN"/>
              </w:rPr>
            </w:pPr>
            <w:r w:rsidRPr="000C156A">
              <w:rPr>
                <w:rFonts w:hint="eastAsia"/>
                <w:sz w:val="20"/>
                <w:lang w:val="en-US" w:eastAsia="zh-CN"/>
              </w:rPr>
              <w:t>所有职员的退休率设定为与</w:t>
            </w:r>
            <w:r w:rsidRPr="000C156A">
              <w:rPr>
                <w:rFonts w:hint="eastAsia"/>
                <w:sz w:val="20"/>
                <w:lang w:val="en-US" w:eastAsia="zh-CN"/>
              </w:rPr>
              <w:t>2</w:t>
            </w:r>
            <w:r w:rsidRPr="000C156A">
              <w:rPr>
                <w:sz w:val="20"/>
                <w:lang w:val="en-US" w:eastAsia="zh-CN"/>
              </w:rPr>
              <w:t>02</w:t>
            </w:r>
            <w:r>
              <w:rPr>
                <w:sz w:val="20"/>
                <w:lang w:val="en-US" w:eastAsia="zh-CN"/>
              </w:rPr>
              <w:t>3</w:t>
            </w:r>
            <w:r w:rsidRPr="000C156A">
              <w:rPr>
                <w:rFonts w:hint="eastAsia"/>
                <w:sz w:val="20"/>
                <w:lang w:val="en-US" w:eastAsia="zh-CN"/>
              </w:rPr>
              <w:t>年</w:t>
            </w:r>
            <w:r>
              <w:rPr>
                <w:sz w:val="20"/>
                <w:lang w:val="en-US" w:eastAsia="zh-CN"/>
              </w:rPr>
              <w:t>1</w:t>
            </w:r>
            <w:r w:rsidRPr="000C156A">
              <w:rPr>
                <w:rFonts w:hint="eastAsia"/>
                <w:sz w:val="20"/>
                <w:lang w:val="en-US" w:eastAsia="zh-CN"/>
              </w:rPr>
              <w:t>月联合国任务组提供的比率相同。退休率随年龄、服务年限和专业职位的不同而不同。</w:t>
            </w:r>
          </w:p>
        </w:tc>
      </w:tr>
      <w:tr w:rsidR="00232E78" w:rsidRPr="000C156A" w14:paraId="1D7885EB" w14:textId="77777777" w:rsidTr="00DC6B4E">
        <w:tc>
          <w:tcPr>
            <w:tcW w:w="2439" w:type="dxa"/>
            <w:tcBorders>
              <w:top w:val="single" w:sz="4" w:space="0" w:color="auto"/>
              <w:left w:val="single" w:sz="4" w:space="0" w:color="auto"/>
              <w:bottom w:val="single" w:sz="4" w:space="0" w:color="auto"/>
              <w:right w:val="single" w:sz="4" w:space="0" w:color="auto"/>
            </w:tcBorders>
            <w:hideMark/>
          </w:tcPr>
          <w:p w14:paraId="7A522E90" w14:textId="77777777" w:rsidR="00232E78" w:rsidRPr="000C156A" w:rsidRDefault="00232E78" w:rsidP="00A54C2B">
            <w:pPr>
              <w:pStyle w:val="Tabletext"/>
              <w:rPr>
                <w:sz w:val="20"/>
                <w:lang w:val="en-US"/>
              </w:rPr>
            </w:pPr>
            <w:proofErr w:type="spellStart"/>
            <w:r w:rsidRPr="000C156A">
              <w:rPr>
                <w:rFonts w:hint="eastAsia"/>
                <w:sz w:val="20"/>
                <w:lang w:val="en-US"/>
              </w:rPr>
              <w:t>加入率</w:t>
            </w:r>
            <w:proofErr w:type="spellEnd"/>
          </w:p>
        </w:tc>
        <w:tc>
          <w:tcPr>
            <w:tcW w:w="6645" w:type="dxa"/>
            <w:tcBorders>
              <w:top w:val="single" w:sz="4" w:space="0" w:color="auto"/>
              <w:left w:val="single" w:sz="4" w:space="0" w:color="auto"/>
              <w:bottom w:val="single" w:sz="4" w:space="0" w:color="auto"/>
              <w:right w:val="single" w:sz="4" w:space="0" w:color="auto"/>
            </w:tcBorders>
            <w:hideMark/>
          </w:tcPr>
          <w:p w14:paraId="3DD13204" w14:textId="77777777" w:rsidR="00232E78" w:rsidRPr="000C156A" w:rsidRDefault="00232E78" w:rsidP="00A54C2B">
            <w:pPr>
              <w:pStyle w:val="Tabletext"/>
              <w:rPr>
                <w:sz w:val="20"/>
                <w:lang w:val="en-US" w:eastAsia="zh-CN"/>
              </w:rPr>
            </w:pPr>
            <w:r w:rsidRPr="000C156A">
              <w:rPr>
                <w:sz w:val="20"/>
                <w:lang w:val="en-US" w:eastAsia="zh-CN"/>
              </w:rPr>
              <w:t>97.5%</w:t>
            </w:r>
            <w:r w:rsidRPr="000C156A">
              <w:rPr>
                <w:rFonts w:hint="eastAsia"/>
                <w:sz w:val="20"/>
                <w:lang w:val="en-US" w:eastAsia="zh-CN"/>
              </w:rPr>
              <w:t>的未来退休人员将选择参加</w:t>
            </w:r>
            <w:r w:rsidRPr="000C156A">
              <w:rPr>
                <w:sz w:val="20"/>
                <w:lang w:val="en-US" w:eastAsia="zh-CN"/>
              </w:rPr>
              <w:t>ASHI</w:t>
            </w:r>
            <w:r w:rsidRPr="000C156A">
              <w:rPr>
                <w:rFonts w:hint="eastAsia"/>
                <w:sz w:val="20"/>
                <w:lang w:val="en-US" w:eastAsia="zh-CN"/>
              </w:rPr>
              <w:t>计划。</w:t>
            </w:r>
          </w:p>
        </w:tc>
      </w:tr>
      <w:tr w:rsidR="00232E78" w:rsidRPr="000C156A" w14:paraId="483A26CD" w14:textId="77777777" w:rsidTr="00DC6B4E">
        <w:tc>
          <w:tcPr>
            <w:tcW w:w="2439" w:type="dxa"/>
            <w:tcBorders>
              <w:top w:val="single" w:sz="4" w:space="0" w:color="auto"/>
              <w:left w:val="single" w:sz="4" w:space="0" w:color="auto"/>
              <w:bottom w:val="single" w:sz="4" w:space="0" w:color="auto"/>
              <w:right w:val="single" w:sz="4" w:space="0" w:color="auto"/>
            </w:tcBorders>
            <w:hideMark/>
          </w:tcPr>
          <w:p w14:paraId="33B64045" w14:textId="77777777" w:rsidR="00232E78" w:rsidRPr="000C156A" w:rsidRDefault="00232E78" w:rsidP="00A54C2B">
            <w:pPr>
              <w:pStyle w:val="Tabletext"/>
              <w:rPr>
                <w:sz w:val="20"/>
                <w:lang w:val="en-US"/>
              </w:rPr>
            </w:pPr>
            <w:r w:rsidRPr="000C156A">
              <w:rPr>
                <w:rFonts w:hint="eastAsia"/>
                <w:sz w:val="20"/>
                <w:lang w:val="en-US"/>
              </w:rPr>
              <w:t>配偶覆盖</w:t>
            </w:r>
          </w:p>
        </w:tc>
        <w:tc>
          <w:tcPr>
            <w:tcW w:w="6645" w:type="dxa"/>
            <w:tcBorders>
              <w:top w:val="single" w:sz="4" w:space="0" w:color="auto"/>
              <w:left w:val="single" w:sz="4" w:space="0" w:color="auto"/>
              <w:bottom w:val="single" w:sz="4" w:space="0" w:color="auto"/>
              <w:right w:val="single" w:sz="4" w:space="0" w:color="auto"/>
            </w:tcBorders>
            <w:hideMark/>
          </w:tcPr>
          <w:p w14:paraId="71CC5DDF" w14:textId="77777777" w:rsidR="00232E78" w:rsidRPr="000C156A" w:rsidRDefault="00232E78" w:rsidP="00A54C2B">
            <w:pPr>
              <w:pStyle w:val="Tabletext"/>
              <w:rPr>
                <w:sz w:val="20"/>
                <w:lang w:val="en-US" w:eastAsia="zh-CN"/>
              </w:rPr>
            </w:pPr>
            <w:r w:rsidRPr="000C156A">
              <w:rPr>
                <w:sz w:val="20"/>
                <w:lang w:val="en-US" w:eastAsia="zh-CN"/>
              </w:rPr>
              <w:t>75%</w:t>
            </w:r>
            <w:r w:rsidRPr="000C156A">
              <w:rPr>
                <w:rFonts w:hint="eastAsia"/>
                <w:sz w:val="20"/>
                <w:lang w:val="en-US" w:eastAsia="zh-CN"/>
              </w:rPr>
              <w:t>的男性和</w:t>
            </w:r>
            <w:r w:rsidRPr="000C156A">
              <w:rPr>
                <w:sz w:val="20"/>
                <w:lang w:val="en-US" w:eastAsia="zh-CN"/>
              </w:rPr>
              <w:t>25%</w:t>
            </w:r>
            <w:r w:rsidRPr="000C156A">
              <w:rPr>
                <w:rFonts w:hint="eastAsia"/>
                <w:sz w:val="20"/>
                <w:lang w:val="en-US" w:eastAsia="zh-CN"/>
              </w:rPr>
              <w:t>的女性退休职员均有将要求加入</w:t>
            </w:r>
            <w:r w:rsidRPr="000C156A">
              <w:rPr>
                <w:sz w:val="20"/>
                <w:lang w:val="en-US" w:eastAsia="zh-CN"/>
              </w:rPr>
              <w:t>ASHI</w:t>
            </w:r>
            <w:r w:rsidRPr="000C156A">
              <w:rPr>
                <w:rFonts w:hint="eastAsia"/>
                <w:sz w:val="20"/>
                <w:lang w:val="en-US" w:eastAsia="zh-CN"/>
              </w:rPr>
              <w:t>保险方案的配偶。假设男性比其配偶年长五岁。</w:t>
            </w:r>
          </w:p>
        </w:tc>
      </w:tr>
      <w:tr w:rsidR="00232E78" w:rsidRPr="000C156A" w14:paraId="07142488" w14:textId="77777777" w:rsidTr="00DC6B4E">
        <w:tc>
          <w:tcPr>
            <w:tcW w:w="2439" w:type="dxa"/>
            <w:tcBorders>
              <w:top w:val="single" w:sz="4" w:space="0" w:color="auto"/>
              <w:left w:val="single" w:sz="4" w:space="0" w:color="auto"/>
              <w:bottom w:val="single" w:sz="4" w:space="0" w:color="auto"/>
              <w:right w:val="single" w:sz="4" w:space="0" w:color="auto"/>
            </w:tcBorders>
            <w:hideMark/>
          </w:tcPr>
          <w:p w14:paraId="79EF6ACC" w14:textId="77777777" w:rsidR="00232E78" w:rsidRPr="000C156A" w:rsidRDefault="00232E78" w:rsidP="00A54C2B">
            <w:pPr>
              <w:pStyle w:val="Tabletext"/>
              <w:rPr>
                <w:sz w:val="20"/>
                <w:lang w:val="en-US"/>
              </w:rPr>
            </w:pPr>
            <w:proofErr w:type="spellStart"/>
            <w:r w:rsidRPr="000C156A">
              <w:rPr>
                <w:rFonts w:hint="eastAsia"/>
                <w:sz w:val="20"/>
                <w:lang w:val="en-US"/>
              </w:rPr>
              <w:t>精算方法</w:t>
            </w:r>
            <w:proofErr w:type="spellEnd"/>
          </w:p>
        </w:tc>
        <w:tc>
          <w:tcPr>
            <w:tcW w:w="6645" w:type="dxa"/>
            <w:tcBorders>
              <w:top w:val="single" w:sz="4" w:space="0" w:color="auto"/>
              <w:left w:val="single" w:sz="4" w:space="0" w:color="auto"/>
              <w:bottom w:val="single" w:sz="4" w:space="0" w:color="auto"/>
              <w:right w:val="single" w:sz="4" w:space="0" w:color="auto"/>
            </w:tcBorders>
            <w:hideMark/>
          </w:tcPr>
          <w:p w14:paraId="70E11CA0" w14:textId="77777777" w:rsidR="00232E78" w:rsidRPr="000C156A" w:rsidRDefault="00232E78" w:rsidP="00A54C2B">
            <w:pPr>
              <w:pStyle w:val="Tabletext"/>
              <w:rPr>
                <w:sz w:val="20"/>
                <w:lang w:val="en-US" w:eastAsia="zh-CN"/>
              </w:rPr>
            </w:pPr>
            <w:r w:rsidRPr="000C156A">
              <w:rPr>
                <w:sz w:val="20"/>
                <w:lang w:eastAsia="zh-CN"/>
              </w:rPr>
              <w:t>服务按比例分配的预计单位信用法。分配期从</w:t>
            </w:r>
            <w:r w:rsidRPr="000C156A">
              <w:rPr>
                <w:sz w:val="20"/>
                <w:lang w:eastAsia="zh-CN"/>
              </w:rPr>
              <w:t>45</w:t>
            </w:r>
            <w:r w:rsidRPr="000C156A">
              <w:rPr>
                <w:sz w:val="20"/>
                <w:lang w:eastAsia="zh-CN"/>
              </w:rPr>
              <w:t>岁开始，</w:t>
            </w:r>
            <w:r w:rsidRPr="000C156A">
              <w:rPr>
                <w:rFonts w:hint="eastAsia"/>
                <w:sz w:val="20"/>
                <w:lang w:val="en-US" w:eastAsia="zh-CN"/>
              </w:rPr>
              <w:t>从而反映出这样的事实，即职员必须</w:t>
            </w:r>
            <w:r w:rsidRPr="000C156A">
              <w:rPr>
                <w:sz w:val="20"/>
                <w:lang w:eastAsia="zh-CN"/>
              </w:rPr>
              <w:t>年满</w:t>
            </w:r>
            <w:r w:rsidRPr="000C156A">
              <w:rPr>
                <w:sz w:val="20"/>
                <w:lang w:eastAsia="zh-CN"/>
              </w:rPr>
              <w:t>55</w:t>
            </w:r>
            <w:r w:rsidRPr="000C156A">
              <w:rPr>
                <w:sz w:val="20"/>
                <w:lang w:eastAsia="zh-CN"/>
              </w:rPr>
              <w:t>岁且服务满</w:t>
            </w:r>
            <w:r w:rsidRPr="000C156A">
              <w:rPr>
                <w:sz w:val="20"/>
                <w:lang w:eastAsia="zh-CN"/>
              </w:rPr>
              <w:t>10</w:t>
            </w:r>
            <w:r w:rsidRPr="000C156A">
              <w:rPr>
                <w:sz w:val="20"/>
                <w:lang w:eastAsia="zh-CN"/>
              </w:rPr>
              <w:t>年</w:t>
            </w:r>
            <w:r w:rsidRPr="000C156A">
              <w:rPr>
                <w:rFonts w:hint="eastAsia"/>
                <w:sz w:val="20"/>
                <w:lang w:val="en-US" w:eastAsia="zh-CN"/>
              </w:rPr>
              <w:t>才有资格享受该计划的福利。</w:t>
            </w:r>
          </w:p>
        </w:tc>
      </w:tr>
      <w:tr w:rsidR="00232E78" w:rsidRPr="000C156A" w14:paraId="5DDE8043" w14:textId="77777777" w:rsidTr="00DC6B4E">
        <w:tc>
          <w:tcPr>
            <w:tcW w:w="2439" w:type="dxa"/>
            <w:tcBorders>
              <w:top w:val="single" w:sz="4" w:space="0" w:color="auto"/>
              <w:left w:val="single" w:sz="4" w:space="0" w:color="auto"/>
              <w:bottom w:val="single" w:sz="4" w:space="0" w:color="auto"/>
              <w:right w:val="single" w:sz="4" w:space="0" w:color="auto"/>
            </w:tcBorders>
            <w:hideMark/>
          </w:tcPr>
          <w:p w14:paraId="2ACA395E" w14:textId="77777777" w:rsidR="00232E78" w:rsidRPr="000C156A" w:rsidRDefault="00232E78" w:rsidP="00A54C2B">
            <w:pPr>
              <w:pStyle w:val="Tabletext"/>
              <w:rPr>
                <w:sz w:val="20"/>
                <w:lang w:val="en-US" w:eastAsia="zh-CN"/>
              </w:rPr>
            </w:pPr>
            <w:r>
              <w:rPr>
                <w:rFonts w:hint="eastAsia"/>
                <w:sz w:val="20"/>
                <w:lang w:val="en-US" w:eastAsia="zh-CN"/>
              </w:rPr>
              <w:t>净资产</w:t>
            </w:r>
            <w:r w:rsidRPr="000C156A">
              <w:rPr>
                <w:rFonts w:hint="eastAsia"/>
                <w:sz w:val="20"/>
                <w:lang w:val="en-US" w:eastAsia="zh-CN"/>
              </w:rPr>
              <w:t>方式</w:t>
            </w:r>
          </w:p>
        </w:tc>
        <w:tc>
          <w:tcPr>
            <w:tcW w:w="6645" w:type="dxa"/>
            <w:tcBorders>
              <w:top w:val="single" w:sz="4" w:space="0" w:color="auto"/>
              <w:left w:val="single" w:sz="4" w:space="0" w:color="auto"/>
              <w:bottom w:val="single" w:sz="4" w:space="0" w:color="auto"/>
              <w:right w:val="single" w:sz="4" w:space="0" w:color="auto"/>
            </w:tcBorders>
            <w:hideMark/>
          </w:tcPr>
          <w:p w14:paraId="2B079B53" w14:textId="77777777" w:rsidR="00232E78" w:rsidRPr="000C156A" w:rsidRDefault="00232E78" w:rsidP="00A54C2B">
            <w:pPr>
              <w:pStyle w:val="Tabletext"/>
              <w:rPr>
                <w:sz w:val="20"/>
                <w:lang w:val="en-US" w:eastAsia="zh-CN"/>
              </w:rPr>
            </w:pPr>
            <w:r w:rsidRPr="000C156A">
              <w:rPr>
                <w:rFonts w:hint="eastAsia"/>
                <w:sz w:val="20"/>
                <w:lang w:val="en-US" w:eastAsia="zh-CN"/>
              </w:rPr>
              <w:t>所有收益</w:t>
            </w:r>
            <w:r w:rsidRPr="000C156A">
              <w:rPr>
                <w:rFonts w:hint="eastAsia"/>
                <w:sz w:val="20"/>
                <w:lang w:val="en-US" w:eastAsia="zh-CN"/>
              </w:rPr>
              <w:t>/</w:t>
            </w:r>
            <w:r w:rsidRPr="000C156A">
              <w:rPr>
                <w:rFonts w:hint="eastAsia"/>
                <w:sz w:val="20"/>
                <w:lang w:val="en-US" w:eastAsia="zh-CN"/>
              </w:rPr>
              <w:t>损失都通过</w:t>
            </w:r>
            <w:r>
              <w:rPr>
                <w:rFonts w:hint="eastAsia"/>
                <w:sz w:val="20"/>
                <w:lang w:val="en-US" w:eastAsia="zh-CN"/>
              </w:rPr>
              <w:t>净资产变化</w:t>
            </w:r>
            <w:r w:rsidRPr="000C156A">
              <w:rPr>
                <w:rFonts w:hint="eastAsia"/>
                <w:sz w:val="20"/>
                <w:lang w:val="en-US" w:eastAsia="zh-CN"/>
              </w:rPr>
              <w:t>报表在发生年度立即得到全部确认，但</w:t>
            </w:r>
            <w:r>
              <w:rPr>
                <w:rFonts w:hint="eastAsia"/>
                <w:sz w:val="20"/>
                <w:lang w:val="en-US" w:eastAsia="zh-CN"/>
              </w:rPr>
              <w:t>不包括盈余和赤字。</w:t>
            </w:r>
          </w:p>
        </w:tc>
      </w:tr>
    </w:tbl>
    <w:p w14:paraId="3BEB84A0" w14:textId="77777777" w:rsidR="00232E78" w:rsidRPr="000C156A" w:rsidRDefault="00232E78" w:rsidP="00232E78">
      <w:pPr>
        <w:spacing w:before="240"/>
        <w:ind w:firstLineChars="200" w:firstLine="480"/>
        <w:rPr>
          <w:lang w:eastAsia="zh-CN"/>
        </w:rPr>
      </w:pPr>
      <w:bookmarkStart w:id="559" w:name="_MON_1396085038"/>
      <w:bookmarkStart w:id="560" w:name="_MON_1402733319"/>
      <w:bookmarkStart w:id="561" w:name="_MON_1402733477"/>
      <w:bookmarkEnd w:id="559"/>
      <w:bookmarkEnd w:id="560"/>
      <w:bookmarkEnd w:id="561"/>
      <w:r w:rsidRPr="000C156A">
        <w:rPr>
          <w:lang w:eastAsia="zh-CN"/>
        </w:rPr>
        <w:lastRenderedPageBreak/>
        <w:t>55</w:t>
      </w:r>
      <w:r w:rsidRPr="000C156A">
        <w:rPr>
          <w:rFonts w:hint="eastAsia"/>
          <w:lang w:eastAsia="zh-CN"/>
        </w:rPr>
        <w:t>岁或</w:t>
      </w:r>
      <w:r w:rsidRPr="000C156A">
        <w:rPr>
          <w:lang w:eastAsia="zh-CN"/>
        </w:rPr>
        <w:t>55</w:t>
      </w:r>
      <w:r w:rsidRPr="000C156A">
        <w:rPr>
          <w:rFonts w:hint="eastAsia"/>
          <w:lang w:eastAsia="zh-CN"/>
        </w:rPr>
        <w:t>岁以上的离职人员（及其配偶、受抚养子女和遗属）有资格享受离职后健康保险，前提是他们至少已在联合国或联合国某一专门机构服务了十年，且在离职前的五年内一直得到</w:t>
      </w:r>
      <w:r w:rsidRPr="000C156A">
        <w:rPr>
          <w:rFonts w:eastAsia="Times New Roman"/>
          <w:lang w:val="en-US" w:eastAsia="zh-CN"/>
        </w:rPr>
        <w:t>UNSMIS</w:t>
      </w:r>
      <w:r w:rsidRPr="000C156A">
        <w:rPr>
          <w:rFonts w:ascii="SimSun" w:hAnsi="SimSun" w:cs="SimSun" w:hint="eastAsia"/>
          <w:lang w:val="en-US" w:eastAsia="zh-CN"/>
        </w:rPr>
        <w:t>健康保险计划</w:t>
      </w:r>
      <w:r w:rsidRPr="000C156A">
        <w:rPr>
          <w:rFonts w:hint="eastAsia"/>
          <w:lang w:eastAsia="zh-CN"/>
        </w:rPr>
        <w:t>的保险。同样的福利亦适用于按照联合国合办职员养恤基金接收残疾津贴的职员。上述体制为联合出资体制</w:t>
      </w:r>
      <w:r w:rsidRPr="000C156A">
        <w:rPr>
          <w:rFonts w:hint="eastAsia"/>
          <w:lang w:eastAsia="zh-CN"/>
        </w:rPr>
        <w:t xml:space="preserve"> </w:t>
      </w:r>
      <w:r w:rsidRPr="000C156A">
        <w:rPr>
          <w:lang w:eastAsia="zh-CN"/>
        </w:rPr>
        <w:t xml:space="preserve">– </w:t>
      </w:r>
      <w:r w:rsidRPr="000C156A">
        <w:rPr>
          <w:rFonts w:hint="eastAsia"/>
          <w:lang w:eastAsia="zh-CN"/>
        </w:rPr>
        <w:t>国际电联缴费</w:t>
      </w:r>
      <w:r w:rsidRPr="000C156A">
        <w:rPr>
          <w:lang w:eastAsia="zh-CN"/>
        </w:rPr>
        <w:t>2/3</w:t>
      </w:r>
      <w:r w:rsidRPr="000C156A">
        <w:rPr>
          <w:rFonts w:hint="eastAsia"/>
          <w:lang w:eastAsia="zh-CN"/>
        </w:rPr>
        <w:t>，被保人缴费</w:t>
      </w:r>
      <w:r w:rsidRPr="000C156A">
        <w:rPr>
          <w:lang w:eastAsia="zh-CN"/>
        </w:rPr>
        <w:t>1/3</w:t>
      </w:r>
      <w:r w:rsidRPr="000C156A">
        <w:rPr>
          <w:rFonts w:hint="eastAsia"/>
          <w:lang w:eastAsia="zh-CN"/>
        </w:rPr>
        <w:t>。</w:t>
      </w:r>
    </w:p>
    <w:p w14:paraId="554BB262" w14:textId="77777777" w:rsidR="00232E78" w:rsidRDefault="00232E78" w:rsidP="00232E78">
      <w:pPr>
        <w:spacing w:after="240"/>
        <w:ind w:firstLineChars="200" w:firstLine="480"/>
        <w:rPr>
          <w:lang w:eastAsia="zh-CN"/>
        </w:rPr>
      </w:pPr>
      <w:r w:rsidRPr="000C156A">
        <w:rPr>
          <w:rFonts w:hint="eastAsia"/>
          <w:lang w:eastAsia="zh-CN"/>
        </w:rPr>
        <w:t>下表为为获得截至</w:t>
      </w:r>
      <w:r w:rsidRPr="000C156A">
        <w:rPr>
          <w:lang w:eastAsia="zh-CN"/>
        </w:rPr>
        <w:t>202</w:t>
      </w:r>
      <w:r>
        <w:rPr>
          <w:lang w:eastAsia="zh-CN"/>
        </w:rPr>
        <w:t>2</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日的金额而开展的精算</w:t>
      </w:r>
      <w:r w:rsidRPr="000C156A">
        <w:rPr>
          <w:rFonts w:hint="eastAsia"/>
          <w:lang w:val="en-US" w:eastAsia="zh-CN"/>
        </w:rPr>
        <w:t>研究得出</w:t>
      </w:r>
      <w:r w:rsidRPr="000C156A">
        <w:rPr>
          <w:rFonts w:hint="eastAsia"/>
          <w:lang w:eastAsia="zh-CN"/>
        </w:rPr>
        <w:t>的</w:t>
      </w:r>
      <w:r>
        <w:rPr>
          <w:rFonts w:hint="eastAsia"/>
          <w:lang w:eastAsia="zh-CN"/>
        </w:rPr>
        <w:t>，涉及</w:t>
      </w:r>
      <w:r w:rsidRPr="000C156A">
        <w:rPr>
          <w:rFonts w:hint="eastAsia"/>
          <w:lang w:eastAsia="zh-CN"/>
        </w:rPr>
        <w:t>有关职员津贴</w:t>
      </w:r>
      <w:r>
        <w:rPr>
          <w:rFonts w:hint="eastAsia"/>
          <w:lang w:eastAsia="zh-CN"/>
        </w:rPr>
        <w:t>所</w:t>
      </w:r>
      <w:r w:rsidRPr="000C156A">
        <w:rPr>
          <w:rFonts w:hint="eastAsia"/>
          <w:lang w:eastAsia="zh-CN"/>
        </w:rPr>
        <w:t>造成</w:t>
      </w:r>
      <w:r w:rsidRPr="00E163C2">
        <w:rPr>
          <w:rFonts w:hint="eastAsia"/>
          <w:lang w:eastAsia="zh-CN"/>
        </w:rPr>
        <w:t>离职后健康保险</w:t>
      </w:r>
      <w:r w:rsidRPr="000C156A">
        <w:rPr>
          <w:rFonts w:hint="eastAsia"/>
          <w:lang w:eastAsia="zh-CN"/>
        </w:rPr>
        <w:t>负债的</w:t>
      </w:r>
      <w:r>
        <w:rPr>
          <w:rFonts w:hint="eastAsia"/>
          <w:lang w:eastAsia="zh-CN"/>
        </w:rPr>
        <w:t>补充</w:t>
      </w:r>
      <w:r w:rsidRPr="000C156A">
        <w:rPr>
          <w:rFonts w:hint="eastAsia"/>
          <w:lang w:eastAsia="zh-CN"/>
        </w:rPr>
        <w:t>信息和分析</w:t>
      </w:r>
      <w:r>
        <w:rPr>
          <w:rFonts w:hint="eastAsia"/>
          <w:lang w:eastAsia="zh-CN"/>
        </w:rPr>
        <w:t>。</w:t>
      </w:r>
    </w:p>
    <w:p w14:paraId="540745A6" w14:textId="77777777" w:rsidR="00232E78" w:rsidRPr="000C156A" w:rsidRDefault="00232E78" w:rsidP="0084762D">
      <w:pPr>
        <w:pStyle w:val="Figure"/>
        <w:rPr>
          <w:lang w:eastAsia="zh-CN"/>
        </w:rPr>
      </w:pPr>
      <w:r w:rsidRPr="00FF7DBF">
        <w:rPr>
          <w:rFonts w:hint="eastAsia"/>
          <w:noProof/>
        </w:rPr>
        <w:drawing>
          <wp:inline distT="0" distB="0" distL="0" distR="0" wp14:anchorId="7AD83A6D" wp14:editId="54466327">
            <wp:extent cx="5760085" cy="2714625"/>
            <wp:effectExtent l="0" t="0" r="0" b="9525"/>
            <wp:docPr id="171673524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60085" cy="2714625"/>
                    </a:xfrm>
                    <a:prstGeom prst="rect">
                      <a:avLst/>
                    </a:prstGeom>
                    <a:noFill/>
                    <a:ln>
                      <a:noFill/>
                    </a:ln>
                  </pic:spPr>
                </pic:pic>
              </a:graphicData>
            </a:graphic>
          </wp:inline>
        </w:drawing>
      </w:r>
    </w:p>
    <w:p w14:paraId="3607C84C" w14:textId="77777777" w:rsidR="00232E78" w:rsidRPr="000C156A" w:rsidRDefault="00232E78" w:rsidP="002B043E">
      <w:pPr>
        <w:spacing w:before="360"/>
        <w:ind w:firstLineChars="200" w:firstLine="480"/>
        <w:rPr>
          <w:lang w:eastAsia="zh-CN"/>
        </w:rPr>
      </w:pPr>
      <w:r w:rsidRPr="00EB7B06">
        <w:rPr>
          <w:rFonts w:hint="eastAsia"/>
          <w:lang w:eastAsia="zh-CN"/>
        </w:rPr>
        <w:t>第二年</w:t>
      </w:r>
      <w:r>
        <w:rPr>
          <w:rFonts w:hint="eastAsia"/>
          <w:lang w:eastAsia="zh-CN"/>
        </w:rPr>
        <w:t>，即</w:t>
      </w:r>
      <w:r w:rsidRPr="00EB7B06">
        <w:rPr>
          <w:rFonts w:hint="eastAsia"/>
          <w:lang w:eastAsia="zh-CN"/>
        </w:rPr>
        <w:t>从</w:t>
      </w:r>
      <w:r w:rsidRPr="00EB7B06">
        <w:rPr>
          <w:rFonts w:hint="eastAsia"/>
          <w:lang w:eastAsia="zh-CN"/>
        </w:rPr>
        <w:t>2021</w:t>
      </w:r>
      <w:r w:rsidRPr="00EB7B06">
        <w:rPr>
          <w:rFonts w:hint="eastAsia"/>
          <w:lang w:eastAsia="zh-CN"/>
        </w:rPr>
        <w:t>年底的</w:t>
      </w:r>
      <w:r w:rsidRPr="00EB7B06">
        <w:rPr>
          <w:rFonts w:hint="eastAsia"/>
          <w:lang w:eastAsia="zh-CN"/>
        </w:rPr>
        <w:t>5.456</w:t>
      </w:r>
      <w:r w:rsidRPr="00EB7B06">
        <w:rPr>
          <w:rFonts w:hint="eastAsia"/>
          <w:lang w:eastAsia="zh-CN"/>
        </w:rPr>
        <w:t>亿瑞郎减少到</w:t>
      </w:r>
      <w:r w:rsidRPr="00EB7B06">
        <w:rPr>
          <w:rFonts w:hint="eastAsia"/>
          <w:lang w:eastAsia="zh-CN"/>
        </w:rPr>
        <w:t>2022</w:t>
      </w:r>
      <w:r w:rsidRPr="00EB7B06">
        <w:rPr>
          <w:rFonts w:hint="eastAsia"/>
          <w:lang w:eastAsia="zh-CN"/>
        </w:rPr>
        <w:t>年的</w:t>
      </w:r>
      <w:r w:rsidRPr="00EB7B06">
        <w:rPr>
          <w:rFonts w:hint="eastAsia"/>
          <w:lang w:eastAsia="zh-CN"/>
        </w:rPr>
        <w:t>3.441</w:t>
      </w:r>
      <w:r w:rsidRPr="00EB7B06">
        <w:rPr>
          <w:rFonts w:hint="eastAsia"/>
          <w:lang w:eastAsia="zh-CN"/>
        </w:rPr>
        <w:t>亿瑞郎的主要原因是</w:t>
      </w:r>
      <w:r w:rsidRPr="00EB7B06">
        <w:rPr>
          <w:rFonts w:hint="eastAsia"/>
          <w:lang w:eastAsia="zh-CN"/>
        </w:rPr>
        <w:t>2022</w:t>
      </w:r>
      <w:r w:rsidRPr="00EB7B06">
        <w:rPr>
          <w:rFonts w:hint="eastAsia"/>
          <w:lang w:eastAsia="zh-CN"/>
        </w:rPr>
        <w:t>年</w:t>
      </w:r>
      <w:r>
        <w:rPr>
          <w:rFonts w:hint="eastAsia"/>
          <w:lang w:eastAsia="zh-CN"/>
        </w:rPr>
        <w:t>的</w:t>
      </w:r>
      <w:r w:rsidRPr="00EB7B06">
        <w:rPr>
          <w:rFonts w:hint="eastAsia"/>
          <w:lang w:eastAsia="zh-CN"/>
        </w:rPr>
        <w:t>财务和人</w:t>
      </w:r>
      <w:r>
        <w:rPr>
          <w:rFonts w:hint="eastAsia"/>
          <w:lang w:eastAsia="zh-CN"/>
        </w:rPr>
        <w:t>员</w:t>
      </w:r>
      <w:r w:rsidRPr="00EB7B06">
        <w:rPr>
          <w:rFonts w:hint="eastAsia"/>
          <w:lang w:eastAsia="zh-CN"/>
        </w:rPr>
        <w:t>假设</w:t>
      </w:r>
      <w:r>
        <w:rPr>
          <w:rFonts w:hint="eastAsia"/>
          <w:lang w:eastAsia="zh-CN"/>
        </w:rPr>
        <w:t>发生了</w:t>
      </w:r>
      <w:r w:rsidRPr="00EB7B06">
        <w:rPr>
          <w:rFonts w:hint="eastAsia"/>
          <w:lang w:eastAsia="zh-CN"/>
        </w:rPr>
        <w:t>变化。</w:t>
      </w:r>
      <w:r w:rsidRPr="000C156A">
        <w:rPr>
          <w:rFonts w:hint="eastAsia"/>
          <w:lang w:eastAsia="zh-CN"/>
        </w:rPr>
        <w:t>影响</w:t>
      </w:r>
      <w:r w:rsidRPr="000C156A">
        <w:rPr>
          <w:rFonts w:hint="eastAsia"/>
          <w:lang w:eastAsia="zh-CN"/>
        </w:rPr>
        <w:t>ASHI</w:t>
      </w:r>
      <w:r w:rsidRPr="000C156A">
        <w:rPr>
          <w:rFonts w:hint="eastAsia"/>
          <w:lang w:eastAsia="zh-CN"/>
        </w:rPr>
        <w:t>估值的主要因素是用于计算未来索赔现值的贴现率。</w:t>
      </w:r>
      <w:r w:rsidRPr="00EB7B06">
        <w:rPr>
          <w:rFonts w:hint="eastAsia"/>
          <w:lang w:eastAsia="zh-CN"/>
        </w:rPr>
        <w:t>2022</w:t>
      </w:r>
      <w:r w:rsidRPr="00EB7B06">
        <w:rPr>
          <w:rFonts w:hint="eastAsia"/>
          <w:lang w:eastAsia="zh-CN"/>
        </w:rPr>
        <w:t>年，贴现率从</w:t>
      </w:r>
      <w:r w:rsidRPr="00EB7B06">
        <w:rPr>
          <w:rFonts w:hint="eastAsia"/>
          <w:lang w:eastAsia="zh-CN"/>
        </w:rPr>
        <w:t>0.5%</w:t>
      </w:r>
      <w:r w:rsidRPr="00EB7B06">
        <w:rPr>
          <w:rFonts w:hint="eastAsia"/>
          <w:lang w:eastAsia="zh-CN"/>
        </w:rPr>
        <w:t>提高到</w:t>
      </w:r>
      <w:r w:rsidRPr="00EB7B06">
        <w:rPr>
          <w:rFonts w:hint="eastAsia"/>
          <w:lang w:eastAsia="zh-CN"/>
        </w:rPr>
        <w:t>2.5%</w:t>
      </w:r>
      <w:r w:rsidRPr="00EB7B06">
        <w:rPr>
          <w:rFonts w:hint="eastAsia"/>
          <w:lang w:eastAsia="zh-CN"/>
        </w:rPr>
        <w:t>。贴现率的提高导致</w:t>
      </w:r>
      <w:r w:rsidRPr="00EB7B06">
        <w:rPr>
          <w:rFonts w:hint="eastAsia"/>
          <w:lang w:eastAsia="zh-CN"/>
        </w:rPr>
        <w:t>ASHI</w:t>
      </w:r>
      <w:r w:rsidRPr="00EB7B06">
        <w:rPr>
          <w:rFonts w:hint="eastAsia"/>
          <w:lang w:eastAsia="zh-CN"/>
        </w:rPr>
        <w:t>获得了</w:t>
      </w:r>
      <w:r w:rsidRPr="00EB7B06">
        <w:rPr>
          <w:rFonts w:hint="eastAsia"/>
          <w:lang w:eastAsia="zh-CN"/>
        </w:rPr>
        <w:t>1.703</w:t>
      </w:r>
      <w:r w:rsidRPr="00EB7B06">
        <w:rPr>
          <w:rFonts w:hint="eastAsia"/>
          <w:lang w:eastAsia="zh-CN"/>
        </w:rPr>
        <w:t>亿瑞郎的精算收益</w:t>
      </w:r>
      <w:r w:rsidRPr="000C156A">
        <w:rPr>
          <w:rFonts w:hint="eastAsia"/>
          <w:lang w:eastAsia="zh-CN"/>
        </w:rPr>
        <w:t>。</w:t>
      </w:r>
      <w:bookmarkStart w:id="562" w:name="_Toc305764095"/>
    </w:p>
    <w:p w14:paraId="639BE107" w14:textId="77777777" w:rsidR="00232E78" w:rsidRPr="00A73DAE" w:rsidRDefault="00232E78" w:rsidP="00570A54">
      <w:pPr>
        <w:ind w:firstLineChars="200" w:firstLine="480"/>
        <w:rPr>
          <w:lang w:eastAsia="zh-CN"/>
        </w:rPr>
      </w:pPr>
      <w:bookmarkStart w:id="563" w:name="_Toc41905886"/>
      <w:bookmarkStart w:id="564" w:name="_Toc41906911"/>
      <w:bookmarkStart w:id="565" w:name="_Toc41907992"/>
      <w:bookmarkStart w:id="566" w:name="_Toc41908060"/>
      <w:bookmarkStart w:id="567" w:name="_Hlk40424823"/>
      <w:bookmarkEnd w:id="562"/>
      <w:r w:rsidRPr="00A73DAE">
        <w:rPr>
          <w:rFonts w:hint="eastAsia"/>
          <w:lang w:eastAsia="zh-CN"/>
        </w:rPr>
        <w:t>对</w:t>
      </w:r>
      <w:r w:rsidRPr="00A73DAE">
        <w:rPr>
          <w:rFonts w:hint="eastAsia"/>
          <w:lang w:eastAsia="zh-CN"/>
        </w:rPr>
        <w:t>ASHI 2022</w:t>
      </w:r>
      <w:r w:rsidRPr="00A73DAE">
        <w:rPr>
          <w:rFonts w:hint="eastAsia"/>
          <w:lang w:eastAsia="zh-CN"/>
        </w:rPr>
        <w:t>年负债产生积极影响的第二个因素是医疗索赔金额下降。根据联合国工作人员疾病和</w:t>
      </w:r>
      <w:r>
        <w:rPr>
          <w:rFonts w:hint="eastAsia"/>
          <w:lang w:eastAsia="zh-CN"/>
        </w:rPr>
        <w:t>意外</w:t>
      </w:r>
      <w:r w:rsidRPr="00A73DAE">
        <w:rPr>
          <w:rFonts w:hint="eastAsia"/>
          <w:lang w:eastAsia="zh-CN"/>
        </w:rPr>
        <w:t>互助保险协会（</w:t>
      </w:r>
      <w:r w:rsidRPr="00A73DAE">
        <w:rPr>
          <w:rFonts w:hint="eastAsia"/>
          <w:lang w:eastAsia="zh-CN"/>
        </w:rPr>
        <w:t>UNSMIS</w:t>
      </w:r>
      <w:r w:rsidRPr="00A73DAE">
        <w:rPr>
          <w:rFonts w:hint="eastAsia"/>
          <w:lang w:eastAsia="zh-CN"/>
        </w:rPr>
        <w:t>）提供的数据，分析显示索赔下降了</w:t>
      </w:r>
      <w:r w:rsidRPr="00A73DAE">
        <w:rPr>
          <w:rFonts w:hint="eastAsia"/>
          <w:lang w:eastAsia="zh-CN"/>
        </w:rPr>
        <w:t>10%</w:t>
      </w:r>
      <w:r w:rsidRPr="00A73DAE">
        <w:rPr>
          <w:rFonts w:hint="eastAsia"/>
          <w:lang w:eastAsia="zh-CN"/>
        </w:rPr>
        <w:t>，这进一步产生了</w:t>
      </w:r>
      <w:r w:rsidRPr="00A73DAE">
        <w:rPr>
          <w:rFonts w:hint="eastAsia"/>
          <w:lang w:eastAsia="zh-CN"/>
        </w:rPr>
        <w:t>8</w:t>
      </w:r>
      <w:r>
        <w:rPr>
          <w:lang w:eastAsia="zh-CN"/>
        </w:rPr>
        <w:t xml:space="preserve"> </w:t>
      </w:r>
      <w:r w:rsidRPr="00A73DAE">
        <w:rPr>
          <w:rFonts w:hint="eastAsia"/>
          <w:lang w:eastAsia="zh-CN"/>
        </w:rPr>
        <w:t>080</w:t>
      </w:r>
      <w:r w:rsidRPr="00A73DAE">
        <w:rPr>
          <w:rFonts w:hint="eastAsia"/>
          <w:lang w:eastAsia="zh-CN"/>
        </w:rPr>
        <w:t>万瑞郎的负债精算收益。</w:t>
      </w:r>
    </w:p>
    <w:p w14:paraId="6E14A614" w14:textId="77777777" w:rsidR="00232E78" w:rsidRPr="00AB622C" w:rsidRDefault="00232E78" w:rsidP="00570A54">
      <w:pPr>
        <w:ind w:firstLineChars="200" w:firstLine="480"/>
        <w:rPr>
          <w:lang w:eastAsia="zh-CN"/>
        </w:rPr>
      </w:pPr>
      <w:r w:rsidRPr="00A73DAE">
        <w:rPr>
          <w:rFonts w:hint="eastAsia"/>
          <w:lang w:eastAsia="zh-CN"/>
        </w:rPr>
        <w:t>2022</w:t>
      </w:r>
      <w:r w:rsidRPr="00A73DAE">
        <w:rPr>
          <w:rFonts w:hint="eastAsia"/>
          <w:lang w:eastAsia="zh-CN"/>
        </w:rPr>
        <w:t>年，本组织向</w:t>
      </w:r>
      <w:r w:rsidRPr="00A73DAE">
        <w:rPr>
          <w:rFonts w:hint="eastAsia"/>
          <w:lang w:eastAsia="zh-CN"/>
        </w:rPr>
        <w:t>ASHI</w:t>
      </w:r>
      <w:r w:rsidRPr="00A73DAE">
        <w:rPr>
          <w:rFonts w:hint="eastAsia"/>
          <w:lang w:eastAsia="zh-CN"/>
        </w:rPr>
        <w:t>支付的费用达</w:t>
      </w:r>
      <w:r w:rsidRPr="00A73DAE">
        <w:rPr>
          <w:rFonts w:hint="eastAsia"/>
          <w:lang w:eastAsia="zh-CN"/>
        </w:rPr>
        <w:t>840</w:t>
      </w:r>
      <w:r w:rsidRPr="00A73DAE">
        <w:rPr>
          <w:rFonts w:hint="eastAsia"/>
          <w:lang w:eastAsia="zh-CN"/>
        </w:rPr>
        <w:t>万瑞士法郎。预计</w:t>
      </w:r>
      <w:r w:rsidRPr="00A73DAE">
        <w:rPr>
          <w:rFonts w:hint="eastAsia"/>
          <w:lang w:eastAsia="zh-CN"/>
        </w:rPr>
        <w:t>2023</w:t>
      </w:r>
      <w:r w:rsidRPr="00A73DAE">
        <w:rPr>
          <w:rFonts w:hint="eastAsia"/>
          <w:lang w:eastAsia="zh-CN"/>
        </w:rPr>
        <w:t>年的出资额约为</w:t>
      </w:r>
      <w:r w:rsidRPr="00A73DAE">
        <w:rPr>
          <w:rFonts w:hint="eastAsia"/>
          <w:lang w:eastAsia="zh-CN"/>
        </w:rPr>
        <w:t>910</w:t>
      </w:r>
      <w:r w:rsidRPr="00A73DAE">
        <w:rPr>
          <w:rFonts w:hint="eastAsia"/>
          <w:lang w:eastAsia="zh-CN"/>
        </w:rPr>
        <w:t>万瑞郎。</w:t>
      </w:r>
    </w:p>
    <w:p w14:paraId="2934339F" w14:textId="77777777" w:rsidR="00232E78" w:rsidRPr="000C156A" w:rsidRDefault="00232E78" w:rsidP="00570A54">
      <w:pPr>
        <w:ind w:firstLineChars="200" w:firstLine="480"/>
        <w:rPr>
          <w:lang w:eastAsia="zh-CN"/>
        </w:rPr>
      </w:pPr>
      <w:r>
        <w:rPr>
          <w:rFonts w:ascii="SimSun" w:hAnsi="SimSun" w:cs="SimSun" w:hint="eastAsia"/>
          <w:lang w:eastAsia="zh-CN"/>
        </w:rPr>
        <w:t>自</w:t>
      </w:r>
      <w:r w:rsidRPr="000C156A">
        <w:rPr>
          <w:rFonts w:hint="eastAsia"/>
          <w:lang w:val="en-US" w:eastAsia="zh-CN"/>
        </w:rPr>
        <w:t>2020</w:t>
      </w:r>
      <w:r w:rsidRPr="000C156A">
        <w:rPr>
          <w:rFonts w:hint="eastAsia"/>
          <w:lang w:val="en-US" w:eastAsia="zh-CN"/>
        </w:rPr>
        <w:t>年</w:t>
      </w:r>
      <w:r w:rsidRPr="000C156A">
        <w:rPr>
          <w:rFonts w:hint="eastAsia"/>
          <w:lang w:val="en-US" w:eastAsia="zh-CN"/>
        </w:rPr>
        <w:t>1</w:t>
      </w:r>
      <w:r w:rsidRPr="000C156A">
        <w:rPr>
          <w:rFonts w:hint="eastAsia"/>
          <w:lang w:val="en-US" w:eastAsia="zh-CN"/>
        </w:rPr>
        <w:t>月</w:t>
      </w:r>
      <w:r>
        <w:rPr>
          <w:rFonts w:hint="eastAsia"/>
          <w:lang w:val="en-US" w:eastAsia="zh-CN"/>
        </w:rPr>
        <w:t>起</w:t>
      </w:r>
      <w:r w:rsidRPr="000C156A">
        <w:rPr>
          <w:rFonts w:hint="eastAsia"/>
          <w:lang w:val="en-US" w:eastAsia="zh-CN"/>
        </w:rPr>
        <w:t>，国际电联</w:t>
      </w:r>
      <w:r>
        <w:rPr>
          <w:rFonts w:hint="eastAsia"/>
          <w:lang w:val="en-US" w:eastAsia="zh-CN"/>
        </w:rPr>
        <w:t>成为</w:t>
      </w:r>
      <w:r w:rsidRPr="000C156A">
        <w:rPr>
          <w:rFonts w:hint="eastAsia"/>
          <w:lang w:val="en-US" w:eastAsia="zh-CN"/>
        </w:rPr>
        <w:t>（</w:t>
      </w:r>
      <w:r w:rsidRPr="000C156A">
        <w:rPr>
          <w:szCs w:val="24"/>
          <w:lang w:eastAsia="zh-CN"/>
        </w:rPr>
        <w:t>UNSMIS</w:t>
      </w:r>
      <w:r w:rsidRPr="000C156A">
        <w:rPr>
          <w:rFonts w:hint="eastAsia"/>
          <w:szCs w:val="24"/>
          <w:lang w:eastAsia="zh-CN"/>
        </w:rPr>
        <w:t>）（</w:t>
      </w:r>
      <w:r w:rsidRPr="000C156A">
        <w:rPr>
          <w:lang w:val="en-US" w:eastAsia="zh-CN"/>
        </w:rPr>
        <w:t>联合国工作人员疾病和</w:t>
      </w:r>
      <w:r>
        <w:rPr>
          <w:rFonts w:hint="eastAsia"/>
          <w:lang w:val="en-US" w:eastAsia="zh-CN"/>
        </w:rPr>
        <w:t>意外</w:t>
      </w:r>
      <w:r w:rsidRPr="000C156A">
        <w:rPr>
          <w:lang w:val="en-US" w:eastAsia="zh-CN"/>
        </w:rPr>
        <w:t>互助保险协</w:t>
      </w:r>
      <w:r w:rsidRPr="000C156A">
        <w:rPr>
          <w:rFonts w:hint="eastAsia"/>
          <w:lang w:val="en-US" w:eastAsia="zh-CN"/>
        </w:rPr>
        <w:t>会</w:t>
      </w:r>
      <w:r w:rsidRPr="007E0590">
        <w:rPr>
          <w:rFonts w:hint="eastAsia"/>
          <w:lang w:val="en-US" w:eastAsia="zh-CN"/>
        </w:rPr>
        <w:t>）的成员</w:t>
      </w:r>
      <w:r w:rsidRPr="000C156A">
        <w:rPr>
          <w:rFonts w:hint="eastAsia"/>
          <w:lang w:val="en-US" w:eastAsia="zh-CN"/>
        </w:rPr>
        <w:t>。加入这一联合国医保计划对工作人员来说是有利的，因为缴费率已降低，免赔额被取消，且由于这一计划的规模，从长期来看对国际电联来说也是有利的。该计划汇集了总部设在日内瓦的若干联合国组织和专门机构。该健康保险计划包括联合国日内瓦办事处、难民署和气象组织的工作人员。</w:t>
      </w:r>
    </w:p>
    <w:p w14:paraId="54C0038E" w14:textId="76D0C78A" w:rsidR="00232E78" w:rsidRPr="000C156A" w:rsidRDefault="00232E78" w:rsidP="002B043E">
      <w:pPr>
        <w:tabs>
          <w:tab w:val="left" w:pos="0"/>
        </w:tabs>
        <w:ind w:firstLineChars="200" w:firstLine="480"/>
        <w:rPr>
          <w:rFonts w:eastAsia="Times New Roman"/>
          <w:lang w:val="en-US" w:eastAsia="zh-CN"/>
        </w:rPr>
      </w:pPr>
      <w:bookmarkStart w:id="568" w:name="_Toc73518701"/>
      <w:bookmarkStart w:id="569" w:name="_Toc73518848"/>
      <w:bookmarkStart w:id="570" w:name="_Toc73519248"/>
      <w:bookmarkStart w:id="571" w:name="_Toc73636287"/>
      <w:bookmarkEnd w:id="563"/>
      <w:bookmarkEnd w:id="564"/>
      <w:bookmarkEnd w:id="565"/>
      <w:bookmarkEnd w:id="566"/>
      <w:r w:rsidRPr="000C156A">
        <w:rPr>
          <w:rFonts w:hint="eastAsia"/>
          <w:lang w:val="en-US" w:eastAsia="zh-CN"/>
        </w:rPr>
        <w:t>为了在</w:t>
      </w:r>
      <w:r w:rsidRPr="000C156A">
        <w:rPr>
          <w:rFonts w:hint="eastAsia"/>
          <w:lang w:val="en-US" w:eastAsia="zh-CN"/>
        </w:rPr>
        <w:t>2020</w:t>
      </w:r>
      <w:r w:rsidRPr="000C156A">
        <w:rPr>
          <w:rFonts w:hint="eastAsia"/>
          <w:lang w:val="en-US" w:eastAsia="zh-CN"/>
        </w:rPr>
        <w:t>年</w:t>
      </w:r>
      <w:r w:rsidRPr="000C156A">
        <w:rPr>
          <w:rFonts w:hint="eastAsia"/>
          <w:lang w:val="en-US" w:eastAsia="zh-CN"/>
        </w:rPr>
        <w:t>1</w:t>
      </w:r>
      <w:r w:rsidRPr="000C156A">
        <w:rPr>
          <w:rFonts w:hint="eastAsia"/>
          <w:lang w:val="en-US" w:eastAsia="zh-CN"/>
        </w:rPr>
        <w:t>月加入</w:t>
      </w:r>
      <w:r w:rsidRPr="00BD0CCF">
        <w:rPr>
          <w:lang w:eastAsia="zh-CN"/>
        </w:rPr>
        <w:t>UNSMIS</w:t>
      </w:r>
      <w:r w:rsidRPr="000C156A">
        <w:rPr>
          <w:rFonts w:hint="eastAsia"/>
          <w:lang w:val="en-US" w:eastAsia="zh-CN"/>
        </w:rPr>
        <w:t>医疗保险计划，国际电联</w:t>
      </w:r>
      <w:r>
        <w:rPr>
          <w:rFonts w:hint="eastAsia"/>
          <w:lang w:val="en-US" w:eastAsia="zh-CN"/>
        </w:rPr>
        <w:t>向</w:t>
      </w:r>
      <w:r w:rsidRPr="000C156A">
        <w:rPr>
          <w:rFonts w:hint="eastAsia"/>
          <w:lang w:val="en-US" w:eastAsia="zh-CN"/>
        </w:rPr>
        <w:t>该计划的平准储备基金</w:t>
      </w:r>
      <w:r>
        <w:rPr>
          <w:rFonts w:hint="eastAsia"/>
          <w:lang w:val="en-US" w:eastAsia="zh-CN"/>
        </w:rPr>
        <w:t>缴费</w:t>
      </w:r>
      <w:r w:rsidRPr="000C156A">
        <w:rPr>
          <w:rFonts w:hint="eastAsia"/>
          <w:lang w:val="en-US" w:eastAsia="zh-CN"/>
        </w:rPr>
        <w:t>。商定的缴</w:t>
      </w:r>
      <w:r>
        <w:rPr>
          <w:rFonts w:hint="eastAsia"/>
          <w:lang w:val="en-US" w:eastAsia="zh-CN"/>
        </w:rPr>
        <w:t>费</w:t>
      </w:r>
      <w:r w:rsidRPr="000C156A">
        <w:rPr>
          <w:rFonts w:hint="eastAsia"/>
          <w:lang w:val="en-US" w:eastAsia="zh-CN"/>
        </w:rPr>
        <w:t>额为</w:t>
      </w:r>
      <w:r w:rsidRPr="000C156A">
        <w:rPr>
          <w:rFonts w:hint="eastAsia"/>
          <w:lang w:val="en-US" w:eastAsia="zh-CN"/>
        </w:rPr>
        <w:t>1</w:t>
      </w:r>
      <w:r w:rsidRPr="000C156A">
        <w:rPr>
          <w:lang w:val="en-US" w:eastAsia="zh-CN"/>
        </w:rPr>
        <w:t xml:space="preserve"> </w:t>
      </w:r>
      <w:r w:rsidRPr="000C156A">
        <w:rPr>
          <w:rFonts w:hint="eastAsia"/>
          <w:lang w:val="en-US" w:eastAsia="zh-CN"/>
        </w:rPr>
        <w:t>95</w:t>
      </w:r>
      <w:r>
        <w:rPr>
          <w:lang w:val="en-US" w:eastAsia="zh-CN"/>
        </w:rPr>
        <w:t>0</w:t>
      </w:r>
      <w:r w:rsidRPr="000C156A">
        <w:rPr>
          <w:rFonts w:hint="eastAsia"/>
          <w:lang w:val="en-US" w:eastAsia="zh-CN"/>
        </w:rPr>
        <w:t>万美元</w:t>
      </w:r>
      <w:r>
        <w:rPr>
          <w:rFonts w:hint="eastAsia"/>
          <w:lang w:val="en-US" w:eastAsia="zh-CN"/>
        </w:rPr>
        <w:t>（</w:t>
      </w:r>
      <w:r w:rsidRPr="000C156A">
        <w:rPr>
          <w:rFonts w:hint="eastAsia"/>
          <w:lang w:val="en-US" w:eastAsia="zh-CN"/>
        </w:rPr>
        <w:t>1</w:t>
      </w:r>
      <w:r w:rsidRPr="000C156A">
        <w:rPr>
          <w:lang w:val="en-US" w:eastAsia="zh-CN"/>
        </w:rPr>
        <w:t xml:space="preserve"> </w:t>
      </w:r>
      <w:r w:rsidRPr="000C156A">
        <w:rPr>
          <w:rFonts w:hint="eastAsia"/>
          <w:lang w:val="en-US" w:eastAsia="zh-CN"/>
        </w:rPr>
        <w:t>95</w:t>
      </w:r>
      <w:r>
        <w:rPr>
          <w:lang w:val="en-US" w:eastAsia="zh-CN"/>
        </w:rPr>
        <w:t>0</w:t>
      </w:r>
      <w:r w:rsidRPr="000C156A">
        <w:rPr>
          <w:rFonts w:hint="eastAsia"/>
          <w:lang w:val="en-US" w:eastAsia="zh-CN"/>
        </w:rPr>
        <w:t>万</w:t>
      </w:r>
      <w:r>
        <w:rPr>
          <w:rFonts w:hint="eastAsia"/>
          <w:lang w:val="en-US" w:eastAsia="zh-CN"/>
        </w:rPr>
        <w:t>瑞郎）</w:t>
      </w:r>
      <w:r w:rsidRPr="000C156A">
        <w:rPr>
          <w:rFonts w:hint="eastAsia"/>
          <w:lang w:val="en-US" w:eastAsia="zh-CN"/>
        </w:rPr>
        <w:t>，并已于</w:t>
      </w:r>
      <w:r w:rsidRPr="000C156A">
        <w:rPr>
          <w:rFonts w:hint="eastAsia"/>
          <w:lang w:val="en-US" w:eastAsia="zh-CN"/>
        </w:rPr>
        <w:t>2020</w:t>
      </w:r>
      <w:r w:rsidRPr="000C156A">
        <w:rPr>
          <w:rFonts w:hint="eastAsia"/>
          <w:lang w:val="en-US" w:eastAsia="zh-CN"/>
        </w:rPr>
        <w:t>年初由</w:t>
      </w:r>
      <w:r w:rsidRPr="000C156A">
        <w:rPr>
          <w:rFonts w:hint="eastAsia"/>
          <w:lang w:val="en-US" w:eastAsia="zh-CN"/>
        </w:rPr>
        <w:t>CMIP</w:t>
      </w:r>
      <w:r w:rsidRPr="000C156A">
        <w:rPr>
          <w:rFonts w:hint="eastAsia"/>
          <w:lang w:val="en-US" w:eastAsia="zh-CN"/>
        </w:rPr>
        <w:t>保障基金支付。</w:t>
      </w:r>
      <w:bookmarkStart w:id="572" w:name="_Toc73518702"/>
      <w:bookmarkStart w:id="573" w:name="_Toc73518849"/>
      <w:bookmarkStart w:id="574" w:name="_Toc73519249"/>
      <w:bookmarkStart w:id="575" w:name="_Toc73636288"/>
      <w:bookmarkEnd w:id="568"/>
      <w:bookmarkEnd w:id="569"/>
      <w:bookmarkEnd w:id="570"/>
      <w:bookmarkEnd w:id="571"/>
      <w:r w:rsidRPr="000C156A">
        <w:rPr>
          <w:rFonts w:hint="eastAsia"/>
          <w:lang w:val="en-US" w:eastAsia="zh-CN"/>
        </w:rPr>
        <w:t>此外，从</w:t>
      </w:r>
      <w:r w:rsidRPr="000C156A">
        <w:rPr>
          <w:rFonts w:hint="eastAsia"/>
          <w:lang w:val="en-US" w:eastAsia="zh-CN"/>
        </w:rPr>
        <w:t>2020</w:t>
      </w:r>
      <w:r w:rsidRPr="000C156A">
        <w:rPr>
          <w:rFonts w:hint="eastAsia"/>
          <w:lang w:val="en-US" w:eastAsia="zh-CN"/>
        </w:rPr>
        <w:t>年开始，将在</w:t>
      </w:r>
      <w:r w:rsidRPr="000C156A">
        <w:rPr>
          <w:rFonts w:hint="eastAsia"/>
          <w:lang w:val="en-US" w:eastAsia="zh-CN"/>
        </w:rPr>
        <w:t>13</w:t>
      </w:r>
      <w:r w:rsidRPr="000C156A">
        <w:rPr>
          <w:rFonts w:hint="eastAsia"/>
          <w:lang w:val="en-US" w:eastAsia="zh-CN"/>
        </w:rPr>
        <w:t>年内每年支付一笔额外缴</w:t>
      </w:r>
      <w:r>
        <w:rPr>
          <w:rFonts w:hint="eastAsia"/>
          <w:lang w:val="en-US" w:eastAsia="zh-CN"/>
        </w:rPr>
        <w:t>费</w:t>
      </w:r>
      <w:r w:rsidRPr="000C156A">
        <w:rPr>
          <w:rFonts w:hint="eastAsia"/>
          <w:lang w:val="en-US" w:eastAsia="zh-CN"/>
        </w:rPr>
        <w:t>。</w:t>
      </w:r>
      <w:bookmarkEnd w:id="572"/>
      <w:bookmarkEnd w:id="573"/>
      <w:bookmarkEnd w:id="574"/>
      <w:bookmarkEnd w:id="575"/>
      <w:r w:rsidRPr="007E0590">
        <w:rPr>
          <w:rFonts w:hint="eastAsia"/>
          <w:lang w:val="en-US" w:eastAsia="zh-CN"/>
        </w:rPr>
        <w:t>这项额外缴</w:t>
      </w:r>
      <w:r>
        <w:rPr>
          <w:rFonts w:hint="eastAsia"/>
          <w:lang w:val="en-US" w:eastAsia="zh-CN"/>
        </w:rPr>
        <w:t>费</w:t>
      </w:r>
      <w:r w:rsidRPr="007E0590">
        <w:rPr>
          <w:rFonts w:hint="eastAsia"/>
          <w:lang w:val="en-US" w:eastAsia="zh-CN"/>
        </w:rPr>
        <w:t>旨在根据员</w:t>
      </w:r>
      <w:r>
        <w:rPr>
          <w:rFonts w:hint="eastAsia"/>
          <w:lang w:val="en-US" w:eastAsia="zh-CN"/>
        </w:rPr>
        <w:t>工</w:t>
      </w:r>
      <w:r w:rsidRPr="007E0590">
        <w:rPr>
          <w:rFonts w:hint="eastAsia"/>
          <w:lang w:val="en-US" w:eastAsia="zh-CN"/>
        </w:rPr>
        <w:t>和退休人员的年龄、人</w:t>
      </w:r>
      <w:r>
        <w:rPr>
          <w:rFonts w:hint="eastAsia"/>
          <w:lang w:val="en-US" w:eastAsia="zh-CN"/>
        </w:rPr>
        <w:t>员结构</w:t>
      </w:r>
      <w:r w:rsidRPr="007E0590">
        <w:rPr>
          <w:rFonts w:hint="eastAsia"/>
          <w:lang w:val="en-US" w:eastAsia="zh-CN"/>
        </w:rPr>
        <w:t>和其他商定</w:t>
      </w:r>
      <w:r>
        <w:rPr>
          <w:rFonts w:hint="eastAsia"/>
          <w:lang w:val="en-US" w:eastAsia="zh-CN"/>
        </w:rPr>
        <w:t>的</w:t>
      </w:r>
      <w:r w:rsidRPr="007E0590">
        <w:rPr>
          <w:rFonts w:hint="eastAsia"/>
          <w:lang w:val="en-US" w:eastAsia="zh-CN"/>
        </w:rPr>
        <w:t>因素，调整国际电联加入该医疗计划</w:t>
      </w:r>
      <w:r>
        <w:rPr>
          <w:rFonts w:hint="eastAsia"/>
          <w:lang w:val="en-US" w:eastAsia="zh-CN"/>
        </w:rPr>
        <w:t>带来</w:t>
      </w:r>
      <w:r w:rsidRPr="007E0590">
        <w:rPr>
          <w:rFonts w:hint="eastAsia"/>
          <w:lang w:val="en-US" w:eastAsia="zh-CN"/>
        </w:rPr>
        <w:t>的影响。这笔额外</w:t>
      </w:r>
      <w:r>
        <w:rPr>
          <w:rFonts w:hint="eastAsia"/>
          <w:lang w:val="en-US" w:eastAsia="zh-CN"/>
        </w:rPr>
        <w:t>缴费</w:t>
      </w:r>
      <w:r w:rsidRPr="007E0590">
        <w:rPr>
          <w:rFonts w:hint="eastAsia"/>
          <w:lang w:val="en-US" w:eastAsia="zh-CN"/>
        </w:rPr>
        <w:t>总额为</w:t>
      </w:r>
      <w:r w:rsidRPr="007E0590">
        <w:rPr>
          <w:rFonts w:hint="eastAsia"/>
          <w:lang w:val="en-US" w:eastAsia="zh-CN"/>
        </w:rPr>
        <w:t>2</w:t>
      </w:r>
      <w:r>
        <w:rPr>
          <w:lang w:val="en-US" w:eastAsia="zh-CN"/>
        </w:rPr>
        <w:t xml:space="preserve"> </w:t>
      </w:r>
      <w:r w:rsidRPr="007E0590">
        <w:rPr>
          <w:rFonts w:hint="eastAsia"/>
          <w:lang w:val="en-US" w:eastAsia="zh-CN"/>
        </w:rPr>
        <w:t>250</w:t>
      </w:r>
      <w:r w:rsidRPr="007E0590">
        <w:rPr>
          <w:rFonts w:hint="eastAsia"/>
          <w:lang w:val="en-US" w:eastAsia="zh-CN"/>
        </w:rPr>
        <w:t>万美元，将在</w:t>
      </w:r>
      <w:r w:rsidRPr="007E0590">
        <w:rPr>
          <w:rFonts w:hint="eastAsia"/>
          <w:lang w:val="en-US" w:eastAsia="zh-CN"/>
        </w:rPr>
        <w:t>13</w:t>
      </w:r>
      <w:r w:rsidRPr="007E0590">
        <w:rPr>
          <w:rFonts w:hint="eastAsia"/>
          <w:lang w:val="en-US" w:eastAsia="zh-CN"/>
        </w:rPr>
        <w:t>年内</w:t>
      </w:r>
      <w:r>
        <w:rPr>
          <w:rFonts w:hint="eastAsia"/>
          <w:lang w:val="en-US" w:eastAsia="zh-CN"/>
        </w:rPr>
        <w:t>按</w:t>
      </w:r>
      <w:r w:rsidRPr="007E0590">
        <w:rPr>
          <w:rFonts w:hint="eastAsia"/>
          <w:lang w:val="en-US" w:eastAsia="zh-CN"/>
        </w:rPr>
        <w:t>年支付。这一会计政策变化的影响见注</w:t>
      </w:r>
      <w:r w:rsidRPr="007E0590">
        <w:rPr>
          <w:rFonts w:hint="eastAsia"/>
          <w:lang w:val="en-US" w:eastAsia="zh-CN"/>
        </w:rPr>
        <w:t>30</w:t>
      </w:r>
      <w:r w:rsidRPr="007E0590">
        <w:rPr>
          <w:rFonts w:hint="eastAsia"/>
          <w:lang w:val="en-US" w:eastAsia="zh-CN"/>
        </w:rPr>
        <w:t>。</w:t>
      </w:r>
    </w:p>
    <w:p w14:paraId="65553CC5" w14:textId="77777777" w:rsidR="00232E78" w:rsidRPr="0068344E" w:rsidRDefault="00232E78" w:rsidP="00570A54">
      <w:pPr>
        <w:tabs>
          <w:tab w:val="left" w:pos="0"/>
        </w:tabs>
        <w:ind w:firstLineChars="200" w:firstLine="480"/>
        <w:rPr>
          <w:lang w:val="en-US" w:eastAsia="zh-CN"/>
        </w:rPr>
      </w:pPr>
      <w:bookmarkStart w:id="576" w:name="_Toc73518703"/>
      <w:bookmarkStart w:id="577" w:name="_Toc73518850"/>
      <w:bookmarkStart w:id="578" w:name="_Toc73519250"/>
      <w:bookmarkStart w:id="579" w:name="_Toc73636289"/>
      <w:r w:rsidRPr="00185123">
        <w:rPr>
          <w:rFonts w:hint="eastAsia"/>
          <w:lang w:val="en-US" w:eastAsia="zh-CN"/>
        </w:rPr>
        <w:lastRenderedPageBreak/>
        <w:t>2</w:t>
      </w:r>
      <w:r w:rsidRPr="00185123">
        <w:rPr>
          <w:lang w:val="en-US" w:eastAsia="zh-CN"/>
        </w:rPr>
        <w:t>020</w:t>
      </w:r>
      <w:r w:rsidRPr="00185123">
        <w:rPr>
          <w:rFonts w:hint="eastAsia"/>
          <w:lang w:val="en-US" w:eastAsia="zh-CN"/>
        </w:rPr>
        <w:t>年加入的</w:t>
      </w:r>
      <w:r w:rsidRPr="00185123">
        <w:rPr>
          <w:rFonts w:hint="eastAsia"/>
          <w:lang w:val="en-US" w:eastAsia="zh-CN"/>
        </w:rPr>
        <w:t>U</w:t>
      </w:r>
      <w:r w:rsidRPr="00185123">
        <w:rPr>
          <w:lang w:val="en-US" w:eastAsia="zh-CN"/>
        </w:rPr>
        <w:t>NSMIS</w:t>
      </w:r>
      <w:r w:rsidRPr="00185123">
        <w:rPr>
          <w:rFonts w:hint="eastAsia"/>
          <w:lang w:val="en-US" w:eastAsia="zh-CN"/>
        </w:rPr>
        <w:t>计划是基于按薪金的</w:t>
      </w:r>
      <w:r w:rsidRPr="00185123">
        <w:rPr>
          <w:rFonts w:hint="eastAsia"/>
          <w:lang w:val="en-US" w:eastAsia="zh-CN"/>
        </w:rPr>
        <w:t>3.4%</w:t>
      </w:r>
      <w:r w:rsidRPr="00185123">
        <w:rPr>
          <w:rFonts w:hint="eastAsia"/>
          <w:lang w:val="en-US" w:eastAsia="zh-CN"/>
        </w:rPr>
        <w:t>缴费。费用控制的后续工作由</w:t>
      </w:r>
      <w:r w:rsidRPr="00185123">
        <w:rPr>
          <w:lang w:val="en-US" w:eastAsia="zh-CN"/>
        </w:rPr>
        <w:t>UNSMIS</w:t>
      </w:r>
      <w:r w:rsidRPr="00185123">
        <w:rPr>
          <w:rFonts w:hint="eastAsia"/>
          <w:lang w:val="en-US" w:eastAsia="zh-CN"/>
        </w:rPr>
        <w:t>委员会管理，国际电联将作为新成员在该委员会占有一席之地。</w:t>
      </w:r>
      <w:bookmarkEnd w:id="576"/>
      <w:bookmarkEnd w:id="577"/>
      <w:bookmarkEnd w:id="578"/>
      <w:bookmarkEnd w:id="579"/>
      <w:r w:rsidRPr="00185123">
        <w:rPr>
          <w:rFonts w:hint="eastAsia"/>
          <w:lang w:eastAsia="zh-CN"/>
        </w:rPr>
        <w:t>更多详情见</w:t>
      </w:r>
      <w:hyperlink r:id="rId62" w:history="1">
        <w:r w:rsidRPr="00BD0CCF">
          <w:rPr>
            <w:rFonts w:hint="eastAsia"/>
            <w:lang w:eastAsia="zh-CN"/>
          </w:rPr>
          <w:t>关于</w:t>
        </w:r>
        <w:r w:rsidRPr="00BD0CCF">
          <w:rPr>
            <w:rFonts w:hint="eastAsia"/>
            <w:lang w:eastAsia="zh-CN"/>
          </w:rPr>
          <w:t>ASHI</w:t>
        </w:r>
        <w:r w:rsidRPr="00BD0CCF">
          <w:rPr>
            <w:rFonts w:hint="eastAsia"/>
            <w:lang w:eastAsia="zh-CN"/>
          </w:rPr>
          <w:t>年度报告的</w:t>
        </w:r>
        <w:r w:rsidRPr="00185123">
          <w:rPr>
            <w:rStyle w:val="Hyperlink"/>
            <w:rFonts w:hint="eastAsia"/>
            <w:lang w:eastAsia="zh-CN"/>
          </w:rPr>
          <w:t>C23/46</w:t>
        </w:r>
        <w:r w:rsidRPr="00185123">
          <w:rPr>
            <w:rStyle w:val="Hyperlink"/>
            <w:rFonts w:hint="eastAsia"/>
            <w:lang w:eastAsia="zh-CN"/>
          </w:rPr>
          <w:t>号文件</w:t>
        </w:r>
      </w:hyperlink>
      <w:r w:rsidRPr="00185123">
        <w:rPr>
          <w:rFonts w:hint="eastAsia"/>
          <w:lang w:eastAsia="zh-CN"/>
        </w:rPr>
        <w:t>。</w:t>
      </w:r>
    </w:p>
    <w:p w14:paraId="120937C6" w14:textId="77777777" w:rsidR="00232E78" w:rsidRPr="000C156A" w:rsidRDefault="00232E78" w:rsidP="00232E78">
      <w:pPr>
        <w:pStyle w:val="Heading3"/>
        <w:ind w:left="1134" w:hanging="1134"/>
        <w:rPr>
          <w:b w:val="0"/>
          <w:bCs/>
          <w:i w:val="0"/>
          <w:iCs/>
          <w:lang w:val="en-US" w:eastAsia="zh-CN"/>
        </w:rPr>
      </w:pPr>
      <w:bookmarkStart w:id="580" w:name="_Toc41905887"/>
      <w:bookmarkStart w:id="581" w:name="_Toc73518705"/>
      <w:bookmarkStart w:id="582" w:name="_Toc73518852"/>
      <w:bookmarkStart w:id="583" w:name="_Toc73519252"/>
      <w:bookmarkStart w:id="584" w:name="_Toc73636291"/>
      <w:bookmarkEnd w:id="567"/>
      <w:r w:rsidRPr="000C156A">
        <w:rPr>
          <w:b w:val="0"/>
          <w:bCs/>
          <w:iCs/>
          <w:lang w:val="en-US" w:eastAsia="zh-CN"/>
        </w:rPr>
        <w:t>1</w:t>
      </w:r>
      <w:r>
        <w:rPr>
          <w:b w:val="0"/>
          <w:bCs/>
          <w:iCs/>
          <w:lang w:val="en-US" w:eastAsia="zh-CN"/>
        </w:rPr>
        <w:t>8</w:t>
      </w:r>
      <w:r w:rsidRPr="000C156A">
        <w:rPr>
          <w:b w:val="0"/>
          <w:bCs/>
          <w:iCs/>
          <w:lang w:val="en-US" w:eastAsia="zh-CN"/>
        </w:rPr>
        <w:t>.</w:t>
      </w:r>
      <w:r>
        <w:rPr>
          <w:b w:val="0"/>
          <w:bCs/>
          <w:iCs/>
          <w:lang w:val="en-US" w:eastAsia="zh-CN"/>
        </w:rPr>
        <w:t>1</w:t>
      </w:r>
      <w:r w:rsidRPr="000C156A">
        <w:rPr>
          <w:b w:val="0"/>
          <w:bCs/>
          <w:iCs/>
          <w:lang w:val="en-US" w:eastAsia="zh-CN"/>
        </w:rPr>
        <w:t>.3</w:t>
      </w:r>
      <w:r w:rsidRPr="000C156A">
        <w:rPr>
          <w:b w:val="0"/>
          <w:bCs/>
          <w:iCs/>
          <w:lang w:val="en-US" w:eastAsia="zh-CN"/>
        </w:rPr>
        <w:tab/>
      </w:r>
      <w:r w:rsidRPr="008F4D72">
        <w:rPr>
          <w:rFonts w:ascii="STKaiti" w:eastAsia="STKaiti" w:hAnsi="STKaiti" w:cs="Calibri" w:hint="eastAsia"/>
          <w:b w:val="0"/>
          <w:i w:val="0"/>
          <w:iCs/>
          <w:lang w:val="en-US" w:eastAsia="zh-CN"/>
        </w:rPr>
        <w:t>健康保险计划的敏感信息</w:t>
      </w:r>
      <w:bookmarkEnd w:id="580"/>
      <w:bookmarkEnd w:id="581"/>
      <w:bookmarkEnd w:id="582"/>
      <w:bookmarkEnd w:id="583"/>
      <w:bookmarkEnd w:id="584"/>
    </w:p>
    <w:p w14:paraId="06AD511E" w14:textId="77777777" w:rsidR="00232E78" w:rsidRDefault="00232E78" w:rsidP="00232E78">
      <w:pPr>
        <w:ind w:firstLineChars="200" w:firstLine="480"/>
        <w:rPr>
          <w:lang w:val="en-US" w:eastAsia="zh-CN"/>
        </w:rPr>
      </w:pPr>
      <w:r w:rsidRPr="00185123">
        <w:rPr>
          <w:rFonts w:hint="eastAsia"/>
          <w:lang w:eastAsia="zh-CN"/>
        </w:rPr>
        <w:t>截至</w:t>
      </w:r>
      <w:r w:rsidRPr="00185123">
        <w:rPr>
          <w:rFonts w:hint="eastAsia"/>
          <w:lang w:eastAsia="zh-CN"/>
        </w:rPr>
        <w:t>2022</w:t>
      </w:r>
      <w:r w:rsidRPr="00185123">
        <w:rPr>
          <w:rFonts w:hint="eastAsia"/>
          <w:lang w:eastAsia="zh-CN"/>
        </w:rPr>
        <w:t>年</w:t>
      </w:r>
      <w:r w:rsidRPr="00185123">
        <w:rPr>
          <w:rFonts w:hint="eastAsia"/>
          <w:lang w:eastAsia="zh-CN"/>
        </w:rPr>
        <w:t>12</w:t>
      </w:r>
      <w:r w:rsidRPr="00185123">
        <w:rPr>
          <w:rFonts w:hint="eastAsia"/>
          <w:lang w:eastAsia="zh-CN"/>
        </w:rPr>
        <w:t>月</w:t>
      </w:r>
      <w:r w:rsidRPr="00185123">
        <w:rPr>
          <w:rFonts w:hint="eastAsia"/>
          <w:lang w:eastAsia="zh-CN"/>
        </w:rPr>
        <w:t>31</w:t>
      </w:r>
      <w:r w:rsidRPr="00185123">
        <w:rPr>
          <w:rFonts w:hint="eastAsia"/>
          <w:lang w:eastAsia="zh-CN"/>
        </w:rPr>
        <w:t>日，</w:t>
      </w:r>
      <w:r>
        <w:rPr>
          <w:rFonts w:hint="eastAsia"/>
          <w:lang w:eastAsia="zh-CN"/>
        </w:rPr>
        <w:t>确定给付承付款项的敏感信息</w:t>
      </w:r>
      <w:r w:rsidRPr="00185123">
        <w:rPr>
          <w:rFonts w:hint="eastAsia"/>
          <w:lang w:eastAsia="zh-CN"/>
        </w:rPr>
        <w:t>以及</w:t>
      </w:r>
      <w:r w:rsidRPr="00185123">
        <w:rPr>
          <w:rFonts w:hint="eastAsia"/>
          <w:lang w:eastAsia="zh-CN"/>
        </w:rPr>
        <w:t>2023</w:t>
      </w:r>
      <w:r w:rsidRPr="00185123">
        <w:rPr>
          <w:rFonts w:hint="eastAsia"/>
          <w:lang w:eastAsia="zh-CN"/>
        </w:rPr>
        <w:t>财年与假设医疗保健趋势变化相关的服务</w:t>
      </w:r>
      <w:r>
        <w:rPr>
          <w:rFonts w:hint="eastAsia"/>
          <w:lang w:eastAsia="zh-CN"/>
        </w:rPr>
        <w:t>费用</w:t>
      </w:r>
      <w:r w:rsidRPr="00185123">
        <w:rPr>
          <w:rFonts w:hint="eastAsia"/>
          <w:lang w:eastAsia="zh-CN"/>
        </w:rPr>
        <w:t>和利息</w:t>
      </w:r>
      <w:r>
        <w:rPr>
          <w:rFonts w:hint="eastAsia"/>
          <w:lang w:eastAsia="zh-CN"/>
        </w:rPr>
        <w:t>费用</w:t>
      </w:r>
      <w:r w:rsidRPr="00185123">
        <w:rPr>
          <w:rFonts w:hint="eastAsia"/>
          <w:lang w:eastAsia="zh-CN"/>
        </w:rPr>
        <w:t>如下所示。</w:t>
      </w:r>
    </w:p>
    <w:p w14:paraId="420DA97D" w14:textId="77777777" w:rsidR="00232E78" w:rsidRDefault="00232E78" w:rsidP="00232E78">
      <w:pPr>
        <w:ind w:firstLineChars="200" w:firstLine="480"/>
        <w:rPr>
          <w:lang w:eastAsia="zh-CN"/>
        </w:rPr>
      </w:pPr>
      <w:r w:rsidRPr="000C156A">
        <w:rPr>
          <w:rFonts w:hint="eastAsia"/>
          <w:lang w:val="en-US" w:eastAsia="zh-CN"/>
        </w:rPr>
        <w:t>每当医疗费率增长</w:t>
      </w:r>
      <w:r w:rsidRPr="000C156A">
        <w:rPr>
          <w:rFonts w:hint="eastAsia"/>
          <w:lang w:val="en-US" w:eastAsia="zh-CN"/>
        </w:rPr>
        <w:t>1%</w:t>
      </w:r>
      <w:r w:rsidRPr="000C156A">
        <w:rPr>
          <w:rFonts w:hint="eastAsia"/>
          <w:lang w:val="en-US" w:eastAsia="zh-CN"/>
        </w:rPr>
        <w:t>，即带来</w:t>
      </w:r>
      <w:r>
        <w:rPr>
          <w:lang w:val="en-US" w:eastAsia="zh-CN"/>
        </w:rPr>
        <w:t>670</w:t>
      </w:r>
      <w:r w:rsidRPr="000C156A">
        <w:rPr>
          <w:rFonts w:hint="eastAsia"/>
          <w:lang w:val="en-US" w:eastAsia="zh-CN"/>
        </w:rPr>
        <w:t>万</w:t>
      </w:r>
      <w:r w:rsidRPr="000C156A">
        <w:rPr>
          <w:rFonts w:hint="eastAsia"/>
          <w:lang w:eastAsia="zh-CN"/>
        </w:rPr>
        <w:t>瑞郎的综合服务费用和利息上涨，并对</w:t>
      </w:r>
      <w:r>
        <w:rPr>
          <w:rFonts w:hint="eastAsia"/>
          <w:lang w:eastAsia="zh-CN"/>
        </w:rPr>
        <w:t>确定给付承付款项</w:t>
      </w:r>
      <w:r w:rsidRPr="000C156A">
        <w:rPr>
          <w:rFonts w:hint="eastAsia"/>
          <w:lang w:eastAsia="zh-CN"/>
        </w:rPr>
        <w:t>带来</w:t>
      </w:r>
      <w:r>
        <w:rPr>
          <w:rFonts w:hint="eastAsia"/>
          <w:lang w:eastAsia="zh-CN"/>
        </w:rPr>
        <w:t>8</w:t>
      </w:r>
      <w:r>
        <w:rPr>
          <w:lang w:eastAsia="zh-CN"/>
        </w:rPr>
        <w:t xml:space="preserve"> 740</w:t>
      </w:r>
      <w:r>
        <w:rPr>
          <w:rFonts w:hint="eastAsia"/>
          <w:lang w:eastAsia="zh-CN"/>
        </w:rPr>
        <w:t>万</w:t>
      </w:r>
      <w:r w:rsidRPr="000C156A">
        <w:rPr>
          <w:rFonts w:hint="eastAsia"/>
          <w:lang w:eastAsia="zh-CN"/>
        </w:rPr>
        <w:t>瑞郎的影响。如果减少</w:t>
      </w:r>
      <w:r w:rsidRPr="000C156A">
        <w:rPr>
          <w:lang w:eastAsia="zh-CN"/>
        </w:rPr>
        <w:t>1%</w:t>
      </w:r>
      <w:r w:rsidRPr="000C156A">
        <w:rPr>
          <w:rFonts w:hint="eastAsia"/>
          <w:lang w:eastAsia="zh-CN"/>
        </w:rPr>
        <w:t>，服务费用和利息</w:t>
      </w:r>
      <w:r>
        <w:rPr>
          <w:rFonts w:hint="eastAsia"/>
          <w:lang w:eastAsia="zh-CN"/>
        </w:rPr>
        <w:t>费用</w:t>
      </w:r>
      <w:r w:rsidRPr="000C156A">
        <w:rPr>
          <w:rFonts w:hint="eastAsia"/>
          <w:lang w:eastAsia="zh-CN"/>
        </w:rPr>
        <w:t>会下降</w:t>
      </w:r>
      <w:r>
        <w:rPr>
          <w:lang w:eastAsia="zh-CN"/>
        </w:rPr>
        <w:t>490</w:t>
      </w:r>
      <w:r w:rsidRPr="000C156A">
        <w:rPr>
          <w:rFonts w:hint="eastAsia"/>
          <w:lang w:eastAsia="zh-CN"/>
        </w:rPr>
        <w:t>万瑞郎，并使</w:t>
      </w:r>
      <w:r>
        <w:rPr>
          <w:rFonts w:hint="eastAsia"/>
          <w:lang w:eastAsia="zh-CN"/>
        </w:rPr>
        <w:t>确定给付承付款项</w:t>
      </w:r>
      <w:r w:rsidRPr="000C156A">
        <w:rPr>
          <w:rFonts w:hint="eastAsia"/>
          <w:lang w:eastAsia="zh-CN"/>
        </w:rPr>
        <w:t>减少</w:t>
      </w:r>
      <w:r>
        <w:rPr>
          <w:lang w:eastAsia="zh-CN"/>
        </w:rPr>
        <w:t>680</w:t>
      </w:r>
      <w:r w:rsidRPr="000C156A">
        <w:rPr>
          <w:rFonts w:hint="eastAsia"/>
          <w:lang w:eastAsia="zh-CN"/>
        </w:rPr>
        <w:t>瑞郎。</w:t>
      </w:r>
    </w:p>
    <w:p w14:paraId="212C0617" w14:textId="77777777" w:rsidR="00232E78" w:rsidRPr="000B1F11" w:rsidRDefault="00232E78" w:rsidP="00232E78">
      <w:pPr>
        <w:ind w:firstLineChars="200" w:firstLine="480"/>
        <w:rPr>
          <w:lang w:val="en-US" w:eastAsia="zh-CN"/>
        </w:rPr>
      </w:pPr>
      <w:r w:rsidRPr="000B1F11">
        <w:rPr>
          <w:rFonts w:hint="eastAsia"/>
          <w:lang w:val="en-US" w:eastAsia="zh-CN"/>
        </w:rPr>
        <w:t>本次估值所使用的贴现率采用截至</w:t>
      </w:r>
      <w:r w:rsidRPr="000B1F11">
        <w:rPr>
          <w:rFonts w:hint="eastAsia"/>
          <w:lang w:val="en-US" w:eastAsia="zh-CN"/>
        </w:rPr>
        <w:t>2022</w:t>
      </w:r>
      <w:r w:rsidRPr="000B1F11">
        <w:rPr>
          <w:rFonts w:hint="eastAsia"/>
          <w:lang w:val="en-US" w:eastAsia="zh-CN"/>
        </w:rPr>
        <w:t>年</w:t>
      </w:r>
      <w:r w:rsidRPr="000B1F11">
        <w:rPr>
          <w:rFonts w:hint="eastAsia"/>
          <w:lang w:val="en-US" w:eastAsia="zh-CN"/>
        </w:rPr>
        <w:t>12</w:t>
      </w:r>
      <w:r w:rsidRPr="000B1F11">
        <w:rPr>
          <w:rFonts w:hint="eastAsia"/>
          <w:lang w:val="en-US" w:eastAsia="zh-CN"/>
        </w:rPr>
        <w:t>月</w:t>
      </w:r>
      <w:r w:rsidRPr="000B1F11">
        <w:rPr>
          <w:rFonts w:hint="eastAsia"/>
          <w:lang w:val="en-US" w:eastAsia="zh-CN"/>
        </w:rPr>
        <w:t>31</w:t>
      </w:r>
      <w:r w:rsidRPr="000B1F11">
        <w:rPr>
          <w:rFonts w:hint="eastAsia"/>
          <w:lang w:val="en-US" w:eastAsia="zh-CN"/>
        </w:rPr>
        <w:t>日的</w:t>
      </w:r>
      <w:r w:rsidRPr="000B1F11">
        <w:rPr>
          <w:rFonts w:hint="eastAsia"/>
          <w:lang w:val="en-US" w:eastAsia="zh-CN"/>
        </w:rPr>
        <w:t>Aon AA</w:t>
      </w:r>
      <w:r w:rsidRPr="000B1F11">
        <w:rPr>
          <w:rFonts w:hint="eastAsia"/>
          <w:lang w:val="en-US" w:eastAsia="zh-CN"/>
        </w:rPr>
        <w:t>公司债券收益率曲线确定。贴现率降低</w:t>
      </w:r>
      <w:r w:rsidRPr="000B1F11">
        <w:rPr>
          <w:rFonts w:hint="eastAsia"/>
          <w:lang w:val="en-US" w:eastAsia="zh-CN"/>
        </w:rPr>
        <w:t>100</w:t>
      </w:r>
      <w:r w:rsidRPr="000B1F11">
        <w:rPr>
          <w:rFonts w:hint="eastAsia"/>
          <w:lang w:val="en-US" w:eastAsia="zh-CN"/>
        </w:rPr>
        <w:t>个基点将</w:t>
      </w:r>
      <w:r>
        <w:rPr>
          <w:rFonts w:hint="eastAsia"/>
          <w:lang w:val="en-US" w:eastAsia="zh-CN"/>
        </w:rPr>
        <w:t>使</w:t>
      </w:r>
      <w:r w:rsidRPr="000B1F11">
        <w:rPr>
          <w:rFonts w:hint="eastAsia"/>
          <w:lang w:val="en-US" w:eastAsia="zh-CN"/>
        </w:rPr>
        <w:t>DBO</w:t>
      </w:r>
      <w:r>
        <w:rPr>
          <w:rFonts w:hint="eastAsia"/>
          <w:lang w:val="en-US" w:eastAsia="zh-CN"/>
        </w:rPr>
        <w:t>增加</w:t>
      </w:r>
      <w:r w:rsidRPr="000B1F11">
        <w:rPr>
          <w:rFonts w:hint="eastAsia"/>
          <w:lang w:val="en-US" w:eastAsia="zh-CN"/>
        </w:rPr>
        <w:t>21%</w:t>
      </w:r>
      <w:r w:rsidRPr="000B1F11">
        <w:rPr>
          <w:rFonts w:hint="eastAsia"/>
          <w:lang w:val="en-US" w:eastAsia="zh-CN"/>
        </w:rPr>
        <w:t>，约为</w:t>
      </w:r>
      <w:r w:rsidRPr="000B1F11">
        <w:rPr>
          <w:rFonts w:hint="eastAsia"/>
          <w:lang w:val="en-US" w:eastAsia="zh-CN"/>
        </w:rPr>
        <w:t>7</w:t>
      </w:r>
      <w:r>
        <w:rPr>
          <w:lang w:val="en-US" w:eastAsia="zh-CN"/>
        </w:rPr>
        <w:t xml:space="preserve"> </w:t>
      </w:r>
      <w:r w:rsidRPr="000B1F11">
        <w:rPr>
          <w:rFonts w:hint="eastAsia"/>
          <w:lang w:val="en-US" w:eastAsia="zh-CN"/>
        </w:rPr>
        <w:t>300</w:t>
      </w:r>
      <w:r w:rsidRPr="000B1F11">
        <w:rPr>
          <w:rFonts w:hint="eastAsia"/>
          <w:lang w:val="en-US" w:eastAsia="zh-CN"/>
        </w:rPr>
        <w:t>万瑞郎。</w:t>
      </w:r>
      <w:r>
        <w:rPr>
          <w:rFonts w:hint="eastAsia"/>
          <w:lang w:val="en-US" w:eastAsia="zh-CN"/>
        </w:rPr>
        <w:t>我们仅</w:t>
      </w:r>
      <w:r w:rsidRPr="000B1F11">
        <w:rPr>
          <w:rFonts w:hint="eastAsia"/>
          <w:lang w:val="en-US" w:eastAsia="zh-CN"/>
        </w:rPr>
        <w:t>假设医疗保健趋势</w:t>
      </w:r>
      <w:r>
        <w:rPr>
          <w:rFonts w:hint="eastAsia"/>
          <w:lang w:val="en-US" w:eastAsia="zh-CN"/>
        </w:rPr>
        <w:t>以及</w:t>
      </w:r>
      <w:r w:rsidRPr="000B1F11">
        <w:rPr>
          <w:rFonts w:hint="eastAsia"/>
          <w:lang w:val="en-US" w:eastAsia="zh-CN"/>
        </w:rPr>
        <w:t>贴现率</w:t>
      </w:r>
      <w:r>
        <w:rPr>
          <w:rFonts w:hint="eastAsia"/>
          <w:lang w:val="en-US" w:eastAsia="zh-CN"/>
        </w:rPr>
        <w:t>会</w:t>
      </w:r>
      <w:r w:rsidRPr="000B1F11">
        <w:rPr>
          <w:rFonts w:hint="eastAsia"/>
          <w:lang w:val="en-US" w:eastAsia="zh-CN"/>
        </w:rPr>
        <w:t>对计算</w:t>
      </w:r>
      <w:r>
        <w:rPr>
          <w:rFonts w:hint="eastAsia"/>
          <w:lang w:val="en-US" w:eastAsia="zh-CN"/>
        </w:rPr>
        <w:t>得出的</w:t>
      </w:r>
      <w:r w:rsidRPr="000B1F11">
        <w:rPr>
          <w:rFonts w:hint="eastAsia"/>
          <w:lang w:val="en-US" w:eastAsia="zh-CN"/>
        </w:rPr>
        <w:t>ASHI</w:t>
      </w:r>
      <w:r w:rsidRPr="000B1F11">
        <w:rPr>
          <w:rFonts w:hint="eastAsia"/>
          <w:lang w:val="en-US" w:eastAsia="zh-CN"/>
        </w:rPr>
        <w:t>负债和费用</w:t>
      </w:r>
      <w:r>
        <w:rPr>
          <w:rFonts w:hint="eastAsia"/>
          <w:lang w:val="en-US" w:eastAsia="zh-CN"/>
        </w:rPr>
        <w:t>产生</w:t>
      </w:r>
      <w:r w:rsidRPr="000B1F11">
        <w:rPr>
          <w:rFonts w:hint="eastAsia"/>
          <w:lang w:val="en-US" w:eastAsia="zh-CN"/>
        </w:rPr>
        <w:t>重大影响，其他假设变化预计不会对此负债产生重大影响。</w:t>
      </w:r>
    </w:p>
    <w:p w14:paraId="30F2667D" w14:textId="77777777" w:rsidR="00232E78" w:rsidRPr="008A6D24" w:rsidRDefault="00232E78" w:rsidP="00232E78">
      <w:pPr>
        <w:pStyle w:val="Heading2"/>
        <w:rPr>
          <w:lang w:eastAsia="zh-CN"/>
        </w:rPr>
      </w:pPr>
      <w:bookmarkStart w:id="585" w:name="_Toc41905888"/>
      <w:bookmarkStart w:id="586" w:name="_Toc73518706"/>
      <w:bookmarkStart w:id="587" w:name="_Toc73518853"/>
      <w:bookmarkStart w:id="588" w:name="_Toc73519253"/>
      <w:bookmarkStart w:id="589" w:name="_Toc73636292"/>
      <w:r w:rsidRPr="008A6D24">
        <w:rPr>
          <w:lang w:eastAsia="zh-CN"/>
        </w:rPr>
        <w:t>18.2</w:t>
      </w:r>
      <w:r w:rsidRPr="008A6D24">
        <w:rPr>
          <w:lang w:eastAsia="zh-CN"/>
        </w:rPr>
        <w:tab/>
      </w:r>
      <w:bookmarkEnd w:id="585"/>
      <w:bookmarkEnd w:id="586"/>
      <w:bookmarkEnd w:id="587"/>
      <w:bookmarkEnd w:id="588"/>
      <w:bookmarkEnd w:id="589"/>
      <w:r w:rsidRPr="008A6D24">
        <w:rPr>
          <w:rFonts w:hint="eastAsia"/>
          <w:lang w:eastAsia="zh-CN"/>
        </w:rPr>
        <w:t>离职回国补助金</w:t>
      </w:r>
    </w:p>
    <w:p w14:paraId="5E52A3D9" w14:textId="77777777" w:rsidR="00232E78" w:rsidRPr="008A6D24" w:rsidRDefault="00232E78" w:rsidP="00232E78">
      <w:pPr>
        <w:pStyle w:val="Heading3"/>
        <w:rPr>
          <w:b w:val="0"/>
          <w:bCs/>
          <w:lang w:eastAsia="zh-CN"/>
        </w:rPr>
      </w:pPr>
      <w:r w:rsidRPr="008A6D24">
        <w:rPr>
          <w:b w:val="0"/>
          <w:bCs/>
          <w:lang w:val="en-US" w:eastAsia="zh-CN"/>
        </w:rPr>
        <w:t>18.2.1</w:t>
      </w:r>
      <w:r w:rsidRPr="008A6D24">
        <w:rPr>
          <w:b w:val="0"/>
          <w:bCs/>
          <w:lang w:val="en-US" w:eastAsia="zh-CN"/>
        </w:rPr>
        <w:tab/>
      </w:r>
      <w:bookmarkStart w:id="590" w:name="lt_pId1046"/>
      <w:r w:rsidRPr="008A6D24">
        <w:rPr>
          <w:rFonts w:ascii="STKaiti" w:eastAsia="STKaiti" w:hAnsi="STKaiti" w:cs="SimSun" w:hint="eastAsia"/>
          <w:b w:val="0"/>
          <w:bCs/>
          <w:i w:val="0"/>
          <w:iCs/>
          <w:lang w:val="en-US" w:eastAsia="zh-CN"/>
        </w:rPr>
        <w:t>定义</w:t>
      </w:r>
      <w:bookmarkEnd w:id="590"/>
    </w:p>
    <w:p w14:paraId="23649EE4" w14:textId="77777777" w:rsidR="00232E78" w:rsidRPr="000C156A" w:rsidRDefault="00232E78" w:rsidP="00232E78">
      <w:pPr>
        <w:ind w:firstLineChars="200" w:firstLine="480"/>
        <w:rPr>
          <w:lang w:eastAsia="zh-CN"/>
        </w:rPr>
      </w:pPr>
      <w:r w:rsidRPr="000C156A">
        <w:rPr>
          <w:rFonts w:hint="eastAsia"/>
          <w:lang w:eastAsia="zh-CN"/>
        </w:rPr>
        <w:t>原则上，国际电联须向其</w:t>
      </w:r>
      <w:r>
        <w:rPr>
          <w:rFonts w:hint="eastAsia"/>
          <w:lang w:eastAsia="zh-CN"/>
        </w:rPr>
        <w:t>至少连续服务</w:t>
      </w:r>
      <w:r>
        <w:rPr>
          <w:rFonts w:hint="eastAsia"/>
          <w:lang w:eastAsia="zh-CN"/>
        </w:rPr>
        <w:t>5</w:t>
      </w:r>
      <w:r>
        <w:rPr>
          <w:rFonts w:hint="eastAsia"/>
          <w:lang w:eastAsia="zh-CN"/>
        </w:rPr>
        <w:t>年的离职</w:t>
      </w:r>
      <w:r w:rsidRPr="000C156A">
        <w:rPr>
          <w:rFonts w:hint="eastAsia"/>
          <w:lang w:eastAsia="zh-CN"/>
        </w:rPr>
        <w:t>归国职员支付</w:t>
      </w:r>
      <w:r>
        <w:rPr>
          <w:rFonts w:hint="eastAsia"/>
          <w:lang w:eastAsia="zh-CN"/>
        </w:rPr>
        <w:t>离职回国补助金</w:t>
      </w:r>
      <w:r w:rsidRPr="000C156A">
        <w:rPr>
          <w:rFonts w:hint="eastAsia"/>
          <w:lang w:eastAsia="zh-CN"/>
        </w:rPr>
        <w:t>。</w:t>
      </w:r>
      <w:r>
        <w:rPr>
          <w:rFonts w:hint="eastAsia"/>
          <w:lang w:eastAsia="zh-CN"/>
        </w:rPr>
        <w:t>相关费用包括累积的年假、归国旅行费和离职归国物品搬运。</w:t>
      </w:r>
      <w:r w:rsidRPr="000C156A">
        <w:rPr>
          <w:rFonts w:hint="eastAsia"/>
          <w:lang w:eastAsia="zh-CN"/>
        </w:rPr>
        <w:t>须由秘书长确定享受该补助金的资格以及所需相关证据方面的详细条件和定义。</w:t>
      </w:r>
    </w:p>
    <w:p w14:paraId="6630493F" w14:textId="77777777" w:rsidR="00232E78" w:rsidRPr="000C156A" w:rsidRDefault="00232E78" w:rsidP="00232E78">
      <w:pPr>
        <w:ind w:firstLineChars="200" w:firstLine="480"/>
        <w:rPr>
          <w:lang w:eastAsia="zh-CN"/>
        </w:rPr>
      </w:pPr>
      <w:r w:rsidRPr="000C156A">
        <w:rPr>
          <w:rFonts w:hint="eastAsia"/>
          <w:lang w:eastAsia="zh-CN"/>
        </w:rPr>
        <w:t>在计算截至</w:t>
      </w:r>
      <w:r w:rsidRPr="000C156A">
        <w:rPr>
          <w:lang w:eastAsia="zh-CN"/>
        </w:rPr>
        <w:t>202</w:t>
      </w:r>
      <w:r>
        <w:rPr>
          <w:lang w:eastAsia="zh-CN"/>
        </w:rPr>
        <w:t>2</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日的总承付款项时考虑到了服务年限、</w:t>
      </w:r>
      <w:r>
        <w:rPr>
          <w:rFonts w:hint="eastAsia"/>
          <w:lang w:eastAsia="zh-CN"/>
        </w:rPr>
        <w:t>毛</w:t>
      </w:r>
      <w:r w:rsidRPr="000C156A">
        <w:rPr>
          <w:rFonts w:hint="eastAsia"/>
          <w:lang w:eastAsia="zh-CN"/>
        </w:rPr>
        <w:t>薪</w:t>
      </w:r>
      <w:r>
        <w:rPr>
          <w:rFonts w:hint="eastAsia"/>
          <w:lang w:eastAsia="zh-CN"/>
        </w:rPr>
        <w:t>减除</w:t>
      </w:r>
      <w:r w:rsidRPr="00C647BE">
        <w:rPr>
          <w:rFonts w:hint="eastAsia"/>
          <w:lang w:eastAsia="zh-CN"/>
        </w:rPr>
        <w:t>工作人员薪金税</w:t>
      </w:r>
      <w:r>
        <w:rPr>
          <w:rFonts w:hint="eastAsia"/>
          <w:lang w:eastAsia="zh-CN"/>
        </w:rPr>
        <w:t>（包括所有</w:t>
      </w:r>
      <w:r w:rsidRPr="000C156A">
        <w:rPr>
          <w:rFonts w:hint="eastAsia"/>
          <w:lang w:eastAsia="zh-CN"/>
        </w:rPr>
        <w:t>语言津贴</w:t>
      </w:r>
      <w:r>
        <w:rPr>
          <w:rFonts w:hint="eastAsia"/>
          <w:lang w:eastAsia="zh-CN"/>
        </w:rPr>
        <w:t>和有可能适用于一般事务类职员的侨居津贴）</w:t>
      </w:r>
      <w:r w:rsidRPr="000C156A">
        <w:rPr>
          <w:rFonts w:hint="eastAsia"/>
          <w:lang w:eastAsia="zh-CN"/>
        </w:rPr>
        <w:t>。所采用的经济假设为</w:t>
      </w:r>
      <w:r>
        <w:rPr>
          <w:rFonts w:hint="eastAsia"/>
          <w:lang w:eastAsia="zh-CN"/>
        </w:rPr>
        <w:t>2</w:t>
      </w:r>
      <w:r w:rsidRPr="000C156A">
        <w:rPr>
          <w:lang w:eastAsia="zh-CN"/>
        </w:rPr>
        <w:t>.</w:t>
      </w:r>
      <w:r>
        <w:rPr>
          <w:lang w:eastAsia="zh-CN"/>
        </w:rPr>
        <w:t>5</w:t>
      </w:r>
      <w:r w:rsidRPr="000C156A">
        <w:rPr>
          <w:lang w:eastAsia="zh-CN"/>
        </w:rPr>
        <w:t>%</w:t>
      </w:r>
      <w:r w:rsidRPr="000C156A">
        <w:rPr>
          <w:rFonts w:hint="eastAsia"/>
          <w:lang w:eastAsia="zh-CN"/>
        </w:rPr>
        <w:t>的贴现率（</w:t>
      </w:r>
      <w:r w:rsidRPr="000C156A">
        <w:rPr>
          <w:lang w:eastAsia="zh-CN"/>
        </w:rPr>
        <w:t>20</w:t>
      </w:r>
      <w:r>
        <w:rPr>
          <w:lang w:eastAsia="zh-CN"/>
        </w:rPr>
        <w:t>2</w:t>
      </w:r>
      <w:r w:rsidRPr="000C156A">
        <w:rPr>
          <w:lang w:eastAsia="zh-CN"/>
        </w:rPr>
        <w:t>1</w:t>
      </w:r>
      <w:r w:rsidRPr="000C156A">
        <w:rPr>
          <w:rFonts w:hint="eastAsia"/>
          <w:lang w:eastAsia="zh-CN"/>
        </w:rPr>
        <w:t>年为</w:t>
      </w:r>
      <w:r w:rsidRPr="000C156A">
        <w:rPr>
          <w:lang w:eastAsia="zh-CN"/>
        </w:rPr>
        <w:t>0.</w:t>
      </w:r>
      <w:r>
        <w:rPr>
          <w:lang w:eastAsia="zh-CN"/>
        </w:rPr>
        <w:t>5</w:t>
      </w:r>
      <w:r w:rsidRPr="000C156A">
        <w:rPr>
          <w:lang w:eastAsia="zh-CN"/>
        </w:rPr>
        <w:t>%</w:t>
      </w:r>
      <w:r w:rsidRPr="000C156A">
        <w:rPr>
          <w:rFonts w:hint="eastAsia"/>
          <w:lang w:eastAsia="zh-CN"/>
        </w:rPr>
        <w:t>）和</w:t>
      </w:r>
      <w:r w:rsidRPr="000C156A">
        <w:rPr>
          <w:lang w:eastAsia="zh-CN"/>
        </w:rPr>
        <w:t>3.0%</w:t>
      </w:r>
      <w:r w:rsidRPr="000C156A">
        <w:rPr>
          <w:rFonts w:hint="eastAsia"/>
          <w:lang w:eastAsia="zh-CN"/>
        </w:rPr>
        <w:t>的薪酬增长率。在</w:t>
      </w:r>
      <w:r w:rsidRPr="000C156A">
        <w:rPr>
          <w:lang w:eastAsia="zh-CN"/>
        </w:rPr>
        <w:t>202</w:t>
      </w:r>
      <w:r>
        <w:rPr>
          <w:lang w:eastAsia="zh-CN"/>
        </w:rPr>
        <w:t>2</w:t>
      </w:r>
      <w:r w:rsidRPr="000C156A">
        <w:rPr>
          <w:rFonts w:hint="eastAsia"/>
          <w:lang w:eastAsia="zh-CN"/>
        </w:rPr>
        <w:t>年的估值中，用于</w:t>
      </w:r>
      <w:r>
        <w:rPr>
          <w:rFonts w:hint="eastAsia"/>
          <w:lang w:eastAsia="zh-CN"/>
        </w:rPr>
        <w:t>离职回国补助金</w:t>
      </w:r>
      <w:r w:rsidRPr="000C156A">
        <w:rPr>
          <w:rFonts w:hint="eastAsia"/>
          <w:lang w:eastAsia="zh-CN"/>
        </w:rPr>
        <w:t>精算研究的假设与</w:t>
      </w:r>
      <w:r w:rsidRPr="000C156A">
        <w:rPr>
          <w:lang w:eastAsia="zh-CN"/>
        </w:rPr>
        <w:t>ASHI</w:t>
      </w:r>
      <w:r w:rsidRPr="000C156A">
        <w:rPr>
          <w:rFonts w:hint="eastAsia"/>
          <w:lang w:eastAsia="zh-CN"/>
        </w:rPr>
        <w:t>假设保持一致。</w:t>
      </w:r>
    </w:p>
    <w:p w14:paraId="6576ED78" w14:textId="77777777" w:rsidR="00232E78" w:rsidRPr="000C2341" w:rsidRDefault="00232E78" w:rsidP="00232E78">
      <w:pPr>
        <w:pStyle w:val="Heading3"/>
        <w:ind w:left="1134" w:hanging="1134"/>
        <w:rPr>
          <w:rFonts w:ascii="STKaiti" w:eastAsia="STKaiti" w:hAnsi="STKaiti"/>
          <w:b w:val="0"/>
          <w:i w:val="0"/>
          <w:iCs/>
          <w:lang w:eastAsia="zh-CN"/>
        </w:rPr>
      </w:pPr>
      <w:bookmarkStart w:id="591" w:name="_Toc41905889"/>
      <w:bookmarkStart w:id="592" w:name="_Toc73518707"/>
      <w:bookmarkStart w:id="593" w:name="_Toc73518854"/>
      <w:bookmarkStart w:id="594" w:name="_Toc73519254"/>
      <w:bookmarkStart w:id="595" w:name="_Toc73636293"/>
      <w:r w:rsidRPr="000C156A">
        <w:rPr>
          <w:b w:val="0"/>
          <w:lang w:eastAsia="zh-CN"/>
        </w:rPr>
        <w:t>1</w:t>
      </w:r>
      <w:r>
        <w:rPr>
          <w:b w:val="0"/>
          <w:lang w:eastAsia="zh-CN"/>
        </w:rPr>
        <w:t>8</w:t>
      </w:r>
      <w:r w:rsidRPr="000C156A">
        <w:rPr>
          <w:b w:val="0"/>
          <w:lang w:eastAsia="zh-CN"/>
        </w:rPr>
        <w:t>.2.</w:t>
      </w:r>
      <w:r>
        <w:rPr>
          <w:b w:val="0"/>
          <w:lang w:eastAsia="zh-CN"/>
        </w:rPr>
        <w:t>2</w:t>
      </w:r>
      <w:r w:rsidRPr="000C156A">
        <w:rPr>
          <w:b w:val="0"/>
          <w:lang w:eastAsia="zh-CN"/>
        </w:rPr>
        <w:tab/>
      </w:r>
      <w:r w:rsidRPr="000C2341">
        <w:rPr>
          <w:rFonts w:ascii="STKaiti" w:eastAsia="STKaiti" w:hAnsi="STKaiti" w:hint="eastAsia"/>
          <w:b w:val="0"/>
          <w:i w:val="0"/>
          <w:iCs/>
          <w:lang w:eastAsia="zh-CN"/>
        </w:rPr>
        <w:t>离职回国补助金的支付</w:t>
      </w:r>
      <w:bookmarkEnd w:id="591"/>
      <w:bookmarkEnd w:id="592"/>
      <w:bookmarkEnd w:id="593"/>
      <w:bookmarkEnd w:id="594"/>
      <w:bookmarkEnd w:id="595"/>
    </w:p>
    <w:p w14:paraId="1E8110E7" w14:textId="77777777" w:rsidR="00232E78" w:rsidRPr="000C156A" w:rsidRDefault="00232E78" w:rsidP="00232E78">
      <w:pPr>
        <w:ind w:firstLineChars="200" w:firstLine="480"/>
        <w:rPr>
          <w:lang w:eastAsia="zh-CN"/>
        </w:rPr>
      </w:pPr>
      <w:r>
        <w:rPr>
          <w:rFonts w:hint="eastAsia"/>
          <w:lang w:val="en-US" w:eastAsia="zh-CN"/>
        </w:rPr>
        <w:t>离职回国补助金</w:t>
      </w:r>
      <w:r w:rsidRPr="000C156A">
        <w:rPr>
          <w:rFonts w:hint="eastAsia"/>
          <w:lang w:val="en-US" w:eastAsia="zh-CN"/>
        </w:rPr>
        <w:t>的支付须遵守</w:t>
      </w:r>
      <w:r w:rsidRPr="000C156A">
        <w:rPr>
          <w:rFonts w:hint="eastAsia"/>
          <w:lang w:eastAsia="zh-CN"/>
        </w:rPr>
        <w:t>《人事规则和人事细则》</w:t>
      </w:r>
      <w:r w:rsidRPr="000C156A">
        <w:rPr>
          <w:rFonts w:hint="eastAsia"/>
          <w:lang w:val="en-US" w:eastAsia="zh-CN"/>
        </w:rPr>
        <w:t>规定的条件和定义。截至</w:t>
      </w:r>
      <w:r w:rsidRPr="000C156A">
        <w:rPr>
          <w:rFonts w:hint="eastAsia"/>
          <w:lang w:val="en-US" w:eastAsia="zh-CN"/>
        </w:rPr>
        <w:t>202</w:t>
      </w:r>
      <w:r>
        <w:rPr>
          <w:lang w:val="en-US" w:eastAsia="zh-CN"/>
        </w:rPr>
        <w:t>2</w:t>
      </w:r>
      <w:r w:rsidRPr="000C156A">
        <w:rPr>
          <w:rFonts w:hint="eastAsia"/>
          <w:lang w:val="en-US" w:eastAsia="zh-CN"/>
        </w:rPr>
        <w:t>年</w:t>
      </w:r>
      <w:r w:rsidRPr="000C156A">
        <w:rPr>
          <w:rFonts w:hint="eastAsia"/>
          <w:lang w:val="en-US" w:eastAsia="zh-CN"/>
        </w:rPr>
        <w:t>12</w:t>
      </w:r>
      <w:r w:rsidRPr="000C156A">
        <w:rPr>
          <w:rFonts w:hint="eastAsia"/>
          <w:lang w:val="en-US" w:eastAsia="zh-CN"/>
        </w:rPr>
        <w:t>月，</w:t>
      </w:r>
      <w:r>
        <w:rPr>
          <w:rFonts w:hint="eastAsia"/>
          <w:lang w:val="en-US" w:eastAsia="zh-CN"/>
        </w:rPr>
        <w:t>职员离职归国福利负债</w:t>
      </w:r>
      <w:r w:rsidRPr="000C156A">
        <w:rPr>
          <w:rFonts w:hint="eastAsia"/>
          <w:lang w:val="en-US" w:eastAsia="zh-CN"/>
        </w:rPr>
        <w:t>为</w:t>
      </w:r>
      <w:r w:rsidRPr="000C156A">
        <w:rPr>
          <w:rFonts w:hint="eastAsia"/>
          <w:lang w:val="en-US" w:eastAsia="zh-CN"/>
        </w:rPr>
        <w:t>1</w:t>
      </w:r>
      <w:r>
        <w:rPr>
          <w:lang w:val="en-US" w:eastAsia="zh-CN"/>
        </w:rPr>
        <w:t xml:space="preserve"> 330</w:t>
      </w:r>
      <w:r w:rsidRPr="000C156A">
        <w:rPr>
          <w:rFonts w:hint="eastAsia"/>
          <w:lang w:val="en-US" w:eastAsia="zh-CN"/>
        </w:rPr>
        <w:t>万瑞郎，而</w:t>
      </w:r>
      <w:r w:rsidRPr="000C156A">
        <w:rPr>
          <w:rFonts w:hint="eastAsia"/>
          <w:lang w:val="en-US" w:eastAsia="zh-CN"/>
        </w:rPr>
        <w:t>20</w:t>
      </w:r>
      <w:r>
        <w:rPr>
          <w:lang w:val="en-US" w:eastAsia="zh-CN"/>
        </w:rPr>
        <w:t>21</w:t>
      </w:r>
      <w:r w:rsidRPr="000C156A">
        <w:rPr>
          <w:rFonts w:hint="eastAsia"/>
          <w:lang w:val="en-US" w:eastAsia="zh-CN"/>
        </w:rPr>
        <w:t>年为</w:t>
      </w:r>
      <w:r w:rsidRPr="000C156A">
        <w:rPr>
          <w:rFonts w:hint="eastAsia"/>
          <w:lang w:val="en-US" w:eastAsia="zh-CN"/>
        </w:rPr>
        <w:t>1</w:t>
      </w:r>
      <w:r>
        <w:rPr>
          <w:lang w:val="en-US" w:eastAsia="zh-CN"/>
        </w:rPr>
        <w:t xml:space="preserve"> 270</w:t>
      </w:r>
      <w:r w:rsidRPr="000C156A">
        <w:rPr>
          <w:rFonts w:hint="eastAsia"/>
          <w:lang w:val="en-US" w:eastAsia="zh-CN"/>
        </w:rPr>
        <w:t>万瑞郎。</w:t>
      </w:r>
      <w:r w:rsidRPr="000C156A">
        <w:rPr>
          <w:rFonts w:hint="eastAsia"/>
          <w:lang w:eastAsia="zh-CN"/>
        </w:rPr>
        <w:t>该准备金的资金来源为扣除职员</w:t>
      </w:r>
      <w:r w:rsidRPr="000C156A">
        <w:rPr>
          <w:lang w:eastAsia="zh-CN"/>
        </w:rPr>
        <w:t>1%</w:t>
      </w:r>
      <w:r w:rsidRPr="000C156A">
        <w:rPr>
          <w:rFonts w:hint="eastAsia"/>
          <w:lang w:eastAsia="zh-CN"/>
        </w:rPr>
        <w:t>的薪酬，专门为大会雇佣的职员及其它短期合同职员除外。</w:t>
      </w:r>
    </w:p>
    <w:p w14:paraId="58722E81" w14:textId="77777777" w:rsidR="00232E78" w:rsidRDefault="00232E78" w:rsidP="00232E78">
      <w:pPr>
        <w:ind w:firstLineChars="200" w:firstLine="480"/>
        <w:rPr>
          <w:lang w:eastAsia="zh-CN"/>
        </w:rPr>
      </w:pPr>
      <w:r>
        <w:rPr>
          <w:rFonts w:hint="eastAsia"/>
          <w:lang w:eastAsia="zh-CN"/>
        </w:rPr>
        <w:t>为其他长期福利确认的负债为确定给付承付款项在报告日的现值。负债由独立精算师使用预计单位积分法计算。财务业绩报表确认利息成本、当期服务成本和因精算假设变化或经验调整而产生的精算损益。</w:t>
      </w:r>
    </w:p>
    <w:p w14:paraId="2F6EFABC" w14:textId="77777777" w:rsidR="00232E78" w:rsidRDefault="00232E78" w:rsidP="00232E78">
      <w:pPr>
        <w:ind w:firstLineChars="200" w:firstLine="480"/>
        <w:rPr>
          <w:lang w:eastAsia="zh-CN"/>
        </w:rPr>
      </w:pPr>
      <w:r>
        <w:rPr>
          <w:rFonts w:hint="eastAsia"/>
          <w:lang w:eastAsia="zh-CN"/>
        </w:rPr>
        <w:t>据涵盖经常预算下工作人员的最新精算研究（截至</w:t>
      </w:r>
      <w:r>
        <w:rPr>
          <w:rFonts w:hint="eastAsia"/>
          <w:lang w:eastAsia="zh-CN"/>
        </w:rPr>
        <w:t>2022</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日）估算，全部离职回国补助金为</w:t>
      </w:r>
      <w:r>
        <w:rPr>
          <w:rFonts w:hint="eastAsia"/>
          <w:lang w:eastAsia="zh-CN"/>
        </w:rPr>
        <w:t>1 230</w:t>
      </w:r>
      <w:r>
        <w:rPr>
          <w:rFonts w:hint="eastAsia"/>
          <w:lang w:eastAsia="zh-CN"/>
        </w:rPr>
        <w:t>万瑞郎，而截至</w:t>
      </w:r>
      <w:r>
        <w:rPr>
          <w:rFonts w:hint="eastAsia"/>
          <w:lang w:eastAsia="zh-CN"/>
        </w:rPr>
        <w:t>2021</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日为</w:t>
      </w:r>
      <w:r>
        <w:rPr>
          <w:rFonts w:hint="eastAsia"/>
          <w:lang w:eastAsia="zh-CN"/>
        </w:rPr>
        <w:t>1 310</w:t>
      </w:r>
      <w:r>
        <w:rPr>
          <w:rFonts w:hint="eastAsia"/>
          <w:lang w:eastAsia="zh-CN"/>
        </w:rPr>
        <w:t>万郎，净减少</w:t>
      </w:r>
      <w:r>
        <w:rPr>
          <w:rFonts w:hint="eastAsia"/>
          <w:lang w:eastAsia="zh-CN"/>
        </w:rPr>
        <w:t>795 000</w:t>
      </w:r>
      <w:r>
        <w:rPr>
          <w:rFonts w:hint="eastAsia"/>
          <w:lang w:eastAsia="zh-CN"/>
        </w:rPr>
        <w:t>瑞郎，在财务业绩报表（报表二）中按支出性质确认。</w:t>
      </w:r>
    </w:p>
    <w:p w14:paraId="4F95B90A" w14:textId="77777777" w:rsidR="00232E78" w:rsidRPr="000C156A" w:rsidRDefault="00232E78" w:rsidP="00232E78">
      <w:pPr>
        <w:ind w:firstLineChars="200" w:firstLine="480"/>
        <w:rPr>
          <w:lang w:eastAsia="zh-CN"/>
        </w:rPr>
      </w:pPr>
      <w:r w:rsidRPr="000C156A">
        <w:rPr>
          <w:rFonts w:hint="eastAsia"/>
          <w:lang w:eastAsia="zh-CN"/>
        </w:rPr>
        <w:t>每年由一家独立咨询公司进行符合</w:t>
      </w:r>
      <w:r w:rsidRPr="000C156A">
        <w:rPr>
          <w:lang w:eastAsia="zh-CN"/>
        </w:rPr>
        <w:t>IPSAS</w:t>
      </w:r>
      <w:r w:rsidRPr="000C156A">
        <w:rPr>
          <w:rFonts w:hint="eastAsia"/>
          <w:lang w:eastAsia="zh-CN"/>
        </w:rPr>
        <w:t>的精算估值。</w:t>
      </w:r>
    </w:p>
    <w:p w14:paraId="3DE89E0F" w14:textId="77777777" w:rsidR="00232E78" w:rsidRPr="000C2341" w:rsidRDefault="00232E78" w:rsidP="00232E78">
      <w:pPr>
        <w:pStyle w:val="Heading2"/>
        <w:rPr>
          <w:lang w:eastAsia="zh-CN"/>
        </w:rPr>
      </w:pPr>
      <w:bookmarkStart w:id="596" w:name="_Toc41905890"/>
      <w:bookmarkStart w:id="597" w:name="_Toc73518708"/>
      <w:bookmarkStart w:id="598" w:name="_Toc73518855"/>
      <w:bookmarkStart w:id="599" w:name="_Toc73519255"/>
      <w:bookmarkStart w:id="600" w:name="_Toc73636294"/>
      <w:r w:rsidRPr="000C156A">
        <w:rPr>
          <w:lang w:eastAsia="zh-CN"/>
        </w:rPr>
        <w:lastRenderedPageBreak/>
        <w:t>1</w:t>
      </w:r>
      <w:r>
        <w:rPr>
          <w:lang w:eastAsia="zh-CN"/>
        </w:rPr>
        <w:t>8</w:t>
      </w:r>
      <w:r w:rsidRPr="000C156A">
        <w:rPr>
          <w:lang w:eastAsia="zh-CN"/>
        </w:rPr>
        <w:t>.</w:t>
      </w:r>
      <w:r>
        <w:rPr>
          <w:lang w:eastAsia="zh-CN"/>
        </w:rPr>
        <w:t>3</w:t>
      </w:r>
      <w:r w:rsidRPr="000C156A">
        <w:rPr>
          <w:lang w:eastAsia="zh-CN"/>
        </w:rPr>
        <w:tab/>
      </w:r>
      <w:r w:rsidRPr="000C2341">
        <w:rPr>
          <w:rFonts w:hint="eastAsia"/>
          <w:lang w:eastAsia="zh-CN"/>
        </w:rPr>
        <w:t>职员按照联合国职员养恤金计划享受的福利</w:t>
      </w:r>
      <w:bookmarkEnd w:id="596"/>
      <w:bookmarkEnd w:id="597"/>
      <w:bookmarkEnd w:id="598"/>
      <w:bookmarkEnd w:id="599"/>
      <w:bookmarkEnd w:id="600"/>
    </w:p>
    <w:p w14:paraId="20046EBB" w14:textId="77777777" w:rsidR="00232E78" w:rsidRPr="000C156A" w:rsidRDefault="00232E78" w:rsidP="00232E78">
      <w:pPr>
        <w:ind w:firstLineChars="200" w:firstLine="480"/>
        <w:rPr>
          <w:lang w:eastAsia="zh-CN"/>
        </w:rPr>
      </w:pPr>
      <w:r w:rsidRPr="000C156A">
        <w:rPr>
          <w:rFonts w:hint="eastAsia"/>
          <w:lang w:eastAsia="zh-CN"/>
        </w:rPr>
        <w:t>国际电联是联合国大会设立的“联合国职员联合养恤基金”（简称基金）的成员组织，该基金的目的是为职员提供退休、亡故、伤残及相关福利。该基金是一个由多雇主出资的固定收益计划。《基金条例》第</w:t>
      </w:r>
      <w:r w:rsidRPr="000C156A">
        <w:rPr>
          <w:rFonts w:hint="eastAsia"/>
          <w:lang w:eastAsia="zh-CN"/>
        </w:rPr>
        <w:t>3</w:t>
      </w:r>
      <w:r w:rsidRPr="000C156A">
        <w:rPr>
          <w:lang w:eastAsia="zh-CN"/>
        </w:rPr>
        <w:t>b)</w:t>
      </w:r>
      <w:r w:rsidRPr="000C156A">
        <w:rPr>
          <w:rFonts w:hint="eastAsia"/>
          <w:lang w:eastAsia="zh-CN"/>
        </w:rPr>
        <w:t>条规定，基金成员资格须向专门机构和参加联合国专门机构薪金、津贴和其他服务条件共同制度的任何其他国际和政府间组织开放。</w:t>
      </w:r>
    </w:p>
    <w:p w14:paraId="6518C822" w14:textId="77777777" w:rsidR="00232E78" w:rsidRPr="000C156A" w:rsidRDefault="00232E78" w:rsidP="00232E78">
      <w:pPr>
        <w:ind w:firstLineChars="200" w:firstLine="480"/>
        <w:rPr>
          <w:rFonts w:cs="Calibri"/>
          <w:lang w:eastAsia="zh-CN"/>
        </w:rPr>
      </w:pPr>
      <w:r w:rsidRPr="000C156A">
        <w:rPr>
          <w:rFonts w:hint="eastAsia"/>
          <w:lang w:eastAsia="zh-CN"/>
        </w:rPr>
        <w:t>基金使成员组织</w:t>
      </w:r>
      <w:r w:rsidRPr="000C156A">
        <w:rPr>
          <w:rFonts w:cs="Calibri" w:hint="eastAsia"/>
          <w:lang w:eastAsia="zh-CN"/>
        </w:rPr>
        <w:t>面临与参加基金的其他组织现有和原有职员相关的精算风险，因此，向参加计划的各组织分配承付款项、计划资产和成本缺乏统一和可靠的基础。国际电联基金，与其他参加基金的组织一样，均无法确定国际电联在充分保证会计可靠性的情况的</w:t>
      </w:r>
      <w:r>
        <w:rPr>
          <w:rFonts w:cs="Calibri" w:hint="eastAsia"/>
          <w:lang w:eastAsia="zh-CN"/>
        </w:rPr>
        <w:t>确定给付承付款项</w:t>
      </w:r>
      <w:r w:rsidRPr="000C156A">
        <w:rPr>
          <w:rFonts w:cs="Calibri" w:hint="eastAsia"/>
          <w:lang w:eastAsia="zh-CN"/>
        </w:rPr>
        <w:t>、计划资产和计划相关成本中的相应份额。因此，国际电联按照</w:t>
      </w:r>
      <w:r w:rsidRPr="000C156A">
        <w:rPr>
          <w:rFonts w:cs="Calibri"/>
          <w:lang w:eastAsia="zh-CN"/>
        </w:rPr>
        <w:t>IPSAS</w:t>
      </w:r>
      <w:r w:rsidRPr="000C156A">
        <w:rPr>
          <w:rFonts w:cs="Calibri" w:hint="eastAsia"/>
          <w:lang w:eastAsia="zh-CN"/>
        </w:rPr>
        <w:t xml:space="preserve"> 39</w:t>
      </w:r>
      <w:r>
        <w:rPr>
          <w:rFonts w:cs="Calibri" w:hint="eastAsia"/>
          <w:lang w:eastAsia="zh-CN"/>
        </w:rPr>
        <w:t>有关</w:t>
      </w:r>
      <w:r w:rsidRPr="000C156A">
        <w:rPr>
          <w:rFonts w:cs="Calibri" w:hint="eastAsia"/>
          <w:lang w:eastAsia="zh-CN"/>
        </w:rPr>
        <w:t>职员福利的要求，把此计划当作固定供款计划予以处理。国际电联在相关财务期内为该基金的缴款在财务业绩报表中被确定为费用。</w:t>
      </w:r>
    </w:p>
    <w:p w14:paraId="02C2B625" w14:textId="77777777" w:rsidR="00232E78" w:rsidRPr="000C156A" w:rsidRDefault="00232E78" w:rsidP="00232E78">
      <w:pPr>
        <w:ind w:firstLineChars="200" w:firstLine="480"/>
        <w:rPr>
          <w:rFonts w:cs="Calibri"/>
          <w:lang w:eastAsia="zh-CN"/>
        </w:rPr>
      </w:pPr>
      <w:r w:rsidRPr="000C156A">
        <w:rPr>
          <w:rFonts w:cs="Calibri" w:hint="eastAsia"/>
          <w:lang w:eastAsia="zh-CN"/>
        </w:rPr>
        <w:t>基金规则指出，养恤金委员会至少每三年须请咨询精算机构对基金进行精算估值。养恤金委员会一直采取的做法是通过开放基金方式每两年进行一次精算估值。精算估值的主要目的是确定该基金目前和未来的估算资产是否能够满足其债务需求。</w:t>
      </w:r>
    </w:p>
    <w:p w14:paraId="02D24B3D" w14:textId="77777777" w:rsidR="00232E78" w:rsidRPr="000C156A" w:rsidRDefault="00232E78" w:rsidP="00232E78">
      <w:pPr>
        <w:ind w:firstLineChars="200" w:firstLine="480"/>
        <w:rPr>
          <w:rFonts w:cs="Calibri"/>
          <w:lang w:eastAsia="zh-CN"/>
        </w:rPr>
      </w:pPr>
      <w:r w:rsidRPr="000C156A">
        <w:rPr>
          <w:rFonts w:cs="Calibri" w:hint="eastAsia"/>
          <w:lang w:eastAsia="zh-CN"/>
        </w:rPr>
        <w:t>国际电联对该基金的承付款项包括按照联合国大会确定的费率缴纳的规定缴费（目前参与人为</w:t>
      </w:r>
      <w:r w:rsidRPr="000C156A">
        <w:rPr>
          <w:rFonts w:cs="Calibri"/>
          <w:lang w:eastAsia="zh-CN"/>
        </w:rPr>
        <w:t>7.9%</w:t>
      </w:r>
      <w:r w:rsidRPr="000C156A">
        <w:rPr>
          <w:rFonts w:cs="Calibri" w:hint="eastAsia"/>
          <w:lang w:eastAsia="zh-CN"/>
        </w:rPr>
        <w:t>，成员组织为</w:t>
      </w:r>
      <w:r w:rsidRPr="000C156A">
        <w:rPr>
          <w:rFonts w:cs="Calibri"/>
          <w:lang w:eastAsia="zh-CN"/>
        </w:rPr>
        <w:t>15.8%</w:t>
      </w:r>
      <w:r w:rsidRPr="000C156A">
        <w:rPr>
          <w:rFonts w:cs="Calibri" w:hint="eastAsia"/>
          <w:lang w:eastAsia="zh-CN"/>
        </w:rPr>
        <w:t>）以及根据《养恤基金管理办法》第</w:t>
      </w:r>
      <w:r w:rsidRPr="000C156A">
        <w:rPr>
          <w:rFonts w:cs="Calibri" w:hint="eastAsia"/>
          <w:lang w:eastAsia="zh-CN"/>
        </w:rPr>
        <w:t>26</w:t>
      </w:r>
      <w:r w:rsidRPr="000C156A">
        <w:rPr>
          <w:rFonts w:cs="Calibri" w:hint="eastAsia"/>
          <w:lang w:eastAsia="zh-CN"/>
        </w:rPr>
        <w:t>条确定的精算亏空支付的份额。在根据估值日对精算亏空的评估的基础上确定确实需要亏空支付后，如果联合国大会启动第</w:t>
      </w:r>
      <w:r w:rsidRPr="000C156A">
        <w:rPr>
          <w:rFonts w:cs="Calibri"/>
          <w:lang w:eastAsia="zh-CN"/>
        </w:rPr>
        <w:t>26</w:t>
      </w:r>
      <w:r w:rsidRPr="000C156A">
        <w:rPr>
          <w:rFonts w:cs="Calibri" w:hint="eastAsia"/>
          <w:lang w:eastAsia="zh-CN"/>
        </w:rPr>
        <w:t>条的规定，才可以进行此类亏空支付。各成员组织对此赤字缴纳的金额与其在估值日之前三年内所缴金额在总额中的比例相当。</w:t>
      </w:r>
    </w:p>
    <w:p w14:paraId="589D1391" w14:textId="77777777" w:rsidR="00232E78" w:rsidRPr="000C156A" w:rsidRDefault="00232E78" w:rsidP="00232E78">
      <w:pPr>
        <w:ind w:firstLineChars="200" w:firstLine="480"/>
        <w:rPr>
          <w:rFonts w:asciiTheme="minorHAnsi" w:eastAsiaTheme="minorEastAsia" w:hAnsiTheme="minorHAnsi" w:cstheme="minorHAnsi"/>
          <w:sz w:val="22"/>
          <w:lang w:val="en-US" w:eastAsia="zh-CN"/>
        </w:rPr>
      </w:pPr>
      <w:r w:rsidRPr="000C156A">
        <w:rPr>
          <w:rFonts w:asciiTheme="minorHAnsi" w:eastAsiaTheme="minorEastAsia" w:hAnsiTheme="minorHAnsi" w:cstheme="minorHAnsi"/>
          <w:lang w:eastAsia="zh-CN"/>
        </w:rPr>
        <w:t>最新完成的基金精算估值截至</w:t>
      </w:r>
      <w:r w:rsidRPr="000C156A">
        <w:rPr>
          <w:rFonts w:asciiTheme="minorHAnsi" w:eastAsiaTheme="minorEastAsia" w:hAnsiTheme="minorHAnsi" w:cstheme="minorHAnsi"/>
          <w:lang w:eastAsia="zh-CN"/>
        </w:rPr>
        <w:t>20</w:t>
      </w:r>
      <w:r>
        <w:rPr>
          <w:rFonts w:asciiTheme="minorHAnsi" w:eastAsiaTheme="minorEastAsia" w:hAnsiTheme="minorHAnsi" w:cstheme="minorHAnsi"/>
          <w:lang w:eastAsia="zh-CN"/>
        </w:rPr>
        <w:t>21</w:t>
      </w:r>
      <w:r w:rsidRPr="000C156A">
        <w:rPr>
          <w:rFonts w:asciiTheme="minorHAnsi" w:eastAsiaTheme="minorEastAsia" w:hAnsiTheme="minorHAnsi" w:cstheme="minorHAnsi"/>
          <w:lang w:eastAsia="zh-CN"/>
        </w:rPr>
        <w:t>年</w:t>
      </w:r>
      <w:r w:rsidRPr="000C156A">
        <w:rPr>
          <w:rFonts w:asciiTheme="minorHAnsi" w:eastAsiaTheme="minorEastAsia" w:hAnsiTheme="minorHAnsi" w:cstheme="minorHAnsi"/>
          <w:lang w:eastAsia="zh-CN"/>
        </w:rPr>
        <w:t>12</w:t>
      </w:r>
      <w:r w:rsidRPr="000C156A">
        <w:rPr>
          <w:rFonts w:asciiTheme="minorHAnsi" w:eastAsiaTheme="minorEastAsia" w:hAnsiTheme="minorHAnsi" w:cstheme="minorHAnsi"/>
          <w:lang w:eastAsia="zh-CN"/>
        </w:rPr>
        <w:t>月</w:t>
      </w:r>
      <w:r w:rsidRPr="000C156A">
        <w:rPr>
          <w:rFonts w:asciiTheme="minorHAnsi" w:eastAsiaTheme="minorEastAsia" w:hAnsiTheme="minorHAnsi" w:cstheme="minorHAnsi"/>
          <w:lang w:eastAsia="zh-CN"/>
        </w:rPr>
        <w:t>31</w:t>
      </w:r>
      <w:r w:rsidRPr="000C156A">
        <w:rPr>
          <w:rFonts w:asciiTheme="minorHAnsi" w:eastAsiaTheme="minorEastAsia" w:hAnsiTheme="minorHAnsi" w:cstheme="minorHAnsi"/>
          <w:lang w:eastAsia="zh-CN"/>
        </w:rPr>
        <w:t>日，基金会在其</w:t>
      </w:r>
      <w:r w:rsidRPr="000C156A">
        <w:rPr>
          <w:rFonts w:asciiTheme="minorHAnsi" w:eastAsiaTheme="minorEastAsia" w:hAnsiTheme="minorHAnsi" w:cstheme="minorHAnsi"/>
          <w:lang w:eastAsia="zh-CN"/>
        </w:rPr>
        <w:t>202</w:t>
      </w:r>
      <w:r>
        <w:rPr>
          <w:rFonts w:asciiTheme="minorHAnsi" w:eastAsiaTheme="minorEastAsia" w:hAnsiTheme="minorHAnsi" w:cstheme="minorHAnsi"/>
          <w:lang w:eastAsia="zh-CN"/>
        </w:rPr>
        <w:t>2</w:t>
      </w:r>
      <w:r w:rsidRPr="000C156A">
        <w:rPr>
          <w:rFonts w:asciiTheme="minorHAnsi" w:eastAsiaTheme="minorEastAsia" w:hAnsiTheme="minorHAnsi" w:cstheme="minorHAnsi"/>
          <w:lang w:eastAsia="zh-CN"/>
        </w:rPr>
        <w:t>年财务报表中将截至</w:t>
      </w:r>
      <w:r w:rsidRPr="000C156A">
        <w:rPr>
          <w:rFonts w:asciiTheme="minorHAnsi" w:eastAsiaTheme="minorEastAsia" w:hAnsiTheme="minorHAnsi" w:cstheme="minorHAnsi"/>
          <w:lang w:eastAsia="zh-CN"/>
        </w:rPr>
        <w:t>202</w:t>
      </w:r>
      <w:r>
        <w:rPr>
          <w:rFonts w:asciiTheme="minorHAnsi" w:eastAsiaTheme="minorEastAsia" w:hAnsiTheme="minorHAnsi" w:cstheme="minorHAnsi"/>
          <w:lang w:eastAsia="zh-CN"/>
        </w:rPr>
        <w:t>1</w:t>
      </w:r>
      <w:r w:rsidRPr="000C156A">
        <w:rPr>
          <w:rFonts w:asciiTheme="minorHAnsi" w:eastAsiaTheme="minorEastAsia" w:hAnsiTheme="minorHAnsi" w:cstheme="minorHAnsi"/>
          <w:lang w:eastAsia="zh-CN"/>
        </w:rPr>
        <w:t>年</w:t>
      </w:r>
      <w:r w:rsidRPr="000C156A">
        <w:rPr>
          <w:rFonts w:asciiTheme="minorHAnsi" w:eastAsiaTheme="minorEastAsia" w:hAnsiTheme="minorHAnsi" w:cstheme="minorHAnsi"/>
          <w:lang w:eastAsia="zh-CN"/>
        </w:rPr>
        <w:t>12</w:t>
      </w:r>
      <w:r w:rsidRPr="000C156A">
        <w:rPr>
          <w:rFonts w:asciiTheme="minorHAnsi" w:eastAsiaTheme="minorEastAsia" w:hAnsiTheme="minorHAnsi" w:cstheme="minorHAnsi"/>
          <w:lang w:eastAsia="zh-CN"/>
        </w:rPr>
        <w:t>月</w:t>
      </w:r>
      <w:r w:rsidRPr="000C156A">
        <w:rPr>
          <w:rFonts w:asciiTheme="minorHAnsi" w:eastAsiaTheme="minorEastAsia" w:hAnsiTheme="minorHAnsi" w:cstheme="minorHAnsi"/>
          <w:lang w:eastAsia="zh-CN"/>
        </w:rPr>
        <w:t>31</w:t>
      </w:r>
      <w:r w:rsidRPr="000C156A">
        <w:rPr>
          <w:rFonts w:asciiTheme="minorHAnsi" w:eastAsiaTheme="minorEastAsia" w:hAnsiTheme="minorHAnsi" w:cstheme="minorHAnsi"/>
          <w:lang w:eastAsia="zh-CN"/>
        </w:rPr>
        <w:t>日的参与数据前滚至</w:t>
      </w:r>
      <w:r w:rsidRPr="000C156A">
        <w:rPr>
          <w:rFonts w:asciiTheme="minorHAnsi" w:eastAsiaTheme="minorEastAsia" w:hAnsiTheme="minorHAnsi" w:cstheme="minorHAnsi"/>
          <w:lang w:eastAsia="zh-CN"/>
        </w:rPr>
        <w:t>20</w:t>
      </w:r>
      <w:r>
        <w:rPr>
          <w:rFonts w:asciiTheme="minorHAnsi" w:eastAsiaTheme="minorEastAsia" w:hAnsiTheme="minorHAnsi" w:cstheme="minorHAnsi"/>
          <w:lang w:eastAsia="zh-CN"/>
        </w:rPr>
        <w:t>22</w:t>
      </w:r>
      <w:r w:rsidRPr="000C156A">
        <w:rPr>
          <w:rFonts w:asciiTheme="minorHAnsi" w:eastAsiaTheme="minorEastAsia" w:hAnsiTheme="minorHAnsi" w:cstheme="minorHAnsi"/>
          <w:lang w:eastAsia="zh-CN"/>
        </w:rPr>
        <w:t>年</w:t>
      </w:r>
      <w:r w:rsidRPr="000C156A">
        <w:rPr>
          <w:rFonts w:asciiTheme="minorHAnsi" w:eastAsiaTheme="minorEastAsia" w:hAnsiTheme="minorHAnsi" w:cstheme="minorHAnsi"/>
          <w:lang w:eastAsia="zh-CN"/>
        </w:rPr>
        <w:t>12</w:t>
      </w:r>
      <w:r w:rsidRPr="000C156A">
        <w:rPr>
          <w:rFonts w:asciiTheme="minorHAnsi" w:eastAsiaTheme="minorEastAsia" w:hAnsiTheme="minorHAnsi" w:cstheme="minorHAnsi"/>
          <w:lang w:eastAsia="zh-CN"/>
        </w:rPr>
        <w:t>月</w:t>
      </w:r>
      <w:r w:rsidRPr="000C156A">
        <w:rPr>
          <w:rFonts w:asciiTheme="minorHAnsi" w:eastAsiaTheme="minorEastAsia" w:hAnsiTheme="minorHAnsi" w:cstheme="minorHAnsi"/>
          <w:lang w:eastAsia="zh-CN"/>
        </w:rPr>
        <w:t>31</w:t>
      </w:r>
      <w:r w:rsidRPr="000C156A">
        <w:rPr>
          <w:rFonts w:asciiTheme="minorHAnsi" w:eastAsiaTheme="minorEastAsia" w:hAnsiTheme="minorHAnsi" w:cstheme="minorHAnsi"/>
          <w:lang w:eastAsia="zh-CN"/>
        </w:rPr>
        <w:t>日。</w:t>
      </w:r>
    </w:p>
    <w:p w14:paraId="1D047931" w14:textId="77777777" w:rsidR="00232E78" w:rsidRPr="000C156A" w:rsidRDefault="00232E78" w:rsidP="00232E78">
      <w:pPr>
        <w:ind w:firstLineChars="200" w:firstLine="480"/>
        <w:rPr>
          <w:rFonts w:asciiTheme="minorHAnsi" w:eastAsiaTheme="minorEastAsia" w:hAnsiTheme="minorHAnsi" w:cstheme="minorHAnsi"/>
          <w:lang w:eastAsia="zh-CN"/>
        </w:rPr>
      </w:pPr>
      <w:r w:rsidRPr="000C156A">
        <w:rPr>
          <w:rFonts w:asciiTheme="minorHAnsi" w:eastAsiaTheme="minorEastAsia" w:hAnsiTheme="minorHAnsi" w:cstheme="minorHAnsi"/>
          <w:lang w:eastAsia="zh-CN"/>
        </w:rPr>
        <w:t>截至</w:t>
      </w:r>
      <w:r w:rsidRPr="000C156A">
        <w:rPr>
          <w:rFonts w:asciiTheme="minorHAnsi" w:eastAsiaTheme="minorEastAsia" w:hAnsiTheme="minorHAnsi" w:cstheme="minorHAnsi"/>
          <w:lang w:eastAsia="zh-CN"/>
        </w:rPr>
        <w:t>20</w:t>
      </w:r>
      <w:r>
        <w:rPr>
          <w:rFonts w:asciiTheme="minorHAnsi" w:eastAsiaTheme="minorEastAsia" w:hAnsiTheme="minorHAnsi" w:cstheme="minorHAnsi"/>
          <w:lang w:eastAsia="zh-CN"/>
        </w:rPr>
        <w:t>21</w:t>
      </w:r>
      <w:r w:rsidRPr="000C156A">
        <w:rPr>
          <w:rFonts w:asciiTheme="minorHAnsi" w:eastAsiaTheme="minorEastAsia" w:hAnsiTheme="minorHAnsi" w:cstheme="minorHAnsi"/>
          <w:lang w:eastAsia="zh-CN"/>
        </w:rPr>
        <w:t>年</w:t>
      </w:r>
      <w:r w:rsidRPr="000C156A">
        <w:rPr>
          <w:rFonts w:asciiTheme="minorHAnsi" w:eastAsiaTheme="minorEastAsia" w:hAnsiTheme="minorHAnsi" w:cstheme="minorHAnsi"/>
          <w:lang w:eastAsia="zh-CN"/>
        </w:rPr>
        <w:t>12</w:t>
      </w:r>
      <w:r w:rsidRPr="000C156A">
        <w:rPr>
          <w:rFonts w:asciiTheme="minorHAnsi" w:eastAsiaTheme="minorEastAsia" w:hAnsiTheme="minorHAnsi" w:cstheme="minorHAnsi"/>
          <w:lang w:eastAsia="zh-CN"/>
        </w:rPr>
        <w:t>月</w:t>
      </w:r>
      <w:r w:rsidRPr="000C156A">
        <w:rPr>
          <w:rFonts w:asciiTheme="minorHAnsi" w:eastAsiaTheme="minorEastAsia" w:hAnsiTheme="minorHAnsi" w:cstheme="minorHAnsi"/>
          <w:lang w:eastAsia="zh-CN"/>
        </w:rPr>
        <w:t>31</w:t>
      </w:r>
      <w:r w:rsidRPr="000C156A">
        <w:rPr>
          <w:rFonts w:asciiTheme="minorHAnsi" w:eastAsiaTheme="minorEastAsia" w:hAnsiTheme="minorHAnsi" w:cstheme="minorHAnsi"/>
          <w:lang w:eastAsia="zh-CN"/>
        </w:rPr>
        <w:t>日时的精算估值将产生精算资产与精算负债的资金比例为</w:t>
      </w:r>
      <w:r>
        <w:rPr>
          <w:rFonts w:asciiTheme="minorHAnsi" w:eastAsiaTheme="minorEastAsia" w:hAnsiTheme="minorHAnsi" w:cstheme="minorHAnsi"/>
          <w:lang w:eastAsia="zh-CN"/>
        </w:rPr>
        <w:t>117</w:t>
      </w:r>
      <w:r w:rsidRPr="000C156A">
        <w:rPr>
          <w:rFonts w:asciiTheme="minorHAnsi" w:eastAsiaTheme="minorEastAsia" w:hAnsiTheme="minorHAnsi" w:cstheme="minorHAnsi"/>
          <w:lang w:eastAsia="zh-CN"/>
        </w:rPr>
        <w:t>.</w:t>
      </w:r>
      <w:r>
        <w:rPr>
          <w:rFonts w:asciiTheme="minorHAnsi" w:eastAsiaTheme="minorEastAsia" w:hAnsiTheme="minorHAnsi" w:cstheme="minorHAnsi"/>
          <w:lang w:eastAsia="zh-CN"/>
        </w:rPr>
        <w:t>0</w:t>
      </w:r>
      <w:r w:rsidRPr="000C156A">
        <w:rPr>
          <w:rFonts w:asciiTheme="minorHAnsi" w:eastAsiaTheme="minorEastAsia" w:hAnsiTheme="minorHAnsi" w:cstheme="minorHAnsi"/>
          <w:lang w:eastAsia="zh-CN"/>
        </w:rPr>
        <w:t>%</w:t>
      </w:r>
      <w:r w:rsidRPr="000C156A">
        <w:rPr>
          <w:rFonts w:asciiTheme="minorHAnsi" w:eastAsiaTheme="minorEastAsia" w:hAnsiTheme="minorHAnsi" w:cstheme="minorHAnsi"/>
          <w:lang w:eastAsia="zh-CN"/>
        </w:rPr>
        <w:t>（</w:t>
      </w:r>
      <w:r w:rsidRPr="000C156A">
        <w:rPr>
          <w:rFonts w:asciiTheme="minorHAnsi" w:eastAsiaTheme="minorEastAsia" w:hAnsiTheme="minorHAnsi" w:cstheme="minorHAnsi"/>
          <w:lang w:eastAsia="zh-CN"/>
        </w:rPr>
        <w:t>201</w:t>
      </w:r>
      <w:r>
        <w:rPr>
          <w:rFonts w:asciiTheme="minorHAnsi" w:eastAsiaTheme="minorEastAsia" w:hAnsiTheme="minorHAnsi" w:cstheme="minorHAnsi"/>
          <w:lang w:eastAsia="zh-CN"/>
        </w:rPr>
        <w:t>9</w:t>
      </w:r>
      <w:r w:rsidRPr="000C156A">
        <w:rPr>
          <w:rFonts w:asciiTheme="minorHAnsi" w:eastAsiaTheme="minorEastAsia" w:hAnsiTheme="minorHAnsi" w:cstheme="minorHAnsi"/>
          <w:lang w:eastAsia="zh-CN"/>
        </w:rPr>
        <w:t>年的比例为</w:t>
      </w:r>
      <w:r w:rsidRPr="000C156A">
        <w:rPr>
          <w:rFonts w:asciiTheme="minorHAnsi" w:eastAsiaTheme="minorEastAsia" w:hAnsiTheme="minorHAnsi" w:cstheme="minorHAnsi"/>
          <w:lang w:eastAsia="zh-CN"/>
        </w:rPr>
        <w:t>1</w:t>
      </w:r>
      <w:r>
        <w:rPr>
          <w:rFonts w:asciiTheme="minorHAnsi" w:eastAsiaTheme="minorEastAsia" w:hAnsiTheme="minorHAnsi" w:cstheme="minorHAnsi"/>
          <w:lang w:eastAsia="zh-CN"/>
        </w:rPr>
        <w:t>07</w:t>
      </w:r>
      <w:r w:rsidRPr="000C156A">
        <w:rPr>
          <w:rFonts w:asciiTheme="minorHAnsi" w:eastAsiaTheme="minorEastAsia" w:hAnsiTheme="minorHAnsi" w:cstheme="minorHAnsi"/>
          <w:lang w:eastAsia="zh-CN"/>
        </w:rPr>
        <w:t>.</w:t>
      </w:r>
      <w:r>
        <w:rPr>
          <w:rFonts w:asciiTheme="minorHAnsi" w:eastAsiaTheme="minorEastAsia" w:hAnsiTheme="minorHAnsi" w:cstheme="minorHAnsi"/>
          <w:lang w:eastAsia="zh-CN"/>
        </w:rPr>
        <w:t>1</w:t>
      </w:r>
      <w:r w:rsidRPr="000C156A">
        <w:rPr>
          <w:rFonts w:asciiTheme="minorHAnsi" w:eastAsiaTheme="minorEastAsia" w:hAnsiTheme="minorHAnsi" w:cstheme="minorHAnsi"/>
          <w:lang w:eastAsia="zh-CN"/>
        </w:rPr>
        <w:t>%</w:t>
      </w:r>
      <w:r w:rsidRPr="000C156A">
        <w:rPr>
          <w:rFonts w:asciiTheme="minorHAnsi" w:eastAsiaTheme="minorEastAsia" w:hAnsiTheme="minorHAnsi" w:cstheme="minorHAnsi"/>
          <w:lang w:eastAsia="zh-CN"/>
        </w:rPr>
        <w:t>）。如果</w:t>
      </w:r>
      <w:r>
        <w:rPr>
          <w:rFonts w:asciiTheme="minorHAnsi" w:eastAsiaTheme="minorEastAsia" w:hAnsiTheme="minorHAnsi" w:cstheme="minorHAnsi" w:hint="eastAsia"/>
          <w:lang w:eastAsia="zh-CN"/>
        </w:rPr>
        <w:t>不</w:t>
      </w:r>
      <w:r w:rsidRPr="000C156A">
        <w:rPr>
          <w:rFonts w:asciiTheme="minorHAnsi" w:eastAsiaTheme="minorEastAsia" w:hAnsiTheme="minorHAnsi" w:cstheme="minorHAnsi"/>
          <w:lang w:eastAsia="zh-CN"/>
        </w:rPr>
        <w:t>将现行的养恤金调整系统考虑进去，则资金比率是</w:t>
      </w:r>
      <w:r w:rsidRPr="000C156A">
        <w:rPr>
          <w:rFonts w:asciiTheme="minorHAnsi" w:eastAsiaTheme="minorEastAsia" w:hAnsiTheme="minorHAnsi" w:cstheme="minorHAnsi"/>
          <w:lang w:eastAsia="zh-CN"/>
        </w:rPr>
        <w:t>1</w:t>
      </w:r>
      <w:r>
        <w:rPr>
          <w:rFonts w:asciiTheme="minorHAnsi" w:eastAsiaTheme="minorEastAsia" w:hAnsiTheme="minorHAnsi" w:cstheme="minorHAnsi"/>
          <w:lang w:eastAsia="zh-CN"/>
        </w:rPr>
        <w:t>58</w:t>
      </w:r>
      <w:r w:rsidRPr="000C156A">
        <w:rPr>
          <w:rFonts w:asciiTheme="minorHAnsi" w:eastAsiaTheme="minorEastAsia" w:hAnsiTheme="minorHAnsi" w:cstheme="minorHAnsi"/>
          <w:lang w:eastAsia="zh-CN"/>
        </w:rPr>
        <w:t>.</w:t>
      </w:r>
      <w:r>
        <w:rPr>
          <w:rFonts w:asciiTheme="minorHAnsi" w:eastAsiaTheme="minorEastAsia" w:hAnsiTheme="minorHAnsi" w:cstheme="minorHAnsi"/>
          <w:lang w:eastAsia="zh-CN"/>
        </w:rPr>
        <w:t>2</w:t>
      </w:r>
      <w:r w:rsidRPr="000C156A">
        <w:rPr>
          <w:rFonts w:asciiTheme="minorHAnsi" w:eastAsiaTheme="minorEastAsia" w:hAnsiTheme="minorHAnsi" w:cstheme="minorHAnsi"/>
          <w:lang w:eastAsia="zh-CN"/>
        </w:rPr>
        <w:t>%</w:t>
      </w:r>
      <w:r w:rsidRPr="000C156A">
        <w:rPr>
          <w:rFonts w:asciiTheme="minorHAnsi" w:eastAsiaTheme="minorEastAsia" w:hAnsiTheme="minorHAnsi" w:cstheme="minorHAnsi"/>
          <w:lang w:eastAsia="zh-CN"/>
        </w:rPr>
        <w:t>（</w:t>
      </w:r>
      <w:r w:rsidRPr="000C156A">
        <w:rPr>
          <w:rFonts w:asciiTheme="minorHAnsi" w:eastAsiaTheme="minorEastAsia" w:hAnsiTheme="minorHAnsi" w:cstheme="minorHAnsi"/>
          <w:lang w:eastAsia="zh-CN"/>
        </w:rPr>
        <w:t>201</w:t>
      </w:r>
      <w:r>
        <w:rPr>
          <w:rFonts w:asciiTheme="minorHAnsi" w:eastAsiaTheme="minorEastAsia" w:hAnsiTheme="minorHAnsi" w:cstheme="minorHAnsi"/>
          <w:lang w:eastAsia="zh-CN"/>
        </w:rPr>
        <w:t>9</w:t>
      </w:r>
      <w:r w:rsidRPr="000C156A">
        <w:rPr>
          <w:rFonts w:asciiTheme="minorHAnsi" w:eastAsiaTheme="minorEastAsia" w:hAnsiTheme="minorHAnsi" w:cstheme="minorHAnsi"/>
          <w:lang w:eastAsia="zh-CN"/>
        </w:rPr>
        <w:t>年的比例为</w:t>
      </w:r>
      <w:r w:rsidRPr="000C156A">
        <w:rPr>
          <w:rFonts w:asciiTheme="minorHAnsi" w:eastAsiaTheme="minorEastAsia" w:hAnsiTheme="minorHAnsi" w:cstheme="minorHAnsi"/>
          <w:lang w:eastAsia="zh-CN"/>
        </w:rPr>
        <w:t>1</w:t>
      </w:r>
      <w:r>
        <w:rPr>
          <w:rFonts w:asciiTheme="minorHAnsi" w:eastAsiaTheme="minorEastAsia" w:hAnsiTheme="minorHAnsi" w:cstheme="minorHAnsi"/>
          <w:lang w:eastAsia="zh-CN"/>
        </w:rPr>
        <w:t>44</w:t>
      </w:r>
      <w:r w:rsidRPr="000C156A">
        <w:rPr>
          <w:rFonts w:asciiTheme="minorHAnsi" w:eastAsiaTheme="minorEastAsia" w:hAnsiTheme="minorHAnsi" w:cstheme="minorHAnsi"/>
          <w:lang w:eastAsia="zh-CN"/>
        </w:rPr>
        <w:t>.</w:t>
      </w:r>
      <w:r>
        <w:rPr>
          <w:rFonts w:asciiTheme="minorHAnsi" w:eastAsiaTheme="minorEastAsia" w:hAnsiTheme="minorHAnsi" w:cstheme="minorHAnsi"/>
          <w:lang w:eastAsia="zh-CN"/>
        </w:rPr>
        <w:t>4</w:t>
      </w:r>
      <w:r w:rsidRPr="000C156A">
        <w:rPr>
          <w:rFonts w:asciiTheme="minorHAnsi" w:eastAsiaTheme="minorEastAsia" w:hAnsiTheme="minorHAnsi" w:cstheme="minorHAnsi"/>
          <w:lang w:eastAsia="zh-CN"/>
        </w:rPr>
        <w:t>%</w:t>
      </w:r>
      <w:r w:rsidRPr="000C156A">
        <w:rPr>
          <w:rFonts w:asciiTheme="minorHAnsi" w:eastAsiaTheme="minorEastAsia" w:hAnsiTheme="minorHAnsi" w:cstheme="minorHAnsi"/>
          <w:lang w:eastAsia="zh-CN"/>
        </w:rPr>
        <w:t>）。</w:t>
      </w:r>
    </w:p>
    <w:p w14:paraId="4FA9FEA1" w14:textId="77777777" w:rsidR="00232E78" w:rsidRPr="000C156A" w:rsidRDefault="00232E78" w:rsidP="00232E78">
      <w:pPr>
        <w:ind w:firstLineChars="200" w:firstLine="480"/>
        <w:rPr>
          <w:spacing w:val="4"/>
          <w:lang w:eastAsia="zh-CN"/>
        </w:rPr>
      </w:pPr>
      <w:r w:rsidRPr="000C156A">
        <w:rPr>
          <w:rFonts w:hint="eastAsia"/>
          <w:lang w:eastAsia="zh-CN"/>
        </w:rPr>
        <w:t>咨询精算师在评估了基金的精算充分性之后得出结论，截至</w:t>
      </w:r>
      <w:r w:rsidRPr="000C156A">
        <w:rPr>
          <w:rFonts w:hint="eastAsia"/>
          <w:lang w:eastAsia="zh-CN"/>
        </w:rPr>
        <w:t>20</w:t>
      </w:r>
      <w:r>
        <w:rPr>
          <w:lang w:eastAsia="zh-CN"/>
        </w:rPr>
        <w:t>21</w:t>
      </w:r>
      <w:r w:rsidRPr="000C156A">
        <w:rPr>
          <w:rFonts w:hint="eastAsia"/>
          <w:lang w:eastAsia="zh-CN"/>
        </w:rPr>
        <w:t>年</w:t>
      </w:r>
      <w:r w:rsidRPr="000C156A">
        <w:rPr>
          <w:rFonts w:hint="eastAsia"/>
          <w:lang w:eastAsia="zh-CN"/>
        </w:rPr>
        <w:t>12</w:t>
      </w:r>
      <w:r w:rsidRPr="000C156A">
        <w:rPr>
          <w:rFonts w:hint="eastAsia"/>
          <w:lang w:eastAsia="zh-CN"/>
        </w:rPr>
        <w:t>月</w:t>
      </w:r>
      <w:r w:rsidRPr="000C156A">
        <w:rPr>
          <w:rFonts w:hint="eastAsia"/>
          <w:lang w:eastAsia="zh-CN"/>
        </w:rPr>
        <w:t>31</w:t>
      </w:r>
      <w:r w:rsidRPr="000C156A">
        <w:rPr>
          <w:rFonts w:hint="eastAsia"/>
          <w:lang w:eastAsia="zh-CN"/>
        </w:rPr>
        <w:t>日，没有根据《养恤基金管理办法》第</w:t>
      </w:r>
      <w:r w:rsidRPr="000C156A">
        <w:rPr>
          <w:lang w:eastAsia="zh-CN"/>
        </w:rPr>
        <w:t>26</w:t>
      </w:r>
      <w:r w:rsidRPr="000C156A">
        <w:rPr>
          <w:rFonts w:hint="eastAsia"/>
          <w:lang w:eastAsia="zh-CN"/>
        </w:rPr>
        <w:t>条进行亏空补贴的需求，因为</w:t>
      </w:r>
      <w:r w:rsidRPr="000C156A">
        <w:rPr>
          <w:lang w:eastAsia="zh-CN"/>
        </w:rPr>
        <w:t>资产的精算价</w:t>
      </w:r>
      <w:r w:rsidRPr="000C156A">
        <w:rPr>
          <w:rFonts w:hint="eastAsia"/>
          <w:lang w:eastAsia="zh-CN"/>
        </w:rPr>
        <w:t>值超出了养恤</w:t>
      </w:r>
      <w:r w:rsidRPr="000C156A">
        <w:rPr>
          <w:rFonts w:hint="eastAsia"/>
          <w:spacing w:val="4"/>
          <w:lang w:eastAsia="zh-CN"/>
        </w:rPr>
        <w:t>金计划所有</w:t>
      </w:r>
      <w:r w:rsidRPr="000C156A">
        <w:rPr>
          <w:spacing w:val="4"/>
          <w:lang w:eastAsia="zh-CN"/>
        </w:rPr>
        <w:t>应计负债的精算价</w:t>
      </w:r>
      <w:r w:rsidRPr="000C156A">
        <w:rPr>
          <w:rFonts w:hint="eastAsia"/>
          <w:spacing w:val="4"/>
          <w:lang w:eastAsia="zh-CN"/>
        </w:rPr>
        <w:t>值。此外，资产市值亦超出了估值日</w:t>
      </w:r>
      <w:r w:rsidRPr="000C156A">
        <w:rPr>
          <w:spacing w:val="4"/>
          <w:lang w:eastAsia="zh-CN"/>
        </w:rPr>
        <w:t>所有应计负债的精算价</w:t>
      </w:r>
      <w:r w:rsidRPr="000C156A">
        <w:rPr>
          <w:rFonts w:hint="eastAsia"/>
          <w:spacing w:val="4"/>
          <w:lang w:eastAsia="zh-CN"/>
        </w:rPr>
        <w:t>值。在起草本报告时，联合国大会尚未启动第</w:t>
      </w:r>
      <w:r w:rsidRPr="000C156A">
        <w:rPr>
          <w:spacing w:val="4"/>
          <w:lang w:eastAsia="zh-CN"/>
        </w:rPr>
        <w:t>26</w:t>
      </w:r>
      <w:r w:rsidRPr="000C156A">
        <w:rPr>
          <w:rFonts w:hint="eastAsia"/>
          <w:spacing w:val="4"/>
          <w:lang w:eastAsia="zh-CN"/>
        </w:rPr>
        <w:t>条的规定。</w:t>
      </w:r>
    </w:p>
    <w:p w14:paraId="479A384F" w14:textId="77777777" w:rsidR="00232E78" w:rsidRPr="000C156A" w:rsidRDefault="00232E78" w:rsidP="00232E78">
      <w:pPr>
        <w:tabs>
          <w:tab w:val="num" w:pos="1080"/>
        </w:tabs>
        <w:ind w:firstLineChars="200" w:firstLine="480"/>
        <w:rPr>
          <w:lang w:eastAsia="zh-CN"/>
        </w:rPr>
      </w:pPr>
      <w:r w:rsidRPr="000C156A">
        <w:rPr>
          <w:rFonts w:hint="eastAsia"/>
          <w:lang w:eastAsia="zh-CN"/>
        </w:rPr>
        <w:t>如果由于精算亏空而启动第</w:t>
      </w:r>
      <w:r w:rsidRPr="000C156A">
        <w:rPr>
          <w:rFonts w:hint="eastAsia"/>
          <w:lang w:eastAsia="zh-CN"/>
        </w:rPr>
        <w:t>26</w:t>
      </w:r>
      <w:r w:rsidRPr="000C156A">
        <w:rPr>
          <w:rFonts w:hint="eastAsia"/>
          <w:lang w:eastAsia="zh-CN"/>
        </w:rPr>
        <w:t>条，无论是在该基金运行期间还是在其终止之后，每个成员组织所需支付的亏空均应以估值日之前三年中的成员组织缴费与基金总缴费的占比为基础进行计算。前三年（</w:t>
      </w:r>
      <w:r w:rsidRPr="000C156A">
        <w:rPr>
          <w:rFonts w:hint="eastAsia"/>
          <w:lang w:eastAsia="zh-CN"/>
        </w:rPr>
        <w:t>201</w:t>
      </w:r>
      <w:r>
        <w:rPr>
          <w:lang w:eastAsia="zh-CN"/>
        </w:rPr>
        <w:t>9</w:t>
      </w:r>
      <w:r w:rsidRPr="000C156A">
        <w:rPr>
          <w:rFonts w:hint="eastAsia"/>
          <w:lang w:eastAsia="zh-CN"/>
        </w:rPr>
        <w:t>、</w:t>
      </w:r>
      <w:r w:rsidRPr="000C156A">
        <w:rPr>
          <w:rFonts w:hint="eastAsia"/>
          <w:lang w:eastAsia="zh-CN"/>
        </w:rPr>
        <w:t>20</w:t>
      </w:r>
      <w:r>
        <w:rPr>
          <w:lang w:eastAsia="zh-CN"/>
        </w:rPr>
        <w:t>20</w:t>
      </w:r>
      <w:r w:rsidRPr="000C156A">
        <w:rPr>
          <w:rFonts w:hint="eastAsia"/>
          <w:lang w:eastAsia="zh-CN"/>
        </w:rPr>
        <w:t>和</w:t>
      </w:r>
      <w:r w:rsidRPr="000C156A">
        <w:rPr>
          <w:rFonts w:hint="eastAsia"/>
          <w:lang w:eastAsia="zh-CN"/>
        </w:rPr>
        <w:t>20</w:t>
      </w:r>
      <w:r>
        <w:rPr>
          <w:lang w:eastAsia="zh-CN"/>
        </w:rPr>
        <w:t>2</w:t>
      </w:r>
      <w:r w:rsidRPr="000C156A">
        <w:rPr>
          <w:rFonts w:hint="eastAsia"/>
          <w:lang w:eastAsia="zh-CN"/>
        </w:rPr>
        <w:t>1</w:t>
      </w:r>
      <w:r w:rsidRPr="000C156A">
        <w:rPr>
          <w:rFonts w:hint="eastAsia"/>
          <w:lang w:eastAsia="zh-CN"/>
        </w:rPr>
        <w:t>年）中该基金的总缴费为</w:t>
      </w:r>
      <w:r>
        <w:rPr>
          <w:rFonts w:hint="eastAsia"/>
          <w:lang w:eastAsia="zh-CN"/>
        </w:rPr>
        <w:t>8</w:t>
      </w:r>
      <w:r>
        <w:rPr>
          <w:lang w:eastAsia="zh-CN"/>
        </w:rPr>
        <w:t>5</w:t>
      </w:r>
      <w:r w:rsidRPr="000C156A">
        <w:rPr>
          <w:rFonts w:hint="eastAsia"/>
          <w:lang w:eastAsia="zh-CN"/>
        </w:rPr>
        <w:t>.</w:t>
      </w:r>
      <w:r>
        <w:rPr>
          <w:lang w:eastAsia="zh-CN"/>
        </w:rPr>
        <w:t>05</w:t>
      </w:r>
      <w:r w:rsidRPr="000C156A">
        <w:rPr>
          <w:rFonts w:hint="eastAsia"/>
          <w:lang w:eastAsia="zh-CN"/>
        </w:rPr>
        <w:t>亿美元，其中国际电联缴费占</w:t>
      </w:r>
      <w:r w:rsidRPr="000C156A">
        <w:rPr>
          <w:lang w:eastAsia="zh-CN"/>
        </w:rPr>
        <w:t>0.3</w:t>
      </w:r>
      <w:r>
        <w:rPr>
          <w:lang w:eastAsia="zh-CN"/>
        </w:rPr>
        <w:t>4</w:t>
      </w:r>
      <w:r w:rsidRPr="000C156A">
        <w:rPr>
          <w:rFonts w:hint="eastAsia"/>
          <w:lang w:eastAsia="zh-CN"/>
        </w:rPr>
        <w:t>%</w:t>
      </w:r>
      <w:r w:rsidRPr="000C156A">
        <w:rPr>
          <w:rFonts w:hint="eastAsia"/>
          <w:lang w:eastAsia="zh-CN"/>
        </w:rPr>
        <w:t>。</w:t>
      </w:r>
    </w:p>
    <w:p w14:paraId="026F1608" w14:textId="77777777" w:rsidR="00232E78" w:rsidRPr="000C156A" w:rsidRDefault="00232E78" w:rsidP="00232E78">
      <w:pPr>
        <w:tabs>
          <w:tab w:val="num" w:pos="1080"/>
        </w:tabs>
        <w:ind w:firstLineChars="200" w:firstLine="480"/>
        <w:rPr>
          <w:lang w:eastAsia="zh-CN"/>
        </w:rPr>
      </w:pPr>
      <w:r w:rsidRPr="000C156A">
        <w:rPr>
          <w:rFonts w:hint="eastAsia"/>
          <w:lang w:eastAsia="zh-CN"/>
        </w:rPr>
        <w:t>202</w:t>
      </w:r>
      <w:r>
        <w:rPr>
          <w:lang w:eastAsia="zh-CN"/>
        </w:rPr>
        <w:t>2</w:t>
      </w:r>
      <w:r w:rsidRPr="000C156A">
        <w:rPr>
          <w:rFonts w:hint="eastAsia"/>
          <w:lang w:eastAsia="zh-CN"/>
        </w:rPr>
        <w:t>年间，支付给该基金的缴费为</w:t>
      </w:r>
      <w:r w:rsidRPr="000C156A">
        <w:rPr>
          <w:rFonts w:hint="eastAsia"/>
          <w:lang w:eastAsia="zh-CN"/>
        </w:rPr>
        <w:t>2</w:t>
      </w:r>
      <w:r w:rsidRPr="000C156A">
        <w:rPr>
          <w:lang w:eastAsia="zh-CN"/>
        </w:rPr>
        <w:t xml:space="preserve"> </w:t>
      </w:r>
      <w:r>
        <w:rPr>
          <w:lang w:eastAsia="zh-CN"/>
        </w:rPr>
        <w:t>7</w:t>
      </w:r>
      <w:r w:rsidRPr="000C156A">
        <w:rPr>
          <w:lang w:eastAsia="zh-CN"/>
        </w:rPr>
        <w:t>7</w:t>
      </w:r>
      <w:r>
        <w:rPr>
          <w:lang w:eastAsia="zh-CN"/>
        </w:rPr>
        <w:t>0</w:t>
      </w:r>
      <w:r w:rsidRPr="000C156A">
        <w:rPr>
          <w:rFonts w:hint="eastAsia"/>
          <w:lang w:eastAsia="zh-CN"/>
        </w:rPr>
        <w:t>万</w:t>
      </w:r>
      <w:r>
        <w:rPr>
          <w:rFonts w:hint="eastAsia"/>
          <w:lang w:eastAsia="zh-CN"/>
        </w:rPr>
        <w:t>瑞郎</w:t>
      </w:r>
      <w:r w:rsidRPr="000C156A">
        <w:rPr>
          <w:rFonts w:hint="eastAsia"/>
          <w:lang w:eastAsia="zh-CN"/>
        </w:rPr>
        <w:t>（</w:t>
      </w:r>
      <w:r>
        <w:rPr>
          <w:rFonts w:hint="eastAsia"/>
          <w:lang w:eastAsia="zh-CN"/>
        </w:rPr>
        <w:t>2</w:t>
      </w:r>
      <w:r>
        <w:rPr>
          <w:lang w:eastAsia="zh-CN"/>
        </w:rPr>
        <w:t xml:space="preserve"> 890</w:t>
      </w:r>
      <w:r>
        <w:rPr>
          <w:rFonts w:hint="eastAsia"/>
          <w:lang w:eastAsia="zh-CN"/>
        </w:rPr>
        <w:t>万瑞郎）（</w:t>
      </w:r>
      <w:r w:rsidRPr="000C156A">
        <w:rPr>
          <w:rFonts w:hint="eastAsia"/>
          <w:lang w:eastAsia="zh-CN"/>
        </w:rPr>
        <w:t>20</w:t>
      </w:r>
      <w:r>
        <w:rPr>
          <w:lang w:eastAsia="zh-CN"/>
        </w:rPr>
        <w:t>2</w:t>
      </w:r>
      <w:r w:rsidRPr="000C156A">
        <w:rPr>
          <w:rFonts w:hint="eastAsia"/>
          <w:lang w:eastAsia="zh-CN"/>
        </w:rPr>
        <w:t>1</w:t>
      </w:r>
      <w:r w:rsidRPr="000C156A">
        <w:rPr>
          <w:rFonts w:hint="eastAsia"/>
          <w:lang w:eastAsia="zh-CN"/>
        </w:rPr>
        <w:t>年为</w:t>
      </w:r>
      <w:r w:rsidRPr="000C156A">
        <w:rPr>
          <w:rFonts w:hint="eastAsia"/>
          <w:lang w:eastAsia="zh-CN"/>
        </w:rPr>
        <w:t>2</w:t>
      </w:r>
      <w:r w:rsidRPr="000C156A">
        <w:rPr>
          <w:lang w:eastAsia="zh-CN"/>
        </w:rPr>
        <w:t xml:space="preserve"> 5</w:t>
      </w:r>
      <w:r>
        <w:rPr>
          <w:lang w:eastAsia="zh-CN"/>
        </w:rPr>
        <w:t>7</w:t>
      </w:r>
      <w:r w:rsidRPr="000C156A">
        <w:rPr>
          <w:rFonts w:hint="eastAsia"/>
          <w:lang w:eastAsia="zh-CN"/>
        </w:rPr>
        <w:t>0</w:t>
      </w:r>
      <w:r w:rsidRPr="000C156A">
        <w:rPr>
          <w:rFonts w:hint="eastAsia"/>
          <w:lang w:eastAsia="zh-CN"/>
        </w:rPr>
        <w:t>万</w:t>
      </w:r>
      <w:r>
        <w:rPr>
          <w:rFonts w:hint="eastAsia"/>
          <w:lang w:eastAsia="zh-CN"/>
        </w:rPr>
        <w:t>瑞郎</w:t>
      </w:r>
      <w:r w:rsidRPr="000C156A">
        <w:rPr>
          <w:rFonts w:hint="eastAsia"/>
          <w:lang w:eastAsia="zh-CN"/>
        </w:rPr>
        <w:t>）。</w:t>
      </w:r>
      <w:r w:rsidRPr="000C156A">
        <w:rPr>
          <w:rFonts w:hint="eastAsia"/>
          <w:lang w:eastAsia="zh-CN"/>
        </w:rPr>
        <w:t>20</w:t>
      </w:r>
      <w:r w:rsidRPr="000C156A">
        <w:rPr>
          <w:lang w:eastAsia="zh-CN"/>
        </w:rPr>
        <w:t>2</w:t>
      </w:r>
      <w:r>
        <w:rPr>
          <w:lang w:eastAsia="zh-CN"/>
        </w:rPr>
        <w:t>3</w:t>
      </w:r>
      <w:r w:rsidRPr="000C156A">
        <w:rPr>
          <w:rFonts w:hint="eastAsia"/>
          <w:lang w:eastAsia="zh-CN"/>
        </w:rPr>
        <w:t>年预计待缴费约</w:t>
      </w:r>
      <w:r w:rsidRPr="000C156A">
        <w:rPr>
          <w:rFonts w:hint="eastAsia"/>
          <w:lang w:eastAsia="zh-CN"/>
        </w:rPr>
        <w:t>2</w:t>
      </w:r>
      <w:r w:rsidRPr="000C156A">
        <w:rPr>
          <w:lang w:eastAsia="zh-CN"/>
        </w:rPr>
        <w:t xml:space="preserve"> </w:t>
      </w:r>
      <w:r>
        <w:rPr>
          <w:lang w:eastAsia="zh-CN"/>
        </w:rPr>
        <w:t>92</w:t>
      </w:r>
      <w:r w:rsidRPr="000C156A">
        <w:rPr>
          <w:rFonts w:hint="eastAsia"/>
          <w:lang w:eastAsia="zh-CN"/>
        </w:rPr>
        <w:t>0</w:t>
      </w:r>
      <w:r w:rsidRPr="000C156A">
        <w:rPr>
          <w:rFonts w:hint="eastAsia"/>
          <w:lang w:eastAsia="zh-CN"/>
        </w:rPr>
        <w:t>万美元。</w:t>
      </w:r>
    </w:p>
    <w:p w14:paraId="7AACD086" w14:textId="77777777" w:rsidR="00232E78" w:rsidRPr="000C156A" w:rsidRDefault="00232E78" w:rsidP="00232E78">
      <w:pPr>
        <w:tabs>
          <w:tab w:val="num" w:pos="1080"/>
        </w:tabs>
        <w:ind w:firstLineChars="200" w:firstLine="480"/>
        <w:jc w:val="both"/>
        <w:rPr>
          <w:lang w:eastAsia="zh-CN"/>
        </w:rPr>
      </w:pPr>
      <w:r w:rsidRPr="000C156A">
        <w:rPr>
          <w:rFonts w:hint="eastAsia"/>
          <w:lang w:eastAsia="zh-CN"/>
        </w:rPr>
        <w:t>联合国大会可根据养恤金委员会的建议，决定终止某组织的基金成员资格。根据该组织与基金商定的安排，基金须在终止日按基金总资产的一定比例向前成员组织返还养恤金，专门用于当日仍为基金成员的该组织的职员福利。返还金额将由联合国合办职员养恤金委员会根据终止日的资产和负债的精算估值确定；任何超出负债的资产不含在此金额中。</w:t>
      </w:r>
    </w:p>
    <w:p w14:paraId="52C8978C" w14:textId="77777777" w:rsidR="00232E78" w:rsidRPr="000C156A" w:rsidRDefault="00232E78" w:rsidP="00232E78">
      <w:pPr>
        <w:ind w:firstLineChars="200" w:firstLine="480"/>
        <w:rPr>
          <w:lang w:eastAsia="zh-CN"/>
        </w:rPr>
      </w:pPr>
      <w:r w:rsidRPr="000C156A">
        <w:rPr>
          <w:rFonts w:hint="eastAsia"/>
          <w:lang w:eastAsia="zh-CN"/>
        </w:rPr>
        <w:lastRenderedPageBreak/>
        <w:t>联合国审计委员会每年对该基金进行年度审计并向养恤金委员会和联合国大会提交审计报告。该基金每季度发表投资报告，可通过</w:t>
      </w:r>
      <w:hyperlink r:id="rId63" w:history="1">
        <w:r w:rsidRPr="000C156A">
          <w:rPr>
            <w:rStyle w:val="Hyperlink"/>
            <w:lang w:eastAsia="zh-CN"/>
          </w:rPr>
          <w:t>www.unjspf.org</w:t>
        </w:r>
      </w:hyperlink>
      <w:r w:rsidRPr="000C156A">
        <w:rPr>
          <w:rFonts w:hint="eastAsia"/>
          <w:lang w:eastAsia="zh-CN"/>
        </w:rPr>
        <w:t>查阅。</w:t>
      </w:r>
    </w:p>
    <w:p w14:paraId="746AB1CB" w14:textId="77777777" w:rsidR="00232E78" w:rsidRDefault="00232E78" w:rsidP="00232E78">
      <w:pPr>
        <w:pStyle w:val="TableTitle0"/>
        <w:spacing w:before="240"/>
        <w:rPr>
          <w:rFonts w:ascii="SimSun" w:hAnsi="SimSun" w:cs="SimSun"/>
          <w:lang w:val="en-GB" w:eastAsia="zh-CN"/>
        </w:rPr>
      </w:pPr>
      <w:r w:rsidRPr="000C156A">
        <w:rPr>
          <w:lang w:val="en-GB" w:eastAsia="zh-CN"/>
        </w:rPr>
        <w:t>202</w:t>
      </w:r>
      <w:r>
        <w:rPr>
          <w:lang w:val="en-GB" w:eastAsia="zh-CN"/>
        </w:rPr>
        <w:t>2</w:t>
      </w:r>
      <w:r w:rsidRPr="000C156A">
        <w:rPr>
          <w:rFonts w:ascii="SimSun" w:hAnsi="SimSun" w:cs="SimSun" w:hint="eastAsia"/>
          <w:lang w:eastAsia="zh-CN"/>
        </w:rPr>
        <w:t>年</w:t>
      </w:r>
      <w:r w:rsidRPr="000C156A">
        <w:rPr>
          <w:lang w:val="en-GB" w:eastAsia="zh-CN"/>
        </w:rPr>
        <w:t>1</w:t>
      </w:r>
      <w:r w:rsidRPr="000C156A">
        <w:rPr>
          <w:rFonts w:ascii="SimSun" w:hAnsi="SimSun" w:cs="SimSun" w:hint="eastAsia"/>
          <w:lang w:eastAsia="zh-CN"/>
        </w:rPr>
        <w:t>月</w:t>
      </w:r>
      <w:r w:rsidRPr="000C156A">
        <w:rPr>
          <w:lang w:val="en-GB" w:eastAsia="zh-CN"/>
        </w:rPr>
        <w:t>1</w:t>
      </w:r>
      <w:r w:rsidRPr="000C156A">
        <w:rPr>
          <w:rFonts w:ascii="SimSun" w:hAnsi="SimSun" w:cs="SimSun" w:hint="eastAsia"/>
          <w:lang w:eastAsia="zh-CN"/>
        </w:rPr>
        <w:t>日至</w:t>
      </w:r>
      <w:r w:rsidRPr="000C156A">
        <w:rPr>
          <w:lang w:val="en-GB" w:eastAsia="zh-CN"/>
        </w:rPr>
        <w:t>12</w:t>
      </w:r>
      <w:r w:rsidRPr="000C156A">
        <w:rPr>
          <w:rFonts w:ascii="SimSun" w:hAnsi="SimSun" w:cs="SimSun" w:hint="eastAsia"/>
          <w:lang w:eastAsia="zh-CN"/>
        </w:rPr>
        <w:t>月</w:t>
      </w:r>
      <w:r w:rsidRPr="000C156A">
        <w:rPr>
          <w:lang w:val="en-GB" w:eastAsia="zh-CN"/>
        </w:rPr>
        <w:t>31</w:t>
      </w:r>
      <w:r w:rsidRPr="000C156A">
        <w:rPr>
          <w:rFonts w:ascii="SimSun" w:hAnsi="SimSun" w:cs="SimSun" w:hint="eastAsia"/>
          <w:lang w:eastAsia="zh-CN"/>
        </w:rPr>
        <w:t>日向该基金缴纳款项</w:t>
      </w:r>
      <w:r>
        <w:rPr>
          <w:rFonts w:ascii="SimSun" w:hAnsi="SimSun" w:cs="SimSun" w:hint="eastAsia"/>
          <w:lang w:val="en-GB" w:eastAsia="zh-CN"/>
        </w:rPr>
        <w:t>的摘要</w:t>
      </w:r>
    </w:p>
    <w:p w14:paraId="3C33B414" w14:textId="77777777" w:rsidR="00232E78" w:rsidRDefault="00232E78" w:rsidP="0084762D">
      <w:pPr>
        <w:pStyle w:val="Figure"/>
        <w:rPr>
          <w:u w:val="single"/>
          <w:lang w:eastAsia="zh-CN"/>
        </w:rPr>
      </w:pPr>
      <w:r w:rsidRPr="00FF7DBF">
        <w:rPr>
          <w:noProof/>
        </w:rPr>
        <w:drawing>
          <wp:inline distT="0" distB="0" distL="0" distR="0" wp14:anchorId="2B56BD3D" wp14:editId="39A6A07B">
            <wp:extent cx="5760085" cy="1308735"/>
            <wp:effectExtent l="0" t="0" r="0" b="5715"/>
            <wp:docPr id="75105359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60085" cy="1308735"/>
                    </a:xfrm>
                    <a:prstGeom prst="rect">
                      <a:avLst/>
                    </a:prstGeom>
                    <a:noFill/>
                    <a:ln>
                      <a:noFill/>
                    </a:ln>
                  </pic:spPr>
                </pic:pic>
              </a:graphicData>
            </a:graphic>
          </wp:inline>
        </w:drawing>
      </w:r>
    </w:p>
    <w:p w14:paraId="26903C82" w14:textId="77777777" w:rsidR="00232E78" w:rsidRPr="000C156A" w:rsidRDefault="00232E78" w:rsidP="00232E78">
      <w:pPr>
        <w:keepNext/>
        <w:keepLines/>
        <w:spacing w:before="240"/>
        <w:rPr>
          <w:u w:val="single"/>
          <w:lang w:eastAsia="zh-CN"/>
        </w:rPr>
      </w:pPr>
      <w:r w:rsidRPr="000C156A">
        <w:rPr>
          <w:rFonts w:hint="eastAsia"/>
          <w:u w:val="single"/>
          <w:lang w:eastAsia="zh-CN"/>
        </w:rPr>
        <w:t>有关职员其它福利的承付款项</w:t>
      </w:r>
    </w:p>
    <w:p w14:paraId="066E0785" w14:textId="77777777" w:rsidR="00232E78" w:rsidRPr="000C156A" w:rsidRDefault="00232E78" w:rsidP="00232E78">
      <w:pPr>
        <w:ind w:firstLineChars="200" w:firstLine="480"/>
        <w:rPr>
          <w:lang w:eastAsia="zh-CN"/>
        </w:rPr>
      </w:pPr>
      <w:r w:rsidRPr="000C156A">
        <w:rPr>
          <w:rFonts w:hint="eastAsia"/>
          <w:lang w:eastAsia="zh-CN"/>
        </w:rPr>
        <w:t>在</w:t>
      </w:r>
      <w:r w:rsidRPr="000C156A">
        <w:rPr>
          <w:lang w:eastAsia="zh-CN"/>
        </w:rPr>
        <w:t>UNJSPF</w:t>
      </w:r>
      <w:r w:rsidRPr="000C156A">
        <w:rPr>
          <w:rFonts w:hint="eastAsia"/>
          <w:lang w:eastAsia="zh-CN"/>
        </w:rPr>
        <w:t>成立以及国际电联加入</w:t>
      </w:r>
      <w:r>
        <w:rPr>
          <w:rFonts w:hint="eastAsia"/>
          <w:lang w:eastAsia="zh-CN"/>
        </w:rPr>
        <w:t>此</w:t>
      </w:r>
      <w:r w:rsidRPr="000C156A">
        <w:rPr>
          <w:rFonts w:hint="eastAsia"/>
          <w:lang w:eastAsia="zh-CN"/>
        </w:rPr>
        <w:t>基金之前，国际电联已设立了相关基金，为其职员提供退休、亡故、残疾和健康保险等福利。自国际电联加入上述基金后，其此前设立的基金目前作为封闭基金运作，其承付款项现已显示为长期负债。国际电联已与其基金签署了协议，确保后者具有资金来源。</w:t>
      </w:r>
    </w:p>
    <w:p w14:paraId="462326F3" w14:textId="77777777" w:rsidR="00232E78" w:rsidRPr="000C156A" w:rsidRDefault="00232E78" w:rsidP="00232E78">
      <w:pPr>
        <w:ind w:firstLineChars="200" w:firstLine="480"/>
        <w:rPr>
          <w:lang w:eastAsia="zh-CN"/>
        </w:rPr>
      </w:pPr>
      <w:r w:rsidRPr="000C156A">
        <w:rPr>
          <w:lang w:eastAsia="zh-CN"/>
        </w:rPr>
        <w:t>202</w:t>
      </w:r>
      <w:r>
        <w:rPr>
          <w:lang w:eastAsia="zh-CN"/>
        </w:rPr>
        <w:t>2</w:t>
      </w:r>
      <w:r w:rsidRPr="000C156A">
        <w:rPr>
          <w:rFonts w:hint="eastAsia"/>
          <w:lang w:eastAsia="zh-CN"/>
        </w:rPr>
        <w:t>年，国际电联认为没有必要要求对国际电联职员退休和福利基金进行新的精算研究。截至</w:t>
      </w:r>
      <w:r w:rsidRPr="000C156A">
        <w:rPr>
          <w:lang w:eastAsia="zh-CN"/>
        </w:rPr>
        <w:t>202</w:t>
      </w:r>
      <w:r>
        <w:rPr>
          <w:lang w:eastAsia="zh-CN"/>
        </w:rPr>
        <w:t>2</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日，目前支付给参加国际电联职员退休和福利基金前职员的承付款项准备金没有变化，</w:t>
      </w:r>
      <w:r w:rsidRPr="000C156A">
        <w:rPr>
          <w:lang w:eastAsia="zh-CN"/>
        </w:rPr>
        <w:t>2010</w:t>
      </w:r>
      <w:r w:rsidRPr="000C156A">
        <w:rPr>
          <w:rFonts w:hint="eastAsia"/>
          <w:lang w:eastAsia="zh-CN"/>
        </w:rPr>
        <w:t>年的数额为</w:t>
      </w:r>
      <w:r w:rsidRPr="000C156A">
        <w:rPr>
          <w:rFonts w:hint="eastAsia"/>
          <w:lang w:eastAsia="zh-CN"/>
        </w:rPr>
        <w:t>54</w:t>
      </w:r>
      <w:r w:rsidRPr="000C156A">
        <w:rPr>
          <w:lang w:eastAsia="zh-CN"/>
        </w:rPr>
        <w:t xml:space="preserve"> 000</w:t>
      </w:r>
      <w:r w:rsidRPr="000C156A">
        <w:rPr>
          <w:rFonts w:hint="eastAsia"/>
          <w:lang w:eastAsia="zh-CN"/>
        </w:rPr>
        <w:t>瑞郎的准备金。</w:t>
      </w:r>
    </w:p>
    <w:p w14:paraId="4D9A0381" w14:textId="77777777" w:rsidR="00232E78" w:rsidRPr="000C156A" w:rsidRDefault="00232E78" w:rsidP="00232E78">
      <w:pPr>
        <w:pStyle w:val="Heading1"/>
        <w:tabs>
          <w:tab w:val="clear" w:pos="794"/>
        </w:tabs>
        <w:spacing w:before="240" w:after="120"/>
        <w:ind w:left="1134" w:hanging="1134"/>
        <w:rPr>
          <w:sz w:val="24"/>
          <w:szCs w:val="24"/>
          <w:lang w:eastAsia="zh-CN"/>
        </w:rPr>
      </w:pPr>
      <w:bookmarkStart w:id="601" w:name="_Toc304406447"/>
      <w:bookmarkStart w:id="602" w:name="_Toc482892578"/>
      <w:bookmarkStart w:id="603" w:name="_Toc482870843"/>
      <w:bookmarkStart w:id="604" w:name="_Toc329165794"/>
      <w:bookmarkStart w:id="605" w:name="_Toc305594752"/>
      <w:bookmarkStart w:id="606" w:name="_Toc511813762"/>
      <w:bookmarkStart w:id="607" w:name="_Toc511817845"/>
      <w:bookmarkStart w:id="608" w:name="_Toc520280745"/>
      <w:bookmarkStart w:id="609" w:name="_Toc10536840"/>
      <w:bookmarkStart w:id="610" w:name="_Toc41905891"/>
      <w:bookmarkStart w:id="611" w:name="_Toc41906912"/>
      <w:bookmarkStart w:id="612" w:name="_Toc41907993"/>
      <w:bookmarkStart w:id="613" w:name="_Toc41908061"/>
      <w:bookmarkStart w:id="614" w:name="_Toc73518709"/>
      <w:bookmarkStart w:id="615" w:name="_Toc73518856"/>
      <w:bookmarkStart w:id="616" w:name="_Toc73519256"/>
      <w:bookmarkStart w:id="617" w:name="_Toc73636295"/>
      <w:bookmarkStart w:id="618" w:name="_Toc163723302"/>
      <w:r w:rsidRPr="000C156A">
        <w:rPr>
          <w:rFonts w:cs="Microsoft YaHei" w:hint="eastAsia"/>
          <w:sz w:val="24"/>
          <w:szCs w:val="24"/>
          <w:lang w:val="fr-FR" w:eastAsia="zh-CN"/>
        </w:rPr>
        <w:t>说明</w:t>
      </w:r>
      <w:r w:rsidRPr="000C156A">
        <w:rPr>
          <w:sz w:val="24"/>
          <w:szCs w:val="24"/>
          <w:lang w:eastAsia="zh-CN"/>
        </w:rPr>
        <w:t>1</w:t>
      </w:r>
      <w:r>
        <w:rPr>
          <w:sz w:val="24"/>
          <w:szCs w:val="24"/>
          <w:lang w:eastAsia="zh-CN"/>
        </w:rPr>
        <w:t>9</w:t>
      </w:r>
      <w:r w:rsidRPr="000C156A">
        <w:rPr>
          <w:sz w:val="24"/>
          <w:szCs w:val="24"/>
          <w:lang w:eastAsia="zh-CN"/>
        </w:rPr>
        <w:tab/>
      </w:r>
      <w:bookmarkEnd w:id="601"/>
      <w:r w:rsidRPr="000C156A">
        <w:rPr>
          <w:rFonts w:cs="Microsoft YaHei" w:hint="eastAsia"/>
          <w:sz w:val="24"/>
          <w:szCs w:val="24"/>
          <w:lang w:val="fr-FR" w:eastAsia="zh-CN"/>
        </w:rPr>
        <w:t>准备金</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288553CA" w14:textId="77777777" w:rsidR="00232E78" w:rsidRPr="000C156A" w:rsidRDefault="00232E78" w:rsidP="00232E78">
      <w:pPr>
        <w:ind w:firstLineChars="200" w:firstLine="480"/>
        <w:rPr>
          <w:lang w:eastAsia="zh-CN"/>
        </w:rPr>
      </w:pPr>
      <w:r w:rsidRPr="000C156A">
        <w:rPr>
          <w:rFonts w:hint="eastAsia"/>
          <w:lang w:eastAsia="zh-CN"/>
        </w:rPr>
        <w:t>风险和费用准备金包括诉讼准备金，该准备金是对与一过去事件相关的未来承付款项结账日期时的</w:t>
      </w:r>
      <w:r>
        <w:rPr>
          <w:rFonts w:hint="eastAsia"/>
          <w:lang w:eastAsia="zh-CN"/>
        </w:rPr>
        <w:t>管理</w:t>
      </w:r>
      <w:r w:rsidRPr="000C156A">
        <w:rPr>
          <w:rFonts w:hint="eastAsia"/>
          <w:lang w:eastAsia="zh-CN"/>
        </w:rPr>
        <w:t>估值（国际电联是各事件争议所涉方之一），但亦包括向仲裁法庭提交每项诉讼所支付的行政费用的平均成本。</w:t>
      </w:r>
      <w:r w:rsidRPr="002D4FA8">
        <w:rPr>
          <w:rFonts w:hint="eastAsia"/>
          <w:lang w:eastAsia="zh-CN"/>
        </w:rPr>
        <w:t>国际电联无法确定这些争议</w:t>
      </w:r>
      <w:r>
        <w:rPr>
          <w:rFonts w:hint="eastAsia"/>
          <w:lang w:eastAsia="zh-CN"/>
        </w:rPr>
        <w:t>导致的</w:t>
      </w:r>
      <w:r w:rsidRPr="002D4FA8">
        <w:rPr>
          <w:rFonts w:hint="eastAsia"/>
          <w:lang w:eastAsia="zh-CN"/>
        </w:rPr>
        <w:t>最终</w:t>
      </w:r>
      <w:r>
        <w:rPr>
          <w:rFonts w:hint="eastAsia"/>
          <w:lang w:eastAsia="zh-CN"/>
        </w:rPr>
        <w:t>费用</w:t>
      </w:r>
      <w:r w:rsidRPr="002D4FA8">
        <w:rPr>
          <w:rFonts w:hint="eastAsia"/>
          <w:lang w:eastAsia="zh-CN"/>
        </w:rPr>
        <w:t>和</w:t>
      </w:r>
      <w:r>
        <w:rPr>
          <w:rFonts w:hint="eastAsia"/>
          <w:lang w:eastAsia="zh-CN"/>
        </w:rPr>
        <w:t>付款</w:t>
      </w:r>
      <w:r w:rsidRPr="002D4FA8">
        <w:rPr>
          <w:rFonts w:hint="eastAsia"/>
          <w:lang w:eastAsia="zh-CN"/>
        </w:rPr>
        <w:t>时间</w:t>
      </w:r>
      <w:r>
        <w:rPr>
          <w:rFonts w:hint="eastAsia"/>
          <w:lang w:eastAsia="zh-CN"/>
        </w:rPr>
        <w:t>。</w:t>
      </w:r>
    </w:p>
    <w:p w14:paraId="1DEC43C0" w14:textId="77777777" w:rsidR="00232E78" w:rsidRDefault="00232E78" w:rsidP="00232E78">
      <w:pPr>
        <w:spacing w:after="240"/>
        <w:ind w:firstLineChars="200" w:firstLine="480"/>
        <w:rPr>
          <w:lang w:eastAsia="zh-CN"/>
        </w:rPr>
      </w:pPr>
      <w:r w:rsidRPr="000C156A">
        <w:rPr>
          <w:rFonts w:hint="eastAsia"/>
          <w:lang w:eastAsia="zh-CN"/>
        </w:rPr>
        <w:t>卫星网络申报（</w:t>
      </w:r>
      <w:r w:rsidRPr="000C156A">
        <w:rPr>
          <w:lang w:eastAsia="zh-CN"/>
        </w:rPr>
        <w:t>SNF</w:t>
      </w:r>
      <w:r w:rsidRPr="000C156A">
        <w:rPr>
          <w:rFonts w:hint="eastAsia"/>
          <w:lang w:eastAsia="zh-CN"/>
        </w:rPr>
        <w:t>）准备金</w:t>
      </w:r>
      <w:r>
        <w:rPr>
          <w:rFonts w:hint="eastAsia"/>
          <w:lang w:eastAsia="zh-CN"/>
        </w:rPr>
        <w:t>针对的对象</w:t>
      </w:r>
      <w:r w:rsidRPr="000C156A">
        <w:rPr>
          <w:rFonts w:hint="eastAsia"/>
          <w:lang w:eastAsia="zh-CN"/>
        </w:rPr>
        <w:t>包括</w:t>
      </w:r>
      <w:r>
        <w:rPr>
          <w:rFonts w:hint="eastAsia"/>
          <w:lang w:eastAsia="zh-CN"/>
        </w:rPr>
        <w:t>主管部门</w:t>
      </w:r>
      <w:r w:rsidRPr="000C156A">
        <w:rPr>
          <w:rFonts w:hint="eastAsia"/>
          <w:lang w:eastAsia="zh-CN"/>
        </w:rPr>
        <w:t>有权要求</w:t>
      </w:r>
      <w:r>
        <w:rPr>
          <w:rFonts w:hint="eastAsia"/>
          <w:lang w:eastAsia="zh-CN"/>
        </w:rPr>
        <w:t>每</w:t>
      </w:r>
      <w:r w:rsidRPr="000C156A">
        <w:rPr>
          <w:rFonts w:hint="eastAsia"/>
          <w:lang w:eastAsia="zh-CN"/>
        </w:rPr>
        <w:t>年免费</w:t>
      </w:r>
      <w:r>
        <w:rPr>
          <w:rFonts w:hint="eastAsia"/>
          <w:lang w:eastAsia="zh-CN"/>
        </w:rPr>
        <w:t>发</w:t>
      </w:r>
      <w:r w:rsidRPr="000C156A">
        <w:rPr>
          <w:rFonts w:hint="eastAsia"/>
          <w:lang w:eastAsia="zh-CN"/>
        </w:rPr>
        <w:t>布</w:t>
      </w:r>
      <w:r>
        <w:rPr>
          <w:rFonts w:hint="eastAsia"/>
          <w:lang w:eastAsia="zh-CN"/>
        </w:rPr>
        <w:t>但尚未减免的金</w:t>
      </w:r>
      <w:r w:rsidRPr="000C156A">
        <w:rPr>
          <w:rFonts w:hint="eastAsia"/>
          <w:lang w:eastAsia="zh-CN"/>
        </w:rPr>
        <w:t>额。在</w:t>
      </w:r>
      <w:r>
        <w:rPr>
          <w:rFonts w:hint="eastAsia"/>
          <w:lang w:eastAsia="zh-CN"/>
        </w:rPr>
        <w:t>2</w:t>
      </w:r>
      <w:r>
        <w:rPr>
          <w:lang w:eastAsia="zh-CN"/>
        </w:rPr>
        <w:t>023</w:t>
      </w:r>
      <w:r>
        <w:rPr>
          <w:rFonts w:hint="eastAsia"/>
          <w:lang w:eastAsia="zh-CN"/>
        </w:rPr>
        <w:t>年</w:t>
      </w:r>
      <w:r w:rsidRPr="000C156A">
        <w:rPr>
          <w:rFonts w:hint="eastAsia"/>
          <w:lang w:eastAsia="zh-CN"/>
        </w:rPr>
        <w:t>财务期内</w:t>
      </w:r>
      <w:r>
        <w:rPr>
          <w:rFonts w:hint="eastAsia"/>
          <w:lang w:eastAsia="zh-CN"/>
        </w:rPr>
        <w:t>，此</w:t>
      </w:r>
      <w:r w:rsidRPr="000C156A">
        <w:rPr>
          <w:rFonts w:hint="eastAsia"/>
          <w:lang w:eastAsia="zh-CN"/>
        </w:rPr>
        <w:t>准备金</w:t>
      </w:r>
      <w:r>
        <w:rPr>
          <w:rFonts w:hint="eastAsia"/>
          <w:lang w:eastAsia="zh-CN"/>
        </w:rPr>
        <w:t>将</w:t>
      </w:r>
      <w:r w:rsidRPr="000C156A">
        <w:rPr>
          <w:rFonts w:hint="eastAsia"/>
          <w:lang w:eastAsia="zh-CN"/>
        </w:rPr>
        <w:t>全部使用。</w:t>
      </w:r>
    </w:p>
    <w:p w14:paraId="0BEFEEA6" w14:textId="77777777" w:rsidR="00232E78" w:rsidRPr="00C03754" w:rsidRDefault="00232E78" w:rsidP="0084762D">
      <w:pPr>
        <w:pStyle w:val="Figure"/>
        <w:keepNext w:val="0"/>
        <w:keepLines w:val="0"/>
        <w:rPr>
          <w:lang w:eastAsia="zh-CN"/>
        </w:rPr>
      </w:pPr>
      <w:r w:rsidRPr="004044EC">
        <w:rPr>
          <w:rFonts w:hint="eastAsia"/>
          <w:noProof/>
        </w:rPr>
        <w:drawing>
          <wp:inline distT="0" distB="0" distL="0" distR="0" wp14:anchorId="486767EC" wp14:editId="420AAF63">
            <wp:extent cx="4700905" cy="1771015"/>
            <wp:effectExtent l="0" t="0" r="4445" b="635"/>
            <wp:docPr id="116255673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700905" cy="1771015"/>
                    </a:xfrm>
                    <a:prstGeom prst="rect">
                      <a:avLst/>
                    </a:prstGeom>
                    <a:noFill/>
                    <a:ln>
                      <a:noFill/>
                    </a:ln>
                  </pic:spPr>
                </pic:pic>
              </a:graphicData>
            </a:graphic>
          </wp:inline>
        </w:drawing>
      </w:r>
      <w:bookmarkStart w:id="619" w:name="_Toc482892579"/>
      <w:bookmarkStart w:id="620" w:name="_Toc482870844"/>
      <w:bookmarkStart w:id="621" w:name="_Toc329165795"/>
      <w:bookmarkStart w:id="622" w:name="_Toc305594753"/>
      <w:bookmarkStart w:id="623" w:name="_Toc511813763"/>
      <w:bookmarkStart w:id="624" w:name="_Toc511817846"/>
      <w:bookmarkStart w:id="625" w:name="_Toc520280746"/>
      <w:bookmarkStart w:id="626" w:name="_Toc10536841"/>
      <w:bookmarkStart w:id="627" w:name="_Toc41905892"/>
      <w:bookmarkStart w:id="628" w:name="_Toc41906913"/>
      <w:bookmarkStart w:id="629" w:name="_Toc41907994"/>
      <w:bookmarkStart w:id="630" w:name="_Toc41908062"/>
      <w:bookmarkStart w:id="631" w:name="_Toc73518710"/>
      <w:bookmarkStart w:id="632" w:name="_Toc73518857"/>
      <w:bookmarkStart w:id="633" w:name="_Toc73519257"/>
      <w:bookmarkStart w:id="634" w:name="_Toc73636296"/>
    </w:p>
    <w:p w14:paraId="0EA31E3D" w14:textId="77777777" w:rsidR="00232E78" w:rsidRDefault="00232E78" w:rsidP="00232E78">
      <w:pPr>
        <w:pStyle w:val="Heading1"/>
        <w:tabs>
          <w:tab w:val="clear" w:pos="794"/>
        </w:tabs>
        <w:spacing w:before="240" w:after="240"/>
        <w:ind w:left="1134" w:hanging="1134"/>
        <w:rPr>
          <w:rFonts w:cs="Microsoft YaHei"/>
          <w:sz w:val="24"/>
          <w:szCs w:val="24"/>
          <w:lang w:val="fr-FR"/>
        </w:rPr>
      </w:pPr>
      <w:bookmarkStart w:id="635" w:name="_Toc163723303"/>
      <w:r w:rsidRPr="000C156A">
        <w:rPr>
          <w:rFonts w:cs="Microsoft YaHei" w:hint="eastAsia"/>
          <w:sz w:val="24"/>
          <w:szCs w:val="24"/>
          <w:lang w:val="fr-FR"/>
        </w:rPr>
        <w:lastRenderedPageBreak/>
        <w:t>说明</w:t>
      </w:r>
      <w:r>
        <w:rPr>
          <w:rFonts w:cs="Microsoft YaHei"/>
          <w:sz w:val="24"/>
          <w:szCs w:val="24"/>
          <w:lang w:val="fr-FR"/>
        </w:rPr>
        <w:t>20</w:t>
      </w:r>
      <w:r w:rsidRPr="000C156A">
        <w:rPr>
          <w:rFonts w:cs="Microsoft YaHei"/>
          <w:sz w:val="24"/>
          <w:szCs w:val="24"/>
          <w:lang w:val="fr-FR"/>
        </w:rPr>
        <w:tab/>
      </w:r>
      <w:r w:rsidRPr="000C156A">
        <w:rPr>
          <w:rFonts w:cs="Microsoft YaHei" w:hint="eastAsia"/>
          <w:sz w:val="24"/>
          <w:szCs w:val="24"/>
          <w:lang w:val="fr-FR"/>
        </w:rPr>
        <w:t>其它债务</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22CBCC06" w14:textId="77777777" w:rsidR="00232E78" w:rsidRPr="00D45DE9" w:rsidRDefault="00232E78" w:rsidP="0084762D">
      <w:pPr>
        <w:pStyle w:val="Figure"/>
        <w:rPr>
          <w:lang w:val="fr-FR"/>
        </w:rPr>
      </w:pPr>
      <w:r w:rsidRPr="00361E0E">
        <w:rPr>
          <w:noProof/>
        </w:rPr>
        <w:drawing>
          <wp:inline distT="0" distB="0" distL="0" distR="0" wp14:anchorId="2EF73CF6" wp14:editId="5DEA7498">
            <wp:extent cx="5190490" cy="1410335"/>
            <wp:effectExtent l="0" t="0" r="0" b="0"/>
            <wp:docPr id="32767823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190490" cy="1410335"/>
                    </a:xfrm>
                    <a:prstGeom prst="rect">
                      <a:avLst/>
                    </a:prstGeom>
                    <a:noFill/>
                    <a:ln>
                      <a:noFill/>
                    </a:ln>
                  </pic:spPr>
                </pic:pic>
              </a:graphicData>
            </a:graphic>
          </wp:inline>
        </w:drawing>
      </w:r>
      <w:bookmarkStart w:id="636" w:name="_MON_1402745955"/>
      <w:bookmarkStart w:id="637" w:name="_Toc482892580"/>
      <w:bookmarkStart w:id="638" w:name="_Toc482870845"/>
      <w:bookmarkStart w:id="639" w:name="_Toc329165796"/>
      <w:bookmarkStart w:id="640" w:name="_Toc305594754"/>
      <w:bookmarkStart w:id="641" w:name="_Toc304406449"/>
      <w:bookmarkStart w:id="642" w:name="_Toc511813764"/>
      <w:bookmarkStart w:id="643" w:name="_Toc511817847"/>
      <w:bookmarkStart w:id="644" w:name="_Toc520280747"/>
      <w:bookmarkStart w:id="645" w:name="_Toc10536842"/>
      <w:bookmarkStart w:id="646" w:name="_Toc41905893"/>
      <w:bookmarkStart w:id="647" w:name="_Toc41906914"/>
      <w:bookmarkStart w:id="648" w:name="_Toc41907995"/>
      <w:bookmarkStart w:id="649" w:name="_Toc41908063"/>
      <w:bookmarkStart w:id="650" w:name="_Toc73518711"/>
      <w:bookmarkStart w:id="651" w:name="_Toc73518858"/>
      <w:bookmarkStart w:id="652" w:name="_Toc73519258"/>
      <w:bookmarkStart w:id="653" w:name="_Toc73636297"/>
      <w:bookmarkEnd w:id="636"/>
    </w:p>
    <w:p w14:paraId="7F5ECF0D" w14:textId="77777777" w:rsidR="00232E78" w:rsidRDefault="00232E78" w:rsidP="00232E78">
      <w:pPr>
        <w:pStyle w:val="Heading1"/>
        <w:tabs>
          <w:tab w:val="clear" w:pos="794"/>
        </w:tabs>
        <w:spacing w:before="240" w:after="120"/>
        <w:ind w:left="1134" w:hanging="1134"/>
        <w:rPr>
          <w:rFonts w:cs="Microsoft YaHei"/>
          <w:sz w:val="24"/>
          <w:szCs w:val="24"/>
          <w:lang w:val="fr-FR" w:eastAsia="zh-CN"/>
        </w:rPr>
      </w:pPr>
      <w:bookmarkStart w:id="654" w:name="_Toc163723304"/>
      <w:r w:rsidRPr="000C156A">
        <w:rPr>
          <w:rFonts w:cs="Microsoft YaHei" w:hint="eastAsia"/>
          <w:sz w:val="24"/>
          <w:szCs w:val="24"/>
          <w:lang w:val="fr-FR" w:eastAsia="zh-CN"/>
        </w:rPr>
        <w:t>说明</w:t>
      </w:r>
      <w:r w:rsidRPr="000C156A">
        <w:rPr>
          <w:rFonts w:cs="Microsoft YaHei"/>
          <w:sz w:val="24"/>
          <w:szCs w:val="24"/>
          <w:lang w:eastAsia="zh-CN"/>
        </w:rPr>
        <w:t>2</w:t>
      </w:r>
      <w:r>
        <w:rPr>
          <w:rFonts w:cs="Microsoft YaHei"/>
          <w:sz w:val="24"/>
          <w:szCs w:val="24"/>
          <w:lang w:eastAsia="zh-CN"/>
        </w:rPr>
        <w:t>1</w:t>
      </w:r>
      <w:r w:rsidRPr="000C156A">
        <w:rPr>
          <w:rFonts w:cs="Microsoft YaHei"/>
          <w:sz w:val="24"/>
          <w:szCs w:val="24"/>
          <w:lang w:eastAsia="zh-CN"/>
        </w:rPr>
        <w:tab/>
      </w:r>
      <w:r>
        <w:rPr>
          <w:rFonts w:cs="Microsoft YaHei" w:hint="eastAsia"/>
          <w:sz w:val="24"/>
          <w:szCs w:val="24"/>
          <w:lang w:val="fr-FR" w:eastAsia="zh-CN"/>
        </w:rPr>
        <w:t>额外的</w:t>
      </w:r>
      <w:r w:rsidRPr="000C156A">
        <w:rPr>
          <w:rFonts w:cs="Microsoft YaHei" w:hint="eastAsia"/>
          <w:sz w:val="24"/>
          <w:szCs w:val="24"/>
          <w:lang w:val="fr-FR" w:eastAsia="zh-CN"/>
        </w:rPr>
        <w:t>预算外资金</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733A33DC" w14:textId="77777777" w:rsidR="00232E78" w:rsidRPr="00D92804" w:rsidRDefault="00232E78" w:rsidP="0084762D">
      <w:pPr>
        <w:pStyle w:val="Figure"/>
        <w:rPr>
          <w:lang w:val="fr-FR" w:eastAsia="zh-CN"/>
        </w:rPr>
      </w:pPr>
      <w:r w:rsidRPr="00904471">
        <w:rPr>
          <w:noProof/>
        </w:rPr>
        <w:drawing>
          <wp:inline distT="0" distB="0" distL="0" distR="0" wp14:anchorId="0687D326" wp14:editId="23BC09CF">
            <wp:extent cx="4643120" cy="1423035"/>
            <wp:effectExtent l="0" t="0" r="5080" b="5715"/>
            <wp:docPr id="52961904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643120" cy="1423035"/>
                    </a:xfrm>
                    <a:prstGeom prst="rect">
                      <a:avLst/>
                    </a:prstGeom>
                    <a:noFill/>
                    <a:ln>
                      <a:noFill/>
                    </a:ln>
                  </pic:spPr>
                </pic:pic>
              </a:graphicData>
            </a:graphic>
          </wp:inline>
        </w:drawing>
      </w:r>
    </w:p>
    <w:p w14:paraId="1AE46ECB" w14:textId="77777777" w:rsidR="00232E78" w:rsidRPr="00596879" w:rsidRDefault="00232E78" w:rsidP="00232E78">
      <w:pPr>
        <w:spacing w:after="120"/>
        <w:ind w:firstLineChars="200" w:firstLine="480"/>
        <w:rPr>
          <w:rFonts w:cs="Calibri"/>
          <w:lang w:eastAsia="zh-CN"/>
        </w:rPr>
      </w:pPr>
      <w:r w:rsidRPr="00CE269B">
        <w:rPr>
          <w:rFonts w:cs="Calibri" w:hint="eastAsia"/>
          <w:lang w:val="fr-FR" w:eastAsia="zh-CN"/>
        </w:rPr>
        <w:t>2022</w:t>
      </w:r>
      <w:r w:rsidRPr="00596879">
        <w:rPr>
          <w:rFonts w:cs="Calibri" w:hint="eastAsia"/>
          <w:lang w:eastAsia="zh-CN"/>
        </w:rPr>
        <w:t>年</w:t>
      </w:r>
      <w:r w:rsidRPr="00CE269B">
        <w:rPr>
          <w:rFonts w:cs="Calibri" w:hint="eastAsia"/>
          <w:lang w:val="fr-FR" w:eastAsia="zh-CN"/>
        </w:rPr>
        <w:t>，</w:t>
      </w:r>
      <w:r w:rsidRPr="00596879">
        <w:rPr>
          <w:rFonts w:cs="Calibri" w:hint="eastAsia"/>
          <w:lang w:eastAsia="zh-CN"/>
        </w:rPr>
        <w:t>国际电联重</w:t>
      </w:r>
      <w:r>
        <w:rPr>
          <w:rFonts w:cs="Calibri" w:hint="eastAsia"/>
          <w:lang w:eastAsia="zh-CN"/>
        </w:rPr>
        <w:t>新公布</w:t>
      </w:r>
      <w:r w:rsidRPr="00596879">
        <w:rPr>
          <w:rFonts w:cs="Calibri" w:hint="eastAsia"/>
          <w:lang w:eastAsia="zh-CN"/>
        </w:rPr>
        <w:t>了收到的</w:t>
      </w:r>
      <w:r>
        <w:rPr>
          <w:rFonts w:cs="Calibri" w:hint="eastAsia"/>
          <w:lang w:eastAsia="zh-CN"/>
        </w:rPr>
        <w:t>新办公楼</w:t>
      </w:r>
      <w:r w:rsidRPr="00596879">
        <w:rPr>
          <w:rFonts w:cs="Calibri" w:hint="eastAsia"/>
          <w:lang w:eastAsia="zh-CN"/>
        </w:rPr>
        <w:t>自愿赞助捐款</w:t>
      </w:r>
      <w:r w:rsidRPr="00CE269B">
        <w:rPr>
          <w:rFonts w:cs="Calibri" w:hint="eastAsia"/>
          <w:lang w:val="fr-FR" w:eastAsia="zh-CN"/>
        </w:rPr>
        <w:t>，</w:t>
      </w:r>
      <w:r>
        <w:rPr>
          <w:rFonts w:cs="Calibri" w:hint="eastAsia"/>
          <w:lang w:eastAsia="zh-CN"/>
        </w:rPr>
        <w:t>这对已分配</w:t>
      </w:r>
      <w:r w:rsidRPr="00596879">
        <w:rPr>
          <w:rFonts w:cs="Calibri" w:hint="eastAsia"/>
          <w:lang w:eastAsia="zh-CN"/>
        </w:rPr>
        <w:t>第三方资金</w:t>
      </w:r>
      <w:r>
        <w:rPr>
          <w:rFonts w:cs="Calibri" w:hint="eastAsia"/>
          <w:lang w:eastAsia="zh-CN"/>
        </w:rPr>
        <w:t>的</w:t>
      </w:r>
      <w:r w:rsidRPr="00596879">
        <w:rPr>
          <w:rFonts w:cs="Calibri" w:hint="eastAsia"/>
          <w:lang w:eastAsia="zh-CN"/>
        </w:rPr>
        <w:t>大幅增加</w:t>
      </w:r>
      <w:r>
        <w:rPr>
          <w:rFonts w:cs="Calibri" w:hint="eastAsia"/>
          <w:lang w:eastAsia="zh-CN"/>
        </w:rPr>
        <w:t>做出了解释</w:t>
      </w:r>
      <w:r w:rsidRPr="00596879">
        <w:rPr>
          <w:rFonts w:cs="Calibri" w:hint="eastAsia"/>
          <w:lang w:eastAsia="zh-CN"/>
        </w:rPr>
        <w:t>。</w:t>
      </w:r>
      <w:r>
        <w:rPr>
          <w:rFonts w:cs="Calibri" w:hint="eastAsia"/>
          <w:lang w:eastAsia="zh-CN"/>
        </w:rPr>
        <w:t>此</w:t>
      </w:r>
      <w:r w:rsidRPr="00596879">
        <w:rPr>
          <w:rFonts w:cs="Calibri" w:hint="eastAsia"/>
          <w:lang w:eastAsia="zh-CN"/>
        </w:rPr>
        <w:t>会计政策变化的影响见注</w:t>
      </w:r>
      <w:r w:rsidRPr="00596879">
        <w:rPr>
          <w:rFonts w:cs="Calibri" w:hint="eastAsia"/>
          <w:lang w:eastAsia="zh-CN"/>
        </w:rPr>
        <w:t>30</w:t>
      </w:r>
      <w:r w:rsidRPr="00596879">
        <w:rPr>
          <w:rFonts w:cs="Calibri" w:hint="eastAsia"/>
          <w:lang w:eastAsia="zh-CN"/>
        </w:rPr>
        <w:t>。</w:t>
      </w:r>
    </w:p>
    <w:p w14:paraId="487B1C91" w14:textId="77777777" w:rsidR="00232E78" w:rsidRPr="00596879" w:rsidRDefault="00232E78" w:rsidP="00232E78">
      <w:pPr>
        <w:spacing w:after="120"/>
        <w:ind w:firstLineChars="200" w:firstLine="480"/>
        <w:rPr>
          <w:rFonts w:cs="Calibri"/>
          <w:lang w:eastAsia="zh-CN"/>
        </w:rPr>
      </w:pPr>
      <w:r w:rsidRPr="00596879">
        <w:rPr>
          <w:rFonts w:cs="Calibri" w:hint="eastAsia"/>
          <w:lang w:eastAsia="zh-CN"/>
        </w:rPr>
        <w:t>关于预算外项目（</w:t>
      </w:r>
      <w:r>
        <w:rPr>
          <w:rFonts w:cs="Calibri" w:hint="eastAsia"/>
          <w:lang w:eastAsia="zh-CN"/>
        </w:rPr>
        <w:t>信托基金（</w:t>
      </w:r>
      <w:r w:rsidRPr="00596879">
        <w:rPr>
          <w:rFonts w:cs="Calibri" w:hint="eastAsia"/>
          <w:lang w:eastAsia="zh-CN"/>
        </w:rPr>
        <w:t>FIT</w:t>
      </w:r>
      <w:r>
        <w:rPr>
          <w:rFonts w:cs="Calibri" w:hint="eastAsia"/>
          <w:lang w:eastAsia="zh-CN"/>
        </w:rPr>
        <w:t>）</w:t>
      </w:r>
      <w:r w:rsidRPr="00596879">
        <w:rPr>
          <w:rFonts w:cs="Calibri" w:hint="eastAsia"/>
          <w:lang w:eastAsia="zh-CN"/>
        </w:rPr>
        <w:t>和限制性自愿捐款），</w:t>
      </w:r>
      <w:r w:rsidRPr="00596879">
        <w:rPr>
          <w:rFonts w:cs="Calibri" w:hint="eastAsia"/>
          <w:lang w:eastAsia="zh-CN"/>
        </w:rPr>
        <w:t>2021</w:t>
      </w:r>
      <w:r w:rsidRPr="00596879">
        <w:rPr>
          <w:rFonts w:cs="Calibri" w:hint="eastAsia"/>
          <w:lang w:eastAsia="zh-CN"/>
        </w:rPr>
        <w:t>年签署的许多项目已经开始实施，这</w:t>
      </w:r>
      <w:r>
        <w:rPr>
          <w:rFonts w:cs="Calibri" w:hint="eastAsia"/>
          <w:lang w:eastAsia="zh-CN"/>
        </w:rPr>
        <w:t>也是</w:t>
      </w:r>
      <w:r w:rsidRPr="00596879">
        <w:rPr>
          <w:rFonts w:cs="Calibri" w:hint="eastAsia"/>
          <w:lang w:eastAsia="zh-CN"/>
        </w:rPr>
        <w:t>预算外资金</w:t>
      </w:r>
      <w:r>
        <w:rPr>
          <w:rFonts w:cs="Calibri" w:hint="eastAsia"/>
          <w:lang w:eastAsia="zh-CN"/>
        </w:rPr>
        <w:t>全面</w:t>
      </w:r>
      <w:r w:rsidRPr="00596879">
        <w:rPr>
          <w:rFonts w:cs="Calibri" w:hint="eastAsia"/>
          <w:lang w:eastAsia="zh-CN"/>
        </w:rPr>
        <w:t>减少</w:t>
      </w:r>
      <w:r>
        <w:rPr>
          <w:rFonts w:cs="Calibri" w:hint="eastAsia"/>
          <w:lang w:eastAsia="zh-CN"/>
        </w:rPr>
        <w:t>的原因所在</w:t>
      </w:r>
      <w:r w:rsidRPr="00596879">
        <w:rPr>
          <w:rFonts w:cs="Calibri" w:hint="eastAsia"/>
          <w:lang w:eastAsia="zh-CN"/>
        </w:rPr>
        <w:t>。</w:t>
      </w:r>
      <w:r>
        <w:rPr>
          <w:rFonts w:cs="Calibri" w:hint="eastAsia"/>
          <w:lang w:eastAsia="zh-CN"/>
        </w:rPr>
        <w:t>此外，亦</w:t>
      </w:r>
      <w:r w:rsidRPr="00596879">
        <w:rPr>
          <w:rFonts w:cs="Calibri" w:hint="eastAsia"/>
          <w:lang w:eastAsia="zh-CN"/>
        </w:rPr>
        <w:t>可从</w:t>
      </w:r>
      <w:r w:rsidRPr="00596879">
        <w:rPr>
          <w:rFonts w:cs="Calibri" w:hint="eastAsia"/>
          <w:lang w:eastAsia="zh-CN"/>
        </w:rPr>
        <w:t>2022</w:t>
      </w:r>
      <w:r w:rsidRPr="00596879">
        <w:rPr>
          <w:rFonts w:cs="Calibri" w:hint="eastAsia"/>
          <w:lang w:eastAsia="zh-CN"/>
        </w:rPr>
        <w:t>年</w:t>
      </w:r>
      <w:r>
        <w:rPr>
          <w:rFonts w:cs="Calibri" w:hint="eastAsia"/>
          <w:lang w:eastAsia="zh-CN"/>
        </w:rPr>
        <w:t>的支持费用</w:t>
      </w:r>
      <w:r w:rsidRPr="00596879">
        <w:rPr>
          <w:rFonts w:cs="Calibri" w:hint="eastAsia"/>
          <w:lang w:eastAsia="zh-CN"/>
        </w:rPr>
        <w:t>收入看出</w:t>
      </w:r>
      <w:r>
        <w:rPr>
          <w:rFonts w:cs="Calibri" w:hint="eastAsia"/>
          <w:lang w:eastAsia="zh-CN"/>
        </w:rPr>
        <w:t>这一</w:t>
      </w:r>
      <w:r w:rsidRPr="00596879">
        <w:rPr>
          <w:rFonts w:cs="Calibri" w:hint="eastAsia"/>
          <w:lang w:eastAsia="zh-CN"/>
        </w:rPr>
        <w:t>趋势，</w:t>
      </w:r>
      <w:r>
        <w:rPr>
          <w:rFonts w:cs="Calibri" w:hint="eastAsia"/>
          <w:lang w:eastAsia="zh-CN"/>
        </w:rPr>
        <w:t>此项</w:t>
      </w:r>
      <w:r w:rsidRPr="00596879">
        <w:rPr>
          <w:rFonts w:cs="Calibri" w:hint="eastAsia"/>
          <w:lang w:eastAsia="zh-CN"/>
        </w:rPr>
        <w:t>收入增长了</w:t>
      </w:r>
      <w:r w:rsidRPr="00596879">
        <w:rPr>
          <w:rFonts w:cs="Calibri" w:hint="eastAsia"/>
          <w:lang w:eastAsia="zh-CN"/>
        </w:rPr>
        <w:t>30%</w:t>
      </w:r>
      <w:r w:rsidRPr="00596879">
        <w:rPr>
          <w:rFonts w:cs="Calibri" w:hint="eastAsia"/>
          <w:lang w:eastAsia="zh-CN"/>
        </w:rPr>
        <w:t>。</w:t>
      </w:r>
    </w:p>
    <w:p w14:paraId="3603B0B5" w14:textId="39B3E619" w:rsidR="00232E78" w:rsidRPr="004044EC" w:rsidRDefault="00232E78" w:rsidP="00232E78">
      <w:pPr>
        <w:spacing w:after="120"/>
        <w:ind w:firstLineChars="200" w:firstLine="480"/>
        <w:rPr>
          <w:rFonts w:cs="Calibri"/>
          <w:lang w:eastAsia="zh-CN"/>
        </w:rPr>
      </w:pPr>
      <w:r w:rsidRPr="00596879">
        <w:rPr>
          <w:rFonts w:cs="Calibri" w:hint="eastAsia"/>
          <w:lang w:eastAsia="zh-CN"/>
        </w:rPr>
        <w:t>还需注意的是，</w:t>
      </w:r>
      <w:r>
        <w:rPr>
          <w:rFonts w:cs="Calibri" w:hint="eastAsia"/>
          <w:lang w:eastAsia="zh-CN"/>
        </w:rPr>
        <w:t>有</w:t>
      </w:r>
      <w:r w:rsidRPr="00596879">
        <w:rPr>
          <w:rFonts w:cs="Calibri" w:hint="eastAsia"/>
          <w:lang w:eastAsia="zh-CN"/>
        </w:rPr>
        <w:t>400</w:t>
      </w:r>
      <w:r w:rsidRPr="00596879">
        <w:rPr>
          <w:rFonts w:cs="Calibri" w:hint="eastAsia"/>
          <w:lang w:eastAsia="zh-CN"/>
        </w:rPr>
        <w:t>万</w:t>
      </w:r>
      <w:r>
        <w:rPr>
          <w:rFonts w:cs="Calibri" w:hint="eastAsia"/>
          <w:lang w:eastAsia="zh-CN"/>
        </w:rPr>
        <w:t>瑞</w:t>
      </w:r>
      <w:r w:rsidRPr="00596879">
        <w:rPr>
          <w:rFonts w:cs="Calibri" w:hint="eastAsia"/>
          <w:lang w:eastAsia="zh-CN"/>
        </w:rPr>
        <w:t>郎被重</w:t>
      </w:r>
      <w:r>
        <w:rPr>
          <w:rFonts w:cs="Calibri" w:hint="eastAsia"/>
          <w:lang w:eastAsia="zh-CN"/>
        </w:rPr>
        <w:t>归</w:t>
      </w:r>
      <w:r w:rsidRPr="00596879">
        <w:rPr>
          <w:rFonts w:cs="Calibri" w:hint="eastAsia"/>
          <w:lang w:eastAsia="zh-CN"/>
        </w:rPr>
        <w:t>类为客户存款。见注</w:t>
      </w:r>
      <w:r w:rsidRPr="00596879">
        <w:rPr>
          <w:rFonts w:cs="Calibri" w:hint="eastAsia"/>
          <w:lang w:eastAsia="zh-CN"/>
        </w:rPr>
        <w:t>15</w:t>
      </w:r>
      <w:r w:rsidRPr="00596879">
        <w:rPr>
          <w:rFonts w:cs="Calibri" w:hint="eastAsia"/>
          <w:lang w:eastAsia="zh-CN"/>
        </w:rPr>
        <w:t>。截至</w:t>
      </w:r>
      <w:r w:rsidRPr="00596879">
        <w:rPr>
          <w:rFonts w:cs="Calibri" w:hint="eastAsia"/>
          <w:lang w:eastAsia="zh-CN"/>
        </w:rPr>
        <w:t>2022</w:t>
      </w:r>
      <w:r w:rsidRPr="00596879">
        <w:rPr>
          <w:rFonts w:cs="Calibri" w:hint="eastAsia"/>
          <w:lang w:eastAsia="zh-CN"/>
        </w:rPr>
        <w:t>年</w:t>
      </w:r>
      <w:r w:rsidRPr="00596879">
        <w:rPr>
          <w:rFonts w:cs="Calibri" w:hint="eastAsia"/>
          <w:lang w:eastAsia="zh-CN"/>
        </w:rPr>
        <w:t>12</w:t>
      </w:r>
      <w:r w:rsidRPr="00596879">
        <w:rPr>
          <w:rFonts w:cs="Calibri" w:hint="eastAsia"/>
          <w:lang w:eastAsia="zh-CN"/>
        </w:rPr>
        <w:t>月</w:t>
      </w:r>
      <w:r w:rsidRPr="00596879">
        <w:rPr>
          <w:rFonts w:cs="Calibri" w:hint="eastAsia"/>
          <w:lang w:eastAsia="zh-CN"/>
        </w:rPr>
        <w:t>31</w:t>
      </w:r>
      <w:r w:rsidRPr="00596879">
        <w:rPr>
          <w:rFonts w:cs="Calibri" w:hint="eastAsia"/>
          <w:lang w:eastAsia="zh-CN"/>
        </w:rPr>
        <w:t>日，</w:t>
      </w:r>
      <w:r w:rsidRPr="00596879">
        <w:rPr>
          <w:rFonts w:cs="Calibri" w:hint="eastAsia"/>
          <w:lang w:eastAsia="zh-CN"/>
        </w:rPr>
        <w:t>85</w:t>
      </w:r>
      <w:r w:rsidRPr="00596879">
        <w:rPr>
          <w:rFonts w:cs="Calibri" w:hint="eastAsia"/>
          <w:lang w:eastAsia="zh-CN"/>
        </w:rPr>
        <w:t>个</w:t>
      </w:r>
      <w:r w:rsidRPr="00596879">
        <w:rPr>
          <w:rFonts w:cs="Calibri" w:hint="eastAsia"/>
          <w:lang w:eastAsia="zh-CN"/>
        </w:rPr>
        <w:t>FIT</w:t>
      </w:r>
      <w:r w:rsidRPr="00596879">
        <w:rPr>
          <w:rFonts w:cs="Calibri" w:hint="eastAsia"/>
          <w:lang w:eastAsia="zh-CN"/>
        </w:rPr>
        <w:t>项目处于</w:t>
      </w:r>
      <w:r>
        <w:rPr>
          <w:rFonts w:cs="Calibri" w:hint="eastAsia"/>
          <w:lang w:eastAsia="zh-CN"/>
        </w:rPr>
        <w:t>执行</w:t>
      </w:r>
      <w:r w:rsidRPr="00596879">
        <w:rPr>
          <w:rFonts w:cs="Calibri" w:hint="eastAsia"/>
          <w:lang w:eastAsia="zh-CN"/>
        </w:rPr>
        <w:t>状态</w:t>
      </w:r>
      <w:r>
        <w:rPr>
          <w:rFonts w:cs="Calibri" w:hint="eastAsia"/>
          <w:lang w:eastAsia="zh-CN"/>
        </w:rPr>
        <w:t>并对</w:t>
      </w:r>
      <w:r w:rsidRPr="00596879">
        <w:rPr>
          <w:rFonts w:cs="Calibri" w:hint="eastAsia"/>
          <w:lang w:eastAsia="zh-CN"/>
        </w:rPr>
        <w:t>137</w:t>
      </w:r>
      <w:r w:rsidRPr="00596879">
        <w:rPr>
          <w:rFonts w:cs="Calibri" w:hint="eastAsia"/>
          <w:lang w:eastAsia="zh-CN"/>
        </w:rPr>
        <w:t>笔自愿捐款</w:t>
      </w:r>
      <w:r>
        <w:rPr>
          <w:rFonts w:cs="Calibri" w:hint="eastAsia"/>
          <w:lang w:eastAsia="zh-CN"/>
        </w:rPr>
        <w:t>进行了管理</w:t>
      </w:r>
      <w:r w:rsidRPr="00596879">
        <w:rPr>
          <w:rFonts w:cs="Calibri" w:hint="eastAsia"/>
          <w:lang w:eastAsia="zh-CN"/>
        </w:rPr>
        <w:t>。更多详情见</w:t>
      </w:r>
      <w:r>
        <w:rPr>
          <w:rFonts w:cs="Calibri" w:hint="eastAsia"/>
          <w:lang w:eastAsia="zh-CN"/>
        </w:rPr>
        <w:t>有</w:t>
      </w:r>
      <w:r w:rsidRPr="00596879">
        <w:rPr>
          <w:rFonts w:cs="Calibri" w:hint="eastAsia"/>
          <w:lang w:eastAsia="zh-CN"/>
        </w:rPr>
        <w:t>关自愿捐款的</w:t>
      </w:r>
      <w:hyperlink r:id="rId68" w:history="1">
        <w:r w:rsidRPr="00CE269B">
          <w:rPr>
            <w:rStyle w:val="Hyperlink"/>
            <w:rFonts w:cs="Calibri" w:hint="eastAsia"/>
            <w:lang w:eastAsia="zh-CN"/>
          </w:rPr>
          <w:t>C23 INF/12</w:t>
        </w:r>
      </w:hyperlink>
      <w:r w:rsidRPr="00596879">
        <w:rPr>
          <w:rFonts w:cs="Calibri" w:hint="eastAsia"/>
          <w:lang w:eastAsia="zh-CN"/>
        </w:rPr>
        <w:t>号文件。</w:t>
      </w:r>
    </w:p>
    <w:p w14:paraId="469ED4EA" w14:textId="77777777" w:rsidR="00232E78" w:rsidRPr="00D70A0E" w:rsidRDefault="00232E78" w:rsidP="00232E78">
      <w:pPr>
        <w:pStyle w:val="Heading1"/>
        <w:tabs>
          <w:tab w:val="clear" w:pos="794"/>
        </w:tabs>
        <w:spacing w:before="240" w:after="120"/>
        <w:ind w:left="1134" w:hanging="1134"/>
        <w:rPr>
          <w:rFonts w:cs="Microsoft YaHei"/>
          <w:sz w:val="24"/>
          <w:szCs w:val="24"/>
          <w:lang w:eastAsia="zh-CN"/>
        </w:rPr>
      </w:pPr>
      <w:bookmarkStart w:id="655" w:name="_Toc163723305"/>
      <w:r w:rsidRPr="000C156A">
        <w:rPr>
          <w:rFonts w:cs="Microsoft YaHei" w:hint="eastAsia"/>
          <w:sz w:val="24"/>
          <w:szCs w:val="24"/>
          <w:lang w:val="fr-FR" w:eastAsia="zh-CN"/>
        </w:rPr>
        <w:t>说明</w:t>
      </w:r>
      <w:r w:rsidRPr="004346EE">
        <w:rPr>
          <w:rFonts w:cs="Microsoft YaHei"/>
          <w:sz w:val="24"/>
          <w:szCs w:val="24"/>
          <w:lang w:eastAsia="zh-CN"/>
        </w:rPr>
        <w:t>22</w:t>
      </w:r>
      <w:r w:rsidRPr="004346EE">
        <w:rPr>
          <w:rFonts w:cs="Microsoft YaHei"/>
          <w:sz w:val="24"/>
          <w:szCs w:val="24"/>
          <w:lang w:eastAsia="zh-CN"/>
        </w:rPr>
        <w:tab/>
      </w:r>
      <w:bookmarkStart w:id="656" w:name="_Toc305764103"/>
      <w:r>
        <w:rPr>
          <w:rFonts w:hint="eastAsia"/>
          <w:bCs/>
          <w:sz w:val="24"/>
          <w:szCs w:val="24"/>
          <w:lang w:val="en-US" w:eastAsia="zh-CN"/>
        </w:rPr>
        <w:t>分摊会费</w:t>
      </w:r>
      <w:bookmarkEnd w:id="655"/>
    </w:p>
    <w:p w14:paraId="565AE195" w14:textId="77777777" w:rsidR="00232E78" w:rsidRPr="00D70A0E" w:rsidRDefault="00232E78" w:rsidP="00232E78">
      <w:pPr>
        <w:spacing w:after="240"/>
        <w:ind w:firstLineChars="200" w:firstLine="480"/>
        <w:rPr>
          <w:rFonts w:cs="Calibri"/>
          <w:lang w:eastAsia="zh-CN"/>
        </w:rPr>
      </w:pPr>
      <w:bookmarkStart w:id="657" w:name="lt_pId1123"/>
      <w:bookmarkStart w:id="658" w:name="_Toc329011648"/>
      <w:bookmarkStart w:id="659" w:name="_Toc305778514"/>
      <w:bookmarkStart w:id="660" w:name="_Toc305764104"/>
      <w:bookmarkEnd w:id="656"/>
      <w:r w:rsidRPr="00D70A0E">
        <w:rPr>
          <w:rFonts w:cs="Calibri" w:hint="eastAsia"/>
          <w:lang w:eastAsia="zh-CN"/>
        </w:rPr>
        <w:t>下表展示了</w:t>
      </w:r>
      <w:r w:rsidRPr="00D70A0E">
        <w:rPr>
          <w:rFonts w:cs="Calibri" w:hint="eastAsia"/>
          <w:lang w:eastAsia="zh-CN"/>
        </w:rPr>
        <w:t>2</w:t>
      </w:r>
      <w:r w:rsidRPr="00D70A0E">
        <w:rPr>
          <w:rFonts w:cs="Calibri"/>
          <w:lang w:eastAsia="zh-CN"/>
        </w:rPr>
        <w:t>022</w:t>
      </w:r>
      <w:r w:rsidRPr="00D70A0E">
        <w:rPr>
          <w:rFonts w:cs="Calibri" w:hint="eastAsia"/>
          <w:lang w:eastAsia="zh-CN"/>
        </w:rPr>
        <w:t>年记录的</w:t>
      </w:r>
      <w:r>
        <w:rPr>
          <w:rFonts w:cs="Calibri" w:hint="eastAsia"/>
          <w:lang w:eastAsia="zh-CN"/>
        </w:rPr>
        <w:t>分摊会费</w:t>
      </w:r>
      <w:r w:rsidRPr="00D70A0E">
        <w:rPr>
          <w:rFonts w:cs="Calibri" w:hint="eastAsia"/>
          <w:lang w:eastAsia="zh-CN"/>
        </w:rPr>
        <w:t>。</w:t>
      </w:r>
      <w:bookmarkEnd w:id="657"/>
    </w:p>
    <w:p w14:paraId="778D0364" w14:textId="77777777" w:rsidR="00232E78" w:rsidRDefault="00232E78" w:rsidP="0084762D">
      <w:pPr>
        <w:pStyle w:val="Figure"/>
        <w:rPr>
          <w:rFonts w:eastAsia="Times New Roman"/>
          <w:lang w:val="en-US"/>
        </w:rPr>
      </w:pPr>
      <w:bookmarkStart w:id="661" w:name="lt_pId1124"/>
      <w:r w:rsidRPr="00904471">
        <w:rPr>
          <w:noProof/>
        </w:rPr>
        <w:drawing>
          <wp:inline distT="0" distB="0" distL="0" distR="0" wp14:anchorId="7FD11C18" wp14:editId="142FB304">
            <wp:extent cx="4681220" cy="1687195"/>
            <wp:effectExtent l="0" t="0" r="5080" b="8255"/>
            <wp:docPr id="14296782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681220" cy="1687195"/>
                    </a:xfrm>
                    <a:prstGeom prst="rect">
                      <a:avLst/>
                    </a:prstGeom>
                    <a:noFill/>
                    <a:ln>
                      <a:noFill/>
                    </a:ln>
                  </pic:spPr>
                </pic:pic>
              </a:graphicData>
            </a:graphic>
          </wp:inline>
        </w:drawing>
      </w:r>
    </w:p>
    <w:bookmarkEnd w:id="661"/>
    <w:p w14:paraId="77C8139A" w14:textId="77777777" w:rsidR="00232E78" w:rsidRPr="000C156A" w:rsidRDefault="00232E78" w:rsidP="00232E78">
      <w:pPr>
        <w:spacing w:before="240"/>
        <w:ind w:firstLineChars="200" w:firstLine="480"/>
        <w:rPr>
          <w:lang w:eastAsia="zh-CN"/>
        </w:rPr>
      </w:pPr>
      <w:r w:rsidRPr="000C156A">
        <w:rPr>
          <w:rFonts w:hint="eastAsia"/>
          <w:lang w:eastAsia="zh-CN"/>
        </w:rPr>
        <w:t>理事会在</w:t>
      </w:r>
      <w:r w:rsidRPr="000C156A">
        <w:rPr>
          <w:lang w:eastAsia="zh-CN"/>
        </w:rPr>
        <w:t>20</w:t>
      </w:r>
      <w:r>
        <w:rPr>
          <w:lang w:eastAsia="zh-CN"/>
        </w:rPr>
        <w:t>21</w:t>
      </w:r>
      <w:r w:rsidRPr="000C156A">
        <w:rPr>
          <w:rFonts w:hint="eastAsia"/>
          <w:lang w:eastAsia="zh-CN"/>
        </w:rPr>
        <w:t>年会议上通过了第</w:t>
      </w:r>
      <w:r>
        <w:rPr>
          <w:lang w:eastAsia="zh-CN"/>
        </w:rPr>
        <w:t>1405</w:t>
      </w:r>
      <w:r w:rsidRPr="000C156A">
        <w:rPr>
          <w:rFonts w:hint="eastAsia"/>
          <w:lang w:eastAsia="zh-CN"/>
        </w:rPr>
        <w:t>号决议，批准了国际电联</w:t>
      </w:r>
      <w:r w:rsidRPr="000C156A">
        <w:rPr>
          <w:lang w:val="en-US" w:eastAsia="zh-CN"/>
        </w:rPr>
        <w:t>202</w:t>
      </w:r>
      <w:r>
        <w:rPr>
          <w:lang w:val="en-US" w:eastAsia="zh-CN"/>
        </w:rPr>
        <w:t>2</w:t>
      </w:r>
      <w:r w:rsidRPr="000C156A">
        <w:rPr>
          <w:lang w:val="en-US" w:eastAsia="zh-CN"/>
        </w:rPr>
        <w:t>-202</w:t>
      </w:r>
      <w:r>
        <w:rPr>
          <w:lang w:val="en-US" w:eastAsia="zh-CN"/>
        </w:rPr>
        <w:t>3</w:t>
      </w:r>
      <w:r w:rsidRPr="000C156A">
        <w:rPr>
          <w:rFonts w:hint="eastAsia"/>
          <w:lang w:eastAsia="zh-CN"/>
        </w:rPr>
        <w:t>年期间的预算。</w:t>
      </w:r>
    </w:p>
    <w:p w14:paraId="51A4F9F3" w14:textId="77777777" w:rsidR="00232E78" w:rsidRPr="000C156A" w:rsidRDefault="00232E78" w:rsidP="00232E78">
      <w:pPr>
        <w:ind w:firstLineChars="200" w:firstLine="480"/>
        <w:rPr>
          <w:lang w:eastAsia="zh-CN"/>
        </w:rPr>
      </w:pPr>
      <w:r w:rsidRPr="000C156A">
        <w:rPr>
          <w:rFonts w:hint="eastAsia"/>
          <w:lang w:eastAsia="zh-CN"/>
        </w:rPr>
        <w:lastRenderedPageBreak/>
        <w:t>理事会在</w:t>
      </w:r>
      <w:r w:rsidRPr="000C156A">
        <w:rPr>
          <w:lang w:eastAsia="zh-CN"/>
        </w:rPr>
        <w:t>343 11/16</w:t>
      </w:r>
      <w:r w:rsidRPr="000C156A">
        <w:rPr>
          <w:rFonts w:hint="eastAsia"/>
          <w:lang w:eastAsia="zh-CN"/>
        </w:rPr>
        <w:t>个会费单位基础上，将成员国</w:t>
      </w:r>
      <w:r w:rsidRPr="000C156A">
        <w:rPr>
          <w:lang w:eastAsia="zh-CN"/>
        </w:rPr>
        <w:t>20</w:t>
      </w:r>
      <w:r>
        <w:rPr>
          <w:lang w:eastAsia="zh-CN"/>
        </w:rPr>
        <w:t>22</w:t>
      </w:r>
      <w:r w:rsidRPr="000C156A">
        <w:rPr>
          <w:rFonts w:hint="eastAsia"/>
          <w:lang w:eastAsia="zh-CN"/>
        </w:rPr>
        <w:t>和</w:t>
      </w:r>
      <w:r w:rsidRPr="000C156A">
        <w:rPr>
          <w:lang w:eastAsia="zh-CN"/>
        </w:rPr>
        <w:t>202</w:t>
      </w:r>
      <w:r>
        <w:rPr>
          <w:lang w:eastAsia="zh-CN"/>
        </w:rPr>
        <w:t>3</w:t>
      </w:r>
      <w:r w:rsidRPr="000C156A">
        <w:rPr>
          <w:rFonts w:hint="eastAsia"/>
          <w:lang w:eastAsia="zh-CN"/>
        </w:rPr>
        <w:t>年的会费单位金额确定为</w:t>
      </w:r>
      <w:r w:rsidRPr="000C156A">
        <w:rPr>
          <w:lang w:eastAsia="zh-CN"/>
        </w:rPr>
        <w:t>318</w:t>
      </w:r>
      <w:r>
        <w:rPr>
          <w:lang w:eastAsia="zh-CN"/>
        </w:rPr>
        <w:t xml:space="preserve"> </w:t>
      </w:r>
      <w:r w:rsidRPr="000C156A">
        <w:rPr>
          <w:lang w:eastAsia="zh-CN"/>
        </w:rPr>
        <w:t>000</w:t>
      </w:r>
      <w:r w:rsidRPr="000C156A">
        <w:rPr>
          <w:rFonts w:hint="eastAsia"/>
          <w:lang w:eastAsia="zh-CN"/>
        </w:rPr>
        <w:t>瑞郎。理事会还通过上述决议将部门成员</w:t>
      </w:r>
      <w:r w:rsidRPr="000C156A">
        <w:rPr>
          <w:lang w:eastAsia="zh-CN"/>
        </w:rPr>
        <w:t>2020</w:t>
      </w:r>
      <w:r w:rsidRPr="000C156A">
        <w:rPr>
          <w:rFonts w:hint="eastAsia"/>
          <w:lang w:eastAsia="zh-CN"/>
        </w:rPr>
        <w:t>和</w:t>
      </w:r>
      <w:r w:rsidRPr="000C156A">
        <w:rPr>
          <w:lang w:eastAsia="zh-CN"/>
        </w:rPr>
        <w:t>2021</w:t>
      </w:r>
      <w:r w:rsidRPr="000C156A">
        <w:rPr>
          <w:rFonts w:hint="eastAsia"/>
          <w:lang w:eastAsia="zh-CN"/>
        </w:rPr>
        <w:t>年的会费单位金额确定为</w:t>
      </w:r>
      <w:r w:rsidRPr="000C156A">
        <w:rPr>
          <w:lang w:eastAsia="zh-CN"/>
        </w:rPr>
        <w:t>63</w:t>
      </w:r>
      <w:r>
        <w:rPr>
          <w:lang w:eastAsia="zh-CN"/>
        </w:rPr>
        <w:t xml:space="preserve"> </w:t>
      </w:r>
      <w:r w:rsidRPr="000C156A">
        <w:rPr>
          <w:lang w:eastAsia="zh-CN"/>
        </w:rPr>
        <w:t>600</w:t>
      </w:r>
      <w:r w:rsidRPr="000C156A">
        <w:rPr>
          <w:rFonts w:hint="eastAsia"/>
          <w:lang w:eastAsia="zh-CN"/>
        </w:rPr>
        <w:t>瑞郎，即成员国会费的</w:t>
      </w:r>
      <w:r w:rsidRPr="000C156A">
        <w:rPr>
          <w:lang w:eastAsia="zh-CN"/>
        </w:rPr>
        <w:t>1/5</w:t>
      </w:r>
      <w:r w:rsidRPr="000C156A">
        <w:rPr>
          <w:rFonts w:hint="eastAsia"/>
          <w:lang w:eastAsia="zh-CN"/>
        </w:rPr>
        <w:t>。部门准成员的会费确定如下：参加</w:t>
      </w:r>
      <w:r w:rsidRPr="000C156A">
        <w:rPr>
          <w:lang w:eastAsia="zh-CN"/>
        </w:rPr>
        <w:t>ITU-R</w:t>
      </w:r>
      <w:r w:rsidRPr="000C156A">
        <w:rPr>
          <w:rFonts w:hint="eastAsia"/>
          <w:lang w:eastAsia="zh-CN"/>
        </w:rPr>
        <w:t>和</w:t>
      </w:r>
      <w:r w:rsidRPr="000C156A">
        <w:rPr>
          <w:lang w:eastAsia="zh-CN"/>
        </w:rPr>
        <w:t>ITU-T</w:t>
      </w:r>
      <w:r w:rsidRPr="000C156A">
        <w:rPr>
          <w:rFonts w:hint="eastAsia"/>
          <w:lang w:eastAsia="zh-CN"/>
        </w:rPr>
        <w:t>工作的部门准成员的会费为</w:t>
      </w:r>
      <w:r w:rsidRPr="000C156A">
        <w:rPr>
          <w:lang w:eastAsia="zh-CN"/>
        </w:rPr>
        <w:t>10</w:t>
      </w:r>
      <w:r>
        <w:rPr>
          <w:lang w:eastAsia="zh-CN"/>
        </w:rPr>
        <w:t xml:space="preserve"> </w:t>
      </w:r>
      <w:r w:rsidRPr="000C156A">
        <w:rPr>
          <w:lang w:eastAsia="zh-CN"/>
        </w:rPr>
        <w:t>600</w:t>
      </w:r>
      <w:r w:rsidRPr="000C156A">
        <w:rPr>
          <w:rFonts w:hint="eastAsia"/>
          <w:lang w:eastAsia="zh-CN"/>
        </w:rPr>
        <w:t>瑞郎；参加</w:t>
      </w:r>
      <w:r w:rsidRPr="000C156A">
        <w:rPr>
          <w:lang w:eastAsia="zh-CN"/>
        </w:rPr>
        <w:t>ITU-D</w:t>
      </w:r>
      <w:r w:rsidRPr="000C156A">
        <w:rPr>
          <w:rFonts w:hint="eastAsia"/>
          <w:lang w:eastAsia="zh-CN"/>
        </w:rPr>
        <w:t>工作的部门准成员的会费为</w:t>
      </w:r>
      <w:r w:rsidRPr="000C156A">
        <w:rPr>
          <w:lang w:eastAsia="zh-CN"/>
        </w:rPr>
        <w:t>3</w:t>
      </w:r>
      <w:r>
        <w:rPr>
          <w:lang w:eastAsia="zh-CN"/>
        </w:rPr>
        <w:t xml:space="preserve"> </w:t>
      </w:r>
      <w:r w:rsidRPr="000C156A">
        <w:rPr>
          <w:lang w:eastAsia="zh-CN"/>
        </w:rPr>
        <w:t>975</w:t>
      </w:r>
      <w:r w:rsidRPr="000C156A">
        <w:rPr>
          <w:rFonts w:hint="eastAsia"/>
          <w:lang w:eastAsia="zh-CN"/>
        </w:rPr>
        <w:t>瑞郎；参加</w:t>
      </w:r>
      <w:r w:rsidRPr="000C156A">
        <w:rPr>
          <w:lang w:eastAsia="zh-CN"/>
        </w:rPr>
        <w:t>ITU-D</w:t>
      </w:r>
      <w:r w:rsidRPr="000C156A">
        <w:rPr>
          <w:rFonts w:hint="eastAsia"/>
          <w:lang w:eastAsia="zh-CN"/>
        </w:rPr>
        <w:t>工作的来自发展中国家的部门准成员的会费为</w:t>
      </w:r>
      <w:r w:rsidRPr="000C156A">
        <w:rPr>
          <w:lang w:eastAsia="zh-CN"/>
        </w:rPr>
        <w:t>1</w:t>
      </w:r>
      <w:r>
        <w:rPr>
          <w:lang w:eastAsia="zh-CN"/>
        </w:rPr>
        <w:t xml:space="preserve"> </w:t>
      </w:r>
      <w:r w:rsidRPr="000C156A">
        <w:rPr>
          <w:lang w:eastAsia="zh-CN"/>
        </w:rPr>
        <w:t>987.50</w:t>
      </w:r>
      <w:r w:rsidRPr="000C156A">
        <w:rPr>
          <w:rFonts w:hint="eastAsia"/>
          <w:lang w:eastAsia="zh-CN"/>
        </w:rPr>
        <w:t>瑞郎。参加三个部门工作的学术成员（大学及其相关研究机构）的会费规定为</w:t>
      </w:r>
      <w:r w:rsidRPr="000C156A">
        <w:rPr>
          <w:lang w:eastAsia="zh-CN"/>
        </w:rPr>
        <w:t>3</w:t>
      </w:r>
      <w:r>
        <w:rPr>
          <w:lang w:eastAsia="zh-CN"/>
        </w:rPr>
        <w:t xml:space="preserve"> </w:t>
      </w:r>
      <w:r w:rsidRPr="000C156A">
        <w:rPr>
          <w:lang w:eastAsia="zh-CN"/>
        </w:rPr>
        <w:t>975</w:t>
      </w:r>
      <w:r w:rsidRPr="000C156A">
        <w:rPr>
          <w:rFonts w:hint="eastAsia"/>
          <w:lang w:eastAsia="zh-CN"/>
        </w:rPr>
        <w:t>瑞郎（发达国家）和</w:t>
      </w:r>
      <w:r w:rsidRPr="000C156A">
        <w:rPr>
          <w:lang w:eastAsia="zh-CN"/>
        </w:rPr>
        <w:t>1</w:t>
      </w:r>
      <w:r>
        <w:rPr>
          <w:lang w:val="en-US" w:eastAsia="zh-CN"/>
        </w:rPr>
        <w:t xml:space="preserve"> </w:t>
      </w:r>
      <w:r w:rsidRPr="000C156A">
        <w:rPr>
          <w:lang w:eastAsia="zh-CN"/>
        </w:rPr>
        <w:t>978.50</w:t>
      </w:r>
      <w:r w:rsidRPr="000C156A">
        <w:rPr>
          <w:rFonts w:hint="eastAsia"/>
          <w:lang w:eastAsia="zh-CN"/>
        </w:rPr>
        <w:t>瑞郎（发展中国家）。</w:t>
      </w:r>
    </w:p>
    <w:p w14:paraId="4115B49F" w14:textId="77777777" w:rsidR="00232E78" w:rsidRPr="000C156A" w:rsidRDefault="00232E78" w:rsidP="00232E78">
      <w:pPr>
        <w:ind w:firstLineChars="200" w:firstLine="480"/>
        <w:rPr>
          <w:lang w:eastAsia="zh-CN"/>
        </w:rPr>
      </w:pPr>
      <w:r w:rsidRPr="000C156A">
        <w:rPr>
          <w:rFonts w:hint="eastAsia"/>
          <w:lang w:eastAsia="zh-CN"/>
        </w:rPr>
        <w:t>202</w:t>
      </w:r>
      <w:r>
        <w:rPr>
          <w:lang w:eastAsia="zh-CN"/>
        </w:rPr>
        <w:t>2</w:t>
      </w:r>
      <w:r w:rsidRPr="000C156A">
        <w:rPr>
          <w:rFonts w:hint="eastAsia"/>
          <w:lang w:eastAsia="zh-CN"/>
        </w:rPr>
        <w:t>年来自成员国的收入符合在</w:t>
      </w:r>
      <w:r w:rsidRPr="000C156A">
        <w:rPr>
          <w:rFonts w:hint="eastAsia"/>
          <w:lang w:eastAsia="zh-CN"/>
        </w:rPr>
        <w:t>PP-18</w:t>
      </w:r>
      <w:r w:rsidRPr="000C156A">
        <w:rPr>
          <w:rFonts w:hint="eastAsia"/>
          <w:lang w:eastAsia="zh-CN"/>
        </w:rPr>
        <w:t>上介绍的财务规划。成员国的</w:t>
      </w:r>
      <w:r>
        <w:rPr>
          <w:rFonts w:hint="eastAsia"/>
          <w:lang w:eastAsia="zh-CN"/>
        </w:rPr>
        <w:t>分摊会费</w:t>
      </w:r>
      <w:r w:rsidRPr="000C156A">
        <w:rPr>
          <w:rFonts w:hint="eastAsia"/>
          <w:lang w:eastAsia="zh-CN"/>
        </w:rPr>
        <w:t>以</w:t>
      </w:r>
      <w:r w:rsidRPr="000C156A">
        <w:rPr>
          <w:rFonts w:hint="eastAsia"/>
          <w:lang w:eastAsia="zh-CN"/>
        </w:rPr>
        <w:t>343</w:t>
      </w:r>
      <w:r>
        <w:rPr>
          <w:lang w:val="en-US" w:eastAsia="zh-CN"/>
        </w:rPr>
        <w:t xml:space="preserve"> </w:t>
      </w:r>
      <w:r w:rsidRPr="000C156A">
        <w:rPr>
          <w:rFonts w:hint="eastAsia"/>
          <w:lang w:eastAsia="zh-CN"/>
        </w:rPr>
        <w:t>11/16</w:t>
      </w:r>
      <w:r w:rsidRPr="000C156A">
        <w:rPr>
          <w:rFonts w:hint="eastAsia"/>
          <w:lang w:eastAsia="zh-CN"/>
        </w:rPr>
        <w:t>个单位为基础。</w:t>
      </w:r>
    </w:p>
    <w:p w14:paraId="78BF0D54" w14:textId="77777777" w:rsidR="00232E78" w:rsidRPr="0043041F" w:rsidRDefault="00232E78" w:rsidP="00232E78">
      <w:pPr>
        <w:ind w:firstLineChars="200" w:firstLine="480"/>
        <w:rPr>
          <w:lang w:eastAsia="zh-CN"/>
        </w:rPr>
      </w:pPr>
      <w:bookmarkStart w:id="662" w:name="_Toc73518714"/>
      <w:bookmarkStart w:id="663" w:name="_Toc73518861"/>
      <w:bookmarkStart w:id="664" w:name="_Toc73519261"/>
      <w:bookmarkStart w:id="665" w:name="_Toc73636300"/>
      <w:r w:rsidRPr="0043041F">
        <w:rPr>
          <w:rFonts w:hint="eastAsia"/>
          <w:lang w:eastAsia="zh-CN"/>
        </w:rPr>
        <w:t>已</w:t>
      </w:r>
      <w:r w:rsidRPr="00FB184E">
        <w:rPr>
          <w:rFonts w:hint="eastAsia"/>
          <w:lang w:eastAsia="zh-CN"/>
        </w:rPr>
        <w:t>确认</w:t>
      </w:r>
      <w:r w:rsidRPr="0043041F">
        <w:rPr>
          <w:rFonts w:hint="eastAsia"/>
          <w:lang w:eastAsia="zh-CN"/>
        </w:rPr>
        <w:t>的捐助：</w:t>
      </w:r>
    </w:p>
    <w:p w14:paraId="546F39FD" w14:textId="77777777" w:rsidR="00232E78" w:rsidRPr="0043041F" w:rsidRDefault="00232E78" w:rsidP="00232E78">
      <w:pPr>
        <w:ind w:firstLineChars="200" w:firstLine="480"/>
        <w:rPr>
          <w:lang w:eastAsia="zh-CN"/>
        </w:rPr>
      </w:pPr>
      <w:r w:rsidRPr="0043041F">
        <w:rPr>
          <w:rFonts w:hint="eastAsia"/>
          <w:lang w:eastAsia="zh-CN"/>
        </w:rPr>
        <w:t>卢旺达基加利举办的电信发展大会（</w:t>
      </w:r>
      <w:r w:rsidRPr="0043041F">
        <w:rPr>
          <w:rFonts w:hint="eastAsia"/>
          <w:lang w:eastAsia="zh-CN"/>
        </w:rPr>
        <w:t>WTDC</w:t>
      </w:r>
      <w:r w:rsidRPr="0043041F">
        <w:rPr>
          <w:rFonts w:hint="eastAsia"/>
          <w:lang w:eastAsia="zh-CN"/>
        </w:rPr>
        <w:t>）。卢旺达政府支付了前往该国所有国际电联员工的交通费和住宿费。卢旺达政府还直接为所有参会者提供后勤和安全保障。</w:t>
      </w:r>
    </w:p>
    <w:p w14:paraId="4A107D18" w14:textId="77777777" w:rsidR="00232E78" w:rsidRPr="0043041F" w:rsidRDefault="00232E78" w:rsidP="00232E78">
      <w:pPr>
        <w:ind w:firstLineChars="200" w:firstLine="480"/>
        <w:rPr>
          <w:lang w:eastAsia="zh-CN"/>
        </w:rPr>
      </w:pPr>
      <w:r w:rsidRPr="0043041F">
        <w:rPr>
          <w:rFonts w:hint="eastAsia"/>
          <w:lang w:eastAsia="zh-CN"/>
        </w:rPr>
        <w:t>罗马尼亚布加勒斯特召开的全权代表大会。罗马尼亚政府资助了支付了前往参加本届大会的国际电联员工的交通和住宿费用。罗马尼亚还直接为所有参会者提供后勤和安全保障。</w:t>
      </w:r>
    </w:p>
    <w:p w14:paraId="759BE7EB" w14:textId="77777777" w:rsidR="00232E78" w:rsidRDefault="00232E78" w:rsidP="00232E78">
      <w:pPr>
        <w:pStyle w:val="Headingb"/>
        <w:rPr>
          <w:lang w:eastAsia="zh-CN"/>
        </w:rPr>
      </w:pPr>
      <w:r w:rsidRPr="0043041F">
        <w:rPr>
          <w:rFonts w:hint="eastAsia"/>
          <w:lang w:eastAsia="zh-CN"/>
        </w:rPr>
        <w:t>其他和预算外资金</w:t>
      </w:r>
    </w:p>
    <w:bookmarkEnd w:id="658"/>
    <w:bookmarkEnd w:id="659"/>
    <w:bookmarkEnd w:id="660"/>
    <w:bookmarkEnd w:id="662"/>
    <w:bookmarkEnd w:id="663"/>
    <w:bookmarkEnd w:id="664"/>
    <w:bookmarkEnd w:id="665"/>
    <w:p w14:paraId="791D1947" w14:textId="77777777" w:rsidR="00232E78" w:rsidRDefault="00232E78" w:rsidP="00232E78">
      <w:pPr>
        <w:ind w:firstLineChars="200" w:firstLine="480"/>
        <w:rPr>
          <w:lang w:val="en-US" w:eastAsia="zh-CN"/>
        </w:rPr>
      </w:pPr>
      <w:r w:rsidRPr="0043041F">
        <w:rPr>
          <w:rFonts w:hint="eastAsia"/>
          <w:lang w:eastAsia="zh-CN"/>
        </w:rPr>
        <w:t>自愿捐款</w:t>
      </w:r>
      <w:r>
        <w:rPr>
          <w:rFonts w:hint="eastAsia"/>
          <w:lang w:eastAsia="zh-CN"/>
        </w:rPr>
        <w:t>和</w:t>
      </w:r>
      <w:r>
        <w:rPr>
          <w:rFonts w:hint="eastAsia"/>
          <w:lang w:eastAsia="zh-CN"/>
        </w:rPr>
        <w:t>F</w:t>
      </w:r>
      <w:r>
        <w:rPr>
          <w:lang w:eastAsia="zh-CN"/>
        </w:rPr>
        <w:t>IT</w:t>
      </w:r>
      <w:r>
        <w:rPr>
          <w:rFonts w:hint="eastAsia"/>
          <w:lang w:eastAsia="zh-CN"/>
        </w:rPr>
        <w:t>项目是</w:t>
      </w:r>
      <w:r w:rsidRPr="000C156A">
        <w:rPr>
          <w:rFonts w:hint="eastAsia"/>
          <w:lang w:eastAsia="zh-CN"/>
        </w:rPr>
        <w:t>源自第三方的、旨在支持国际电联实施有利于</w:t>
      </w:r>
      <w:r>
        <w:rPr>
          <w:rFonts w:hint="eastAsia"/>
          <w:lang w:eastAsia="zh-CN"/>
        </w:rPr>
        <w:t>发展中国家和</w:t>
      </w:r>
      <w:r w:rsidRPr="000C156A">
        <w:rPr>
          <w:rFonts w:hint="eastAsia"/>
          <w:lang w:eastAsia="zh-CN"/>
        </w:rPr>
        <w:t>联合国确定的最不发达国家发展项目的资金</w:t>
      </w:r>
      <w:r>
        <w:rPr>
          <w:rFonts w:hint="eastAsia"/>
          <w:lang w:eastAsia="zh-CN"/>
        </w:rPr>
        <w:t>，但同时亦是国际电联常规活动预算的补充</w:t>
      </w:r>
      <w:r w:rsidRPr="000C156A">
        <w:rPr>
          <w:rFonts w:hint="eastAsia"/>
          <w:lang w:eastAsia="zh-CN"/>
        </w:rPr>
        <w:t>。</w:t>
      </w:r>
      <w:r w:rsidRPr="000C156A">
        <w:rPr>
          <w:lang w:eastAsia="zh-CN"/>
        </w:rPr>
        <w:t>202</w:t>
      </w:r>
      <w:r>
        <w:rPr>
          <w:lang w:eastAsia="zh-CN"/>
        </w:rPr>
        <w:t>2</w:t>
      </w:r>
      <w:r w:rsidRPr="000C156A">
        <w:rPr>
          <w:rFonts w:hint="eastAsia"/>
          <w:lang w:eastAsia="zh-CN"/>
        </w:rPr>
        <w:t>年自愿捐款</w:t>
      </w:r>
      <w:r>
        <w:rPr>
          <w:rFonts w:hint="eastAsia"/>
          <w:lang w:eastAsia="zh-CN"/>
        </w:rPr>
        <w:t>和收到的信托资金</w:t>
      </w:r>
      <w:r w:rsidRPr="000C156A">
        <w:rPr>
          <w:rFonts w:hint="eastAsia"/>
          <w:lang w:eastAsia="zh-CN"/>
        </w:rPr>
        <w:t>达</w:t>
      </w:r>
      <w:r>
        <w:rPr>
          <w:rFonts w:hint="eastAsia"/>
          <w:lang w:eastAsia="zh-CN"/>
        </w:rPr>
        <w:t>1</w:t>
      </w:r>
      <w:r>
        <w:rPr>
          <w:lang w:eastAsia="zh-CN"/>
        </w:rPr>
        <w:t xml:space="preserve"> </w:t>
      </w:r>
      <w:r w:rsidRPr="000C156A">
        <w:rPr>
          <w:lang w:eastAsia="zh-CN"/>
        </w:rPr>
        <w:t>8</w:t>
      </w:r>
      <w:r>
        <w:rPr>
          <w:lang w:eastAsia="zh-CN"/>
        </w:rPr>
        <w:t>0</w:t>
      </w:r>
      <w:r w:rsidRPr="000C156A">
        <w:rPr>
          <w:lang w:eastAsia="zh-CN"/>
        </w:rPr>
        <w:t>0</w:t>
      </w:r>
      <w:r w:rsidRPr="000C156A">
        <w:rPr>
          <w:rFonts w:hint="eastAsia"/>
          <w:lang w:eastAsia="zh-CN"/>
        </w:rPr>
        <w:t>万瑞郎（</w:t>
      </w:r>
      <w:r w:rsidRPr="000C156A">
        <w:rPr>
          <w:lang w:eastAsia="zh-CN"/>
        </w:rPr>
        <w:t>20</w:t>
      </w:r>
      <w:r>
        <w:rPr>
          <w:lang w:eastAsia="zh-CN"/>
        </w:rPr>
        <w:t>21</w:t>
      </w:r>
      <w:r w:rsidRPr="000C156A">
        <w:rPr>
          <w:rFonts w:hint="eastAsia"/>
          <w:lang w:eastAsia="zh-CN"/>
        </w:rPr>
        <w:t>年为</w:t>
      </w:r>
      <w:r w:rsidRPr="000C156A">
        <w:rPr>
          <w:lang w:eastAsia="zh-CN"/>
        </w:rPr>
        <w:t xml:space="preserve">1 </w:t>
      </w:r>
      <w:r>
        <w:rPr>
          <w:lang w:eastAsia="zh-CN"/>
        </w:rPr>
        <w:t>3</w:t>
      </w:r>
      <w:r w:rsidRPr="000C156A">
        <w:rPr>
          <w:lang w:eastAsia="zh-CN"/>
        </w:rPr>
        <w:t>40</w:t>
      </w:r>
      <w:r w:rsidRPr="000C156A">
        <w:rPr>
          <w:rFonts w:hint="eastAsia"/>
          <w:lang w:eastAsia="zh-CN"/>
        </w:rPr>
        <w:t>万瑞郎）</w:t>
      </w:r>
      <w:r w:rsidRPr="000C156A">
        <w:rPr>
          <w:rFonts w:hint="eastAsia"/>
          <w:lang w:val="en-US" w:eastAsia="zh-CN"/>
        </w:rPr>
        <w:t>。</w:t>
      </w:r>
    </w:p>
    <w:p w14:paraId="6C5FC32F" w14:textId="77777777" w:rsidR="00232E78" w:rsidRPr="000C156A" w:rsidRDefault="00232E78" w:rsidP="0084762D">
      <w:pPr>
        <w:pStyle w:val="Figure"/>
        <w:rPr>
          <w:lang w:val="en-US" w:eastAsia="zh-CN"/>
        </w:rPr>
      </w:pPr>
      <w:r w:rsidRPr="00904471">
        <w:rPr>
          <w:noProof/>
        </w:rPr>
        <w:drawing>
          <wp:inline distT="0" distB="0" distL="0" distR="0" wp14:anchorId="04F36252" wp14:editId="7558F203">
            <wp:extent cx="4987401" cy="1415226"/>
            <wp:effectExtent l="0" t="0" r="3810" b="0"/>
            <wp:docPr id="8165149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993387" cy="1416925"/>
                    </a:xfrm>
                    <a:prstGeom prst="rect">
                      <a:avLst/>
                    </a:prstGeom>
                    <a:noFill/>
                    <a:ln>
                      <a:noFill/>
                    </a:ln>
                  </pic:spPr>
                </pic:pic>
              </a:graphicData>
            </a:graphic>
          </wp:inline>
        </w:drawing>
      </w:r>
    </w:p>
    <w:p w14:paraId="30CFCECC" w14:textId="77777777" w:rsidR="00232E78" w:rsidRDefault="00232E78" w:rsidP="00232E78">
      <w:pPr>
        <w:pStyle w:val="Headingb"/>
        <w:spacing w:after="240"/>
        <w:rPr>
          <w:lang w:eastAsia="zh-CN"/>
        </w:rPr>
      </w:pPr>
      <w:bookmarkStart w:id="666" w:name="_Toc73518715"/>
      <w:bookmarkStart w:id="667" w:name="_Toc73518862"/>
      <w:bookmarkStart w:id="668" w:name="_Toc73519262"/>
      <w:bookmarkStart w:id="669" w:name="_Toc73636301"/>
      <w:r w:rsidRPr="000C156A">
        <w:rPr>
          <w:rFonts w:hint="eastAsia"/>
          <w:lang w:eastAsia="zh-CN"/>
        </w:rPr>
        <w:t>其它营运收入</w:t>
      </w:r>
      <w:bookmarkEnd w:id="666"/>
      <w:bookmarkEnd w:id="667"/>
      <w:bookmarkEnd w:id="668"/>
      <w:bookmarkEnd w:id="669"/>
    </w:p>
    <w:p w14:paraId="2F3D312A" w14:textId="77777777" w:rsidR="00232E78" w:rsidRDefault="00232E78" w:rsidP="0084762D">
      <w:pPr>
        <w:pStyle w:val="Figure"/>
        <w:rPr>
          <w:lang w:eastAsia="zh-CN"/>
        </w:rPr>
      </w:pPr>
      <w:r w:rsidRPr="00904471">
        <w:rPr>
          <w:noProof/>
        </w:rPr>
        <w:drawing>
          <wp:inline distT="0" distB="0" distL="0" distR="0" wp14:anchorId="573993BF" wp14:editId="56E5F62E">
            <wp:extent cx="4688205" cy="1667510"/>
            <wp:effectExtent l="0" t="0" r="0" b="8890"/>
            <wp:docPr id="92045987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688205" cy="1667510"/>
                    </a:xfrm>
                    <a:prstGeom prst="rect">
                      <a:avLst/>
                    </a:prstGeom>
                    <a:noFill/>
                    <a:ln>
                      <a:noFill/>
                    </a:ln>
                  </pic:spPr>
                </pic:pic>
              </a:graphicData>
            </a:graphic>
          </wp:inline>
        </w:drawing>
      </w:r>
    </w:p>
    <w:p w14:paraId="5993F5EB" w14:textId="77777777" w:rsidR="00232E78" w:rsidRDefault="00232E78" w:rsidP="00232E78">
      <w:pPr>
        <w:ind w:firstLineChars="200" w:firstLine="480"/>
        <w:rPr>
          <w:lang w:eastAsia="zh-CN"/>
        </w:rPr>
      </w:pPr>
      <w:bookmarkStart w:id="670" w:name="_MON_1402901008"/>
      <w:bookmarkStart w:id="671" w:name="_MON_1402747191"/>
      <w:bookmarkStart w:id="672" w:name="_MON_1402991021"/>
      <w:bookmarkStart w:id="673" w:name="_MON_1402747319"/>
      <w:bookmarkStart w:id="674" w:name="_MON_1402747346"/>
      <w:bookmarkStart w:id="675" w:name="_MON_1402747436"/>
      <w:bookmarkStart w:id="676" w:name="_MON_1401177845"/>
      <w:bookmarkStart w:id="677" w:name="_Toc73518716"/>
      <w:bookmarkStart w:id="678" w:name="_Toc73518863"/>
      <w:bookmarkStart w:id="679" w:name="_Toc73519263"/>
      <w:bookmarkStart w:id="680" w:name="_Toc73636302"/>
      <w:bookmarkStart w:id="681" w:name="_Toc329011650"/>
      <w:bookmarkStart w:id="682" w:name="_Toc305764107"/>
      <w:bookmarkEnd w:id="670"/>
      <w:bookmarkEnd w:id="671"/>
      <w:bookmarkEnd w:id="672"/>
      <w:bookmarkEnd w:id="673"/>
      <w:bookmarkEnd w:id="674"/>
      <w:bookmarkEnd w:id="675"/>
      <w:bookmarkEnd w:id="676"/>
      <w:r>
        <w:rPr>
          <w:rFonts w:hint="eastAsia"/>
          <w:lang w:eastAsia="zh-CN"/>
        </w:rPr>
        <w:t>2022</w:t>
      </w:r>
      <w:r>
        <w:rPr>
          <w:rFonts w:hint="eastAsia"/>
          <w:lang w:eastAsia="zh-CN"/>
        </w:rPr>
        <w:t>年出版物销售收入达</w:t>
      </w:r>
      <w:r>
        <w:rPr>
          <w:rFonts w:hint="eastAsia"/>
          <w:lang w:eastAsia="zh-CN"/>
        </w:rPr>
        <w:t>1</w:t>
      </w:r>
      <w:r>
        <w:rPr>
          <w:lang w:eastAsia="zh-CN"/>
        </w:rPr>
        <w:t xml:space="preserve"> </w:t>
      </w:r>
      <w:r>
        <w:rPr>
          <w:rFonts w:hint="eastAsia"/>
          <w:lang w:eastAsia="zh-CN"/>
        </w:rPr>
        <w:t>460</w:t>
      </w:r>
      <w:r>
        <w:rPr>
          <w:rFonts w:hint="eastAsia"/>
          <w:lang w:eastAsia="zh-CN"/>
        </w:rPr>
        <w:t>万瑞郎，比</w:t>
      </w:r>
      <w:r>
        <w:rPr>
          <w:rFonts w:hint="eastAsia"/>
          <w:lang w:eastAsia="zh-CN"/>
        </w:rPr>
        <w:t>2022</w:t>
      </w:r>
      <w:r>
        <w:rPr>
          <w:rFonts w:hint="eastAsia"/>
          <w:lang w:eastAsia="zh-CN"/>
        </w:rPr>
        <w:t>年预算预测的</w:t>
      </w:r>
      <w:r>
        <w:rPr>
          <w:rFonts w:hint="eastAsia"/>
          <w:lang w:eastAsia="zh-CN"/>
        </w:rPr>
        <w:t>1</w:t>
      </w:r>
      <w:r>
        <w:rPr>
          <w:lang w:eastAsia="zh-CN"/>
        </w:rPr>
        <w:t xml:space="preserve"> </w:t>
      </w:r>
      <w:r>
        <w:rPr>
          <w:rFonts w:hint="eastAsia"/>
          <w:lang w:eastAsia="zh-CN"/>
        </w:rPr>
        <w:t>550</w:t>
      </w:r>
      <w:r>
        <w:rPr>
          <w:rFonts w:hint="eastAsia"/>
          <w:lang w:eastAsia="zh-CN"/>
        </w:rPr>
        <w:t>万瑞郎少</w:t>
      </w:r>
      <w:r>
        <w:rPr>
          <w:rFonts w:hint="eastAsia"/>
          <w:lang w:eastAsia="zh-CN"/>
        </w:rPr>
        <w:t>90</w:t>
      </w:r>
      <w:r>
        <w:rPr>
          <w:rFonts w:hint="eastAsia"/>
          <w:lang w:eastAsia="zh-CN"/>
        </w:rPr>
        <w:t>万瑞郎。</w:t>
      </w:r>
    </w:p>
    <w:p w14:paraId="1C4E1429" w14:textId="77777777" w:rsidR="00232E78" w:rsidRDefault="00232E78" w:rsidP="00232E78">
      <w:pPr>
        <w:ind w:firstLineChars="200" w:firstLine="480"/>
        <w:rPr>
          <w:lang w:eastAsia="zh-CN"/>
        </w:rPr>
      </w:pPr>
      <w:r>
        <w:rPr>
          <w:rFonts w:hint="eastAsia"/>
          <w:lang w:eastAsia="zh-CN"/>
        </w:rPr>
        <w:lastRenderedPageBreak/>
        <w:t>与</w:t>
      </w:r>
      <w:r>
        <w:rPr>
          <w:rFonts w:hint="eastAsia"/>
          <w:lang w:eastAsia="zh-CN"/>
        </w:rPr>
        <w:t>2021</w:t>
      </w:r>
      <w:r>
        <w:rPr>
          <w:rFonts w:hint="eastAsia"/>
          <w:lang w:eastAsia="zh-CN"/>
        </w:rPr>
        <w:t>年</w:t>
      </w:r>
      <w:r>
        <w:rPr>
          <w:rFonts w:hint="eastAsia"/>
          <w:lang w:eastAsia="zh-CN"/>
        </w:rPr>
        <w:t>1</w:t>
      </w:r>
      <w:r>
        <w:rPr>
          <w:lang w:eastAsia="zh-CN"/>
        </w:rPr>
        <w:t xml:space="preserve"> </w:t>
      </w:r>
      <w:r>
        <w:rPr>
          <w:rFonts w:hint="eastAsia"/>
          <w:lang w:eastAsia="zh-CN"/>
        </w:rPr>
        <w:t>900</w:t>
      </w:r>
      <w:r>
        <w:rPr>
          <w:rFonts w:hint="eastAsia"/>
          <w:lang w:eastAsia="zh-CN"/>
        </w:rPr>
        <w:t>万瑞郎的预测和随后取得的</w:t>
      </w:r>
      <w:r>
        <w:rPr>
          <w:rFonts w:hint="eastAsia"/>
          <w:lang w:eastAsia="zh-CN"/>
        </w:rPr>
        <w:t>1</w:t>
      </w:r>
      <w:r>
        <w:rPr>
          <w:lang w:eastAsia="zh-CN"/>
        </w:rPr>
        <w:t xml:space="preserve"> </w:t>
      </w:r>
      <w:r>
        <w:rPr>
          <w:rFonts w:hint="eastAsia"/>
          <w:lang w:eastAsia="zh-CN"/>
        </w:rPr>
        <w:t>940</w:t>
      </w:r>
      <w:r>
        <w:rPr>
          <w:rFonts w:hint="eastAsia"/>
          <w:lang w:eastAsia="zh-CN"/>
        </w:rPr>
        <w:t>万瑞郎的销售额相比，</w:t>
      </w:r>
      <w:r>
        <w:rPr>
          <w:rFonts w:hint="eastAsia"/>
          <w:lang w:eastAsia="zh-CN"/>
        </w:rPr>
        <w:t>2022</w:t>
      </w:r>
      <w:r>
        <w:rPr>
          <w:rFonts w:hint="eastAsia"/>
          <w:lang w:eastAsia="zh-CN"/>
        </w:rPr>
        <w:t>年</w:t>
      </w:r>
      <w:r>
        <w:rPr>
          <w:rFonts w:hint="eastAsia"/>
          <w:lang w:eastAsia="zh-CN"/>
        </w:rPr>
        <w:t>1</w:t>
      </w:r>
      <w:r w:rsidRPr="000C156A">
        <w:rPr>
          <w:lang w:val="en-US" w:eastAsia="zh-CN"/>
        </w:rPr>
        <w:t> </w:t>
      </w:r>
      <w:r>
        <w:rPr>
          <w:rFonts w:hint="eastAsia"/>
          <w:lang w:eastAsia="zh-CN"/>
        </w:rPr>
        <w:t>550</w:t>
      </w:r>
      <w:r>
        <w:rPr>
          <w:rFonts w:hint="eastAsia"/>
          <w:lang w:eastAsia="zh-CN"/>
        </w:rPr>
        <w:t>万瑞郎的预测较低，其直接原因在于国际电联旗舰水上出版物独有的周期性且这些出版物占出版物销售额的</w:t>
      </w:r>
      <w:r>
        <w:rPr>
          <w:rFonts w:hint="eastAsia"/>
          <w:lang w:eastAsia="zh-CN"/>
        </w:rPr>
        <w:t>90%</w:t>
      </w:r>
      <w:r>
        <w:rPr>
          <w:rFonts w:hint="eastAsia"/>
          <w:lang w:eastAsia="zh-CN"/>
        </w:rPr>
        <w:t>以上，其中每年发行的仅有一种水上出版物（《名录五》）。</w:t>
      </w:r>
      <w:r>
        <w:rPr>
          <w:rFonts w:hint="eastAsia"/>
          <w:lang w:eastAsia="zh-CN"/>
        </w:rPr>
        <w:t>2022</w:t>
      </w:r>
      <w:r>
        <w:rPr>
          <w:rFonts w:hint="eastAsia"/>
          <w:lang w:eastAsia="zh-CN"/>
        </w:rPr>
        <w:t>年的收入完全是由该年发行唯一出版物，即《名录五》</w:t>
      </w:r>
      <w:r>
        <w:rPr>
          <w:rFonts w:hint="eastAsia"/>
          <w:lang w:eastAsia="zh-CN"/>
        </w:rPr>
        <w:t>/</w:t>
      </w:r>
      <w:r w:rsidRPr="009050DF">
        <w:rPr>
          <w:rFonts w:hint="eastAsia"/>
          <w:lang w:eastAsia="zh-CN"/>
        </w:rPr>
        <w:t>船舶电台表</w:t>
      </w:r>
      <w:r>
        <w:rPr>
          <w:rFonts w:hint="eastAsia"/>
          <w:lang w:eastAsia="zh-CN"/>
        </w:rPr>
        <w:t>所带来</w:t>
      </w:r>
      <w:r>
        <w:rPr>
          <w:rFonts w:hint="eastAsia"/>
          <w:lang w:eastAsia="zh-CN"/>
        </w:rPr>
        <w:t>900</w:t>
      </w:r>
      <w:r>
        <w:rPr>
          <w:rFonts w:hint="eastAsia"/>
          <w:lang w:eastAsia="zh-CN"/>
        </w:rPr>
        <w:t>万瑞郎强劲销售推动的。</w:t>
      </w:r>
    </w:p>
    <w:p w14:paraId="7A682FEC" w14:textId="77777777" w:rsidR="00232E78" w:rsidRDefault="00232E78" w:rsidP="00232E78">
      <w:pPr>
        <w:ind w:firstLineChars="200" w:firstLine="480"/>
        <w:rPr>
          <w:lang w:eastAsia="zh-CN"/>
        </w:rPr>
      </w:pPr>
      <w:r>
        <w:rPr>
          <w:rFonts w:hint="eastAsia"/>
          <w:lang w:eastAsia="zh-CN"/>
        </w:rPr>
        <w:t>2022</w:t>
      </w:r>
      <w:r>
        <w:rPr>
          <w:rFonts w:hint="eastAsia"/>
          <w:lang w:eastAsia="zh-CN"/>
        </w:rPr>
        <w:t>年，由于新冠肺炎疫情造成通知申请数量大幅下降，导致成本回收减少，从而降低了卫星网络申报（</w:t>
      </w:r>
      <w:r>
        <w:rPr>
          <w:rFonts w:hint="eastAsia"/>
          <w:lang w:eastAsia="zh-CN"/>
        </w:rPr>
        <w:t>SNF</w:t>
      </w:r>
      <w:r>
        <w:rPr>
          <w:rFonts w:hint="eastAsia"/>
          <w:lang w:eastAsia="zh-CN"/>
        </w:rPr>
        <w:t>）的收入。此现象导致预期收入下降。事实上，</w:t>
      </w:r>
      <w:r>
        <w:rPr>
          <w:rFonts w:hint="eastAsia"/>
          <w:lang w:eastAsia="zh-CN"/>
        </w:rPr>
        <w:t>SNF</w:t>
      </w:r>
      <w:r>
        <w:rPr>
          <w:rFonts w:hint="eastAsia"/>
          <w:lang w:eastAsia="zh-CN"/>
        </w:rPr>
        <w:t>的预算为</w:t>
      </w:r>
      <w:r>
        <w:rPr>
          <w:rFonts w:hint="eastAsia"/>
          <w:lang w:eastAsia="zh-CN"/>
        </w:rPr>
        <w:t>1</w:t>
      </w:r>
      <w:r>
        <w:rPr>
          <w:lang w:eastAsia="zh-CN"/>
        </w:rPr>
        <w:t xml:space="preserve"> </w:t>
      </w:r>
      <w:r>
        <w:rPr>
          <w:rFonts w:hint="eastAsia"/>
          <w:lang w:eastAsia="zh-CN"/>
        </w:rPr>
        <w:t>500</w:t>
      </w:r>
      <w:r>
        <w:rPr>
          <w:rFonts w:hint="eastAsia"/>
          <w:lang w:eastAsia="zh-CN"/>
        </w:rPr>
        <w:t>万瑞郎，但实际收入为</w:t>
      </w:r>
      <w:r>
        <w:rPr>
          <w:rFonts w:hint="eastAsia"/>
          <w:lang w:eastAsia="zh-CN"/>
        </w:rPr>
        <w:t>1 030</w:t>
      </w:r>
      <w:r>
        <w:rPr>
          <w:rFonts w:hint="eastAsia"/>
          <w:lang w:eastAsia="zh-CN"/>
        </w:rPr>
        <w:t>万瑞郎，比核定预算少</w:t>
      </w:r>
      <w:r>
        <w:rPr>
          <w:rFonts w:hint="eastAsia"/>
          <w:lang w:eastAsia="zh-CN"/>
        </w:rPr>
        <w:t>470</w:t>
      </w:r>
      <w:r>
        <w:rPr>
          <w:rFonts w:hint="eastAsia"/>
          <w:lang w:eastAsia="zh-CN"/>
        </w:rPr>
        <w:t>万瑞郎。</w:t>
      </w:r>
    </w:p>
    <w:p w14:paraId="0A03786F" w14:textId="77777777" w:rsidR="00232E78" w:rsidRDefault="00232E78" w:rsidP="00232E78">
      <w:pPr>
        <w:ind w:firstLineChars="200" w:firstLine="480"/>
        <w:rPr>
          <w:lang w:eastAsia="zh-CN"/>
        </w:rPr>
      </w:pPr>
      <w:r>
        <w:rPr>
          <w:rFonts w:hint="eastAsia"/>
          <w:lang w:eastAsia="zh-CN"/>
        </w:rPr>
        <w:t>应当指出的是，由于</w:t>
      </w:r>
      <w:r>
        <w:rPr>
          <w:rFonts w:hint="eastAsia"/>
          <w:lang w:eastAsia="zh-CN"/>
        </w:rPr>
        <w:t>2022</w:t>
      </w:r>
      <w:r>
        <w:rPr>
          <w:rFonts w:hint="eastAsia"/>
          <w:lang w:eastAsia="zh-CN"/>
        </w:rPr>
        <w:t>年全权代表大会废止了有关电信展活动的第</w:t>
      </w:r>
      <w:r>
        <w:rPr>
          <w:rFonts w:hint="eastAsia"/>
          <w:lang w:eastAsia="zh-CN"/>
        </w:rPr>
        <w:t>11</w:t>
      </w:r>
      <w:r>
        <w:rPr>
          <w:rFonts w:hint="eastAsia"/>
          <w:lang w:eastAsia="zh-CN"/>
        </w:rPr>
        <w:t>号决议，因此与该活动相关的成本回收没有得以实现。这导致</w:t>
      </w:r>
      <w:r>
        <w:rPr>
          <w:rFonts w:hint="eastAsia"/>
          <w:lang w:eastAsia="zh-CN"/>
        </w:rPr>
        <w:t>2022</w:t>
      </w:r>
      <w:r>
        <w:rPr>
          <w:rFonts w:hint="eastAsia"/>
          <w:lang w:eastAsia="zh-CN"/>
        </w:rPr>
        <w:t>年预算收入损失</w:t>
      </w:r>
      <w:r>
        <w:rPr>
          <w:rFonts w:hint="eastAsia"/>
          <w:lang w:eastAsia="zh-CN"/>
        </w:rPr>
        <w:t>150</w:t>
      </w:r>
      <w:r>
        <w:rPr>
          <w:rFonts w:hint="eastAsia"/>
          <w:lang w:eastAsia="zh-CN"/>
        </w:rPr>
        <w:t>万瑞郎。</w:t>
      </w:r>
    </w:p>
    <w:p w14:paraId="422FEC00" w14:textId="77777777" w:rsidR="00232E78" w:rsidRPr="002A711A" w:rsidRDefault="00232E78" w:rsidP="00232E78">
      <w:pPr>
        <w:pStyle w:val="Headingb"/>
        <w:spacing w:after="240"/>
        <w:rPr>
          <w:lang w:eastAsia="zh-CN"/>
        </w:rPr>
      </w:pPr>
      <w:r w:rsidRPr="000C156A">
        <w:rPr>
          <w:rFonts w:hint="eastAsia"/>
          <w:lang w:eastAsia="zh-CN"/>
        </w:rPr>
        <w:t>理财收入</w:t>
      </w:r>
      <w:bookmarkStart w:id="683" w:name="lt_pId1151"/>
      <w:bookmarkEnd w:id="677"/>
      <w:bookmarkEnd w:id="678"/>
      <w:bookmarkEnd w:id="679"/>
      <w:bookmarkEnd w:id="680"/>
      <w:bookmarkEnd w:id="681"/>
      <w:bookmarkEnd w:id="682"/>
    </w:p>
    <w:bookmarkEnd w:id="683"/>
    <w:p w14:paraId="437DA640" w14:textId="28846728" w:rsidR="00232E78" w:rsidRDefault="00232E78" w:rsidP="00D61EB2">
      <w:pPr>
        <w:pStyle w:val="Figure"/>
        <w:tabs>
          <w:tab w:val="clear" w:pos="794"/>
          <w:tab w:val="clear" w:pos="1191"/>
          <w:tab w:val="clear" w:pos="1588"/>
        </w:tabs>
        <w:rPr>
          <w:lang w:val="en-US" w:eastAsia="zh-CN"/>
        </w:rPr>
      </w:pPr>
      <w:r w:rsidRPr="00A50788">
        <w:rPr>
          <w:noProof/>
        </w:rPr>
        <w:drawing>
          <wp:inline distT="0" distB="0" distL="0" distR="0" wp14:anchorId="6DFDB824" wp14:editId="7A76301C">
            <wp:extent cx="4629785" cy="1506855"/>
            <wp:effectExtent l="0" t="0" r="0" b="0"/>
            <wp:docPr id="65453369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629785" cy="1506855"/>
                    </a:xfrm>
                    <a:prstGeom prst="rect">
                      <a:avLst/>
                    </a:prstGeom>
                    <a:noFill/>
                    <a:ln>
                      <a:noFill/>
                    </a:ln>
                  </pic:spPr>
                </pic:pic>
              </a:graphicData>
            </a:graphic>
          </wp:inline>
        </w:drawing>
      </w:r>
    </w:p>
    <w:p w14:paraId="5FB483BC" w14:textId="6688C495" w:rsidR="00232E78" w:rsidRPr="001C4F64" w:rsidRDefault="00232E78" w:rsidP="002B043E">
      <w:pPr>
        <w:spacing w:before="240"/>
        <w:ind w:firstLineChars="200" w:firstLine="480"/>
        <w:jc w:val="both"/>
        <w:rPr>
          <w:lang w:val="en-US" w:eastAsia="zh-CN"/>
        </w:rPr>
      </w:pPr>
      <w:r w:rsidRPr="00E163C2">
        <w:rPr>
          <w:rFonts w:hint="eastAsia"/>
          <w:lang w:val="en-US" w:eastAsia="zh-CN"/>
        </w:rPr>
        <w:t>2022</w:t>
      </w:r>
      <w:r w:rsidRPr="00E163C2">
        <w:rPr>
          <w:rFonts w:hint="eastAsia"/>
          <w:lang w:val="en-US" w:eastAsia="zh-CN"/>
        </w:rPr>
        <w:t>年美元短期存款利率</w:t>
      </w:r>
      <w:r>
        <w:rPr>
          <w:rFonts w:hint="eastAsia"/>
          <w:lang w:val="en-US" w:eastAsia="zh-CN"/>
        </w:rPr>
        <w:t>的</w:t>
      </w:r>
      <w:r w:rsidRPr="00E163C2">
        <w:rPr>
          <w:rFonts w:hint="eastAsia"/>
          <w:lang w:val="en-US" w:eastAsia="zh-CN"/>
        </w:rPr>
        <w:t>上升，</w:t>
      </w:r>
      <w:r>
        <w:rPr>
          <w:rFonts w:hint="eastAsia"/>
          <w:lang w:val="en-US" w:eastAsia="zh-CN"/>
        </w:rPr>
        <w:t>对</w:t>
      </w:r>
      <w:r w:rsidRPr="00E163C2">
        <w:rPr>
          <w:rFonts w:hint="eastAsia"/>
          <w:lang w:val="en-US" w:eastAsia="zh-CN"/>
        </w:rPr>
        <w:t>与</w:t>
      </w:r>
      <w:r w:rsidRPr="00E163C2">
        <w:rPr>
          <w:rFonts w:hint="eastAsia"/>
          <w:lang w:val="en-US" w:eastAsia="zh-CN"/>
        </w:rPr>
        <w:t>2021</w:t>
      </w:r>
      <w:r w:rsidRPr="00E163C2">
        <w:rPr>
          <w:rFonts w:hint="eastAsia"/>
          <w:lang w:val="en-US" w:eastAsia="zh-CN"/>
        </w:rPr>
        <w:t>年相比</w:t>
      </w:r>
      <w:r>
        <w:rPr>
          <w:rFonts w:hint="eastAsia"/>
          <w:lang w:val="en-US" w:eastAsia="zh-CN"/>
        </w:rPr>
        <w:t>出现</w:t>
      </w:r>
      <w:r w:rsidRPr="00E163C2">
        <w:rPr>
          <w:rFonts w:hint="eastAsia"/>
          <w:lang w:val="en-US" w:eastAsia="zh-CN"/>
        </w:rPr>
        <w:t>的增长</w:t>
      </w:r>
      <w:r>
        <w:rPr>
          <w:rFonts w:hint="eastAsia"/>
          <w:lang w:val="en-US" w:eastAsia="zh-CN"/>
        </w:rPr>
        <w:t>给出了</w:t>
      </w:r>
      <w:r w:rsidRPr="00E163C2">
        <w:rPr>
          <w:rFonts w:hint="eastAsia"/>
          <w:lang w:val="en-US" w:eastAsia="zh-CN"/>
        </w:rPr>
        <w:t>解释。</w:t>
      </w:r>
    </w:p>
    <w:p w14:paraId="75C952A6" w14:textId="77777777" w:rsidR="00F14A61" w:rsidRPr="00390E6A" w:rsidRDefault="00F14A61" w:rsidP="00F14A61">
      <w:pPr>
        <w:pStyle w:val="Heading1"/>
        <w:tabs>
          <w:tab w:val="clear" w:pos="794"/>
        </w:tabs>
        <w:ind w:left="1134" w:hanging="1134"/>
        <w:rPr>
          <w:rFonts w:cs="Microsoft YaHei"/>
          <w:sz w:val="24"/>
          <w:szCs w:val="24"/>
          <w:lang w:eastAsia="zh-CN"/>
        </w:rPr>
      </w:pPr>
      <w:bookmarkStart w:id="684" w:name="_Toc482892583"/>
      <w:bookmarkStart w:id="685" w:name="_Toc482870848"/>
      <w:bookmarkStart w:id="686" w:name="_Toc511817850"/>
      <w:bookmarkStart w:id="687" w:name="_Toc520280750"/>
      <w:bookmarkStart w:id="688" w:name="_Toc10536845"/>
      <w:bookmarkStart w:id="689" w:name="_Toc41905896"/>
      <w:bookmarkStart w:id="690" w:name="_Toc41906917"/>
      <w:bookmarkStart w:id="691" w:name="_Toc41907998"/>
      <w:bookmarkStart w:id="692" w:name="_Toc41908066"/>
      <w:bookmarkStart w:id="693" w:name="_Toc73518717"/>
      <w:bookmarkStart w:id="694" w:name="_Toc73518864"/>
      <w:bookmarkStart w:id="695" w:name="_Toc73519264"/>
      <w:bookmarkStart w:id="696" w:name="_Toc73636303"/>
      <w:bookmarkStart w:id="697" w:name="_Toc163723306"/>
      <w:bookmarkStart w:id="698" w:name="_Toc329011651"/>
      <w:bookmarkStart w:id="699" w:name="_Toc305764108"/>
      <w:r w:rsidRPr="00390E6A">
        <w:rPr>
          <w:rFonts w:hint="eastAsia"/>
          <w:sz w:val="24"/>
          <w:szCs w:val="24"/>
          <w:lang w:val="en-US" w:eastAsia="zh-CN"/>
        </w:rPr>
        <w:t>说明</w:t>
      </w:r>
      <w:r w:rsidRPr="00390E6A">
        <w:rPr>
          <w:sz w:val="24"/>
          <w:szCs w:val="24"/>
          <w:lang w:val="en-US" w:eastAsia="zh-CN"/>
        </w:rPr>
        <w:t>23</w:t>
      </w:r>
      <w:r w:rsidRPr="00390E6A">
        <w:rPr>
          <w:sz w:val="24"/>
          <w:szCs w:val="24"/>
          <w:lang w:val="en-US" w:eastAsia="zh-CN"/>
        </w:rPr>
        <w:tab/>
      </w:r>
      <w:r w:rsidRPr="00390E6A">
        <w:rPr>
          <w:rFonts w:hint="eastAsia"/>
          <w:sz w:val="24"/>
          <w:szCs w:val="24"/>
          <w:lang w:val="en-US" w:eastAsia="zh-CN"/>
        </w:rPr>
        <w:t>费用</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14:paraId="4774947A" w14:textId="77777777" w:rsidR="00F14A61" w:rsidRPr="000C156A" w:rsidRDefault="00F14A61" w:rsidP="00F14A61">
      <w:pPr>
        <w:pStyle w:val="Headingb"/>
        <w:rPr>
          <w:lang w:val="en-US" w:eastAsia="zh-CN"/>
        </w:rPr>
      </w:pPr>
      <w:bookmarkStart w:id="700" w:name="_Toc73518718"/>
      <w:bookmarkStart w:id="701" w:name="_Toc73518865"/>
      <w:bookmarkStart w:id="702" w:name="_Toc73519265"/>
      <w:bookmarkStart w:id="703" w:name="_Toc73636304"/>
      <w:bookmarkEnd w:id="698"/>
      <w:bookmarkEnd w:id="699"/>
      <w:r w:rsidRPr="000C156A">
        <w:rPr>
          <w:rFonts w:hint="eastAsia"/>
          <w:lang w:eastAsia="zh-CN"/>
        </w:rPr>
        <w:t>人员费用</w:t>
      </w:r>
      <w:bookmarkEnd w:id="700"/>
      <w:bookmarkEnd w:id="701"/>
      <w:bookmarkEnd w:id="702"/>
      <w:bookmarkEnd w:id="703"/>
    </w:p>
    <w:p w14:paraId="5E70F4FE" w14:textId="77777777" w:rsidR="00F14A61" w:rsidRDefault="00F14A61" w:rsidP="00F14A61">
      <w:pPr>
        <w:spacing w:after="240"/>
        <w:ind w:firstLineChars="200" w:firstLine="480"/>
        <w:rPr>
          <w:lang w:eastAsia="zh-CN"/>
        </w:rPr>
      </w:pPr>
      <w:r w:rsidRPr="000C156A">
        <w:rPr>
          <w:rFonts w:hint="eastAsia"/>
          <w:lang w:eastAsia="zh-CN"/>
        </w:rPr>
        <w:t>人员费用包括担任长期职位人员和专为大会服务或持短期合同人员的所有薪酬，如基薪、任职地点补贴调整数、语言津贴、侨居津贴、受抚养人津贴和加班费，以及其它职员费用。</w:t>
      </w:r>
    </w:p>
    <w:p w14:paraId="2E73AAF6" w14:textId="77777777" w:rsidR="00F14A61" w:rsidRDefault="00F14A61" w:rsidP="0084762D">
      <w:pPr>
        <w:pStyle w:val="Figure"/>
        <w:keepNext w:val="0"/>
        <w:keepLines w:val="0"/>
        <w:rPr>
          <w:lang w:eastAsia="zh-CN"/>
        </w:rPr>
      </w:pPr>
      <w:r w:rsidRPr="009D6A80">
        <w:rPr>
          <w:rFonts w:hint="eastAsia"/>
          <w:noProof/>
        </w:rPr>
        <w:drawing>
          <wp:inline distT="0" distB="0" distL="0" distR="0" wp14:anchorId="0C7973DF" wp14:editId="0EE0C84A">
            <wp:extent cx="5128950" cy="2439567"/>
            <wp:effectExtent l="0" t="0" r="0" b="0"/>
            <wp:docPr id="1398780700"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130887" cy="2440488"/>
                    </a:xfrm>
                    <a:prstGeom prst="rect">
                      <a:avLst/>
                    </a:prstGeom>
                    <a:noFill/>
                    <a:ln>
                      <a:noFill/>
                    </a:ln>
                  </pic:spPr>
                </pic:pic>
              </a:graphicData>
            </a:graphic>
          </wp:inline>
        </w:drawing>
      </w:r>
    </w:p>
    <w:p w14:paraId="26726E6B" w14:textId="77777777" w:rsidR="00F14A61" w:rsidRDefault="00F14A61" w:rsidP="00F14A61">
      <w:pPr>
        <w:ind w:firstLineChars="200" w:firstLine="480"/>
        <w:rPr>
          <w:lang w:val="en-US" w:eastAsia="zh-CN"/>
        </w:rPr>
      </w:pPr>
      <w:bookmarkStart w:id="704" w:name="_Toc73518719"/>
      <w:bookmarkStart w:id="705" w:name="_Toc73518866"/>
      <w:bookmarkStart w:id="706" w:name="_Toc73519266"/>
      <w:bookmarkStart w:id="707" w:name="_Toc73636305"/>
      <w:r w:rsidRPr="0053555A">
        <w:rPr>
          <w:rFonts w:hint="eastAsia"/>
          <w:lang w:val="en-US" w:eastAsia="zh-CN"/>
        </w:rPr>
        <w:lastRenderedPageBreak/>
        <w:t>2022</w:t>
      </w:r>
      <w:r w:rsidRPr="0053555A">
        <w:rPr>
          <w:rFonts w:hint="eastAsia"/>
          <w:lang w:val="en-US" w:eastAsia="zh-CN"/>
        </w:rPr>
        <w:t>年</w:t>
      </w:r>
      <w:r>
        <w:rPr>
          <w:rFonts w:hint="eastAsia"/>
          <w:lang w:val="en-US" w:eastAsia="zh-CN"/>
        </w:rPr>
        <w:t>人员</w:t>
      </w:r>
      <w:r w:rsidRPr="0053555A">
        <w:rPr>
          <w:rFonts w:hint="eastAsia"/>
          <w:lang w:val="en-US" w:eastAsia="zh-CN"/>
        </w:rPr>
        <w:t>支出</w:t>
      </w:r>
      <w:r>
        <w:rPr>
          <w:rFonts w:hint="eastAsia"/>
          <w:lang w:val="en-US" w:eastAsia="zh-CN"/>
        </w:rPr>
        <w:t>总体</w:t>
      </w:r>
      <w:r w:rsidRPr="0053555A">
        <w:rPr>
          <w:rFonts w:hint="eastAsia"/>
          <w:lang w:val="en-US" w:eastAsia="zh-CN"/>
        </w:rPr>
        <w:t>保持稳定。然而，应注意到由于</w:t>
      </w:r>
      <w:r w:rsidRPr="0053555A">
        <w:rPr>
          <w:rFonts w:hint="eastAsia"/>
          <w:lang w:val="en-US" w:eastAsia="zh-CN"/>
        </w:rPr>
        <w:t>G</w:t>
      </w:r>
      <w:r w:rsidRPr="0053555A">
        <w:rPr>
          <w:rFonts w:hint="eastAsia"/>
          <w:lang w:val="en-US" w:eastAsia="zh-CN"/>
        </w:rPr>
        <w:t>类工作人员基薪增加了</w:t>
      </w:r>
      <w:r w:rsidRPr="0053555A">
        <w:rPr>
          <w:rFonts w:hint="eastAsia"/>
          <w:lang w:val="en-US" w:eastAsia="zh-CN"/>
        </w:rPr>
        <w:t>2.9%</w:t>
      </w:r>
      <w:r w:rsidRPr="0053555A">
        <w:rPr>
          <w:rFonts w:hint="eastAsia"/>
          <w:lang w:val="en-US" w:eastAsia="zh-CN"/>
        </w:rPr>
        <w:t>，</w:t>
      </w:r>
      <w:r>
        <w:rPr>
          <w:rFonts w:hint="eastAsia"/>
          <w:lang w:val="en-US" w:eastAsia="zh-CN"/>
        </w:rPr>
        <w:t>因此</w:t>
      </w:r>
      <w:r w:rsidRPr="0053555A">
        <w:rPr>
          <w:rFonts w:hint="eastAsia"/>
          <w:lang w:val="en-US" w:eastAsia="zh-CN"/>
        </w:rPr>
        <w:t>薪金和津贴也有所增加。这一增长也引发了医疗保险和</w:t>
      </w:r>
      <w:r>
        <w:rPr>
          <w:rFonts w:hint="eastAsia"/>
          <w:lang w:val="en-US" w:eastAsia="zh-CN"/>
        </w:rPr>
        <w:t>养恤金</w:t>
      </w:r>
      <w:r w:rsidRPr="0053555A">
        <w:rPr>
          <w:rFonts w:hint="eastAsia"/>
          <w:lang w:val="en-US" w:eastAsia="zh-CN"/>
        </w:rPr>
        <w:t>缴款的增加。这些增加因贴现率上升而被抵消，导致</w:t>
      </w:r>
      <w:r>
        <w:rPr>
          <w:rFonts w:hint="eastAsia"/>
          <w:lang w:val="en-US" w:eastAsia="zh-CN"/>
        </w:rPr>
        <w:t>记入人员费用项下的</w:t>
      </w:r>
      <w:r w:rsidRPr="0053555A">
        <w:rPr>
          <w:rFonts w:hint="eastAsia"/>
          <w:lang w:val="en-US" w:eastAsia="zh-CN"/>
        </w:rPr>
        <w:t>ASHI</w:t>
      </w:r>
      <w:r w:rsidRPr="0053555A">
        <w:rPr>
          <w:rFonts w:hint="eastAsia"/>
          <w:lang w:val="en-US" w:eastAsia="zh-CN"/>
        </w:rPr>
        <w:t>调整数减少</w:t>
      </w:r>
      <w:r w:rsidRPr="0053555A">
        <w:rPr>
          <w:rFonts w:hint="eastAsia"/>
          <w:lang w:val="en-US" w:eastAsia="zh-CN"/>
        </w:rPr>
        <w:t>330</w:t>
      </w:r>
      <w:r w:rsidRPr="0053555A">
        <w:rPr>
          <w:rFonts w:hint="eastAsia"/>
          <w:lang w:val="en-US" w:eastAsia="zh-CN"/>
        </w:rPr>
        <w:t>万</w:t>
      </w:r>
      <w:r>
        <w:rPr>
          <w:rFonts w:hint="eastAsia"/>
          <w:lang w:val="en-US" w:eastAsia="zh-CN"/>
        </w:rPr>
        <w:t>瑞郎</w:t>
      </w:r>
      <w:r w:rsidRPr="0053555A">
        <w:rPr>
          <w:rFonts w:hint="eastAsia"/>
          <w:lang w:val="en-US" w:eastAsia="zh-CN"/>
        </w:rPr>
        <w:t>。</w:t>
      </w:r>
    </w:p>
    <w:p w14:paraId="0F02CA8D" w14:textId="77777777" w:rsidR="00F14A61" w:rsidRPr="009665AE" w:rsidRDefault="00F14A61" w:rsidP="00D61EB2">
      <w:pPr>
        <w:pStyle w:val="Figure"/>
        <w:rPr>
          <w:lang w:val="en-US" w:eastAsia="zh-CN"/>
        </w:rPr>
      </w:pPr>
      <w:r w:rsidRPr="00642FEE">
        <w:rPr>
          <w:rFonts w:hint="eastAsia"/>
          <w:noProof/>
        </w:rPr>
        <w:drawing>
          <wp:inline distT="0" distB="0" distL="0" distR="0" wp14:anchorId="183A3FB1" wp14:editId="134B85F9">
            <wp:extent cx="5566521" cy="2055273"/>
            <wp:effectExtent l="0" t="0" r="0" b="2540"/>
            <wp:docPr id="1718419451"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572771" cy="2057580"/>
                    </a:xfrm>
                    <a:prstGeom prst="rect">
                      <a:avLst/>
                    </a:prstGeom>
                    <a:noFill/>
                    <a:ln>
                      <a:noFill/>
                    </a:ln>
                  </pic:spPr>
                </pic:pic>
              </a:graphicData>
            </a:graphic>
          </wp:inline>
        </w:drawing>
      </w:r>
    </w:p>
    <w:p w14:paraId="7921483A" w14:textId="77777777" w:rsidR="00F14A61" w:rsidRPr="000C156A" w:rsidRDefault="00F14A61" w:rsidP="00F14A61">
      <w:pPr>
        <w:pStyle w:val="Headingb"/>
        <w:rPr>
          <w:lang w:eastAsia="zh-CN"/>
        </w:rPr>
      </w:pPr>
      <w:r w:rsidRPr="000C156A">
        <w:rPr>
          <w:rFonts w:hint="eastAsia"/>
          <w:lang w:eastAsia="zh-CN"/>
        </w:rPr>
        <w:t>差旅费用</w:t>
      </w:r>
      <w:bookmarkEnd w:id="704"/>
      <w:bookmarkEnd w:id="705"/>
      <w:bookmarkEnd w:id="706"/>
      <w:bookmarkEnd w:id="707"/>
    </w:p>
    <w:p w14:paraId="0CDCE471" w14:textId="77777777" w:rsidR="00F14A61" w:rsidRPr="009665AE" w:rsidRDefault="00F14A61" w:rsidP="00F14A61">
      <w:pPr>
        <w:ind w:firstLineChars="200" w:firstLine="480"/>
        <w:rPr>
          <w:lang w:eastAsia="zh-CN"/>
        </w:rPr>
      </w:pPr>
      <w:bookmarkStart w:id="708" w:name="_Toc73518720"/>
      <w:bookmarkStart w:id="709" w:name="_Toc73518867"/>
      <w:bookmarkStart w:id="710" w:name="_Toc73519267"/>
      <w:bookmarkStart w:id="711" w:name="_Toc73636306"/>
      <w:r w:rsidRPr="0053555A">
        <w:rPr>
          <w:rFonts w:hint="eastAsia"/>
          <w:lang w:eastAsia="zh-CN"/>
        </w:rPr>
        <w:t>2022</w:t>
      </w:r>
      <w:r w:rsidRPr="0053555A">
        <w:rPr>
          <w:rFonts w:hint="eastAsia"/>
          <w:lang w:eastAsia="zh-CN"/>
        </w:rPr>
        <w:t>年，由于新冠肺炎</w:t>
      </w:r>
      <w:r>
        <w:rPr>
          <w:rFonts w:hint="eastAsia"/>
          <w:lang w:eastAsia="zh-CN"/>
        </w:rPr>
        <w:t>造成</w:t>
      </w:r>
      <w:r w:rsidRPr="0053555A">
        <w:rPr>
          <w:rFonts w:hint="eastAsia"/>
          <w:lang w:eastAsia="zh-CN"/>
        </w:rPr>
        <w:t>的大多数旅行限制已经取消，</w:t>
      </w:r>
      <w:r>
        <w:rPr>
          <w:rFonts w:hint="eastAsia"/>
          <w:lang w:eastAsia="zh-CN"/>
        </w:rPr>
        <w:t>因此差旅</w:t>
      </w:r>
      <w:r w:rsidRPr="0053555A">
        <w:rPr>
          <w:rFonts w:hint="eastAsia"/>
          <w:lang w:eastAsia="zh-CN"/>
        </w:rPr>
        <w:t>能够按计划进行。</w:t>
      </w:r>
    </w:p>
    <w:p w14:paraId="113470D6" w14:textId="77777777" w:rsidR="00F14A61" w:rsidRPr="000C156A" w:rsidRDefault="00F14A61" w:rsidP="00F14A61">
      <w:pPr>
        <w:pStyle w:val="Headingb"/>
        <w:rPr>
          <w:lang w:eastAsia="zh-CN"/>
        </w:rPr>
      </w:pPr>
      <w:r w:rsidRPr="000C156A">
        <w:rPr>
          <w:rFonts w:hint="eastAsia"/>
          <w:lang w:eastAsia="zh-CN"/>
        </w:rPr>
        <w:t>合同服务</w:t>
      </w:r>
      <w:bookmarkEnd w:id="708"/>
      <w:bookmarkEnd w:id="709"/>
      <w:bookmarkEnd w:id="710"/>
      <w:bookmarkEnd w:id="711"/>
    </w:p>
    <w:p w14:paraId="23D9748C" w14:textId="77777777" w:rsidR="00F14A61" w:rsidRPr="000C156A" w:rsidRDefault="00F14A61" w:rsidP="00F14A61">
      <w:pPr>
        <w:ind w:firstLineChars="200" w:firstLine="480"/>
        <w:rPr>
          <w:lang w:val="en-US" w:eastAsia="zh-CN"/>
        </w:rPr>
      </w:pPr>
      <w:r w:rsidRPr="000C156A">
        <w:rPr>
          <w:rFonts w:hint="eastAsia"/>
          <w:lang w:eastAsia="zh-CN"/>
        </w:rPr>
        <w:t>该类别包括在协议框架和合同安排范围内，为提供咨询人员的公司支付的所有酬劳、各种收费和费用，同时也涵盖特别服务协议、作为培训组成部分的语言课程费用以及分包服务费用。</w:t>
      </w:r>
      <w:r w:rsidRPr="000C156A">
        <w:rPr>
          <w:rFonts w:hint="eastAsia"/>
          <w:lang w:val="en-US" w:eastAsia="zh-CN"/>
        </w:rPr>
        <w:t>详见分部门报告（说明</w:t>
      </w:r>
      <w:r w:rsidRPr="000C156A">
        <w:rPr>
          <w:lang w:val="en-US" w:eastAsia="zh-CN"/>
        </w:rPr>
        <w:t>24</w:t>
      </w:r>
      <w:r w:rsidRPr="000C156A">
        <w:rPr>
          <w:rFonts w:hint="eastAsia"/>
          <w:lang w:val="en-US" w:eastAsia="zh-CN"/>
        </w:rPr>
        <w:t>）</w:t>
      </w:r>
    </w:p>
    <w:p w14:paraId="6858D82D" w14:textId="77777777" w:rsidR="00F14A61" w:rsidRPr="000C156A" w:rsidRDefault="00F14A61" w:rsidP="00F14A61">
      <w:pPr>
        <w:pStyle w:val="Headingb"/>
        <w:rPr>
          <w:lang w:eastAsia="zh-CN"/>
        </w:rPr>
      </w:pPr>
      <w:bookmarkStart w:id="712" w:name="_Toc73518721"/>
      <w:bookmarkStart w:id="713" w:name="_Toc73518868"/>
      <w:bookmarkStart w:id="714" w:name="_Toc73519268"/>
      <w:bookmarkStart w:id="715" w:name="_Toc73636307"/>
      <w:r w:rsidRPr="000C156A">
        <w:rPr>
          <w:rFonts w:hint="eastAsia"/>
          <w:lang w:eastAsia="zh-CN"/>
        </w:rPr>
        <w:t>房屋设备租金与维修费</w:t>
      </w:r>
      <w:bookmarkEnd w:id="712"/>
      <w:bookmarkEnd w:id="713"/>
      <w:bookmarkEnd w:id="714"/>
      <w:bookmarkEnd w:id="715"/>
    </w:p>
    <w:p w14:paraId="365932CC" w14:textId="336A34D4" w:rsidR="00232E78" w:rsidRDefault="00F14A61" w:rsidP="00F14A61">
      <w:pPr>
        <w:rPr>
          <w:lang w:val="en-US" w:eastAsia="zh-CN"/>
        </w:rPr>
      </w:pPr>
      <w:r w:rsidRPr="000C156A">
        <w:rPr>
          <w:rFonts w:hint="eastAsia"/>
          <w:lang w:eastAsia="zh-CN"/>
        </w:rPr>
        <w:t>2</w:t>
      </w:r>
      <w:r w:rsidRPr="000C156A">
        <w:rPr>
          <w:lang w:eastAsia="zh-CN"/>
        </w:rPr>
        <w:t>02</w:t>
      </w:r>
      <w:r>
        <w:rPr>
          <w:lang w:eastAsia="zh-CN"/>
        </w:rPr>
        <w:t>2</w:t>
      </w:r>
      <w:r w:rsidRPr="000C156A">
        <w:rPr>
          <w:rFonts w:hint="eastAsia"/>
          <w:lang w:eastAsia="zh-CN"/>
        </w:rPr>
        <w:t>年的租金和设备费为</w:t>
      </w:r>
      <w:r>
        <w:rPr>
          <w:lang w:eastAsia="zh-CN"/>
        </w:rPr>
        <w:t>28</w:t>
      </w:r>
      <w:r w:rsidRPr="000C156A">
        <w:rPr>
          <w:lang w:eastAsia="zh-CN"/>
        </w:rPr>
        <w:t>0</w:t>
      </w:r>
      <w:r w:rsidRPr="000C156A">
        <w:rPr>
          <w:rFonts w:hint="eastAsia"/>
          <w:lang w:eastAsia="zh-CN"/>
        </w:rPr>
        <w:t>万瑞</w:t>
      </w:r>
      <w:r w:rsidRPr="00D5256D">
        <w:rPr>
          <w:rFonts w:hint="eastAsia"/>
          <w:lang w:eastAsia="zh-CN"/>
        </w:rPr>
        <w:t>郎（</w:t>
      </w:r>
      <w:r w:rsidRPr="00D5256D">
        <w:rPr>
          <w:lang w:eastAsia="zh-CN"/>
        </w:rPr>
        <w:t>2021</w:t>
      </w:r>
      <w:r w:rsidRPr="00D5256D">
        <w:rPr>
          <w:rFonts w:hint="eastAsia"/>
          <w:lang w:eastAsia="zh-CN"/>
        </w:rPr>
        <w:t>年</w:t>
      </w:r>
      <w:r w:rsidRPr="00D5256D">
        <w:rPr>
          <w:lang w:eastAsia="zh-CN"/>
        </w:rPr>
        <w:t>180</w:t>
      </w:r>
      <w:r w:rsidRPr="00D5256D">
        <w:rPr>
          <w:rFonts w:hint="eastAsia"/>
          <w:lang w:val="en-US" w:eastAsia="zh-CN"/>
        </w:rPr>
        <w:t>万瑞郎）</w:t>
      </w:r>
      <w:r w:rsidRPr="000C156A">
        <w:rPr>
          <w:rFonts w:hint="eastAsia"/>
          <w:lang w:val="en-US" w:eastAsia="zh-CN"/>
        </w:rPr>
        <w:t>。</w:t>
      </w:r>
      <w:r>
        <w:rPr>
          <w:rFonts w:hint="eastAsia"/>
          <w:lang w:val="en-US" w:eastAsia="zh-CN"/>
        </w:rPr>
        <w:t>费用</w:t>
      </w:r>
      <w:r w:rsidRPr="0053555A">
        <w:rPr>
          <w:rFonts w:hint="eastAsia"/>
          <w:lang w:val="en-US" w:eastAsia="zh-CN"/>
        </w:rPr>
        <w:t>增加</w:t>
      </w:r>
      <w:r w:rsidRPr="0053555A">
        <w:rPr>
          <w:rFonts w:hint="eastAsia"/>
          <w:lang w:val="en-US" w:eastAsia="zh-CN"/>
        </w:rPr>
        <w:t>50%</w:t>
      </w:r>
      <w:r w:rsidRPr="0053555A">
        <w:rPr>
          <w:rFonts w:hint="eastAsia"/>
          <w:lang w:val="en-US" w:eastAsia="zh-CN"/>
        </w:rPr>
        <w:t>是因为在</w:t>
      </w:r>
      <w:r w:rsidRPr="0053555A">
        <w:rPr>
          <w:rFonts w:hint="eastAsia"/>
          <w:lang w:val="en-US" w:eastAsia="zh-CN"/>
        </w:rPr>
        <w:t>CICG</w:t>
      </w:r>
      <w:r w:rsidRPr="0053555A">
        <w:rPr>
          <w:rFonts w:hint="eastAsia"/>
          <w:lang w:val="en-US" w:eastAsia="zh-CN"/>
        </w:rPr>
        <w:t>举</w:t>
      </w:r>
      <w:r>
        <w:rPr>
          <w:rFonts w:hint="eastAsia"/>
          <w:lang w:val="en-US" w:eastAsia="zh-CN"/>
        </w:rPr>
        <w:t>办</w:t>
      </w:r>
      <w:r w:rsidRPr="0053555A">
        <w:rPr>
          <w:rFonts w:hint="eastAsia"/>
          <w:lang w:val="en-US" w:eastAsia="zh-CN"/>
        </w:rPr>
        <w:t>WTSA</w:t>
      </w:r>
      <w:r>
        <w:rPr>
          <w:rFonts w:hint="eastAsia"/>
          <w:lang w:val="en-US" w:eastAsia="zh-CN"/>
        </w:rPr>
        <w:t>大</w:t>
      </w:r>
      <w:r w:rsidRPr="0053555A">
        <w:rPr>
          <w:rFonts w:hint="eastAsia"/>
          <w:lang w:val="en-US" w:eastAsia="zh-CN"/>
        </w:rPr>
        <w:t>会，会议场地和视听设备都是租用的。</w:t>
      </w:r>
    </w:p>
    <w:p w14:paraId="6071DDB9" w14:textId="77777777" w:rsidR="00F14A61" w:rsidRDefault="00F14A61" w:rsidP="00F14A61">
      <w:pPr>
        <w:rPr>
          <w:lang w:val="en-US" w:eastAsia="zh-CN"/>
        </w:rPr>
        <w:sectPr w:rsidR="00F14A61" w:rsidSect="00060F0C">
          <w:headerReference w:type="default" r:id="rId75"/>
          <w:footerReference w:type="default" r:id="rId76"/>
          <w:headerReference w:type="first" r:id="rId77"/>
          <w:footerReference w:type="first" r:id="rId78"/>
          <w:pgSz w:w="11907" w:h="16834"/>
          <w:pgMar w:top="1418" w:right="1418" w:bottom="1418" w:left="1418" w:header="720" w:footer="720" w:gutter="0"/>
          <w:paperSrc w:first="15" w:other="15"/>
          <w:cols w:space="720"/>
          <w:titlePg/>
        </w:sectPr>
      </w:pPr>
    </w:p>
    <w:p w14:paraId="29D60120" w14:textId="77777777" w:rsidR="00F14A61" w:rsidRDefault="00F14A61" w:rsidP="00D61EB2">
      <w:pPr>
        <w:pStyle w:val="Heading1"/>
        <w:tabs>
          <w:tab w:val="clear" w:pos="794"/>
        </w:tabs>
        <w:spacing w:before="240"/>
        <w:ind w:left="1134" w:hanging="1134"/>
        <w:rPr>
          <w:sz w:val="24"/>
          <w:szCs w:val="24"/>
          <w:lang w:val="en-US" w:eastAsia="zh-CN"/>
        </w:rPr>
      </w:pPr>
      <w:bookmarkStart w:id="717" w:name="_Toc73518725"/>
      <w:bookmarkStart w:id="718" w:name="_Toc73518872"/>
      <w:bookmarkStart w:id="719" w:name="_Toc73519272"/>
      <w:bookmarkStart w:id="720" w:name="_Toc73636311"/>
      <w:bookmarkStart w:id="721" w:name="_Toc163723307"/>
      <w:bookmarkStart w:id="722" w:name="_Toc305594763"/>
      <w:bookmarkStart w:id="723" w:name="_Toc482892584"/>
      <w:bookmarkStart w:id="724" w:name="_Toc387089404"/>
      <w:bookmarkStart w:id="725" w:name="_Toc329165809"/>
      <w:bookmarkStart w:id="726" w:name="_Toc511813768"/>
      <w:bookmarkStart w:id="727" w:name="_Toc511817851"/>
      <w:bookmarkStart w:id="728" w:name="_Toc520280751"/>
      <w:bookmarkStart w:id="729" w:name="_Toc10536846"/>
      <w:bookmarkStart w:id="730" w:name="_Toc41905897"/>
      <w:bookmarkStart w:id="731" w:name="_Toc41906918"/>
      <w:bookmarkStart w:id="732" w:name="_Toc41907999"/>
      <w:bookmarkStart w:id="733" w:name="_Toc41908067"/>
      <w:bookmarkStart w:id="734" w:name="_Toc329011659"/>
      <w:bookmarkStart w:id="735" w:name="_Toc305764117"/>
      <w:r w:rsidRPr="00390E6A">
        <w:rPr>
          <w:rFonts w:hint="eastAsia"/>
          <w:sz w:val="24"/>
          <w:szCs w:val="24"/>
          <w:lang w:val="en-US" w:eastAsia="zh-CN"/>
        </w:rPr>
        <w:lastRenderedPageBreak/>
        <w:t>说明</w:t>
      </w:r>
      <w:r w:rsidRPr="00390E6A">
        <w:rPr>
          <w:sz w:val="24"/>
          <w:szCs w:val="24"/>
          <w:lang w:val="en-US" w:eastAsia="zh-CN"/>
        </w:rPr>
        <w:t>24</w:t>
      </w:r>
      <w:r w:rsidRPr="00390E6A">
        <w:rPr>
          <w:sz w:val="24"/>
          <w:szCs w:val="24"/>
          <w:lang w:val="en-US" w:eastAsia="zh-CN"/>
        </w:rPr>
        <w:tab/>
      </w:r>
      <w:r w:rsidRPr="00390E6A">
        <w:rPr>
          <w:rFonts w:hint="eastAsia"/>
          <w:sz w:val="24"/>
          <w:szCs w:val="24"/>
          <w:lang w:val="en-US" w:eastAsia="zh-CN"/>
        </w:rPr>
        <w:t>分部门报告</w:t>
      </w:r>
      <w:r w:rsidRPr="00390E6A">
        <w:rPr>
          <w:rFonts w:hint="eastAsia"/>
          <w:sz w:val="24"/>
          <w:szCs w:val="24"/>
          <w:lang w:val="en-US" w:eastAsia="zh-CN"/>
        </w:rPr>
        <w:t xml:space="preserve"> </w:t>
      </w:r>
      <w:r w:rsidRPr="00390E6A">
        <w:rPr>
          <w:sz w:val="24"/>
          <w:szCs w:val="24"/>
          <w:lang w:val="en-US" w:eastAsia="zh-CN"/>
        </w:rPr>
        <w:t>– 20</w:t>
      </w:r>
      <w:r w:rsidRPr="00390E6A">
        <w:rPr>
          <w:rFonts w:hint="eastAsia"/>
          <w:sz w:val="24"/>
          <w:szCs w:val="24"/>
          <w:lang w:val="en-US" w:eastAsia="zh-CN"/>
        </w:rPr>
        <w:t>2</w:t>
      </w:r>
      <w:r w:rsidRPr="00390E6A">
        <w:rPr>
          <w:sz w:val="24"/>
          <w:szCs w:val="24"/>
          <w:lang w:val="en-US" w:eastAsia="zh-CN"/>
        </w:rPr>
        <w:t>2</w:t>
      </w:r>
      <w:r w:rsidRPr="00390E6A">
        <w:rPr>
          <w:rFonts w:hint="eastAsia"/>
          <w:sz w:val="24"/>
          <w:szCs w:val="24"/>
          <w:lang w:val="en-US" w:eastAsia="zh-CN"/>
        </w:rPr>
        <w:t>年财务业绩报表</w:t>
      </w:r>
      <w:bookmarkEnd w:id="717"/>
      <w:bookmarkEnd w:id="718"/>
      <w:bookmarkEnd w:id="719"/>
      <w:bookmarkEnd w:id="720"/>
      <w:bookmarkEnd w:id="721"/>
    </w:p>
    <w:p w14:paraId="11F5EEC3" w14:textId="77777777" w:rsidR="00F14A61" w:rsidRPr="00D82D2D" w:rsidRDefault="00F14A61" w:rsidP="00D61EB2">
      <w:pPr>
        <w:pStyle w:val="Figure"/>
        <w:rPr>
          <w:lang w:val="en-US" w:eastAsia="zh-CN"/>
        </w:rPr>
      </w:pPr>
      <w:r w:rsidRPr="00F50AA6">
        <w:rPr>
          <w:noProof/>
        </w:rPr>
        <w:drawing>
          <wp:inline distT="0" distB="0" distL="0" distR="0" wp14:anchorId="2AC1C4A7" wp14:editId="66A1F722">
            <wp:extent cx="8888730" cy="4974590"/>
            <wp:effectExtent l="0" t="0" r="7620" b="0"/>
            <wp:docPr id="4799008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8888730" cy="4974590"/>
                    </a:xfrm>
                    <a:prstGeom prst="rect">
                      <a:avLst/>
                    </a:prstGeom>
                    <a:noFill/>
                    <a:ln>
                      <a:noFill/>
                    </a:ln>
                  </pic:spPr>
                </pic:pic>
              </a:graphicData>
            </a:graphic>
          </wp:inline>
        </w:drawing>
      </w:r>
    </w:p>
    <w:p w14:paraId="22D562EB" w14:textId="77777777" w:rsidR="00F14A61" w:rsidRPr="00D82D2D" w:rsidRDefault="00F14A61" w:rsidP="00BB0B83">
      <w:pPr>
        <w:rPr>
          <w:lang w:val="fr-FR" w:eastAsia="zh-CN"/>
        </w:rPr>
      </w:pPr>
      <w:r w:rsidRPr="00D82D2D">
        <w:rPr>
          <w:lang w:val="fr-FR" w:eastAsia="zh-CN"/>
        </w:rPr>
        <w:br w:type="page"/>
      </w:r>
    </w:p>
    <w:p w14:paraId="6F408E0F" w14:textId="77777777" w:rsidR="00F14A61" w:rsidRPr="00363587" w:rsidRDefault="00F14A61" w:rsidP="00F14A61">
      <w:pPr>
        <w:pStyle w:val="Heading1"/>
        <w:spacing w:before="240" w:after="240"/>
        <w:rPr>
          <w:rFonts w:cs="Microsoft YaHei"/>
          <w:sz w:val="24"/>
          <w:szCs w:val="24"/>
          <w:lang w:val="fr-FR" w:eastAsia="zh-CN"/>
        </w:rPr>
      </w:pPr>
      <w:bookmarkStart w:id="736" w:name="_Toc73518726"/>
      <w:bookmarkStart w:id="737" w:name="_Toc73518873"/>
      <w:bookmarkStart w:id="738" w:name="_Toc73519273"/>
      <w:bookmarkStart w:id="739" w:name="_Toc73636312"/>
      <w:bookmarkStart w:id="740" w:name="_Toc163723308"/>
      <w:r w:rsidRPr="00D82D2D">
        <w:rPr>
          <w:rFonts w:cs="Microsoft YaHei" w:hint="eastAsia"/>
          <w:sz w:val="24"/>
          <w:szCs w:val="24"/>
          <w:lang w:val="fr-FR" w:eastAsia="zh-CN"/>
        </w:rPr>
        <w:lastRenderedPageBreak/>
        <w:t>分部门报告</w:t>
      </w:r>
      <w:r w:rsidRPr="00D82D2D">
        <w:rPr>
          <w:rFonts w:cs="Microsoft YaHei" w:hint="eastAsia"/>
          <w:sz w:val="24"/>
          <w:szCs w:val="24"/>
          <w:lang w:val="fr-FR" w:eastAsia="zh-CN"/>
        </w:rPr>
        <w:t xml:space="preserve"> </w:t>
      </w:r>
      <w:r w:rsidRPr="00D82D2D">
        <w:rPr>
          <w:rFonts w:cs="Microsoft YaHei"/>
          <w:sz w:val="24"/>
          <w:szCs w:val="24"/>
          <w:lang w:val="fr-FR" w:eastAsia="zh-CN"/>
        </w:rPr>
        <w:t>– 2021</w:t>
      </w:r>
      <w:r w:rsidRPr="00D82D2D">
        <w:rPr>
          <w:rFonts w:cs="Microsoft YaHei" w:hint="eastAsia"/>
          <w:sz w:val="24"/>
          <w:szCs w:val="24"/>
          <w:lang w:val="fr-FR" w:eastAsia="zh-CN"/>
        </w:rPr>
        <w:t>年财务业绩报表</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r w:rsidRPr="00CE269B">
        <w:rPr>
          <w:rFonts w:hint="eastAsia"/>
          <w:bCs/>
          <w:sz w:val="24"/>
          <w:szCs w:val="24"/>
          <w:lang w:val="fr-FR" w:eastAsia="zh-CN"/>
        </w:rPr>
        <w:t>（</w:t>
      </w:r>
      <w:r w:rsidRPr="00273AC7">
        <w:rPr>
          <w:rFonts w:hint="eastAsia"/>
          <w:bCs/>
          <w:sz w:val="24"/>
          <w:szCs w:val="24"/>
          <w:lang w:val="en-US" w:eastAsia="zh-CN"/>
        </w:rPr>
        <w:t>重报</w:t>
      </w:r>
      <w:r w:rsidRPr="00CE269B">
        <w:rPr>
          <w:rFonts w:hint="eastAsia"/>
          <w:bCs/>
          <w:sz w:val="24"/>
          <w:szCs w:val="24"/>
          <w:lang w:val="fr-FR" w:eastAsia="zh-CN"/>
        </w:rPr>
        <w:t>）</w:t>
      </w:r>
      <w:bookmarkEnd w:id="740"/>
    </w:p>
    <w:p w14:paraId="1A96DA99" w14:textId="77777777" w:rsidR="00F14A61" w:rsidRDefault="00F14A61" w:rsidP="00D61EB2">
      <w:pPr>
        <w:pStyle w:val="Figure"/>
        <w:rPr>
          <w:lang w:val="fr-FR" w:eastAsia="zh-CN"/>
        </w:rPr>
      </w:pPr>
      <w:r w:rsidRPr="00F50AA6">
        <w:rPr>
          <w:noProof/>
        </w:rPr>
        <w:drawing>
          <wp:inline distT="0" distB="0" distL="0" distR="0" wp14:anchorId="6E92C397" wp14:editId="0F667BCF">
            <wp:extent cx="8888730" cy="5135245"/>
            <wp:effectExtent l="0" t="0" r="7620" b="8255"/>
            <wp:docPr id="869788067"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8888730" cy="5135245"/>
                    </a:xfrm>
                    <a:prstGeom prst="rect">
                      <a:avLst/>
                    </a:prstGeom>
                    <a:noFill/>
                    <a:ln>
                      <a:noFill/>
                    </a:ln>
                  </pic:spPr>
                </pic:pic>
              </a:graphicData>
            </a:graphic>
          </wp:inline>
        </w:drawing>
      </w:r>
    </w:p>
    <w:p w14:paraId="31A276CE" w14:textId="77777777" w:rsidR="00F14A61" w:rsidRDefault="00F14A61" w:rsidP="00F14A61">
      <w:pPr>
        <w:rPr>
          <w:lang w:val="fr-FR" w:eastAsia="zh-CN"/>
        </w:rPr>
      </w:pPr>
    </w:p>
    <w:p w14:paraId="77982D17" w14:textId="77777777" w:rsidR="00F14A61" w:rsidRDefault="00F14A61" w:rsidP="00F14A61">
      <w:pPr>
        <w:rPr>
          <w:lang w:val="fr-FR" w:eastAsia="zh-CN"/>
        </w:rPr>
        <w:sectPr w:rsidR="00F14A61" w:rsidSect="00F14A61">
          <w:footerReference w:type="default" r:id="rId81"/>
          <w:headerReference w:type="first" r:id="rId82"/>
          <w:footerReference w:type="first" r:id="rId83"/>
          <w:pgSz w:w="16834" w:h="11907" w:orient="landscape"/>
          <w:pgMar w:top="1418" w:right="1418" w:bottom="1418" w:left="1418" w:header="720" w:footer="720" w:gutter="0"/>
          <w:paperSrc w:first="15" w:other="15"/>
          <w:cols w:space="720"/>
          <w:titlePg/>
        </w:sectPr>
      </w:pPr>
    </w:p>
    <w:p w14:paraId="3D86275E" w14:textId="77777777" w:rsidR="00F14A61" w:rsidRPr="002017A9" w:rsidRDefault="00F14A61" w:rsidP="00F14A61">
      <w:pPr>
        <w:pStyle w:val="Heading1"/>
        <w:tabs>
          <w:tab w:val="clear" w:pos="794"/>
        </w:tabs>
        <w:ind w:left="1134" w:hanging="1134"/>
        <w:rPr>
          <w:rFonts w:cs="Microsoft YaHei"/>
          <w:sz w:val="24"/>
          <w:szCs w:val="24"/>
          <w:lang w:val="fr-FR" w:eastAsia="zh-CN"/>
        </w:rPr>
      </w:pPr>
      <w:bookmarkStart w:id="741" w:name="_Toc482892586"/>
      <w:bookmarkStart w:id="742" w:name="_Toc511813770"/>
      <w:bookmarkStart w:id="743" w:name="_Toc511817853"/>
      <w:bookmarkStart w:id="744" w:name="_Toc520280753"/>
      <w:bookmarkStart w:id="745" w:name="_Toc10536847"/>
      <w:bookmarkStart w:id="746" w:name="_Toc41905899"/>
      <w:bookmarkStart w:id="747" w:name="_Toc41906920"/>
      <w:bookmarkStart w:id="748" w:name="_Toc41908069"/>
      <w:bookmarkStart w:id="749" w:name="_Toc73518727"/>
      <w:bookmarkStart w:id="750" w:name="_Toc73518874"/>
      <w:bookmarkStart w:id="751" w:name="_Toc73519274"/>
      <w:bookmarkStart w:id="752" w:name="_Toc73636313"/>
      <w:bookmarkStart w:id="753" w:name="_Toc387089405"/>
      <w:bookmarkStart w:id="754" w:name="_Toc329165810"/>
      <w:bookmarkStart w:id="755" w:name="_Toc163723309"/>
      <w:bookmarkStart w:id="756" w:name="_Toc387089407"/>
      <w:bookmarkStart w:id="757" w:name="_Toc329165812"/>
      <w:bookmarkStart w:id="758" w:name="_Toc329011662"/>
      <w:bookmarkStart w:id="759" w:name="_Toc305764120"/>
      <w:r w:rsidRPr="002017A9">
        <w:rPr>
          <w:rFonts w:hint="eastAsia"/>
          <w:sz w:val="24"/>
          <w:szCs w:val="24"/>
          <w:lang w:val="en-US" w:eastAsia="zh-CN"/>
        </w:rPr>
        <w:lastRenderedPageBreak/>
        <w:t>说明</w:t>
      </w:r>
      <w:r w:rsidRPr="00CE269B">
        <w:rPr>
          <w:sz w:val="24"/>
          <w:szCs w:val="24"/>
          <w:lang w:val="fr-FR" w:eastAsia="zh-CN"/>
        </w:rPr>
        <w:t>25</w:t>
      </w:r>
      <w:r w:rsidRPr="00CE269B">
        <w:rPr>
          <w:sz w:val="24"/>
          <w:szCs w:val="24"/>
          <w:lang w:val="fr-FR" w:eastAsia="zh-CN"/>
        </w:rPr>
        <w:tab/>
      </w:r>
      <w:bookmarkStart w:id="760" w:name="_Toc482892587"/>
      <w:bookmarkStart w:id="761" w:name="_Toc511813771"/>
      <w:bookmarkStart w:id="762" w:name="_Toc511817854"/>
      <w:bookmarkStart w:id="763" w:name="_Toc520280754"/>
      <w:bookmarkStart w:id="764" w:name="_Toc10536848"/>
      <w:bookmarkStart w:id="765" w:name="_Toc41905900"/>
      <w:bookmarkStart w:id="766" w:name="_Toc41906921"/>
      <w:bookmarkStart w:id="767" w:name="_Toc41908070"/>
      <w:bookmarkStart w:id="768" w:name="_Toc73518728"/>
      <w:bookmarkStart w:id="769" w:name="_Toc73518875"/>
      <w:bookmarkStart w:id="770" w:name="_Toc73519275"/>
      <w:bookmarkStart w:id="771" w:name="_Toc73636314"/>
      <w:bookmarkEnd w:id="741"/>
      <w:bookmarkEnd w:id="742"/>
      <w:bookmarkEnd w:id="743"/>
      <w:bookmarkEnd w:id="744"/>
      <w:bookmarkEnd w:id="745"/>
      <w:bookmarkEnd w:id="746"/>
      <w:bookmarkEnd w:id="747"/>
      <w:bookmarkEnd w:id="748"/>
      <w:bookmarkEnd w:id="749"/>
      <w:bookmarkEnd w:id="750"/>
      <w:bookmarkEnd w:id="751"/>
      <w:bookmarkEnd w:id="752"/>
      <w:r w:rsidRPr="002017A9">
        <w:rPr>
          <w:rFonts w:hint="eastAsia"/>
          <w:sz w:val="24"/>
          <w:szCs w:val="24"/>
          <w:lang w:val="en-US" w:eastAsia="zh-CN"/>
        </w:rPr>
        <w:t>预算金额与实际发生金额的核对</w:t>
      </w:r>
      <w:bookmarkEnd w:id="753"/>
      <w:bookmarkEnd w:id="754"/>
      <w:bookmarkEnd w:id="760"/>
      <w:bookmarkEnd w:id="761"/>
      <w:bookmarkEnd w:id="762"/>
      <w:bookmarkEnd w:id="763"/>
      <w:bookmarkEnd w:id="764"/>
      <w:bookmarkEnd w:id="765"/>
      <w:bookmarkEnd w:id="766"/>
      <w:bookmarkEnd w:id="767"/>
      <w:bookmarkEnd w:id="768"/>
      <w:bookmarkEnd w:id="769"/>
      <w:bookmarkEnd w:id="770"/>
      <w:bookmarkEnd w:id="771"/>
      <w:bookmarkEnd w:id="755"/>
    </w:p>
    <w:p w14:paraId="5EA11A63" w14:textId="77777777" w:rsidR="00F14A61" w:rsidRPr="00CE269B" w:rsidRDefault="00F14A61" w:rsidP="00F14A61">
      <w:pPr>
        <w:ind w:firstLineChars="200" w:firstLine="480"/>
        <w:rPr>
          <w:lang w:val="fr-FR" w:eastAsia="zh-CN"/>
        </w:rPr>
      </w:pPr>
      <w:r w:rsidRPr="000C156A">
        <w:rPr>
          <w:rFonts w:hint="eastAsia"/>
          <w:lang w:eastAsia="zh-CN"/>
        </w:rPr>
        <w:t>财务报表涵盖</w:t>
      </w:r>
      <w:r w:rsidRPr="00CE269B">
        <w:rPr>
          <w:rFonts w:hint="eastAsia"/>
          <w:lang w:val="fr-FR" w:eastAsia="zh-CN"/>
        </w:rPr>
        <w:t>：</w:t>
      </w:r>
    </w:p>
    <w:p w14:paraId="657E2E9D" w14:textId="77777777" w:rsidR="00F14A61" w:rsidRPr="00CE269B" w:rsidRDefault="00F14A61" w:rsidP="00F14A61">
      <w:pPr>
        <w:pStyle w:val="enumlev1"/>
        <w:rPr>
          <w:lang w:val="fr-FR" w:eastAsia="zh-CN"/>
        </w:rPr>
      </w:pPr>
      <w:r w:rsidRPr="00CE269B">
        <w:rPr>
          <w:lang w:val="fr-FR" w:eastAsia="zh-CN"/>
        </w:rPr>
        <w:t>•</w:t>
      </w:r>
      <w:r w:rsidRPr="00CE269B">
        <w:rPr>
          <w:lang w:val="fr-FR" w:eastAsia="zh-CN"/>
        </w:rPr>
        <w:tab/>
      </w:r>
      <w:r w:rsidRPr="000C156A">
        <w:rPr>
          <w:rFonts w:hint="eastAsia"/>
          <w:lang w:eastAsia="zh-CN"/>
        </w:rPr>
        <w:t>国际电联正常预算</w:t>
      </w:r>
      <w:r w:rsidRPr="00CE269B">
        <w:rPr>
          <w:rFonts w:hint="eastAsia"/>
          <w:lang w:val="fr-FR" w:eastAsia="zh-CN"/>
        </w:rPr>
        <w:t>；</w:t>
      </w:r>
    </w:p>
    <w:p w14:paraId="34CF3765" w14:textId="77777777" w:rsidR="00F14A61" w:rsidRPr="00CE269B" w:rsidRDefault="00F14A61" w:rsidP="00F14A61">
      <w:pPr>
        <w:pStyle w:val="enumlev1"/>
        <w:rPr>
          <w:lang w:val="fr-FR" w:eastAsia="zh-CN"/>
        </w:rPr>
      </w:pPr>
      <w:r w:rsidRPr="00CE269B">
        <w:rPr>
          <w:lang w:val="fr-FR" w:eastAsia="zh-CN"/>
        </w:rPr>
        <w:t>•</w:t>
      </w:r>
      <w:r w:rsidRPr="00CE269B">
        <w:rPr>
          <w:lang w:val="fr-FR" w:eastAsia="zh-CN"/>
        </w:rPr>
        <w:tab/>
      </w:r>
      <w:bookmarkStart w:id="772" w:name="lt_pId1180"/>
      <w:r>
        <w:rPr>
          <w:rFonts w:hint="eastAsia"/>
          <w:lang w:eastAsia="zh-CN"/>
        </w:rPr>
        <w:t>其它资金</w:t>
      </w:r>
      <w:r w:rsidRPr="00CE269B">
        <w:rPr>
          <w:rFonts w:hint="eastAsia"/>
          <w:lang w:val="fr-FR" w:eastAsia="zh-CN"/>
        </w:rPr>
        <w:t>；</w:t>
      </w:r>
      <w:r>
        <w:rPr>
          <w:rFonts w:hint="eastAsia"/>
          <w:lang w:eastAsia="zh-CN"/>
        </w:rPr>
        <w:t>和</w:t>
      </w:r>
      <w:bookmarkEnd w:id="772"/>
    </w:p>
    <w:p w14:paraId="0C8CE8EC" w14:textId="77777777" w:rsidR="00F14A61" w:rsidRPr="00CE269B" w:rsidRDefault="00F14A61" w:rsidP="00F14A61">
      <w:pPr>
        <w:pStyle w:val="enumlev1"/>
        <w:rPr>
          <w:lang w:val="fr-FR" w:eastAsia="zh-CN"/>
        </w:rPr>
      </w:pPr>
      <w:r w:rsidRPr="00CE269B">
        <w:rPr>
          <w:lang w:val="fr-FR" w:eastAsia="zh-CN"/>
        </w:rPr>
        <w:t>•</w:t>
      </w:r>
      <w:r w:rsidRPr="00CE269B">
        <w:rPr>
          <w:lang w:val="fr-FR" w:eastAsia="zh-CN"/>
        </w:rPr>
        <w:tab/>
      </w:r>
      <w:r>
        <w:rPr>
          <w:rFonts w:hint="eastAsia"/>
          <w:lang w:eastAsia="zh-CN"/>
        </w:rPr>
        <w:t>预算外资金</w:t>
      </w:r>
    </w:p>
    <w:p w14:paraId="14D0674D" w14:textId="77777777" w:rsidR="00F14A61" w:rsidRPr="000C156A" w:rsidRDefault="00F14A61" w:rsidP="00F14A61">
      <w:pPr>
        <w:ind w:firstLineChars="200" w:firstLine="480"/>
        <w:rPr>
          <w:lang w:eastAsia="zh-CN"/>
        </w:rPr>
      </w:pPr>
      <w:r w:rsidRPr="000C156A">
        <w:rPr>
          <w:rFonts w:hint="eastAsia"/>
          <w:lang w:eastAsia="zh-CN"/>
        </w:rPr>
        <w:t>国际电联的预算和账务报表在不同基础上编制。</w:t>
      </w:r>
      <w:r w:rsidRPr="000C156A">
        <w:rPr>
          <w:lang w:eastAsia="zh-CN"/>
        </w:rPr>
        <w:t>20</w:t>
      </w:r>
      <w:r>
        <w:rPr>
          <w:lang w:eastAsia="zh-CN"/>
        </w:rPr>
        <w:t>22</w:t>
      </w:r>
      <w:r w:rsidRPr="000C156A">
        <w:rPr>
          <w:lang w:eastAsia="zh-CN"/>
        </w:rPr>
        <w:t>-20</w:t>
      </w:r>
      <w:r>
        <w:rPr>
          <w:lang w:eastAsia="zh-CN"/>
        </w:rPr>
        <w:t>23</w:t>
      </w:r>
      <w:r w:rsidRPr="000C156A">
        <w:rPr>
          <w:rFonts w:hint="eastAsia"/>
          <w:lang w:eastAsia="zh-CN"/>
        </w:rPr>
        <w:t>年预算在</w:t>
      </w:r>
      <w:r w:rsidRPr="00906C1C">
        <w:rPr>
          <w:rFonts w:hint="eastAsia"/>
          <w:lang w:eastAsia="zh-CN"/>
        </w:rPr>
        <w:t>修订的现金收付制</w:t>
      </w:r>
      <w:r w:rsidRPr="000C156A">
        <w:rPr>
          <w:rFonts w:hint="eastAsia"/>
          <w:lang w:eastAsia="zh-CN"/>
        </w:rPr>
        <w:t>基础上编制而成，其中若干具体细目未采用权责发生制。此外，国际电联的预算仅涉及其核心活动，而不包括由</w:t>
      </w:r>
      <w:r>
        <w:rPr>
          <w:rFonts w:hint="eastAsia"/>
          <w:lang w:eastAsia="zh-CN"/>
        </w:rPr>
        <w:t>预算外资</w:t>
      </w:r>
      <w:r w:rsidRPr="000C156A">
        <w:rPr>
          <w:rFonts w:hint="eastAsia"/>
          <w:lang w:eastAsia="zh-CN"/>
        </w:rPr>
        <w:t>金资助的活动。</w:t>
      </w:r>
    </w:p>
    <w:p w14:paraId="1A17A5FA" w14:textId="77777777" w:rsidR="00F14A61" w:rsidRPr="000C156A" w:rsidRDefault="00F14A61" w:rsidP="00F14A61">
      <w:pPr>
        <w:ind w:firstLineChars="200" w:firstLine="480"/>
        <w:rPr>
          <w:lang w:eastAsia="zh-CN"/>
        </w:rPr>
      </w:pPr>
      <w:r w:rsidRPr="000C156A">
        <w:rPr>
          <w:rFonts w:hint="eastAsia"/>
          <w:lang w:eastAsia="zh-CN"/>
        </w:rPr>
        <w:t>国际电联财务报表的编制基于权责发生制，按照财务业绩报表记录的费用性质进行分类（见</w:t>
      </w:r>
      <w:r>
        <w:rPr>
          <w:rFonts w:hint="eastAsia"/>
          <w:lang w:eastAsia="zh-CN"/>
        </w:rPr>
        <w:t>报</w:t>
      </w:r>
      <w:r w:rsidRPr="000C156A">
        <w:rPr>
          <w:rFonts w:hint="eastAsia"/>
          <w:lang w:eastAsia="zh-CN"/>
        </w:rPr>
        <w:t>表二）。</w:t>
      </w:r>
    </w:p>
    <w:p w14:paraId="184739B8" w14:textId="77777777" w:rsidR="00F14A61" w:rsidRDefault="00F14A61" w:rsidP="00F14A61">
      <w:pPr>
        <w:ind w:firstLineChars="200" w:firstLine="480"/>
        <w:rPr>
          <w:lang w:eastAsia="zh-CN"/>
        </w:rPr>
      </w:pPr>
      <w:r>
        <w:rPr>
          <w:rFonts w:hint="eastAsia"/>
          <w:lang w:eastAsia="zh-CN"/>
        </w:rPr>
        <w:t>为了核对报表二和报表五，我们将交易差异分为两类</w:t>
      </w:r>
      <w:r>
        <w:rPr>
          <w:rFonts w:hint="eastAsia"/>
          <w:lang w:eastAsia="zh-CN"/>
        </w:rPr>
        <w:t xml:space="preserve"> </w:t>
      </w:r>
      <w:r>
        <w:rPr>
          <w:lang w:eastAsia="zh-CN"/>
        </w:rPr>
        <w:t xml:space="preserve">– </w:t>
      </w:r>
      <w:r>
        <w:rPr>
          <w:rFonts w:hint="eastAsia"/>
          <w:lang w:eastAsia="zh-CN"/>
        </w:rPr>
        <w:t>基础差异和实体差异。</w:t>
      </w:r>
    </w:p>
    <w:p w14:paraId="7F7E0FC5" w14:textId="77777777" w:rsidR="00F14A61" w:rsidRDefault="00F14A61" w:rsidP="00F14A61">
      <w:pPr>
        <w:ind w:firstLineChars="200" w:firstLine="480"/>
        <w:rPr>
          <w:lang w:eastAsia="zh-CN"/>
        </w:rPr>
      </w:pPr>
      <w:r>
        <w:rPr>
          <w:rFonts w:hint="eastAsia"/>
          <w:lang w:eastAsia="zh-CN"/>
        </w:rPr>
        <w:t>基础差异包括未列入国际电联预算或根据</w:t>
      </w:r>
      <w:r w:rsidRPr="009665AE">
        <w:rPr>
          <w:lang w:eastAsia="zh-CN"/>
        </w:rPr>
        <w:t>IPSAS</w:t>
      </w:r>
      <w:r>
        <w:rPr>
          <w:rFonts w:hint="eastAsia"/>
          <w:lang w:eastAsia="zh-CN"/>
        </w:rPr>
        <w:t>要求区别对待的支出。这些支出通常包括</w:t>
      </w:r>
      <w:r w:rsidRPr="00AC2A0A">
        <w:rPr>
          <w:rFonts w:hint="eastAsia"/>
          <w:lang w:eastAsia="zh-CN"/>
        </w:rPr>
        <w:t>可疑债务</w:t>
      </w:r>
      <w:r>
        <w:rPr>
          <w:rFonts w:hint="eastAsia"/>
          <w:lang w:eastAsia="zh-CN"/>
        </w:rPr>
        <w:t>准备金、库存确认、固定资产资本化、折旧、汇兑损益、</w:t>
      </w:r>
      <w:r>
        <w:rPr>
          <w:rFonts w:hint="eastAsia"/>
          <w:lang w:eastAsia="zh-CN"/>
        </w:rPr>
        <w:t>ASHI</w:t>
      </w:r>
      <w:r>
        <w:rPr>
          <w:rFonts w:hint="eastAsia"/>
          <w:lang w:eastAsia="zh-CN"/>
        </w:rPr>
        <w:t>和</w:t>
      </w:r>
      <w:r>
        <w:rPr>
          <w:rFonts w:hint="eastAsia"/>
          <w:lang w:eastAsia="zh-CN"/>
        </w:rPr>
        <w:t>FIPOI</w:t>
      </w:r>
      <w:r>
        <w:rPr>
          <w:rFonts w:hint="eastAsia"/>
          <w:lang w:eastAsia="zh-CN"/>
        </w:rPr>
        <w:t>贷款偿还以及投资盈余和</w:t>
      </w:r>
      <w:r>
        <w:rPr>
          <w:rFonts w:hint="eastAsia"/>
          <w:lang w:eastAsia="zh-CN"/>
        </w:rPr>
        <w:t>/</w:t>
      </w:r>
      <w:r>
        <w:rPr>
          <w:rFonts w:hint="eastAsia"/>
          <w:lang w:eastAsia="zh-CN"/>
        </w:rPr>
        <w:t>或赤字的变化。</w:t>
      </w:r>
    </w:p>
    <w:p w14:paraId="22300728" w14:textId="77777777" w:rsidR="00F14A61" w:rsidRDefault="00F14A61" w:rsidP="00F14A61">
      <w:pPr>
        <w:ind w:firstLineChars="200" w:firstLine="480"/>
        <w:rPr>
          <w:lang w:eastAsia="zh-CN"/>
        </w:rPr>
      </w:pPr>
      <w:r>
        <w:rPr>
          <w:rFonts w:hint="eastAsia"/>
          <w:lang w:eastAsia="zh-CN"/>
        </w:rPr>
        <w:t>实体差异通常指获批国际电联项目预算之外的收入和支出，即预算外资金。</w:t>
      </w:r>
    </w:p>
    <w:p w14:paraId="278F567C" w14:textId="77777777" w:rsidR="00F14A61" w:rsidRDefault="00F14A61" w:rsidP="00F14A61">
      <w:pPr>
        <w:ind w:firstLineChars="200" w:firstLine="480"/>
        <w:rPr>
          <w:lang w:eastAsia="zh-CN"/>
        </w:rPr>
      </w:pPr>
      <w:r>
        <w:rPr>
          <w:rFonts w:hint="eastAsia"/>
          <w:lang w:eastAsia="zh-CN"/>
        </w:rPr>
        <w:t>2022</w:t>
      </w:r>
      <w:r>
        <w:rPr>
          <w:rFonts w:hint="eastAsia"/>
          <w:lang w:eastAsia="zh-CN"/>
        </w:rPr>
        <w:t>财年批准的预算为</w:t>
      </w:r>
      <w:r>
        <w:rPr>
          <w:rFonts w:hint="eastAsia"/>
          <w:lang w:eastAsia="zh-CN"/>
        </w:rPr>
        <w:t>1.62</w:t>
      </w:r>
      <w:r>
        <w:rPr>
          <w:rFonts w:hint="eastAsia"/>
          <w:lang w:eastAsia="zh-CN"/>
        </w:rPr>
        <w:t>亿瑞郎（第</w:t>
      </w:r>
      <w:r>
        <w:rPr>
          <w:rFonts w:hint="eastAsia"/>
          <w:lang w:eastAsia="zh-CN"/>
        </w:rPr>
        <w:t>1405</w:t>
      </w:r>
      <w:r>
        <w:rPr>
          <w:rFonts w:hint="eastAsia"/>
          <w:lang w:eastAsia="zh-CN"/>
        </w:rPr>
        <w:t>号决议）。基于理事会第</w:t>
      </w:r>
      <w:r>
        <w:rPr>
          <w:rFonts w:hint="eastAsia"/>
          <w:lang w:eastAsia="zh-CN"/>
        </w:rPr>
        <w:t>1405</w:t>
      </w:r>
      <w:r>
        <w:rPr>
          <w:rFonts w:hint="eastAsia"/>
          <w:lang w:eastAsia="zh-CN"/>
        </w:rPr>
        <w:t>号决议和相关财务规则授予秘书长的权力，该预算增加了</w:t>
      </w:r>
      <w:r>
        <w:rPr>
          <w:rFonts w:hint="eastAsia"/>
          <w:lang w:eastAsia="zh-CN"/>
        </w:rPr>
        <w:t>160</w:t>
      </w:r>
      <w:r>
        <w:rPr>
          <w:rFonts w:hint="eastAsia"/>
          <w:lang w:eastAsia="zh-CN"/>
        </w:rPr>
        <w:t>万瑞郎（总额为</w:t>
      </w:r>
      <w:r>
        <w:rPr>
          <w:rFonts w:hint="eastAsia"/>
          <w:lang w:eastAsia="zh-CN"/>
        </w:rPr>
        <w:t>1.636</w:t>
      </w:r>
      <w:r>
        <w:rPr>
          <w:rFonts w:hint="eastAsia"/>
          <w:lang w:eastAsia="zh-CN"/>
        </w:rPr>
        <w:t>亿瑞郎）。增加预算的理由是已批准将上一财务周期的递延活动列入</w:t>
      </w:r>
      <w:r>
        <w:rPr>
          <w:rFonts w:hint="eastAsia"/>
          <w:lang w:eastAsia="zh-CN"/>
        </w:rPr>
        <w:t>2022</w:t>
      </w:r>
      <w:r>
        <w:rPr>
          <w:rFonts w:hint="eastAsia"/>
          <w:lang w:eastAsia="zh-CN"/>
        </w:rPr>
        <w:t>年支出。</w:t>
      </w:r>
    </w:p>
    <w:p w14:paraId="0F125FB2" w14:textId="4EEDF233" w:rsidR="00D61EB2" w:rsidRPr="00D61EB2" w:rsidRDefault="00F14A61" w:rsidP="00D61EB2">
      <w:pPr>
        <w:pStyle w:val="Figure"/>
        <w:rPr>
          <w:lang w:eastAsia="zh-CN"/>
        </w:rPr>
      </w:pPr>
      <w:r w:rsidRPr="009514AF">
        <w:rPr>
          <w:noProof/>
        </w:rPr>
        <w:drawing>
          <wp:inline distT="0" distB="0" distL="0" distR="0" wp14:anchorId="4A233CC0" wp14:editId="44DE77E1">
            <wp:extent cx="5267325" cy="3239135"/>
            <wp:effectExtent l="0" t="0" r="9525" b="0"/>
            <wp:docPr id="728758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267325" cy="3239135"/>
                    </a:xfrm>
                    <a:prstGeom prst="rect">
                      <a:avLst/>
                    </a:prstGeom>
                    <a:noFill/>
                    <a:ln>
                      <a:noFill/>
                    </a:ln>
                  </pic:spPr>
                </pic:pic>
              </a:graphicData>
            </a:graphic>
          </wp:inline>
        </w:drawing>
      </w:r>
    </w:p>
    <w:p w14:paraId="29589045" w14:textId="77777777" w:rsidR="00F14A61" w:rsidRDefault="00F14A61" w:rsidP="00F14A61">
      <w:pPr>
        <w:ind w:firstLineChars="200" w:firstLine="480"/>
        <w:rPr>
          <w:lang w:eastAsia="zh-CN"/>
        </w:rPr>
      </w:pPr>
      <w:bookmarkStart w:id="773" w:name="_Toc482892588"/>
      <w:bookmarkStart w:id="774" w:name="_Toc387089406"/>
      <w:bookmarkStart w:id="775" w:name="_Toc329165811"/>
      <w:bookmarkStart w:id="776" w:name="_Toc511817855"/>
      <w:bookmarkStart w:id="777" w:name="_Toc520280755"/>
      <w:bookmarkStart w:id="778" w:name="_Toc10536849"/>
      <w:bookmarkStart w:id="779" w:name="_Toc41905901"/>
      <w:bookmarkStart w:id="780" w:name="_Toc41906922"/>
      <w:bookmarkStart w:id="781" w:name="_Toc41908071"/>
      <w:bookmarkStart w:id="782" w:name="_Toc73518729"/>
      <w:bookmarkStart w:id="783" w:name="_Toc73518876"/>
      <w:bookmarkStart w:id="784" w:name="_Toc73519276"/>
      <w:bookmarkStart w:id="785" w:name="_Toc73636315"/>
      <w:bookmarkStart w:id="786" w:name="_Toc329011661"/>
      <w:bookmarkStart w:id="787" w:name="_Toc305764119"/>
      <w:r>
        <w:rPr>
          <w:rFonts w:hint="eastAsia"/>
          <w:lang w:eastAsia="zh-CN"/>
        </w:rPr>
        <w:t>如报表五所示，总收入为</w:t>
      </w:r>
      <w:r>
        <w:rPr>
          <w:rFonts w:hint="eastAsia"/>
          <w:lang w:eastAsia="zh-CN"/>
        </w:rPr>
        <w:t>1.572</w:t>
      </w:r>
      <w:r>
        <w:rPr>
          <w:rFonts w:hint="eastAsia"/>
          <w:lang w:eastAsia="zh-CN"/>
        </w:rPr>
        <w:t>亿瑞郎。这导致收入比预算低</w:t>
      </w:r>
      <w:r>
        <w:rPr>
          <w:rFonts w:hint="eastAsia"/>
          <w:lang w:eastAsia="zh-CN"/>
        </w:rPr>
        <w:t>640</w:t>
      </w:r>
      <w:r>
        <w:rPr>
          <w:rFonts w:hint="eastAsia"/>
          <w:lang w:eastAsia="zh-CN"/>
        </w:rPr>
        <w:t>万瑞郎。出现此缺口（</w:t>
      </w:r>
      <w:r>
        <w:rPr>
          <w:rFonts w:hint="eastAsia"/>
          <w:lang w:eastAsia="zh-CN"/>
        </w:rPr>
        <w:t>740</w:t>
      </w:r>
      <w:r>
        <w:rPr>
          <w:rFonts w:hint="eastAsia"/>
          <w:lang w:eastAsia="zh-CN"/>
        </w:rPr>
        <w:t>万瑞郎）的主要原因是成本回收收入减少（主要是卫星网络申报（</w:t>
      </w:r>
      <w:r>
        <w:rPr>
          <w:rFonts w:hint="eastAsia"/>
          <w:lang w:eastAsia="zh-CN"/>
        </w:rPr>
        <w:t>SNF</w:t>
      </w:r>
      <w:r>
        <w:rPr>
          <w:rFonts w:hint="eastAsia"/>
          <w:lang w:eastAsia="zh-CN"/>
        </w:rPr>
        <w:t>）和出版物的收入下降），但减少的金额通过</w:t>
      </w:r>
      <w:r>
        <w:rPr>
          <w:rFonts w:hint="eastAsia"/>
          <w:lang w:eastAsia="zh-CN"/>
        </w:rPr>
        <w:t>2022</w:t>
      </w:r>
      <w:r>
        <w:rPr>
          <w:rFonts w:hint="eastAsia"/>
          <w:lang w:eastAsia="zh-CN"/>
        </w:rPr>
        <w:t>年递延活动的预算金额加以抵消。经过</w:t>
      </w:r>
      <w:r>
        <w:rPr>
          <w:rFonts w:hint="eastAsia"/>
          <w:lang w:eastAsia="zh-CN"/>
        </w:rPr>
        <w:lastRenderedPageBreak/>
        <w:t>多年的极低利率之后，美元短期存款利率重拾升势，这使国际电联的财务收入与</w:t>
      </w:r>
      <w:r>
        <w:rPr>
          <w:rFonts w:hint="eastAsia"/>
          <w:lang w:eastAsia="zh-CN"/>
        </w:rPr>
        <w:t>2022</w:t>
      </w:r>
      <w:r>
        <w:rPr>
          <w:rFonts w:hint="eastAsia"/>
          <w:lang w:eastAsia="zh-CN"/>
        </w:rPr>
        <w:t>年经核定的预算相比大幅增加了</w:t>
      </w:r>
      <w:r>
        <w:rPr>
          <w:rFonts w:hint="eastAsia"/>
          <w:lang w:eastAsia="zh-CN"/>
        </w:rPr>
        <w:t>340%</w:t>
      </w:r>
      <w:r>
        <w:rPr>
          <w:rFonts w:hint="eastAsia"/>
          <w:lang w:eastAsia="zh-CN"/>
        </w:rPr>
        <w:t>。</w:t>
      </w:r>
    </w:p>
    <w:p w14:paraId="45A38194" w14:textId="77777777" w:rsidR="00F14A61" w:rsidRDefault="00F14A61" w:rsidP="00F14A61">
      <w:pPr>
        <w:ind w:firstLineChars="200" w:firstLine="480"/>
        <w:rPr>
          <w:lang w:eastAsia="zh-CN"/>
        </w:rPr>
      </w:pPr>
      <w:r>
        <w:rPr>
          <w:rFonts w:hint="eastAsia"/>
          <w:lang w:eastAsia="zh-CN"/>
        </w:rPr>
        <w:t>对各部门和各部而言，因预计</w:t>
      </w:r>
      <w:r>
        <w:rPr>
          <w:rFonts w:hint="eastAsia"/>
          <w:lang w:eastAsia="zh-CN"/>
        </w:rPr>
        <w:t>2022</w:t>
      </w:r>
      <w:r>
        <w:rPr>
          <w:rFonts w:hint="eastAsia"/>
          <w:lang w:eastAsia="zh-CN"/>
        </w:rPr>
        <w:t>年收入会出现缺口，所以实施了增效措施（严格管理支出、对员工、合同服务、差旅以及其他运作支出的各项预测制定规划并加以审核）。</w:t>
      </w:r>
    </w:p>
    <w:p w14:paraId="2CAEF4CA" w14:textId="77777777" w:rsidR="00F14A61" w:rsidRPr="00A56C34" w:rsidRDefault="00F14A61" w:rsidP="00F14A61">
      <w:pPr>
        <w:pStyle w:val="Headingb"/>
        <w:rPr>
          <w:lang w:eastAsia="zh-CN"/>
        </w:rPr>
      </w:pPr>
      <w:r>
        <w:rPr>
          <w:lang w:eastAsia="zh-CN"/>
        </w:rPr>
        <w:tab/>
      </w:r>
      <w:r w:rsidRPr="00A56C34">
        <w:rPr>
          <w:rFonts w:hint="eastAsia"/>
          <w:lang w:eastAsia="zh-CN"/>
        </w:rPr>
        <w:t>无线电通信部门</w:t>
      </w:r>
      <w:r>
        <w:rPr>
          <w:rFonts w:hint="eastAsia"/>
          <w:lang w:eastAsia="zh-CN"/>
        </w:rPr>
        <w:t>（</w:t>
      </w:r>
      <w:r>
        <w:rPr>
          <w:rFonts w:hint="eastAsia"/>
          <w:lang w:eastAsia="zh-CN"/>
        </w:rPr>
        <w:t>I</w:t>
      </w:r>
      <w:r>
        <w:rPr>
          <w:lang w:eastAsia="zh-CN"/>
        </w:rPr>
        <w:t>TU-R</w:t>
      </w:r>
      <w:r>
        <w:rPr>
          <w:rFonts w:hint="eastAsia"/>
          <w:lang w:eastAsia="zh-CN"/>
        </w:rPr>
        <w:t>）</w:t>
      </w:r>
    </w:p>
    <w:p w14:paraId="4EF1C40C" w14:textId="77777777" w:rsidR="00F14A61" w:rsidRDefault="00F14A61" w:rsidP="00F14A61">
      <w:pPr>
        <w:pStyle w:val="enumlev1"/>
        <w:rPr>
          <w:lang w:eastAsia="zh-CN"/>
        </w:rPr>
      </w:pPr>
      <w:r>
        <w:rPr>
          <w:lang w:eastAsia="zh-CN"/>
        </w:rPr>
        <w:tab/>
      </w:r>
      <w:r>
        <w:rPr>
          <w:rFonts w:hint="eastAsia"/>
          <w:lang w:eastAsia="zh-CN"/>
        </w:rPr>
        <w:t>员工费用类别占</w:t>
      </w:r>
      <w:r>
        <w:rPr>
          <w:rFonts w:hint="eastAsia"/>
          <w:lang w:eastAsia="zh-CN"/>
        </w:rPr>
        <w:t>2022</w:t>
      </w:r>
      <w:r>
        <w:rPr>
          <w:rFonts w:hint="eastAsia"/>
          <w:lang w:eastAsia="zh-CN"/>
        </w:rPr>
        <w:t>年无线电通信部门压缩支出中的大部分（约</w:t>
      </w:r>
      <w:r w:rsidRPr="009665AE">
        <w:rPr>
          <w:lang w:eastAsia="zh-CN"/>
        </w:rPr>
        <w:t>225</w:t>
      </w:r>
      <w:r>
        <w:rPr>
          <w:lang w:eastAsia="zh-CN"/>
        </w:rPr>
        <w:t xml:space="preserve"> </w:t>
      </w:r>
      <w:r w:rsidRPr="009665AE">
        <w:rPr>
          <w:lang w:eastAsia="zh-CN"/>
        </w:rPr>
        <w:t>000</w:t>
      </w:r>
      <w:r>
        <w:rPr>
          <w:rFonts w:hint="eastAsia"/>
          <w:lang w:eastAsia="zh-CN"/>
        </w:rPr>
        <w:t>瑞郎）。</w:t>
      </w:r>
    </w:p>
    <w:p w14:paraId="2BFAD1F5" w14:textId="77777777" w:rsidR="00F14A61" w:rsidRPr="005C03D9" w:rsidRDefault="00F14A61" w:rsidP="00F14A61">
      <w:pPr>
        <w:pStyle w:val="Headingb"/>
        <w:rPr>
          <w:lang w:eastAsia="zh-CN"/>
        </w:rPr>
      </w:pPr>
      <w:r w:rsidRPr="005C03D9">
        <w:rPr>
          <w:lang w:eastAsia="zh-CN"/>
        </w:rPr>
        <w:tab/>
      </w:r>
      <w:r w:rsidRPr="005C03D9">
        <w:rPr>
          <w:rFonts w:hint="eastAsia"/>
          <w:lang w:eastAsia="zh-CN"/>
        </w:rPr>
        <w:t>电信标准化部门（</w:t>
      </w:r>
      <w:r w:rsidRPr="005C03D9">
        <w:rPr>
          <w:rFonts w:hint="eastAsia"/>
          <w:lang w:eastAsia="zh-CN"/>
        </w:rPr>
        <w:t>I</w:t>
      </w:r>
      <w:r w:rsidRPr="005C03D9">
        <w:rPr>
          <w:lang w:eastAsia="zh-CN"/>
        </w:rPr>
        <w:t>TU-</w:t>
      </w:r>
      <w:r w:rsidRPr="005C03D9">
        <w:rPr>
          <w:rFonts w:hint="eastAsia"/>
          <w:lang w:eastAsia="zh-CN"/>
        </w:rPr>
        <w:t>T</w:t>
      </w:r>
      <w:r w:rsidRPr="005C03D9">
        <w:rPr>
          <w:rFonts w:hint="eastAsia"/>
          <w:lang w:eastAsia="zh-CN"/>
        </w:rPr>
        <w:t>）</w:t>
      </w:r>
    </w:p>
    <w:p w14:paraId="5055766D" w14:textId="77777777" w:rsidR="00F14A61" w:rsidRDefault="00F14A61" w:rsidP="00F14A61">
      <w:pPr>
        <w:pStyle w:val="enumlev1"/>
        <w:rPr>
          <w:lang w:eastAsia="zh-CN"/>
        </w:rPr>
      </w:pPr>
      <w:r>
        <w:rPr>
          <w:lang w:eastAsia="zh-CN"/>
        </w:rPr>
        <w:tab/>
      </w:r>
      <w:r>
        <w:rPr>
          <w:rFonts w:hint="eastAsia"/>
          <w:lang w:eastAsia="zh-CN"/>
        </w:rPr>
        <w:t>2022</w:t>
      </w:r>
      <w:r>
        <w:rPr>
          <w:rFonts w:hint="eastAsia"/>
          <w:lang w:eastAsia="zh-CN"/>
        </w:rPr>
        <w:t>年电信标准化部门的总支出达</w:t>
      </w:r>
      <w:r>
        <w:rPr>
          <w:rFonts w:hint="eastAsia"/>
          <w:lang w:eastAsia="zh-CN"/>
        </w:rPr>
        <w:t>1</w:t>
      </w:r>
      <w:r>
        <w:rPr>
          <w:lang w:eastAsia="zh-CN"/>
        </w:rPr>
        <w:t xml:space="preserve"> </w:t>
      </w:r>
      <w:r>
        <w:rPr>
          <w:rFonts w:hint="eastAsia"/>
          <w:lang w:eastAsia="zh-CN"/>
        </w:rPr>
        <w:t>318</w:t>
      </w:r>
      <w:r>
        <w:rPr>
          <w:rFonts w:hint="eastAsia"/>
          <w:lang w:eastAsia="zh-CN"/>
        </w:rPr>
        <w:t>万瑞郎，为</w:t>
      </w:r>
      <w:r>
        <w:rPr>
          <w:rFonts w:hint="eastAsia"/>
          <w:lang w:eastAsia="zh-CN"/>
        </w:rPr>
        <w:t>1</w:t>
      </w:r>
      <w:r>
        <w:rPr>
          <w:lang w:eastAsia="zh-CN"/>
        </w:rPr>
        <w:t xml:space="preserve"> </w:t>
      </w:r>
      <w:r>
        <w:rPr>
          <w:rFonts w:hint="eastAsia"/>
          <w:lang w:eastAsia="zh-CN"/>
        </w:rPr>
        <w:t>389</w:t>
      </w:r>
      <w:r>
        <w:rPr>
          <w:rFonts w:hint="eastAsia"/>
          <w:lang w:eastAsia="zh-CN"/>
        </w:rPr>
        <w:t>万瑞郎预算的</w:t>
      </w:r>
      <w:r>
        <w:rPr>
          <w:rFonts w:hint="eastAsia"/>
          <w:lang w:eastAsia="zh-CN"/>
        </w:rPr>
        <w:t>94.9%</w:t>
      </w:r>
      <w:r>
        <w:rPr>
          <w:rFonts w:hint="eastAsia"/>
          <w:lang w:eastAsia="zh-CN"/>
        </w:rPr>
        <w:t>。</w:t>
      </w:r>
    </w:p>
    <w:p w14:paraId="79AD05F1" w14:textId="77777777" w:rsidR="00F14A61" w:rsidRDefault="00F14A61" w:rsidP="00F14A61">
      <w:pPr>
        <w:pStyle w:val="enumlev1"/>
        <w:rPr>
          <w:lang w:eastAsia="zh-CN"/>
        </w:rPr>
      </w:pPr>
      <w:r>
        <w:rPr>
          <w:lang w:eastAsia="zh-CN"/>
        </w:rPr>
        <w:tab/>
      </w:r>
      <w:r w:rsidRPr="009665AE">
        <w:rPr>
          <w:lang w:eastAsia="zh-CN"/>
        </w:rPr>
        <w:t>ITU-T</w:t>
      </w:r>
      <w:r>
        <w:rPr>
          <w:rFonts w:hint="eastAsia"/>
          <w:lang w:eastAsia="zh-CN"/>
        </w:rPr>
        <w:t>预算在下属各个单位都实现了节余（</w:t>
      </w:r>
      <w:r>
        <w:rPr>
          <w:rFonts w:hint="eastAsia"/>
          <w:lang w:eastAsia="zh-CN"/>
        </w:rPr>
        <w:t>WTSA</w:t>
      </w:r>
      <w:r>
        <w:rPr>
          <w:rFonts w:hint="eastAsia"/>
          <w:lang w:eastAsia="zh-CN"/>
        </w:rPr>
        <w:t>、</w:t>
      </w:r>
      <w:r>
        <w:rPr>
          <w:rFonts w:hint="eastAsia"/>
          <w:lang w:eastAsia="zh-CN"/>
        </w:rPr>
        <w:t>TSAG</w:t>
      </w:r>
      <w:r>
        <w:rPr>
          <w:rFonts w:hint="eastAsia"/>
          <w:lang w:eastAsia="zh-CN"/>
        </w:rPr>
        <w:t>、研究组、活动和项目、讲习班和电信标准化局）。</w:t>
      </w:r>
    </w:p>
    <w:p w14:paraId="7DC9E04A" w14:textId="77777777" w:rsidR="00F14A61" w:rsidRDefault="00F14A61" w:rsidP="00F14A61">
      <w:pPr>
        <w:pStyle w:val="enumlev1"/>
        <w:rPr>
          <w:lang w:eastAsia="zh-CN"/>
        </w:rPr>
      </w:pPr>
      <w:r>
        <w:rPr>
          <w:lang w:eastAsia="zh-CN"/>
        </w:rPr>
        <w:tab/>
      </w:r>
      <w:r>
        <w:rPr>
          <w:rFonts w:hint="eastAsia"/>
          <w:lang w:eastAsia="zh-CN"/>
        </w:rPr>
        <w:t>2022</w:t>
      </w:r>
      <w:r>
        <w:rPr>
          <w:rFonts w:hint="eastAsia"/>
          <w:lang w:eastAsia="zh-CN"/>
        </w:rPr>
        <w:t>年初，会议仍以虚拟方式举行，从而节省了差旅费和口译费用。</w:t>
      </w:r>
    </w:p>
    <w:p w14:paraId="44AE6CE5" w14:textId="77777777" w:rsidR="00F14A61" w:rsidRDefault="00F14A61" w:rsidP="00F14A61">
      <w:pPr>
        <w:pStyle w:val="enumlev1"/>
        <w:rPr>
          <w:lang w:eastAsia="zh-CN"/>
        </w:rPr>
      </w:pPr>
      <w:r>
        <w:rPr>
          <w:lang w:eastAsia="zh-CN"/>
        </w:rPr>
        <w:tab/>
      </w:r>
      <w:r>
        <w:rPr>
          <w:rFonts w:hint="eastAsia"/>
          <w:lang w:eastAsia="zh-CN"/>
        </w:rPr>
        <w:t>从</w:t>
      </w:r>
      <w:r>
        <w:rPr>
          <w:rFonts w:hint="eastAsia"/>
          <w:lang w:eastAsia="zh-CN"/>
        </w:rPr>
        <w:t>2022</w:t>
      </w:r>
      <w:r>
        <w:rPr>
          <w:rFonts w:hint="eastAsia"/>
          <w:lang w:eastAsia="zh-CN"/>
        </w:rPr>
        <w:t>年年中开始，由于预算问题（可预见的收入不足），多项支出被暂停，这有助于进一步节省各类支出。</w:t>
      </w:r>
    </w:p>
    <w:p w14:paraId="72946A53" w14:textId="77777777" w:rsidR="00F14A61" w:rsidRPr="005C03D9" w:rsidRDefault="00F14A61" w:rsidP="00F14A61">
      <w:pPr>
        <w:pStyle w:val="Headingb"/>
        <w:rPr>
          <w:lang w:eastAsia="zh-CN"/>
        </w:rPr>
      </w:pPr>
      <w:r w:rsidRPr="005C03D9">
        <w:rPr>
          <w:lang w:eastAsia="zh-CN"/>
        </w:rPr>
        <w:tab/>
      </w:r>
      <w:r w:rsidRPr="005C03D9">
        <w:rPr>
          <w:rFonts w:hint="eastAsia"/>
          <w:lang w:eastAsia="zh-CN"/>
        </w:rPr>
        <w:t>电信发展部门（</w:t>
      </w:r>
      <w:r w:rsidRPr="005C03D9">
        <w:rPr>
          <w:lang w:eastAsia="zh-CN"/>
        </w:rPr>
        <w:t>ITU-D</w:t>
      </w:r>
      <w:r w:rsidRPr="005C03D9">
        <w:rPr>
          <w:rFonts w:hint="eastAsia"/>
          <w:lang w:eastAsia="zh-CN"/>
        </w:rPr>
        <w:t>）</w:t>
      </w:r>
    </w:p>
    <w:p w14:paraId="42BFE9E3" w14:textId="77777777" w:rsidR="00F14A61" w:rsidRDefault="00F14A61" w:rsidP="00F14A61">
      <w:pPr>
        <w:pStyle w:val="enumlev1"/>
        <w:rPr>
          <w:lang w:eastAsia="zh-CN"/>
        </w:rPr>
      </w:pPr>
      <w:r>
        <w:rPr>
          <w:lang w:eastAsia="zh-CN"/>
        </w:rPr>
        <w:tab/>
      </w:r>
      <w:r>
        <w:rPr>
          <w:rFonts w:hint="eastAsia"/>
          <w:lang w:eastAsia="zh-CN"/>
        </w:rPr>
        <w:t>下表中的</w:t>
      </w:r>
      <w:r w:rsidRPr="009665AE">
        <w:rPr>
          <w:lang w:eastAsia="zh-CN"/>
        </w:rPr>
        <w:t>ITU-D</w:t>
      </w:r>
      <w:r>
        <w:rPr>
          <w:rFonts w:hint="eastAsia"/>
          <w:lang w:eastAsia="zh-CN"/>
        </w:rPr>
        <w:t>预算是根据理事会第</w:t>
      </w:r>
      <w:r>
        <w:rPr>
          <w:rFonts w:hint="eastAsia"/>
          <w:lang w:eastAsia="zh-CN"/>
        </w:rPr>
        <w:t>1405</w:t>
      </w:r>
      <w:r>
        <w:rPr>
          <w:rFonts w:hint="eastAsia"/>
          <w:lang w:eastAsia="zh-CN"/>
        </w:rPr>
        <w:t>号决议核准的预算（</w:t>
      </w:r>
      <w:r>
        <w:rPr>
          <w:rFonts w:hint="eastAsia"/>
          <w:lang w:eastAsia="zh-CN"/>
        </w:rPr>
        <w:t>2 736.8</w:t>
      </w:r>
      <w:r>
        <w:rPr>
          <w:rFonts w:hint="eastAsia"/>
          <w:lang w:eastAsia="zh-CN"/>
        </w:rPr>
        <w:t>万瑞郎）和</w:t>
      </w:r>
      <w:r>
        <w:rPr>
          <w:rFonts w:hint="eastAsia"/>
          <w:lang w:eastAsia="zh-CN"/>
        </w:rPr>
        <w:t>2022</w:t>
      </w:r>
      <w:r>
        <w:rPr>
          <w:rFonts w:hint="eastAsia"/>
          <w:lang w:eastAsia="zh-CN"/>
        </w:rPr>
        <w:t>年结转的</w:t>
      </w:r>
      <w:r>
        <w:rPr>
          <w:rFonts w:hint="eastAsia"/>
          <w:lang w:eastAsia="zh-CN"/>
        </w:rPr>
        <w:t>WTDC</w:t>
      </w:r>
      <w:r>
        <w:rPr>
          <w:rFonts w:hint="eastAsia"/>
          <w:lang w:eastAsia="zh-CN"/>
        </w:rPr>
        <w:t>正常预算（</w:t>
      </w:r>
      <w:r>
        <w:rPr>
          <w:rFonts w:hint="eastAsia"/>
          <w:lang w:eastAsia="zh-CN"/>
        </w:rPr>
        <w:t>105.6</w:t>
      </w:r>
      <w:r>
        <w:rPr>
          <w:rFonts w:hint="eastAsia"/>
          <w:lang w:eastAsia="zh-CN"/>
        </w:rPr>
        <w:t>万瑞郎）。</w:t>
      </w:r>
    </w:p>
    <w:p w14:paraId="577C8D7E" w14:textId="77777777" w:rsidR="00F14A61" w:rsidRDefault="00F14A61" w:rsidP="00F14A61">
      <w:pPr>
        <w:pStyle w:val="enumlev1"/>
        <w:rPr>
          <w:lang w:eastAsia="zh-CN"/>
        </w:rPr>
      </w:pPr>
      <w:r>
        <w:rPr>
          <w:lang w:eastAsia="zh-CN"/>
        </w:rPr>
        <w:tab/>
      </w:r>
      <w:r>
        <w:rPr>
          <w:rFonts w:hint="eastAsia"/>
          <w:lang w:eastAsia="zh-CN"/>
        </w:rPr>
        <w:t>2022</w:t>
      </w:r>
      <w:r>
        <w:rPr>
          <w:rFonts w:hint="eastAsia"/>
          <w:lang w:eastAsia="zh-CN"/>
        </w:rPr>
        <w:t>年的</w:t>
      </w:r>
      <w:r>
        <w:rPr>
          <w:rFonts w:hint="eastAsia"/>
          <w:lang w:eastAsia="zh-CN"/>
        </w:rPr>
        <w:t>ITU-D</w:t>
      </w:r>
      <w:r>
        <w:rPr>
          <w:rFonts w:hint="eastAsia"/>
          <w:lang w:eastAsia="zh-CN"/>
        </w:rPr>
        <w:t>预算总额：</w:t>
      </w:r>
      <w:r>
        <w:rPr>
          <w:rFonts w:hint="eastAsia"/>
          <w:lang w:eastAsia="zh-CN"/>
        </w:rPr>
        <w:t>2842.4</w:t>
      </w:r>
      <w:r>
        <w:rPr>
          <w:rFonts w:hint="eastAsia"/>
          <w:lang w:eastAsia="zh-CN"/>
        </w:rPr>
        <w:t>万瑞郎。</w:t>
      </w:r>
    </w:p>
    <w:p w14:paraId="604D076B" w14:textId="77777777" w:rsidR="00F14A61" w:rsidRDefault="00F14A61" w:rsidP="00F14A61">
      <w:pPr>
        <w:pStyle w:val="enumlev1"/>
        <w:rPr>
          <w:lang w:eastAsia="zh-CN"/>
        </w:rPr>
      </w:pPr>
      <w:r>
        <w:rPr>
          <w:lang w:eastAsia="zh-CN"/>
        </w:rPr>
        <w:tab/>
      </w:r>
      <w:r>
        <w:rPr>
          <w:rFonts w:hint="eastAsia"/>
          <w:lang w:eastAsia="zh-CN"/>
        </w:rPr>
        <w:t>下表中的实际金额为：</w:t>
      </w:r>
    </w:p>
    <w:p w14:paraId="06227C40" w14:textId="77777777" w:rsidR="00F14A61" w:rsidRDefault="00F14A61" w:rsidP="00F14A61">
      <w:pPr>
        <w:pStyle w:val="enumlev1"/>
        <w:rPr>
          <w:lang w:eastAsia="zh-CN"/>
        </w:rPr>
      </w:pPr>
      <w:r>
        <w:rPr>
          <w:lang w:eastAsia="zh-CN"/>
        </w:rPr>
        <w:tab/>
      </w:r>
      <w:r w:rsidRPr="009665AE">
        <w:rPr>
          <w:lang w:eastAsia="zh-CN"/>
        </w:rPr>
        <w:t xml:space="preserve">ITU-D </w:t>
      </w:r>
      <w:r>
        <w:rPr>
          <w:rFonts w:hint="eastAsia"/>
          <w:lang w:eastAsia="zh-CN"/>
        </w:rPr>
        <w:t>2022</w:t>
      </w:r>
      <w:r>
        <w:rPr>
          <w:rFonts w:hint="eastAsia"/>
          <w:lang w:eastAsia="zh-CN"/>
        </w:rPr>
        <w:t>年正常预算的实际支出（</w:t>
      </w:r>
      <w:r>
        <w:rPr>
          <w:rFonts w:hint="eastAsia"/>
          <w:lang w:eastAsia="zh-CN"/>
        </w:rPr>
        <w:t>2</w:t>
      </w:r>
      <w:r>
        <w:rPr>
          <w:lang w:eastAsia="zh-CN"/>
        </w:rPr>
        <w:t xml:space="preserve"> </w:t>
      </w:r>
      <w:r>
        <w:rPr>
          <w:rFonts w:hint="eastAsia"/>
          <w:lang w:eastAsia="zh-CN"/>
        </w:rPr>
        <w:t>780.3</w:t>
      </w:r>
      <w:r>
        <w:rPr>
          <w:rFonts w:hint="eastAsia"/>
          <w:lang w:eastAsia="zh-CN"/>
        </w:rPr>
        <w:t>万瑞郎）与</w:t>
      </w:r>
      <w:r>
        <w:rPr>
          <w:rFonts w:hint="eastAsia"/>
          <w:lang w:eastAsia="zh-CN"/>
        </w:rPr>
        <w:t>2842.4</w:t>
      </w:r>
      <w:r>
        <w:rPr>
          <w:rFonts w:hint="eastAsia"/>
          <w:lang w:eastAsia="zh-CN"/>
        </w:rPr>
        <w:t>万瑞郎的核准预算一致。</w:t>
      </w:r>
    </w:p>
    <w:p w14:paraId="740557B2" w14:textId="77777777" w:rsidR="00F14A61" w:rsidRDefault="00F14A61" w:rsidP="00F14A61">
      <w:pPr>
        <w:pStyle w:val="enumlev1"/>
        <w:rPr>
          <w:lang w:eastAsia="zh-CN"/>
        </w:rPr>
      </w:pPr>
      <w:r>
        <w:rPr>
          <w:lang w:eastAsia="zh-CN"/>
        </w:rPr>
        <w:tab/>
      </w:r>
      <w:r>
        <w:rPr>
          <w:rFonts w:hint="eastAsia"/>
          <w:lang w:eastAsia="zh-CN"/>
        </w:rPr>
        <w:t>由于严格监控支出，实现节余</w:t>
      </w:r>
      <w:r w:rsidRPr="009665AE">
        <w:rPr>
          <w:lang w:eastAsia="zh-CN"/>
        </w:rPr>
        <w:t>621</w:t>
      </w:r>
      <w:r>
        <w:rPr>
          <w:lang w:eastAsia="zh-CN"/>
        </w:rPr>
        <w:t xml:space="preserve"> </w:t>
      </w:r>
      <w:r w:rsidRPr="009665AE">
        <w:rPr>
          <w:lang w:eastAsia="zh-CN"/>
        </w:rPr>
        <w:t>000</w:t>
      </w:r>
      <w:r>
        <w:rPr>
          <w:rFonts w:hint="eastAsia"/>
          <w:lang w:eastAsia="zh-CN"/>
        </w:rPr>
        <w:t>瑞郎，主要源自合同服务类别。</w:t>
      </w:r>
    </w:p>
    <w:p w14:paraId="0C024D90" w14:textId="77777777" w:rsidR="00F14A61" w:rsidRDefault="00F14A61" w:rsidP="00F14A61">
      <w:pPr>
        <w:pStyle w:val="enumlev1"/>
        <w:rPr>
          <w:lang w:eastAsia="zh-CN"/>
        </w:rPr>
      </w:pPr>
      <w:r>
        <w:rPr>
          <w:lang w:eastAsia="zh-CN"/>
        </w:rPr>
        <w:tab/>
      </w:r>
      <w:r>
        <w:rPr>
          <w:rFonts w:hint="eastAsia"/>
          <w:lang w:eastAsia="zh-CN"/>
        </w:rPr>
        <w:t>以下要素解释了短缺的原因：</w:t>
      </w:r>
    </w:p>
    <w:p w14:paraId="4F665791" w14:textId="77777777" w:rsidR="00F14A61" w:rsidRDefault="00F14A61" w:rsidP="00F14A61">
      <w:pPr>
        <w:pStyle w:val="enumlev2"/>
        <w:rPr>
          <w:lang w:eastAsia="zh-CN"/>
        </w:rPr>
      </w:pPr>
      <w:r>
        <w:rPr>
          <w:lang w:eastAsia="zh-CN"/>
        </w:rPr>
        <w:t>–</w:t>
      </w:r>
      <w:r>
        <w:rPr>
          <w:lang w:eastAsia="zh-CN"/>
        </w:rPr>
        <w:tab/>
      </w:r>
      <w:r>
        <w:rPr>
          <w:rFonts w:hint="eastAsia"/>
          <w:lang w:eastAsia="zh-CN"/>
        </w:rPr>
        <w:t>东道国协议涵盖的</w:t>
      </w:r>
      <w:r>
        <w:rPr>
          <w:rFonts w:hint="eastAsia"/>
          <w:lang w:eastAsia="zh-CN"/>
        </w:rPr>
        <w:t>WTDC</w:t>
      </w:r>
      <w:r>
        <w:rPr>
          <w:rFonts w:hint="eastAsia"/>
          <w:lang w:eastAsia="zh-CN"/>
        </w:rPr>
        <w:t>费用。</w:t>
      </w:r>
      <w:r>
        <w:rPr>
          <w:rFonts w:hint="eastAsia"/>
          <w:lang w:eastAsia="zh-CN"/>
        </w:rPr>
        <w:t>603 000</w:t>
      </w:r>
      <w:r>
        <w:rPr>
          <w:rFonts w:hint="eastAsia"/>
          <w:lang w:eastAsia="zh-CN"/>
        </w:rPr>
        <w:t>瑞郎这一金额亦列在“收入</w:t>
      </w:r>
      <w:r>
        <w:rPr>
          <w:lang w:eastAsia="zh-CN"/>
        </w:rPr>
        <w:t xml:space="preserve"> – </w:t>
      </w:r>
      <w:r>
        <w:rPr>
          <w:rFonts w:hint="eastAsia"/>
          <w:lang w:eastAsia="zh-CN"/>
        </w:rPr>
        <w:t>分摊会费”项下</w:t>
      </w:r>
    </w:p>
    <w:p w14:paraId="243A2FBE" w14:textId="77777777" w:rsidR="00F14A61" w:rsidRPr="009665AE" w:rsidRDefault="00F14A61" w:rsidP="00F14A61">
      <w:pPr>
        <w:pStyle w:val="enumlev2"/>
        <w:rPr>
          <w:lang w:eastAsia="zh-CN"/>
        </w:rPr>
      </w:pPr>
      <w:r>
        <w:rPr>
          <w:lang w:eastAsia="zh-CN"/>
        </w:rPr>
        <w:t>–</w:t>
      </w:r>
      <w:r>
        <w:rPr>
          <w:lang w:eastAsia="zh-CN"/>
        </w:rPr>
        <w:tab/>
      </w:r>
      <w:r>
        <w:rPr>
          <w:rFonts w:hint="eastAsia"/>
          <w:lang w:eastAsia="zh-CN"/>
        </w:rPr>
        <w:t>法务审计费用（</w:t>
      </w:r>
      <w:r>
        <w:rPr>
          <w:rFonts w:hint="eastAsia"/>
          <w:lang w:eastAsia="zh-CN"/>
        </w:rPr>
        <w:t>486 000</w:t>
      </w:r>
      <w:r>
        <w:rPr>
          <w:rFonts w:hint="eastAsia"/>
          <w:lang w:eastAsia="zh-CN"/>
        </w:rPr>
        <w:t>瑞郎）未列入预算（第</w:t>
      </w:r>
      <w:r>
        <w:rPr>
          <w:rFonts w:hint="eastAsia"/>
          <w:lang w:eastAsia="zh-CN"/>
        </w:rPr>
        <w:t>1405</w:t>
      </w:r>
      <w:r>
        <w:rPr>
          <w:rFonts w:hint="eastAsia"/>
          <w:lang w:eastAsia="zh-CN"/>
        </w:rPr>
        <w:t>号决议）</w:t>
      </w:r>
    </w:p>
    <w:p w14:paraId="67464C3C" w14:textId="77777777" w:rsidR="00F14A61" w:rsidRPr="005C03D9" w:rsidRDefault="00F14A61" w:rsidP="00F14A61">
      <w:pPr>
        <w:pStyle w:val="Headingb"/>
        <w:rPr>
          <w:lang w:eastAsia="zh-CN"/>
        </w:rPr>
      </w:pPr>
      <w:r w:rsidRPr="005C03D9">
        <w:rPr>
          <w:lang w:eastAsia="zh-CN"/>
        </w:rPr>
        <w:tab/>
      </w:r>
      <w:r w:rsidRPr="005C03D9">
        <w:rPr>
          <w:rFonts w:hint="eastAsia"/>
          <w:lang w:eastAsia="zh-CN"/>
        </w:rPr>
        <w:t>总秘书处</w:t>
      </w:r>
    </w:p>
    <w:p w14:paraId="0EE78D31" w14:textId="77777777" w:rsidR="00F14A61" w:rsidRPr="00FE1DF3" w:rsidRDefault="00F14A61" w:rsidP="00F14A61">
      <w:pPr>
        <w:pStyle w:val="enumlev1"/>
        <w:rPr>
          <w:lang w:eastAsia="zh-CN"/>
        </w:rPr>
      </w:pPr>
      <w:r>
        <w:rPr>
          <w:lang w:eastAsia="zh-CN"/>
        </w:rPr>
        <w:tab/>
      </w:r>
      <w:r w:rsidRPr="00FE1DF3">
        <w:rPr>
          <w:rFonts w:hint="eastAsia"/>
          <w:lang w:eastAsia="zh-CN"/>
        </w:rPr>
        <w:t>由于对翻译和文字处理活动的资源进行了严格监控，大部分节余来自大会和出版部。</w:t>
      </w:r>
    </w:p>
    <w:p w14:paraId="642039C9" w14:textId="77777777" w:rsidR="00F14A61" w:rsidRPr="00FE1DF3" w:rsidRDefault="00F14A61" w:rsidP="00F14A61">
      <w:pPr>
        <w:pStyle w:val="enumlev1"/>
        <w:rPr>
          <w:lang w:eastAsia="zh-CN"/>
        </w:rPr>
      </w:pPr>
      <w:r w:rsidRPr="00FE1DF3">
        <w:rPr>
          <w:lang w:eastAsia="zh-CN"/>
        </w:rPr>
        <w:tab/>
      </w:r>
      <w:r w:rsidRPr="00FE1DF3">
        <w:rPr>
          <w:rFonts w:hint="eastAsia"/>
          <w:lang w:eastAsia="zh-CN"/>
        </w:rPr>
        <w:t>其它结余来自设施管理处下的维护支出以及信息服务部下的合同服务类别。</w:t>
      </w:r>
    </w:p>
    <w:p w14:paraId="4355BB92" w14:textId="77777777" w:rsidR="00F14A61" w:rsidRPr="00FE1DF3" w:rsidRDefault="00F14A61" w:rsidP="00F14A61">
      <w:pPr>
        <w:pStyle w:val="enumlev1"/>
        <w:rPr>
          <w:lang w:eastAsia="zh-CN"/>
        </w:rPr>
      </w:pPr>
      <w:r w:rsidRPr="00FE1DF3">
        <w:rPr>
          <w:lang w:eastAsia="zh-CN"/>
        </w:rPr>
        <w:tab/>
      </w:r>
      <w:r w:rsidRPr="00FE1DF3">
        <w:rPr>
          <w:rFonts w:hint="eastAsia"/>
          <w:lang w:eastAsia="zh-CN"/>
        </w:rPr>
        <w:t>与其他部门一样，总秘书处不得不通过推迟招聘空缺职位来消化</w:t>
      </w:r>
      <w:r w:rsidRPr="00FE1DF3">
        <w:rPr>
          <w:rFonts w:hint="eastAsia"/>
          <w:lang w:eastAsia="zh-CN"/>
        </w:rPr>
        <w:t>5%</w:t>
      </w:r>
      <w:r w:rsidRPr="00FE1DF3">
        <w:rPr>
          <w:rFonts w:hint="eastAsia"/>
          <w:lang w:eastAsia="zh-CN"/>
        </w:rPr>
        <w:t>的空缺率。</w:t>
      </w:r>
    </w:p>
    <w:p w14:paraId="4B09AAED" w14:textId="77777777" w:rsidR="00F14A61" w:rsidRPr="009665AE" w:rsidRDefault="00F14A61" w:rsidP="00F14A61">
      <w:pPr>
        <w:ind w:firstLineChars="200" w:firstLine="480"/>
        <w:rPr>
          <w:lang w:val="en-US" w:eastAsia="zh-CN"/>
        </w:rPr>
      </w:pPr>
      <w:r w:rsidRPr="00906C1C">
        <w:rPr>
          <w:rFonts w:hint="eastAsia"/>
          <w:lang w:val="en-US" w:eastAsia="zh-CN"/>
        </w:rPr>
        <w:t>2022</w:t>
      </w:r>
      <w:r w:rsidRPr="00906C1C">
        <w:rPr>
          <w:rFonts w:hint="eastAsia"/>
          <w:lang w:val="en-US" w:eastAsia="zh-CN"/>
        </w:rPr>
        <w:t>年的</w:t>
      </w:r>
      <w:r>
        <w:rPr>
          <w:rFonts w:hint="eastAsia"/>
          <w:lang w:val="en-US" w:eastAsia="zh-CN"/>
        </w:rPr>
        <w:t>支出</w:t>
      </w:r>
      <w:r w:rsidRPr="00906C1C">
        <w:rPr>
          <w:rFonts w:hint="eastAsia"/>
          <w:lang w:val="en-US" w:eastAsia="zh-CN"/>
        </w:rPr>
        <w:t>预算为</w:t>
      </w:r>
      <w:r w:rsidRPr="00906C1C">
        <w:rPr>
          <w:rFonts w:hint="eastAsia"/>
          <w:lang w:val="en-US" w:eastAsia="zh-CN"/>
        </w:rPr>
        <w:t>1.636</w:t>
      </w:r>
      <w:r w:rsidRPr="00906C1C">
        <w:rPr>
          <w:rFonts w:hint="eastAsia"/>
          <w:lang w:val="en-US" w:eastAsia="zh-CN"/>
        </w:rPr>
        <w:t>亿</w:t>
      </w:r>
      <w:r>
        <w:rPr>
          <w:rFonts w:hint="eastAsia"/>
          <w:lang w:val="en-US" w:eastAsia="zh-CN"/>
        </w:rPr>
        <w:t>瑞郎</w:t>
      </w:r>
      <w:r w:rsidRPr="00906C1C">
        <w:rPr>
          <w:rFonts w:hint="eastAsia"/>
          <w:lang w:val="en-US" w:eastAsia="zh-CN"/>
        </w:rPr>
        <w:t>，其中实际</w:t>
      </w:r>
      <w:r>
        <w:rPr>
          <w:rFonts w:hint="eastAsia"/>
          <w:lang w:val="en-US" w:eastAsia="zh-CN"/>
        </w:rPr>
        <w:t>支出</w:t>
      </w:r>
      <w:r w:rsidRPr="00906C1C">
        <w:rPr>
          <w:rFonts w:hint="eastAsia"/>
          <w:lang w:val="en-US" w:eastAsia="zh-CN"/>
        </w:rPr>
        <w:t>为</w:t>
      </w:r>
      <w:r w:rsidRPr="00906C1C">
        <w:rPr>
          <w:rFonts w:hint="eastAsia"/>
          <w:lang w:val="en-US" w:eastAsia="zh-CN"/>
        </w:rPr>
        <w:t>1.62</w:t>
      </w:r>
      <w:r w:rsidRPr="00906C1C">
        <w:rPr>
          <w:rFonts w:hint="eastAsia"/>
          <w:lang w:val="en-US" w:eastAsia="zh-CN"/>
        </w:rPr>
        <w:t>亿</w:t>
      </w:r>
      <w:r>
        <w:rPr>
          <w:rFonts w:hint="eastAsia"/>
          <w:lang w:val="en-US" w:eastAsia="zh-CN"/>
        </w:rPr>
        <w:t>瑞郎</w:t>
      </w:r>
      <w:r w:rsidRPr="00906C1C">
        <w:rPr>
          <w:rFonts w:hint="eastAsia"/>
          <w:lang w:val="en-US" w:eastAsia="zh-CN"/>
        </w:rPr>
        <w:t>。然而，由于收入</w:t>
      </w:r>
      <w:r>
        <w:rPr>
          <w:rFonts w:hint="eastAsia"/>
          <w:lang w:val="en-US" w:eastAsia="zh-CN"/>
        </w:rPr>
        <w:t>存在缺口</w:t>
      </w:r>
      <w:r w:rsidRPr="00906C1C">
        <w:rPr>
          <w:rFonts w:hint="eastAsia"/>
          <w:lang w:val="en-US" w:eastAsia="zh-CN"/>
        </w:rPr>
        <w:t>，</w:t>
      </w:r>
      <w:r>
        <w:rPr>
          <w:rFonts w:hint="eastAsia"/>
          <w:lang w:val="en-US" w:eastAsia="zh-CN"/>
        </w:rPr>
        <w:t>因此出现了</w:t>
      </w:r>
      <w:r w:rsidRPr="00906C1C">
        <w:rPr>
          <w:rFonts w:hint="eastAsia"/>
          <w:lang w:val="en-US" w:eastAsia="zh-CN"/>
        </w:rPr>
        <w:t>480</w:t>
      </w:r>
      <w:r w:rsidRPr="00906C1C">
        <w:rPr>
          <w:rFonts w:hint="eastAsia"/>
          <w:lang w:val="en-US" w:eastAsia="zh-CN"/>
        </w:rPr>
        <w:t>万</w:t>
      </w:r>
      <w:r>
        <w:rPr>
          <w:rFonts w:hint="eastAsia"/>
          <w:lang w:val="en-US" w:eastAsia="zh-CN"/>
        </w:rPr>
        <w:t>瑞郎的赤字</w:t>
      </w:r>
      <w:r w:rsidRPr="00906C1C">
        <w:rPr>
          <w:rFonts w:hint="eastAsia"/>
          <w:lang w:val="en-US" w:eastAsia="zh-CN"/>
        </w:rPr>
        <w:t>。</w:t>
      </w:r>
      <w:r>
        <w:rPr>
          <w:rFonts w:hint="eastAsia"/>
          <w:lang w:val="en-US" w:eastAsia="zh-CN"/>
        </w:rPr>
        <w:t>弥补缺口的</w:t>
      </w:r>
      <w:r w:rsidRPr="00906C1C">
        <w:rPr>
          <w:rFonts w:hint="eastAsia"/>
          <w:lang w:val="en-US" w:eastAsia="zh-CN"/>
        </w:rPr>
        <w:t>资金来自往年</w:t>
      </w:r>
      <w:r>
        <w:rPr>
          <w:rFonts w:hint="eastAsia"/>
          <w:lang w:val="en-US" w:eastAsia="zh-CN"/>
        </w:rPr>
        <w:t>资</w:t>
      </w:r>
      <w:r w:rsidRPr="00906C1C">
        <w:rPr>
          <w:rFonts w:hint="eastAsia"/>
          <w:lang w:val="en-US" w:eastAsia="zh-CN"/>
        </w:rPr>
        <w:t>金的节余（</w:t>
      </w:r>
      <w:r w:rsidRPr="00906C1C">
        <w:rPr>
          <w:rFonts w:hint="eastAsia"/>
          <w:lang w:val="en-US" w:eastAsia="zh-CN"/>
        </w:rPr>
        <w:t>180</w:t>
      </w:r>
      <w:r w:rsidRPr="00906C1C">
        <w:rPr>
          <w:rFonts w:hint="eastAsia"/>
          <w:lang w:val="en-US" w:eastAsia="zh-CN"/>
        </w:rPr>
        <w:t>万</w:t>
      </w:r>
      <w:r>
        <w:rPr>
          <w:rFonts w:hint="eastAsia"/>
          <w:lang w:val="en-US" w:eastAsia="zh-CN"/>
        </w:rPr>
        <w:t>瑞郎</w:t>
      </w:r>
      <w:r w:rsidRPr="00906C1C">
        <w:rPr>
          <w:rFonts w:hint="eastAsia"/>
          <w:lang w:val="en-US" w:eastAsia="zh-CN"/>
        </w:rPr>
        <w:t>）和</w:t>
      </w:r>
      <w:r>
        <w:rPr>
          <w:rFonts w:hint="eastAsia"/>
          <w:lang w:val="en-US" w:eastAsia="zh-CN"/>
        </w:rPr>
        <w:t>储备金账目的</w:t>
      </w:r>
      <w:r w:rsidRPr="00906C1C">
        <w:rPr>
          <w:rFonts w:hint="eastAsia"/>
          <w:lang w:val="en-US" w:eastAsia="zh-CN"/>
        </w:rPr>
        <w:t>300</w:t>
      </w:r>
      <w:r w:rsidRPr="00906C1C">
        <w:rPr>
          <w:rFonts w:hint="eastAsia"/>
          <w:lang w:val="en-US" w:eastAsia="zh-CN"/>
        </w:rPr>
        <w:t>万</w:t>
      </w:r>
      <w:r>
        <w:rPr>
          <w:rFonts w:hint="eastAsia"/>
          <w:lang w:val="en-US" w:eastAsia="zh-CN"/>
        </w:rPr>
        <w:t>瑞郎</w:t>
      </w:r>
      <w:r w:rsidRPr="00906C1C">
        <w:rPr>
          <w:rFonts w:hint="eastAsia"/>
          <w:lang w:val="en-US" w:eastAsia="zh-CN"/>
        </w:rPr>
        <w:t>。这种情况令人担忧，因为国际电联的支出超过了可用</w:t>
      </w:r>
      <w:r>
        <w:rPr>
          <w:rFonts w:hint="eastAsia"/>
          <w:lang w:val="en-US" w:eastAsia="zh-CN"/>
        </w:rPr>
        <w:t>资金</w:t>
      </w:r>
      <w:r w:rsidRPr="00906C1C">
        <w:rPr>
          <w:rFonts w:hint="eastAsia"/>
          <w:lang w:val="en-US" w:eastAsia="zh-CN"/>
        </w:rPr>
        <w:t>，并使用</w:t>
      </w:r>
      <w:r>
        <w:rPr>
          <w:rFonts w:hint="eastAsia"/>
          <w:lang w:val="en-US" w:eastAsia="zh-CN"/>
        </w:rPr>
        <w:t>了</w:t>
      </w:r>
      <w:r w:rsidRPr="00906C1C">
        <w:rPr>
          <w:rFonts w:hint="eastAsia"/>
          <w:lang w:val="en-US" w:eastAsia="zh-CN"/>
        </w:rPr>
        <w:t>储备</w:t>
      </w:r>
      <w:r>
        <w:rPr>
          <w:rFonts w:hint="eastAsia"/>
          <w:lang w:val="en-US" w:eastAsia="zh-CN"/>
        </w:rPr>
        <w:t>金</w:t>
      </w:r>
      <w:r w:rsidRPr="00906C1C">
        <w:rPr>
          <w:rFonts w:hint="eastAsia"/>
          <w:lang w:val="en-US" w:eastAsia="zh-CN"/>
        </w:rPr>
        <w:t>账户来平衡预算。</w:t>
      </w:r>
      <w:r>
        <w:rPr>
          <w:rFonts w:hint="eastAsia"/>
          <w:lang w:val="en-US" w:eastAsia="zh-CN"/>
        </w:rPr>
        <w:t>现</w:t>
      </w:r>
      <w:r w:rsidRPr="00906C1C">
        <w:rPr>
          <w:rFonts w:hint="eastAsia"/>
          <w:lang w:val="en-US" w:eastAsia="zh-CN"/>
        </w:rPr>
        <w:t>已采取了缓解措施，以确保国际电联秘书处今后能够平衡预算。</w:t>
      </w:r>
    </w:p>
    <w:p w14:paraId="4CEF2C99" w14:textId="77777777" w:rsidR="00F14A61" w:rsidRPr="00CE269B" w:rsidRDefault="00F14A61" w:rsidP="00F14A61">
      <w:pPr>
        <w:pStyle w:val="Heading1"/>
        <w:tabs>
          <w:tab w:val="clear" w:pos="794"/>
        </w:tabs>
        <w:ind w:left="1134" w:hanging="1134"/>
        <w:rPr>
          <w:sz w:val="24"/>
          <w:szCs w:val="24"/>
          <w:lang w:val="en-US" w:eastAsia="zh-CN"/>
        </w:rPr>
      </w:pPr>
      <w:bookmarkStart w:id="788" w:name="_Toc163723310"/>
      <w:r w:rsidRPr="002017A9">
        <w:rPr>
          <w:rFonts w:hint="eastAsia"/>
          <w:sz w:val="24"/>
          <w:szCs w:val="24"/>
          <w:lang w:val="en-US" w:eastAsia="zh-CN"/>
        </w:rPr>
        <w:lastRenderedPageBreak/>
        <w:t>说明</w:t>
      </w:r>
      <w:r w:rsidRPr="002017A9">
        <w:rPr>
          <w:sz w:val="24"/>
          <w:szCs w:val="24"/>
          <w:lang w:val="en-US" w:eastAsia="zh-CN"/>
        </w:rPr>
        <w:t>26</w:t>
      </w:r>
      <w:r w:rsidRPr="002017A9">
        <w:rPr>
          <w:sz w:val="24"/>
          <w:szCs w:val="24"/>
          <w:lang w:val="en-US" w:eastAsia="zh-CN"/>
        </w:rPr>
        <w:tab/>
      </w:r>
      <w:r w:rsidRPr="002017A9">
        <w:rPr>
          <w:rFonts w:hint="eastAsia"/>
          <w:sz w:val="24"/>
          <w:szCs w:val="24"/>
          <w:lang w:val="en-US" w:eastAsia="zh-CN"/>
        </w:rPr>
        <w:t>相关方的披露</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8"/>
    </w:p>
    <w:p w14:paraId="0E8ED602" w14:textId="77777777" w:rsidR="00F14A61" w:rsidRPr="00CE269B" w:rsidRDefault="00F14A61" w:rsidP="00F14A61">
      <w:pPr>
        <w:ind w:firstLineChars="200" w:firstLine="480"/>
        <w:rPr>
          <w:lang w:val="en-US" w:eastAsia="zh-CN"/>
        </w:rPr>
      </w:pPr>
      <w:r w:rsidRPr="000C156A">
        <w:rPr>
          <w:rFonts w:hint="eastAsia"/>
          <w:lang w:eastAsia="zh-CN"/>
        </w:rPr>
        <w:t>下述实体被视作相关方</w:t>
      </w:r>
      <w:r w:rsidRPr="00CE269B">
        <w:rPr>
          <w:rFonts w:hint="eastAsia"/>
          <w:lang w:val="en-US" w:eastAsia="zh-CN"/>
        </w:rPr>
        <w:t>：</w:t>
      </w:r>
    </w:p>
    <w:p w14:paraId="18B4B7D6" w14:textId="77777777" w:rsidR="00F14A61" w:rsidRPr="00CE269B" w:rsidRDefault="00F14A61" w:rsidP="00F14A61">
      <w:pPr>
        <w:pStyle w:val="enumlev1"/>
        <w:rPr>
          <w:lang w:val="en-US" w:eastAsia="zh-CN"/>
        </w:rPr>
      </w:pPr>
      <w:r w:rsidRPr="00CE269B">
        <w:rPr>
          <w:lang w:val="en-US" w:eastAsia="zh-CN"/>
        </w:rPr>
        <w:t>–</w:t>
      </w:r>
      <w:r w:rsidRPr="00CE269B">
        <w:rPr>
          <w:lang w:val="en-US" w:eastAsia="zh-CN"/>
        </w:rPr>
        <w:tab/>
      </w:r>
      <w:r w:rsidRPr="000C156A">
        <w:rPr>
          <w:rFonts w:hint="eastAsia"/>
          <w:lang w:eastAsia="zh-CN"/>
        </w:rPr>
        <w:t>联合国合办职员养恤基金</w:t>
      </w:r>
      <w:r w:rsidRPr="00CE269B">
        <w:rPr>
          <w:rFonts w:hint="eastAsia"/>
          <w:lang w:val="en-US" w:eastAsia="zh-CN"/>
        </w:rPr>
        <w:t>（</w:t>
      </w:r>
      <w:r w:rsidRPr="00CE269B">
        <w:rPr>
          <w:lang w:val="en-US" w:eastAsia="zh-CN"/>
        </w:rPr>
        <w:t>UNJSPF</w:t>
      </w:r>
      <w:r w:rsidRPr="00CE269B">
        <w:rPr>
          <w:rFonts w:hint="eastAsia"/>
          <w:lang w:val="en-US" w:eastAsia="zh-CN"/>
        </w:rPr>
        <w:t>）</w:t>
      </w:r>
      <w:r w:rsidRPr="000C156A">
        <w:rPr>
          <w:rFonts w:hint="eastAsia"/>
          <w:lang w:eastAsia="zh-CN"/>
        </w:rPr>
        <w:t>。</w:t>
      </w:r>
    </w:p>
    <w:p w14:paraId="67FD4D8E" w14:textId="77777777" w:rsidR="00F14A61" w:rsidRPr="00CE269B" w:rsidRDefault="00F14A61" w:rsidP="00F14A61">
      <w:pPr>
        <w:ind w:firstLineChars="200" w:firstLine="480"/>
        <w:rPr>
          <w:lang w:val="en-US" w:eastAsia="zh-CN"/>
        </w:rPr>
      </w:pPr>
      <w:r w:rsidRPr="000C156A">
        <w:rPr>
          <w:rFonts w:hint="eastAsia"/>
          <w:lang w:eastAsia="zh-CN"/>
        </w:rPr>
        <w:t>国际电联理事会由</w:t>
      </w:r>
      <w:r w:rsidRPr="00CE269B">
        <w:rPr>
          <w:lang w:val="en-US" w:eastAsia="zh-CN"/>
        </w:rPr>
        <w:t>48</w:t>
      </w:r>
      <w:r w:rsidRPr="000C156A">
        <w:rPr>
          <w:rFonts w:hint="eastAsia"/>
          <w:lang w:eastAsia="zh-CN"/>
        </w:rPr>
        <w:t>个成员国组成</w:t>
      </w:r>
      <w:r w:rsidRPr="00CE269B">
        <w:rPr>
          <w:rFonts w:hint="eastAsia"/>
          <w:lang w:val="en-US" w:eastAsia="zh-CN"/>
        </w:rPr>
        <w:t>，</w:t>
      </w:r>
      <w:r w:rsidRPr="000C156A">
        <w:rPr>
          <w:rFonts w:hint="eastAsia"/>
          <w:lang w:eastAsia="zh-CN"/>
        </w:rPr>
        <w:t>未指定具体</w:t>
      </w:r>
      <w:proofErr w:type="gramStart"/>
      <w:r w:rsidRPr="000C156A">
        <w:rPr>
          <w:rFonts w:hint="eastAsia"/>
          <w:lang w:eastAsia="zh-CN"/>
        </w:rPr>
        <w:t>个</w:t>
      </w:r>
      <w:proofErr w:type="gramEnd"/>
      <w:r w:rsidRPr="000C156A">
        <w:rPr>
          <w:rFonts w:hint="eastAsia"/>
          <w:lang w:eastAsia="zh-CN"/>
        </w:rPr>
        <w:t>人为代表。</w:t>
      </w:r>
    </w:p>
    <w:p w14:paraId="7B951EFE" w14:textId="77777777" w:rsidR="00F14A61" w:rsidRPr="000C156A" w:rsidRDefault="00F14A61" w:rsidP="00F14A61">
      <w:pPr>
        <w:ind w:firstLineChars="200" w:firstLine="480"/>
        <w:rPr>
          <w:lang w:eastAsia="zh-CN"/>
        </w:rPr>
      </w:pPr>
      <w:r w:rsidRPr="000C156A">
        <w:rPr>
          <w:rFonts w:hint="eastAsia"/>
          <w:lang w:eastAsia="zh-CN"/>
        </w:rPr>
        <w:t>国际电联由秘书长作为执行长官负责管理</w:t>
      </w:r>
      <w:r w:rsidRPr="00CE269B">
        <w:rPr>
          <w:rFonts w:hint="eastAsia"/>
          <w:lang w:val="en-US" w:eastAsia="zh-CN"/>
        </w:rPr>
        <w:t>，</w:t>
      </w:r>
      <w:r w:rsidRPr="000C156A">
        <w:rPr>
          <w:rFonts w:hint="eastAsia"/>
          <w:lang w:eastAsia="zh-CN"/>
        </w:rPr>
        <w:t>并由副秘书长及国际电联三个部门的主任</w:t>
      </w:r>
      <w:r w:rsidRPr="00CE269B">
        <w:rPr>
          <w:rFonts w:hint="eastAsia"/>
          <w:lang w:val="en-US" w:eastAsia="zh-CN"/>
        </w:rPr>
        <w:t>（</w:t>
      </w:r>
      <w:r w:rsidRPr="000C156A">
        <w:rPr>
          <w:rFonts w:hint="eastAsia"/>
          <w:lang w:eastAsia="zh-CN"/>
        </w:rPr>
        <w:t>组成协调委员会的高级官员</w:t>
      </w:r>
      <w:r w:rsidRPr="00CE269B">
        <w:rPr>
          <w:rFonts w:hint="eastAsia"/>
          <w:lang w:val="en-US" w:eastAsia="zh-CN"/>
        </w:rPr>
        <w:t>）</w:t>
      </w:r>
      <w:r w:rsidRPr="000C156A">
        <w:rPr>
          <w:rFonts w:hint="eastAsia"/>
          <w:lang w:eastAsia="zh-CN"/>
        </w:rPr>
        <w:t>协助管理。三个部门分别为：无线电通信部门（</w:t>
      </w:r>
      <w:r w:rsidRPr="000C156A">
        <w:rPr>
          <w:lang w:eastAsia="zh-CN"/>
        </w:rPr>
        <w:t>ITU-R</w:t>
      </w:r>
      <w:r w:rsidRPr="000C156A">
        <w:rPr>
          <w:rFonts w:hint="eastAsia"/>
          <w:lang w:eastAsia="zh-CN"/>
        </w:rPr>
        <w:t>）、电信标准化部门（</w:t>
      </w:r>
      <w:r w:rsidRPr="000C156A">
        <w:rPr>
          <w:lang w:eastAsia="zh-CN"/>
        </w:rPr>
        <w:t>ITU-T</w:t>
      </w:r>
      <w:r w:rsidRPr="000C156A">
        <w:rPr>
          <w:rFonts w:hint="eastAsia"/>
          <w:lang w:eastAsia="zh-CN"/>
        </w:rPr>
        <w:t>）和电信发展部门（</w:t>
      </w:r>
      <w:r w:rsidRPr="000C156A">
        <w:rPr>
          <w:lang w:eastAsia="zh-CN"/>
        </w:rPr>
        <w:t>ITU-D</w:t>
      </w:r>
      <w:r w:rsidRPr="000C156A">
        <w:rPr>
          <w:rFonts w:hint="eastAsia"/>
          <w:lang w:eastAsia="zh-CN"/>
        </w:rPr>
        <w:t>）</w:t>
      </w:r>
      <w:r>
        <w:rPr>
          <w:rFonts w:hint="eastAsia"/>
          <w:lang w:eastAsia="zh-CN"/>
        </w:rPr>
        <w:t>。</w:t>
      </w:r>
    </w:p>
    <w:p w14:paraId="22D2F162" w14:textId="77777777" w:rsidR="00F14A61" w:rsidRPr="000C156A" w:rsidRDefault="00F14A61" w:rsidP="00F14A61">
      <w:pPr>
        <w:ind w:firstLineChars="200" w:firstLine="480"/>
        <w:rPr>
          <w:lang w:eastAsia="zh-CN"/>
        </w:rPr>
      </w:pPr>
      <w:r w:rsidRPr="000C156A">
        <w:rPr>
          <w:rFonts w:hint="eastAsia"/>
          <w:lang w:eastAsia="zh-CN"/>
        </w:rPr>
        <w:t>向核心管理层官员支付的全部薪酬包括：基本工资、任职地点补贴调整数以及交际费、安置津贴、离任归国补助金、积存年假、住房补贴和个人财物的运送等各项补贴。</w:t>
      </w:r>
    </w:p>
    <w:p w14:paraId="118300DD" w14:textId="77777777" w:rsidR="00F14A61" w:rsidRPr="000C156A" w:rsidRDefault="00F14A61" w:rsidP="00F14A61">
      <w:pPr>
        <w:ind w:firstLineChars="200" w:firstLine="480"/>
        <w:rPr>
          <w:lang w:eastAsia="zh-CN"/>
        </w:rPr>
      </w:pPr>
      <w:r w:rsidRPr="000C156A">
        <w:rPr>
          <w:rFonts w:hint="eastAsia"/>
          <w:lang w:eastAsia="zh-CN"/>
        </w:rPr>
        <w:t>此外，核心管理层官员还享有与专业类职员相同的福利，即：</w:t>
      </w:r>
    </w:p>
    <w:p w14:paraId="69C4E3F7" w14:textId="77777777" w:rsidR="00F14A61" w:rsidRPr="000C156A" w:rsidRDefault="00F14A61" w:rsidP="00F14A61">
      <w:pPr>
        <w:pStyle w:val="enumlev1"/>
        <w:rPr>
          <w:lang w:eastAsia="zh-CN"/>
        </w:rPr>
      </w:pPr>
      <w:r w:rsidRPr="000C156A">
        <w:rPr>
          <w:lang w:eastAsia="zh-CN"/>
        </w:rPr>
        <w:t>–</w:t>
      </w:r>
      <w:r w:rsidRPr="000C156A">
        <w:rPr>
          <w:lang w:eastAsia="zh-CN"/>
        </w:rPr>
        <w:tab/>
      </w:r>
      <w:r w:rsidRPr="000C156A">
        <w:rPr>
          <w:rFonts w:hint="eastAsia"/>
          <w:lang w:eastAsia="zh-CN"/>
        </w:rPr>
        <w:t>归国探亲假；</w:t>
      </w:r>
    </w:p>
    <w:p w14:paraId="416A7816" w14:textId="77777777" w:rsidR="00F14A61" w:rsidRPr="000C156A" w:rsidRDefault="00F14A61" w:rsidP="00F14A61">
      <w:pPr>
        <w:pStyle w:val="enumlev1"/>
        <w:rPr>
          <w:lang w:eastAsia="zh-CN"/>
        </w:rPr>
      </w:pPr>
      <w:r w:rsidRPr="000C156A">
        <w:rPr>
          <w:lang w:eastAsia="zh-CN"/>
        </w:rPr>
        <w:t>–</w:t>
      </w:r>
      <w:r w:rsidRPr="000C156A">
        <w:rPr>
          <w:lang w:eastAsia="zh-CN"/>
        </w:rPr>
        <w:tab/>
      </w:r>
      <w:r w:rsidRPr="000C156A">
        <w:rPr>
          <w:rFonts w:hint="eastAsia"/>
          <w:lang w:eastAsia="zh-CN"/>
        </w:rPr>
        <w:t>教育补助金；</w:t>
      </w:r>
    </w:p>
    <w:p w14:paraId="2C8DB969" w14:textId="77777777" w:rsidR="00F14A61" w:rsidRPr="000C156A" w:rsidRDefault="00F14A61" w:rsidP="00F14A61">
      <w:pPr>
        <w:pStyle w:val="enumlev1"/>
        <w:rPr>
          <w:lang w:eastAsia="zh-CN"/>
        </w:rPr>
      </w:pPr>
      <w:r w:rsidRPr="000C156A">
        <w:rPr>
          <w:lang w:eastAsia="zh-CN"/>
        </w:rPr>
        <w:t>–</w:t>
      </w:r>
      <w:r w:rsidRPr="000C156A">
        <w:rPr>
          <w:lang w:eastAsia="zh-CN"/>
        </w:rPr>
        <w:tab/>
      </w:r>
      <w:r w:rsidRPr="000C156A">
        <w:rPr>
          <w:rFonts w:hint="eastAsia"/>
          <w:lang w:eastAsia="zh-CN"/>
        </w:rPr>
        <w:t>离职后福利。</w:t>
      </w:r>
    </w:p>
    <w:p w14:paraId="540ECDAE" w14:textId="77777777" w:rsidR="00F14A61" w:rsidRPr="009665AE" w:rsidRDefault="00F14A61" w:rsidP="00F14A61">
      <w:pPr>
        <w:spacing w:after="240"/>
        <w:ind w:firstLineChars="200" w:firstLine="487"/>
        <w:rPr>
          <w:b/>
          <w:bCs/>
          <w:spacing w:val="-4"/>
          <w:w w:val="105"/>
          <w:lang w:eastAsia="zh-CN"/>
        </w:rPr>
      </w:pPr>
      <w:r w:rsidRPr="00906C1C">
        <w:rPr>
          <w:rFonts w:hint="eastAsia"/>
          <w:spacing w:val="-4"/>
          <w:w w:val="105"/>
          <w:lang w:eastAsia="zh-CN"/>
        </w:rPr>
        <w:t>下表中包含了</w:t>
      </w:r>
      <w:r w:rsidRPr="00906C1C">
        <w:rPr>
          <w:rFonts w:hint="eastAsia"/>
          <w:spacing w:val="-4"/>
          <w:w w:val="105"/>
          <w:lang w:eastAsia="zh-CN"/>
        </w:rPr>
        <w:t>2022</w:t>
      </w:r>
      <w:r w:rsidRPr="00906C1C">
        <w:rPr>
          <w:rFonts w:hint="eastAsia"/>
          <w:spacing w:val="-4"/>
          <w:w w:val="105"/>
          <w:lang w:eastAsia="zh-CN"/>
        </w:rPr>
        <w:t>年向主要管理</w:t>
      </w:r>
      <w:r>
        <w:rPr>
          <w:rFonts w:hint="eastAsia"/>
          <w:spacing w:val="-4"/>
          <w:w w:val="105"/>
          <w:lang w:eastAsia="zh-CN"/>
        </w:rPr>
        <w:t>层官员</w:t>
      </w:r>
      <w:r w:rsidRPr="00906C1C">
        <w:rPr>
          <w:rFonts w:hint="eastAsia"/>
          <w:spacing w:val="-4"/>
          <w:w w:val="105"/>
          <w:lang w:eastAsia="zh-CN"/>
        </w:rPr>
        <w:t>支付的所有款项。</w:t>
      </w:r>
    </w:p>
    <w:p w14:paraId="56F57290" w14:textId="77777777" w:rsidR="00F14A61" w:rsidRDefault="00F14A61" w:rsidP="00F14A61">
      <w:pPr>
        <w:spacing w:after="240"/>
        <w:ind w:firstLineChars="200" w:firstLine="480"/>
        <w:rPr>
          <w:lang w:eastAsia="zh-CN"/>
        </w:rPr>
      </w:pPr>
      <w:r w:rsidRPr="000C156A">
        <w:rPr>
          <w:rFonts w:hint="eastAsia"/>
          <w:lang w:eastAsia="zh-CN"/>
        </w:rPr>
        <w:t>核心管理层官员均为联合国合办职员养恤基金的普通参加者。</w:t>
      </w:r>
    </w:p>
    <w:p w14:paraId="2138DCCD" w14:textId="77777777" w:rsidR="00F14A61" w:rsidRPr="000C156A" w:rsidRDefault="00F14A61" w:rsidP="00D61EB2">
      <w:pPr>
        <w:pStyle w:val="Figure"/>
        <w:rPr>
          <w:lang w:eastAsia="zh-CN"/>
        </w:rPr>
      </w:pPr>
      <w:r w:rsidRPr="00642FEE">
        <w:rPr>
          <w:noProof/>
        </w:rPr>
        <w:drawing>
          <wp:inline distT="0" distB="0" distL="0" distR="0" wp14:anchorId="25A9BC52" wp14:editId="7BAA577F">
            <wp:extent cx="5016500" cy="908050"/>
            <wp:effectExtent l="0" t="0" r="0" b="0"/>
            <wp:docPr id="112876162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016500" cy="908050"/>
                    </a:xfrm>
                    <a:prstGeom prst="rect">
                      <a:avLst/>
                    </a:prstGeom>
                    <a:noFill/>
                    <a:ln>
                      <a:noFill/>
                    </a:ln>
                  </pic:spPr>
                </pic:pic>
              </a:graphicData>
            </a:graphic>
          </wp:inline>
        </w:drawing>
      </w:r>
    </w:p>
    <w:p w14:paraId="1D7B59D3" w14:textId="77777777" w:rsidR="00F14A61" w:rsidRPr="00906C1C" w:rsidRDefault="00F14A61" w:rsidP="00F14A61">
      <w:pPr>
        <w:ind w:firstLineChars="200" w:firstLine="480"/>
        <w:jc w:val="both"/>
        <w:rPr>
          <w:rFonts w:cs="Calibri"/>
          <w:szCs w:val="24"/>
          <w:lang w:val="en-US" w:eastAsia="zh-CN"/>
        </w:rPr>
      </w:pPr>
      <w:bookmarkStart w:id="789" w:name="_Toc482892589"/>
      <w:bookmarkStart w:id="790" w:name="_Toc511813773"/>
      <w:bookmarkStart w:id="791" w:name="_Toc511817856"/>
      <w:bookmarkStart w:id="792" w:name="_Toc520280756"/>
      <w:bookmarkStart w:id="793" w:name="_Toc10536850"/>
      <w:bookmarkStart w:id="794" w:name="_Toc41905902"/>
      <w:bookmarkStart w:id="795" w:name="_Toc41906923"/>
      <w:bookmarkStart w:id="796" w:name="_Toc41908072"/>
      <w:bookmarkStart w:id="797" w:name="_Toc73518730"/>
      <w:bookmarkStart w:id="798" w:name="_Toc73518877"/>
      <w:bookmarkStart w:id="799" w:name="_Toc73519277"/>
      <w:bookmarkStart w:id="800" w:name="_Toc73636316"/>
      <w:bookmarkEnd w:id="786"/>
      <w:bookmarkEnd w:id="787"/>
      <w:r w:rsidRPr="00906C1C">
        <w:rPr>
          <w:rFonts w:cs="Calibri" w:hint="eastAsia"/>
          <w:szCs w:val="24"/>
          <w:lang w:val="en-US" w:eastAsia="zh-CN"/>
        </w:rPr>
        <w:t>在</w:t>
      </w:r>
      <w:r w:rsidRPr="00906C1C">
        <w:rPr>
          <w:rFonts w:cs="Calibri" w:hint="eastAsia"/>
          <w:szCs w:val="24"/>
          <w:lang w:val="en-US" w:eastAsia="zh-CN"/>
        </w:rPr>
        <w:t>2022</w:t>
      </w:r>
      <w:r w:rsidRPr="00906C1C">
        <w:rPr>
          <w:rFonts w:cs="Calibri" w:hint="eastAsia"/>
          <w:szCs w:val="24"/>
          <w:lang w:val="en-US" w:eastAsia="zh-CN"/>
        </w:rPr>
        <w:t>年向</w:t>
      </w:r>
      <w:r>
        <w:rPr>
          <w:rFonts w:cs="Calibri" w:hint="eastAsia"/>
          <w:szCs w:val="24"/>
          <w:lang w:val="en-US" w:eastAsia="zh-CN"/>
        </w:rPr>
        <w:t>选任官员</w:t>
      </w:r>
      <w:r w:rsidRPr="00906C1C">
        <w:rPr>
          <w:rFonts w:cs="Calibri" w:hint="eastAsia"/>
          <w:szCs w:val="24"/>
          <w:lang w:val="en-US" w:eastAsia="zh-CN"/>
        </w:rPr>
        <w:t>支付的</w:t>
      </w:r>
      <w:r w:rsidRPr="00906C1C">
        <w:rPr>
          <w:rFonts w:cs="Calibri" w:hint="eastAsia"/>
          <w:szCs w:val="24"/>
          <w:lang w:val="en-US" w:eastAsia="zh-CN"/>
        </w:rPr>
        <w:t>262.3</w:t>
      </w:r>
      <w:r w:rsidRPr="00906C1C">
        <w:rPr>
          <w:rFonts w:cs="Calibri" w:hint="eastAsia"/>
          <w:szCs w:val="24"/>
          <w:lang w:val="en-US" w:eastAsia="zh-CN"/>
        </w:rPr>
        <w:t>万</w:t>
      </w:r>
      <w:r>
        <w:rPr>
          <w:rFonts w:cs="Calibri" w:hint="eastAsia"/>
          <w:szCs w:val="24"/>
          <w:lang w:val="en-US" w:eastAsia="zh-CN"/>
        </w:rPr>
        <w:t>瑞郎</w:t>
      </w:r>
      <w:r w:rsidRPr="00906C1C">
        <w:rPr>
          <w:rFonts w:cs="Calibri" w:hint="eastAsia"/>
          <w:szCs w:val="24"/>
          <w:lang w:val="en-US" w:eastAsia="zh-CN"/>
        </w:rPr>
        <w:t>中，有</w:t>
      </w:r>
      <w:r w:rsidRPr="007E4DCB">
        <w:rPr>
          <w:rFonts w:cs="Calibri"/>
          <w:szCs w:val="24"/>
          <w:lang w:val="en-US" w:eastAsia="zh-CN"/>
        </w:rPr>
        <w:t>3</w:t>
      </w:r>
      <w:r>
        <w:rPr>
          <w:rFonts w:cs="Calibri"/>
          <w:szCs w:val="24"/>
          <w:lang w:val="en-US" w:eastAsia="zh-CN"/>
        </w:rPr>
        <w:t xml:space="preserve"> </w:t>
      </w:r>
      <w:r w:rsidRPr="007E4DCB">
        <w:rPr>
          <w:rFonts w:cs="Calibri"/>
          <w:szCs w:val="24"/>
          <w:lang w:val="en-US" w:eastAsia="zh-CN"/>
        </w:rPr>
        <w:t>528</w:t>
      </w:r>
      <w:r>
        <w:rPr>
          <w:rFonts w:cs="Calibri" w:hint="eastAsia"/>
          <w:szCs w:val="24"/>
          <w:lang w:val="en-US" w:eastAsia="zh-CN"/>
        </w:rPr>
        <w:t>瑞郎</w:t>
      </w:r>
      <w:r w:rsidRPr="00906C1C">
        <w:rPr>
          <w:rFonts w:cs="Calibri" w:hint="eastAsia"/>
          <w:szCs w:val="24"/>
          <w:lang w:val="en-US" w:eastAsia="zh-CN"/>
        </w:rPr>
        <w:t>是从前</w:t>
      </w:r>
      <w:r>
        <w:rPr>
          <w:rFonts w:cs="Calibri" w:hint="eastAsia"/>
          <w:szCs w:val="24"/>
          <w:lang w:val="en-US" w:eastAsia="zh-CN"/>
        </w:rPr>
        <w:t>选任官员</w:t>
      </w:r>
      <w:r w:rsidRPr="00906C1C">
        <w:rPr>
          <w:rFonts w:cs="Calibri" w:hint="eastAsia"/>
          <w:szCs w:val="24"/>
          <w:lang w:val="en-US" w:eastAsia="zh-CN"/>
        </w:rPr>
        <w:t>退休时购买信息技术设备的</w:t>
      </w:r>
      <w:r w:rsidRPr="007E4DCB">
        <w:rPr>
          <w:rFonts w:cs="Calibri" w:hint="eastAsia"/>
          <w:szCs w:val="24"/>
          <w:lang w:val="en-US" w:eastAsia="zh-CN"/>
        </w:rPr>
        <w:t>特惠补偿款</w:t>
      </w:r>
      <w:r w:rsidRPr="00906C1C">
        <w:rPr>
          <w:rFonts w:cs="Calibri" w:hint="eastAsia"/>
          <w:szCs w:val="24"/>
          <w:lang w:val="en-US" w:eastAsia="zh-CN"/>
        </w:rPr>
        <w:t>中扣除的。</w:t>
      </w:r>
    </w:p>
    <w:p w14:paraId="2031B3B8" w14:textId="77777777" w:rsidR="00F14A61" w:rsidRPr="002017A9" w:rsidRDefault="00F14A61" w:rsidP="00F14A61">
      <w:pPr>
        <w:pStyle w:val="Heading1"/>
        <w:tabs>
          <w:tab w:val="clear" w:pos="794"/>
        </w:tabs>
        <w:ind w:left="1134" w:hanging="1134"/>
        <w:rPr>
          <w:sz w:val="24"/>
          <w:szCs w:val="24"/>
          <w:lang w:val="en-US" w:eastAsia="zh-CN"/>
        </w:rPr>
      </w:pPr>
      <w:bookmarkStart w:id="801" w:name="_Toc163723311"/>
      <w:r w:rsidRPr="002017A9">
        <w:rPr>
          <w:rFonts w:hint="eastAsia"/>
          <w:sz w:val="24"/>
          <w:szCs w:val="24"/>
          <w:lang w:val="en-US" w:eastAsia="zh-CN"/>
        </w:rPr>
        <w:t>说明</w:t>
      </w:r>
      <w:r w:rsidRPr="002017A9">
        <w:rPr>
          <w:sz w:val="24"/>
          <w:szCs w:val="24"/>
          <w:lang w:val="en-US" w:eastAsia="zh-CN"/>
        </w:rPr>
        <w:t>27</w:t>
      </w:r>
      <w:r w:rsidRPr="002017A9">
        <w:rPr>
          <w:sz w:val="24"/>
          <w:szCs w:val="24"/>
          <w:lang w:val="en-US" w:eastAsia="zh-CN"/>
        </w:rPr>
        <w:tab/>
      </w:r>
      <w:bookmarkEnd w:id="756"/>
      <w:bookmarkEnd w:id="757"/>
      <w:bookmarkEnd w:id="789"/>
      <w:bookmarkEnd w:id="790"/>
      <w:bookmarkEnd w:id="791"/>
      <w:bookmarkEnd w:id="792"/>
      <w:bookmarkEnd w:id="793"/>
      <w:bookmarkEnd w:id="794"/>
      <w:bookmarkEnd w:id="795"/>
      <w:bookmarkEnd w:id="796"/>
      <w:bookmarkEnd w:id="797"/>
      <w:bookmarkEnd w:id="798"/>
      <w:bookmarkEnd w:id="799"/>
      <w:bookmarkEnd w:id="800"/>
      <w:r w:rsidRPr="002017A9">
        <w:rPr>
          <w:rFonts w:hint="eastAsia"/>
          <w:sz w:val="24"/>
          <w:szCs w:val="24"/>
          <w:lang w:val="en-US" w:eastAsia="zh-CN"/>
        </w:rPr>
        <w:t>未来的承诺</w:t>
      </w:r>
      <w:bookmarkEnd w:id="801"/>
    </w:p>
    <w:p w14:paraId="2DC858EF" w14:textId="77777777" w:rsidR="00F14A61" w:rsidRPr="000C156A" w:rsidRDefault="00F14A61" w:rsidP="00F14A61">
      <w:pPr>
        <w:ind w:firstLineChars="200" w:firstLine="480"/>
        <w:rPr>
          <w:lang w:val="fr-FR" w:eastAsia="zh-CN"/>
        </w:rPr>
      </w:pPr>
      <w:r w:rsidRPr="000C156A">
        <w:rPr>
          <w:rFonts w:hint="eastAsia"/>
          <w:lang w:eastAsia="zh-CN"/>
        </w:rPr>
        <w:t>国际电联</w:t>
      </w:r>
      <w:r>
        <w:rPr>
          <w:rFonts w:hint="eastAsia"/>
          <w:lang w:eastAsia="zh-CN"/>
        </w:rPr>
        <w:t>自</w:t>
      </w:r>
      <w:r w:rsidRPr="005130AE">
        <w:rPr>
          <w:rFonts w:hint="eastAsia"/>
          <w:lang w:val="en-US" w:eastAsia="zh-CN"/>
        </w:rPr>
        <w:t>202</w:t>
      </w:r>
      <w:r>
        <w:rPr>
          <w:lang w:val="en-US" w:eastAsia="zh-CN"/>
        </w:rPr>
        <w:t>0</w:t>
      </w:r>
      <w:r w:rsidRPr="000C156A">
        <w:rPr>
          <w:rFonts w:hint="eastAsia"/>
          <w:lang w:eastAsia="zh-CN"/>
        </w:rPr>
        <w:t>年</w:t>
      </w:r>
      <w:r w:rsidRPr="005130AE">
        <w:rPr>
          <w:rFonts w:hint="eastAsia"/>
          <w:lang w:val="en-US" w:eastAsia="zh-CN"/>
        </w:rPr>
        <w:t>1</w:t>
      </w:r>
      <w:r w:rsidRPr="000C156A">
        <w:rPr>
          <w:rFonts w:hint="eastAsia"/>
          <w:lang w:eastAsia="zh-CN"/>
        </w:rPr>
        <w:t>月</w:t>
      </w:r>
      <w:r w:rsidRPr="005130AE">
        <w:rPr>
          <w:rFonts w:hint="eastAsia"/>
          <w:lang w:val="en-US" w:eastAsia="zh-CN"/>
        </w:rPr>
        <w:t>1</w:t>
      </w:r>
      <w:r w:rsidRPr="000C156A">
        <w:rPr>
          <w:rFonts w:hint="eastAsia"/>
          <w:lang w:eastAsia="zh-CN"/>
        </w:rPr>
        <w:t>日起加入</w:t>
      </w:r>
      <w:r w:rsidRPr="005130AE">
        <w:rPr>
          <w:rFonts w:eastAsia="Times New Roman"/>
          <w:lang w:val="en-US" w:eastAsia="zh-CN"/>
        </w:rPr>
        <w:t>UNSMIS</w:t>
      </w:r>
      <w:r>
        <w:rPr>
          <w:rFonts w:ascii="SimSun" w:hAnsi="SimSun" w:cs="SimSun" w:hint="eastAsia"/>
          <w:lang w:val="en-US" w:eastAsia="zh-CN"/>
        </w:rPr>
        <w:t>，</w:t>
      </w:r>
      <w:r w:rsidRPr="000C156A">
        <w:rPr>
          <w:rFonts w:hint="eastAsia"/>
          <w:lang w:eastAsia="zh-CN"/>
        </w:rPr>
        <w:t>且签署</w:t>
      </w:r>
      <w:r>
        <w:rPr>
          <w:rFonts w:hint="eastAsia"/>
          <w:lang w:eastAsia="zh-CN"/>
        </w:rPr>
        <w:t>的</w:t>
      </w:r>
      <w:r w:rsidRPr="000C156A">
        <w:rPr>
          <w:rFonts w:hint="eastAsia"/>
          <w:lang w:eastAsia="zh-CN"/>
        </w:rPr>
        <w:t>合同</w:t>
      </w:r>
      <w:r>
        <w:rPr>
          <w:rFonts w:hint="eastAsia"/>
          <w:lang w:eastAsia="zh-CN"/>
        </w:rPr>
        <w:t>中规定其要在</w:t>
      </w:r>
      <w:r>
        <w:rPr>
          <w:rFonts w:hint="eastAsia"/>
          <w:lang w:eastAsia="zh-CN"/>
        </w:rPr>
        <w:t>2</w:t>
      </w:r>
      <w:r>
        <w:rPr>
          <w:lang w:eastAsia="zh-CN"/>
        </w:rPr>
        <w:t>032</w:t>
      </w:r>
      <w:r>
        <w:rPr>
          <w:rFonts w:hint="eastAsia"/>
          <w:lang w:eastAsia="zh-CN"/>
        </w:rPr>
        <w:t>年前支付额外的年度缴费。</w:t>
      </w:r>
      <w:r w:rsidRPr="007E4DCB">
        <w:rPr>
          <w:rFonts w:hint="eastAsia"/>
          <w:lang w:eastAsia="zh-CN"/>
        </w:rPr>
        <w:t>截至</w:t>
      </w:r>
      <w:r w:rsidRPr="007E4DCB">
        <w:rPr>
          <w:rFonts w:hint="eastAsia"/>
          <w:lang w:eastAsia="zh-CN"/>
        </w:rPr>
        <w:t>2022</w:t>
      </w:r>
      <w:r w:rsidRPr="007E4DCB">
        <w:rPr>
          <w:rFonts w:hint="eastAsia"/>
          <w:lang w:eastAsia="zh-CN"/>
        </w:rPr>
        <w:t>年</w:t>
      </w:r>
      <w:r w:rsidRPr="007E4DCB">
        <w:rPr>
          <w:rFonts w:hint="eastAsia"/>
          <w:lang w:eastAsia="zh-CN"/>
        </w:rPr>
        <w:t>12</w:t>
      </w:r>
      <w:r w:rsidRPr="007E4DCB">
        <w:rPr>
          <w:rFonts w:hint="eastAsia"/>
          <w:lang w:eastAsia="zh-CN"/>
        </w:rPr>
        <w:t>月</w:t>
      </w:r>
      <w:r w:rsidRPr="007E4DCB">
        <w:rPr>
          <w:rFonts w:hint="eastAsia"/>
          <w:lang w:eastAsia="zh-CN"/>
        </w:rPr>
        <w:t>31</w:t>
      </w:r>
      <w:r w:rsidRPr="007E4DCB">
        <w:rPr>
          <w:rFonts w:hint="eastAsia"/>
          <w:lang w:eastAsia="zh-CN"/>
        </w:rPr>
        <w:t>日，剩余的</w:t>
      </w:r>
      <w:r>
        <w:rPr>
          <w:rFonts w:hint="eastAsia"/>
          <w:lang w:eastAsia="zh-CN"/>
        </w:rPr>
        <w:t>额外缴费</w:t>
      </w:r>
      <w:r w:rsidRPr="007E4DCB">
        <w:rPr>
          <w:rFonts w:hint="eastAsia"/>
          <w:lang w:eastAsia="zh-CN"/>
        </w:rPr>
        <w:t>总额为</w:t>
      </w:r>
      <w:r w:rsidRPr="007E4DCB">
        <w:rPr>
          <w:rFonts w:hint="eastAsia"/>
          <w:lang w:eastAsia="zh-CN"/>
        </w:rPr>
        <w:t>1</w:t>
      </w:r>
      <w:r>
        <w:rPr>
          <w:lang w:eastAsia="zh-CN"/>
        </w:rPr>
        <w:t xml:space="preserve"> </w:t>
      </w:r>
      <w:r w:rsidRPr="007E4DCB">
        <w:rPr>
          <w:rFonts w:hint="eastAsia"/>
          <w:lang w:eastAsia="zh-CN"/>
        </w:rPr>
        <w:t>750</w:t>
      </w:r>
      <w:r w:rsidRPr="007E4DCB">
        <w:rPr>
          <w:rFonts w:hint="eastAsia"/>
          <w:lang w:eastAsia="zh-CN"/>
        </w:rPr>
        <w:t>万美元。</w:t>
      </w:r>
    </w:p>
    <w:p w14:paraId="7A08A06A" w14:textId="77777777" w:rsidR="00F14A61" w:rsidRPr="00CE269B" w:rsidRDefault="00F14A61" w:rsidP="00F14A61">
      <w:pPr>
        <w:pStyle w:val="Heading1"/>
        <w:tabs>
          <w:tab w:val="clear" w:pos="794"/>
        </w:tabs>
        <w:ind w:left="1134" w:hanging="1134"/>
        <w:rPr>
          <w:sz w:val="24"/>
          <w:szCs w:val="24"/>
          <w:lang w:val="fr-FR" w:eastAsia="zh-CN"/>
        </w:rPr>
      </w:pPr>
      <w:bookmarkStart w:id="802" w:name="_MON_1394891130"/>
      <w:bookmarkStart w:id="803" w:name="_MON_1402750365"/>
      <w:bookmarkStart w:id="804" w:name="lt_pId1247"/>
      <w:bookmarkStart w:id="805" w:name="_Toc131156471"/>
      <w:bookmarkStart w:id="806" w:name="_Toc163723312"/>
      <w:bookmarkStart w:id="807" w:name="_Toc482892590"/>
      <w:bookmarkStart w:id="808" w:name="_Toc387089408"/>
      <w:bookmarkStart w:id="809" w:name="_Toc511813774"/>
      <w:bookmarkStart w:id="810" w:name="_Toc511817857"/>
      <w:bookmarkStart w:id="811" w:name="_Toc520280757"/>
      <w:bookmarkStart w:id="812" w:name="_Toc10536851"/>
      <w:bookmarkStart w:id="813" w:name="_Toc41905903"/>
      <w:bookmarkStart w:id="814" w:name="_Toc41906924"/>
      <w:bookmarkStart w:id="815" w:name="_Toc41908073"/>
      <w:bookmarkStart w:id="816" w:name="_Toc73518731"/>
      <w:bookmarkStart w:id="817" w:name="_Toc73518878"/>
      <w:bookmarkStart w:id="818" w:name="_Toc73519278"/>
      <w:bookmarkStart w:id="819" w:name="_Toc73636317"/>
      <w:bookmarkStart w:id="820" w:name="_Toc329011663"/>
      <w:bookmarkStart w:id="821" w:name="_Toc305764121"/>
      <w:bookmarkEnd w:id="758"/>
      <w:bookmarkEnd w:id="759"/>
      <w:bookmarkEnd w:id="802"/>
      <w:bookmarkEnd w:id="803"/>
      <w:r w:rsidRPr="002017A9">
        <w:rPr>
          <w:rFonts w:hint="eastAsia"/>
          <w:sz w:val="24"/>
          <w:szCs w:val="24"/>
          <w:lang w:val="en-US" w:eastAsia="zh-CN"/>
        </w:rPr>
        <w:t>说明</w:t>
      </w:r>
      <w:r w:rsidRPr="00CE269B">
        <w:rPr>
          <w:rFonts w:hint="eastAsia"/>
          <w:sz w:val="24"/>
          <w:szCs w:val="24"/>
          <w:lang w:val="fr-FR" w:eastAsia="zh-CN"/>
        </w:rPr>
        <w:t>2</w:t>
      </w:r>
      <w:r w:rsidRPr="00CE269B">
        <w:rPr>
          <w:sz w:val="24"/>
          <w:szCs w:val="24"/>
          <w:lang w:val="fr-FR" w:eastAsia="zh-CN"/>
        </w:rPr>
        <w:t>8</w:t>
      </w:r>
      <w:bookmarkEnd w:id="804"/>
      <w:bookmarkEnd w:id="805"/>
      <w:r w:rsidRPr="00CE269B">
        <w:rPr>
          <w:sz w:val="24"/>
          <w:szCs w:val="24"/>
          <w:lang w:val="fr-FR" w:eastAsia="zh-CN"/>
        </w:rPr>
        <w:tab/>
      </w:r>
      <w:r w:rsidRPr="002017A9">
        <w:rPr>
          <w:rFonts w:hint="eastAsia"/>
          <w:sz w:val="24"/>
          <w:szCs w:val="24"/>
          <w:lang w:val="en-US" w:eastAsia="zh-CN"/>
        </w:rPr>
        <w:t>特惠补偿款</w:t>
      </w:r>
      <w:bookmarkEnd w:id="806"/>
    </w:p>
    <w:p w14:paraId="37FEE94F" w14:textId="77777777" w:rsidR="00F14A61" w:rsidRPr="009A2CFB" w:rsidRDefault="00F14A61" w:rsidP="00F14A61">
      <w:pPr>
        <w:ind w:firstLineChars="200" w:firstLine="480"/>
        <w:jc w:val="both"/>
        <w:rPr>
          <w:rFonts w:cs="Calibri"/>
          <w:lang w:val="en-US" w:eastAsia="zh-CN"/>
        </w:rPr>
      </w:pPr>
      <w:r w:rsidRPr="00CE269B">
        <w:rPr>
          <w:rFonts w:cs="Calibri" w:hint="eastAsia"/>
          <w:lang w:val="fr-FR" w:eastAsia="zh-CN"/>
        </w:rPr>
        <w:t>2022</w:t>
      </w:r>
      <w:r w:rsidRPr="009A2CFB">
        <w:rPr>
          <w:rFonts w:cs="Calibri" w:hint="eastAsia"/>
          <w:lang w:val="en-US" w:eastAsia="zh-CN"/>
        </w:rPr>
        <w:t>年</w:t>
      </w:r>
      <w:r w:rsidRPr="00CE269B">
        <w:rPr>
          <w:rFonts w:cs="Calibri" w:hint="eastAsia"/>
          <w:lang w:val="fr-FR" w:eastAsia="zh-CN"/>
        </w:rPr>
        <w:t>，</w:t>
      </w:r>
      <w:r>
        <w:rPr>
          <w:rFonts w:cs="Calibri" w:hint="eastAsia"/>
          <w:lang w:val="en-US" w:eastAsia="zh-CN"/>
        </w:rPr>
        <w:t>国际电联</w:t>
      </w:r>
      <w:r w:rsidRPr="009A2CFB">
        <w:rPr>
          <w:rFonts w:cs="Calibri" w:hint="eastAsia"/>
          <w:lang w:val="en-US" w:eastAsia="zh-CN"/>
        </w:rPr>
        <w:t>向前</w:t>
      </w:r>
      <w:r>
        <w:rPr>
          <w:rFonts w:cs="Calibri" w:hint="eastAsia"/>
          <w:lang w:val="en-US" w:eastAsia="zh-CN"/>
        </w:rPr>
        <w:t>选任官员</w:t>
      </w:r>
      <w:r w:rsidRPr="00CE269B">
        <w:rPr>
          <w:rFonts w:cs="Calibri" w:hint="eastAsia"/>
          <w:lang w:val="fr-FR" w:eastAsia="zh-CN"/>
        </w:rPr>
        <w:t>（</w:t>
      </w:r>
      <w:r w:rsidRPr="009A2CFB">
        <w:rPr>
          <w:rFonts w:cs="Calibri" w:hint="eastAsia"/>
          <w:lang w:val="en-US" w:eastAsia="zh-CN"/>
        </w:rPr>
        <w:t>李先生</w:t>
      </w:r>
      <w:r w:rsidRPr="00CE269B">
        <w:rPr>
          <w:rFonts w:cs="Calibri" w:hint="eastAsia"/>
          <w:lang w:val="fr-FR" w:eastAsia="zh-CN"/>
        </w:rPr>
        <w:t>）</w:t>
      </w:r>
      <w:r w:rsidRPr="009A2CFB">
        <w:rPr>
          <w:rFonts w:cs="Calibri" w:hint="eastAsia"/>
          <w:lang w:val="en-US" w:eastAsia="zh-CN"/>
        </w:rPr>
        <w:t>支付</w:t>
      </w:r>
      <w:r>
        <w:rPr>
          <w:rFonts w:cs="Calibri" w:hint="eastAsia"/>
          <w:lang w:val="en-US" w:eastAsia="zh-CN"/>
        </w:rPr>
        <w:t>了</w:t>
      </w:r>
      <w:r w:rsidRPr="00CE269B">
        <w:rPr>
          <w:rFonts w:eastAsia="Calibri"/>
          <w:lang w:val="fr-FR" w:eastAsia="zh-CN"/>
        </w:rPr>
        <w:t>51 220</w:t>
      </w:r>
      <w:r>
        <w:rPr>
          <w:rFonts w:cs="Calibri" w:hint="eastAsia"/>
          <w:lang w:val="en-US" w:eastAsia="zh-CN"/>
        </w:rPr>
        <w:t>瑞郎</w:t>
      </w:r>
      <w:r w:rsidRPr="00CE269B">
        <w:rPr>
          <w:rFonts w:cs="Calibri" w:hint="eastAsia"/>
          <w:lang w:val="fr-FR" w:eastAsia="zh-CN"/>
        </w:rPr>
        <w:t>，</w:t>
      </w:r>
      <w:r w:rsidRPr="009A2CFB">
        <w:rPr>
          <w:rFonts w:cs="Calibri" w:hint="eastAsia"/>
          <w:lang w:val="en-US" w:eastAsia="zh-CN"/>
        </w:rPr>
        <w:t>向前副秘书长</w:t>
      </w:r>
      <w:r w:rsidRPr="00CE269B">
        <w:rPr>
          <w:rFonts w:cs="Calibri" w:hint="eastAsia"/>
          <w:lang w:val="fr-FR" w:eastAsia="zh-CN"/>
        </w:rPr>
        <w:t>（</w:t>
      </w:r>
      <w:r w:rsidRPr="00521039">
        <w:rPr>
          <w:rFonts w:cs="Calibri" w:hint="eastAsia"/>
          <w:lang w:val="en-US" w:eastAsia="zh-CN"/>
        </w:rPr>
        <w:t>琼森先生</w:t>
      </w:r>
      <w:r w:rsidRPr="00CE269B">
        <w:rPr>
          <w:rFonts w:cs="Calibri" w:hint="eastAsia"/>
          <w:lang w:val="fr-FR" w:eastAsia="zh-CN"/>
        </w:rPr>
        <w:t>）</w:t>
      </w:r>
      <w:r w:rsidRPr="009A2CFB">
        <w:rPr>
          <w:rFonts w:cs="Calibri" w:hint="eastAsia"/>
          <w:lang w:val="en-US" w:eastAsia="zh-CN"/>
        </w:rPr>
        <w:t>支付</w:t>
      </w:r>
      <w:r w:rsidRPr="00CE269B">
        <w:rPr>
          <w:rFonts w:eastAsia="Calibri"/>
          <w:lang w:val="fr-FR" w:eastAsia="zh-CN"/>
        </w:rPr>
        <w:t>76 830</w:t>
      </w:r>
      <w:r>
        <w:rPr>
          <w:rFonts w:cs="Calibri" w:hint="eastAsia"/>
          <w:lang w:val="en-US" w:eastAsia="zh-CN"/>
        </w:rPr>
        <w:t>瑞郎</w:t>
      </w:r>
      <w:r w:rsidRPr="00CE269B">
        <w:rPr>
          <w:rFonts w:cs="Calibri" w:hint="eastAsia"/>
          <w:lang w:val="fr-FR" w:eastAsia="zh-CN"/>
        </w:rPr>
        <w:t>，</w:t>
      </w:r>
      <w:r w:rsidRPr="009A2CFB">
        <w:rPr>
          <w:rFonts w:cs="Calibri" w:hint="eastAsia"/>
          <w:lang w:val="en-US" w:eastAsia="zh-CN"/>
        </w:rPr>
        <w:t>向前秘书长</w:t>
      </w:r>
      <w:r w:rsidRPr="00CE269B">
        <w:rPr>
          <w:rFonts w:cs="Calibri" w:hint="eastAsia"/>
          <w:lang w:val="fr-FR" w:eastAsia="zh-CN"/>
        </w:rPr>
        <w:t>（</w:t>
      </w:r>
      <w:r w:rsidRPr="009A2CFB">
        <w:rPr>
          <w:rFonts w:cs="Calibri" w:hint="eastAsia"/>
          <w:lang w:val="en-US" w:eastAsia="zh-CN"/>
        </w:rPr>
        <w:t>赵先生</w:t>
      </w:r>
      <w:r w:rsidRPr="00CE269B">
        <w:rPr>
          <w:rFonts w:cs="Calibri" w:hint="eastAsia"/>
          <w:lang w:val="fr-FR" w:eastAsia="zh-CN"/>
        </w:rPr>
        <w:t>）</w:t>
      </w:r>
      <w:r w:rsidRPr="009A2CFB">
        <w:rPr>
          <w:rFonts w:cs="Calibri" w:hint="eastAsia"/>
          <w:lang w:val="en-US" w:eastAsia="zh-CN"/>
        </w:rPr>
        <w:t>支付</w:t>
      </w:r>
      <w:r>
        <w:rPr>
          <w:rFonts w:cs="Calibri" w:hint="eastAsia"/>
          <w:lang w:val="en-US" w:eastAsia="zh-CN"/>
        </w:rPr>
        <w:t>了</w:t>
      </w:r>
      <w:r w:rsidRPr="00CE269B">
        <w:rPr>
          <w:rFonts w:eastAsia="Calibri"/>
          <w:lang w:val="fr-FR" w:eastAsia="zh-CN"/>
        </w:rPr>
        <w:t>83 701</w:t>
      </w:r>
      <w:r>
        <w:rPr>
          <w:rFonts w:cs="Calibri" w:hint="eastAsia"/>
          <w:lang w:val="en-US" w:eastAsia="zh-CN"/>
        </w:rPr>
        <w:t>瑞郎</w:t>
      </w:r>
      <w:r w:rsidRPr="00CE269B">
        <w:rPr>
          <w:rFonts w:cs="Calibri" w:hint="eastAsia"/>
          <w:lang w:val="fr-FR" w:eastAsia="zh-CN"/>
        </w:rPr>
        <w:t>，</w:t>
      </w:r>
      <w:r>
        <w:rPr>
          <w:rFonts w:cs="Calibri" w:hint="eastAsia"/>
          <w:lang w:val="en-US" w:eastAsia="zh-CN"/>
        </w:rPr>
        <w:t>作为对</w:t>
      </w:r>
      <w:r w:rsidRPr="009A2CFB">
        <w:rPr>
          <w:rFonts w:cs="Calibri" w:hint="eastAsia"/>
          <w:lang w:val="en-US" w:eastAsia="zh-CN"/>
        </w:rPr>
        <w:t>他们在各自任期内为</w:t>
      </w:r>
      <w:r>
        <w:rPr>
          <w:rFonts w:cs="Calibri" w:hint="eastAsia"/>
          <w:lang w:val="en-US" w:eastAsia="zh-CN"/>
        </w:rPr>
        <w:t>国际电联所</w:t>
      </w:r>
      <w:r w:rsidRPr="009A2CFB">
        <w:rPr>
          <w:rFonts w:cs="Calibri" w:hint="eastAsia"/>
          <w:lang w:val="en-US" w:eastAsia="zh-CN"/>
        </w:rPr>
        <w:t>提供服务</w:t>
      </w:r>
      <w:r>
        <w:rPr>
          <w:rFonts w:cs="Calibri" w:hint="eastAsia"/>
          <w:lang w:val="en-US" w:eastAsia="zh-CN"/>
        </w:rPr>
        <w:t>的认可</w:t>
      </w:r>
      <w:r w:rsidRPr="009A2CFB">
        <w:rPr>
          <w:rFonts w:cs="Calibri" w:hint="eastAsia"/>
          <w:lang w:val="en-US" w:eastAsia="zh-CN"/>
        </w:rPr>
        <w:t>。</w:t>
      </w:r>
      <w:r>
        <w:rPr>
          <w:rFonts w:cs="Calibri" w:hint="eastAsia"/>
          <w:lang w:val="en-US" w:eastAsia="zh-CN"/>
        </w:rPr>
        <w:t>当时此付款视作</w:t>
      </w:r>
      <w:r w:rsidRPr="00521039">
        <w:rPr>
          <w:rFonts w:cs="Calibri" w:hint="eastAsia"/>
          <w:lang w:val="en-US" w:eastAsia="zh-CN"/>
        </w:rPr>
        <w:t>特惠补偿款</w:t>
      </w:r>
      <w:r>
        <w:rPr>
          <w:rFonts w:cs="Calibri" w:hint="eastAsia"/>
          <w:lang w:val="en-US" w:eastAsia="zh-CN"/>
        </w:rPr>
        <w:t>，</w:t>
      </w:r>
      <w:r w:rsidRPr="009A2CFB">
        <w:rPr>
          <w:rFonts w:cs="Calibri" w:hint="eastAsia"/>
          <w:lang w:val="en-US" w:eastAsia="zh-CN"/>
        </w:rPr>
        <w:t>已</w:t>
      </w:r>
      <w:r>
        <w:rPr>
          <w:rFonts w:cs="Calibri" w:hint="eastAsia"/>
          <w:lang w:val="en-US" w:eastAsia="zh-CN"/>
        </w:rPr>
        <w:t>纳入说明</w:t>
      </w:r>
      <w:r w:rsidRPr="009A2CFB">
        <w:rPr>
          <w:rFonts w:cs="Calibri" w:hint="eastAsia"/>
          <w:lang w:val="en-US" w:eastAsia="zh-CN"/>
        </w:rPr>
        <w:t>26</w:t>
      </w:r>
      <w:r>
        <w:rPr>
          <w:rFonts w:cs="Calibri" w:hint="eastAsia"/>
          <w:lang w:val="en-US" w:eastAsia="zh-CN"/>
        </w:rPr>
        <w:t>所述</w:t>
      </w:r>
      <w:r w:rsidRPr="009A2CFB">
        <w:rPr>
          <w:rFonts w:cs="Calibri" w:hint="eastAsia"/>
          <w:lang w:val="en-US" w:eastAsia="zh-CN"/>
        </w:rPr>
        <w:t>向关联方支付的款项总额。秘书长在关于内部控制的说明中强调了这个问题。</w:t>
      </w:r>
    </w:p>
    <w:p w14:paraId="49495DA1" w14:textId="77777777" w:rsidR="00F14A61" w:rsidRPr="002017A9" w:rsidRDefault="00F14A61" w:rsidP="00F14A61">
      <w:pPr>
        <w:pStyle w:val="Heading1"/>
        <w:tabs>
          <w:tab w:val="clear" w:pos="794"/>
        </w:tabs>
        <w:ind w:left="1134" w:hanging="1134"/>
        <w:rPr>
          <w:sz w:val="24"/>
          <w:szCs w:val="24"/>
          <w:lang w:val="en-US" w:eastAsia="zh-CN"/>
        </w:rPr>
      </w:pPr>
      <w:bookmarkStart w:id="822" w:name="_Toc163723313"/>
      <w:r w:rsidRPr="002017A9">
        <w:rPr>
          <w:rFonts w:hint="eastAsia"/>
          <w:sz w:val="24"/>
          <w:szCs w:val="24"/>
          <w:lang w:val="en-US" w:eastAsia="zh-CN"/>
        </w:rPr>
        <w:t>说明</w:t>
      </w:r>
      <w:r w:rsidRPr="002017A9">
        <w:rPr>
          <w:sz w:val="24"/>
          <w:szCs w:val="24"/>
          <w:lang w:val="en-US" w:eastAsia="zh-CN"/>
        </w:rPr>
        <w:t>29</w:t>
      </w:r>
      <w:r w:rsidRPr="002017A9">
        <w:rPr>
          <w:sz w:val="24"/>
          <w:szCs w:val="24"/>
          <w:lang w:val="en-US" w:eastAsia="zh-CN"/>
        </w:rPr>
        <w:tab/>
      </w:r>
      <w:r w:rsidRPr="002017A9">
        <w:rPr>
          <w:rFonts w:hint="eastAsia"/>
          <w:sz w:val="24"/>
          <w:szCs w:val="24"/>
          <w:lang w:val="en-US" w:eastAsia="zh-CN"/>
        </w:rPr>
        <w:t>报告日期之后出现的</w:t>
      </w:r>
      <w:bookmarkEnd w:id="807"/>
      <w:bookmarkEnd w:id="808"/>
      <w:bookmarkEnd w:id="809"/>
      <w:bookmarkEnd w:id="810"/>
      <w:bookmarkEnd w:id="811"/>
      <w:bookmarkEnd w:id="812"/>
      <w:bookmarkEnd w:id="813"/>
      <w:bookmarkEnd w:id="814"/>
      <w:bookmarkEnd w:id="815"/>
      <w:r w:rsidRPr="002017A9">
        <w:rPr>
          <w:rFonts w:hint="eastAsia"/>
          <w:sz w:val="24"/>
          <w:szCs w:val="24"/>
          <w:lang w:val="en-US" w:eastAsia="zh-CN"/>
        </w:rPr>
        <w:t>事件</w:t>
      </w:r>
      <w:bookmarkEnd w:id="816"/>
      <w:bookmarkEnd w:id="817"/>
      <w:bookmarkEnd w:id="818"/>
      <w:bookmarkEnd w:id="819"/>
      <w:bookmarkEnd w:id="822"/>
    </w:p>
    <w:p w14:paraId="1E99D2D7" w14:textId="77777777" w:rsidR="00F14A61" w:rsidRDefault="00F14A61" w:rsidP="00F14A61">
      <w:pPr>
        <w:ind w:firstLineChars="200" w:firstLine="480"/>
        <w:jc w:val="both"/>
        <w:rPr>
          <w:lang w:eastAsia="zh-CN"/>
        </w:rPr>
      </w:pPr>
      <w:r>
        <w:rPr>
          <w:rFonts w:hint="eastAsia"/>
          <w:lang w:eastAsia="zh-CN"/>
        </w:rPr>
        <w:t>国际电联的报告日期为</w:t>
      </w:r>
      <w:r>
        <w:rPr>
          <w:rFonts w:hint="eastAsia"/>
          <w:lang w:eastAsia="zh-CN"/>
        </w:rPr>
        <w:t>2022</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日，根据外部审计员的意见，已授权于同一天发布这些财务报表。</w:t>
      </w:r>
    </w:p>
    <w:p w14:paraId="0E3A446C" w14:textId="77777777" w:rsidR="00F14A61" w:rsidRDefault="00F14A61" w:rsidP="00F14A61">
      <w:pPr>
        <w:ind w:firstLineChars="200" w:firstLine="480"/>
        <w:jc w:val="both"/>
        <w:rPr>
          <w:lang w:eastAsia="zh-CN"/>
        </w:rPr>
      </w:pPr>
      <w:r>
        <w:rPr>
          <w:rFonts w:hint="eastAsia"/>
          <w:lang w:eastAsia="zh-CN"/>
        </w:rPr>
        <w:lastRenderedPageBreak/>
        <w:t>2023</w:t>
      </w:r>
      <w:r>
        <w:rPr>
          <w:rFonts w:hint="eastAsia"/>
          <w:lang w:eastAsia="zh-CN"/>
        </w:rPr>
        <w:t>年</w:t>
      </w:r>
      <w:r>
        <w:rPr>
          <w:rFonts w:hint="eastAsia"/>
          <w:lang w:eastAsia="zh-CN"/>
        </w:rPr>
        <w:t>3</w:t>
      </w:r>
      <w:r>
        <w:rPr>
          <w:rFonts w:hint="eastAsia"/>
          <w:lang w:eastAsia="zh-CN"/>
        </w:rPr>
        <w:t>月，瑞银集团宣布将收购瑞士信贷银行。瑞士信贷银行并非国际电联的主要合作行，但在该行有一些短期存款。然而，考虑到瑞士国家银行的担保，预计国际电联不会遭受任何损失。</w:t>
      </w:r>
    </w:p>
    <w:p w14:paraId="6C5F8D31" w14:textId="77777777" w:rsidR="00F14A61" w:rsidRDefault="00F14A61" w:rsidP="00F14A61">
      <w:pPr>
        <w:ind w:firstLineChars="200" w:firstLine="480"/>
        <w:jc w:val="both"/>
        <w:rPr>
          <w:lang w:eastAsia="zh-CN"/>
        </w:rPr>
      </w:pPr>
      <w:r>
        <w:rPr>
          <w:rFonts w:hint="eastAsia"/>
          <w:lang w:eastAsia="zh-CN"/>
        </w:rPr>
        <w:t>鉴于现已确定向选任官员支付的款项不符合</w:t>
      </w:r>
      <w:r w:rsidRPr="00585166">
        <w:rPr>
          <w:rFonts w:hint="eastAsia"/>
          <w:lang w:eastAsia="zh-CN"/>
        </w:rPr>
        <w:t>特惠补偿款</w:t>
      </w:r>
      <w:r>
        <w:rPr>
          <w:rFonts w:hint="eastAsia"/>
          <w:lang w:eastAsia="zh-CN"/>
        </w:rPr>
        <w:t>的定义，秘书长已决定取消在选任官员从国际电联离职时向其支付此类款项的做法。</w:t>
      </w:r>
    </w:p>
    <w:p w14:paraId="28B88637" w14:textId="77777777" w:rsidR="00F14A61" w:rsidRDefault="00F14A61" w:rsidP="00F14A61">
      <w:pPr>
        <w:ind w:firstLineChars="200" w:firstLine="480"/>
        <w:jc w:val="both"/>
        <w:rPr>
          <w:lang w:eastAsia="zh-CN"/>
        </w:rPr>
      </w:pPr>
      <w:r>
        <w:rPr>
          <w:rFonts w:hint="eastAsia"/>
          <w:lang w:eastAsia="zh-CN"/>
        </w:rPr>
        <w:t>截至</w:t>
      </w:r>
      <w:r>
        <w:rPr>
          <w:rFonts w:hint="eastAsia"/>
          <w:lang w:eastAsia="zh-CN"/>
        </w:rPr>
        <w:t>2023</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日，已用于新办公楼项目的不可回收成本总额为</w:t>
      </w:r>
      <w:r>
        <w:rPr>
          <w:rFonts w:hint="eastAsia"/>
          <w:lang w:eastAsia="zh-CN"/>
        </w:rPr>
        <w:t>20 780 691</w:t>
      </w:r>
      <w:r>
        <w:rPr>
          <w:rFonts w:hint="eastAsia"/>
          <w:lang w:eastAsia="zh-CN"/>
        </w:rPr>
        <w:t>瑞郎。如果不再推进此项目，则将需要再支出</w:t>
      </w:r>
      <w:r w:rsidRPr="00585166">
        <w:rPr>
          <w:lang w:eastAsia="zh-CN"/>
        </w:rPr>
        <w:t>7 686 288</w:t>
      </w:r>
      <w:r>
        <w:rPr>
          <w:rFonts w:hint="eastAsia"/>
          <w:lang w:eastAsia="zh-CN"/>
        </w:rPr>
        <w:t>瑞郎，以结清所有报销费用、合同义务和保留金。</w:t>
      </w:r>
      <w:r>
        <w:rPr>
          <w:rFonts w:hint="eastAsia"/>
          <w:lang w:eastAsia="zh-CN"/>
        </w:rPr>
        <w:t>2023</w:t>
      </w:r>
      <w:r>
        <w:rPr>
          <w:rFonts w:hint="eastAsia"/>
          <w:lang w:eastAsia="zh-CN"/>
        </w:rPr>
        <w:t>年</w:t>
      </w:r>
      <w:r>
        <w:rPr>
          <w:rFonts w:hint="eastAsia"/>
          <w:lang w:eastAsia="zh-CN"/>
        </w:rPr>
        <w:t>10</w:t>
      </w:r>
      <w:r>
        <w:rPr>
          <w:rFonts w:hint="eastAsia"/>
          <w:lang w:eastAsia="zh-CN"/>
        </w:rPr>
        <w:t>月的理事会工作组会议确认不存在与新办公楼项目相关的额外处罚。</w:t>
      </w:r>
    </w:p>
    <w:p w14:paraId="4A01B7BC" w14:textId="77777777" w:rsidR="00F14A61" w:rsidRPr="00A9700B" w:rsidRDefault="00F14A61" w:rsidP="00F14A61">
      <w:pPr>
        <w:pStyle w:val="Heading1"/>
        <w:tabs>
          <w:tab w:val="clear" w:pos="794"/>
        </w:tabs>
        <w:ind w:left="1134" w:hanging="1134"/>
        <w:rPr>
          <w:sz w:val="24"/>
          <w:szCs w:val="24"/>
          <w:lang w:eastAsia="zh-CN"/>
        </w:rPr>
      </w:pPr>
      <w:bookmarkStart w:id="823" w:name="_Toc163723314"/>
      <w:r w:rsidRPr="00A9700B">
        <w:rPr>
          <w:rFonts w:hint="eastAsia"/>
          <w:sz w:val="24"/>
          <w:szCs w:val="24"/>
          <w:lang w:val="en-US" w:eastAsia="zh-CN"/>
        </w:rPr>
        <w:t>说明</w:t>
      </w:r>
      <w:r w:rsidRPr="00A9700B">
        <w:rPr>
          <w:rFonts w:hint="eastAsia"/>
          <w:sz w:val="24"/>
          <w:szCs w:val="24"/>
          <w:lang w:val="en-US" w:eastAsia="zh-CN"/>
        </w:rPr>
        <w:t>30</w:t>
      </w:r>
      <w:r w:rsidRPr="00A9700B">
        <w:rPr>
          <w:sz w:val="24"/>
          <w:szCs w:val="24"/>
          <w:lang w:val="en-US" w:eastAsia="zh-CN"/>
        </w:rPr>
        <w:tab/>
      </w:r>
      <w:r w:rsidRPr="00A9700B">
        <w:rPr>
          <w:rFonts w:hint="eastAsia"/>
          <w:sz w:val="24"/>
          <w:szCs w:val="24"/>
          <w:lang w:val="en-US" w:eastAsia="zh-CN"/>
        </w:rPr>
        <w:t>会计估算的变更和错误</w:t>
      </w:r>
      <w:bookmarkEnd w:id="823"/>
    </w:p>
    <w:p w14:paraId="3EF27346" w14:textId="77777777" w:rsidR="00F14A61" w:rsidRDefault="00F14A61" w:rsidP="00F14A61">
      <w:pPr>
        <w:ind w:firstLineChars="200" w:firstLine="480"/>
        <w:jc w:val="both"/>
        <w:rPr>
          <w:lang w:eastAsia="zh-CN"/>
        </w:rPr>
      </w:pPr>
      <w:r>
        <w:rPr>
          <w:rFonts w:hint="eastAsia"/>
          <w:lang w:eastAsia="zh-CN"/>
        </w:rPr>
        <w:t>2022</w:t>
      </w:r>
      <w:r>
        <w:rPr>
          <w:rFonts w:hint="eastAsia"/>
          <w:lang w:eastAsia="zh-CN"/>
        </w:rPr>
        <w:t>年，国际电联改变了与确认从</w:t>
      </w:r>
      <w:r>
        <w:rPr>
          <w:rFonts w:hint="eastAsia"/>
          <w:lang w:eastAsia="zh-CN"/>
        </w:rPr>
        <w:t>FIPOI</w:t>
      </w:r>
      <w:r>
        <w:rPr>
          <w:rFonts w:hint="eastAsia"/>
          <w:lang w:eastAsia="zh-CN"/>
        </w:rPr>
        <w:t>收到长期贷款和根据赞助协议收到的捐款有关的会计政策。在这一年中，国际电联还发现在</w:t>
      </w:r>
      <w:r>
        <w:rPr>
          <w:rFonts w:hint="eastAsia"/>
          <w:lang w:eastAsia="zh-CN"/>
        </w:rPr>
        <w:t>2021</w:t>
      </w:r>
      <w:r>
        <w:rPr>
          <w:rFonts w:hint="eastAsia"/>
          <w:lang w:eastAsia="zh-CN"/>
        </w:rPr>
        <w:t>年的核准财务报表中存在某些错误。</w:t>
      </w:r>
    </w:p>
    <w:p w14:paraId="763D254F" w14:textId="77777777" w:rsidR="00F14A61" w:rsidRDefault="00F14A61" w:rsidP="00F14A61">
      <w:pPr>
        <w:ind w:firstLineChars="200" w:firstLine="480"/>
        <w:jc w:val="both"/>
        <w:rPr>
          <w:lang w:eastAsia="zh-CN"/>
        </w:rPr>
      </w:pPr>
      <w:r>
        <w:rPr>
          <w:rFonts w:hint="eastAsia"/>
          <w:lang w:eastAsia="zh-CN"/>
        </w:rPr>
        <w:t>根据</w:t>
      </w:r>
      <w:r w:rsidRPr="009665AE">
        <w:rPr>
          <w:lang w:eastAsia="zh-CN"/>
        </w:rPr>
        <w:t>IPSAS 3</w:t>
      </w:r>
      <w:r>
        <w:rPr>
          <w:rFonts w:hint="eastAsia"/>
          <w:lang w:eastAsia="zh-CN"/>
        </w:rPr>
        <w:t>，由于上述原因并为确保其具有可比性，</w:t>
      </w:r>
      <w:r>
        <w:rPr>
          <w:rFonts w:hint="eastAsia"/>
          <w:lang w:eastAsia="zh-CN"/>
        </w:rPr>
        <w:t>2021</w:t>
      </w:r>
      <w:r>
        <w:rPr>
          <w:rFonts w:hint="eastAsia"/>
          <w:lang w:eastAsia="zh-CN"/>
        </w:rPr>
        <w:t>年财务报表已重报。</w:t>
      </w:r>
    </w:p>
    <w:p w14:paraId="22CD4295" w14:textId="77777777" w:rsidR="00F14A61" w:rsidRPr="009665AE" w:rsidRDefault="00F14A61" w:rsidP="00F14A61">
      <w:pPr>
        <w:ind w:firstLineChars="200" w:firstLine="480"/>
        <w:jc w:val="both"/>
        <w:rPr>
          <w:lang w:eastAsia="zh-CN"/>
        </w:rPr>
      </w:pPr>
      <w:r>
        <w:rPr>
          <w:rFonts w:hint="eastAsia"/>
          <w:lang w:eastAsia="zh-CN"/>
        </w:rPr>
        <w:t>会计政策变更和更正前期错误产生的影响见下文。以下注明的所有金额均以千瑞郎为单位。</w:t>
      </w:r>
    </w:p>
    <w:p w14:paraId="378023C6" w14:textId="77777777" w:rsidR="00F14A61" w:rsidRPr="009665AE" w:rsidRDefault="00F14A61" w:rsidP="00F14A61">
      <w:pPr>
        <w:overflowPunct/>
        <w:autoSpaceDE/>
        <w:autoSpaceDN/>
        <w:adjustRightInd/>
        <w:spacing w:before="0"/>
        <w:textAlignment w:val="auto"/>
        <w:rPr>
          <w:b/>
          <w:bCs/>
          <w:lang w:eastAsia="zh-CN"/>
        </w:rPr>
      </w:pPr>
      <w:r w:rsidRPr="009665AE">
        <w:rPr>
          <w:b/>
          <w:bCs/>
          <w:lang w:eastAsia="zh-CN"/>
        </w:rPr>
        <w:br w:type="page"/>
      </w:r>
    </w:p>
    <w:p w14:paraId="49E92E02" w14:textId="77777777" w:rsidR="00F14A61" w:rsidRPr="00F44925" w:rsidRDefault="00F14A61" w:rsidP="00F14A61">
      <w:pPr>
        <w:pStyle w:val="Tabletitle"/>
        <w:rPr>
          <w:rFonts w:asciiTheme="minorHAnsi" w:hAnsiTheme="minorHAnsi" w:cstheme="minorHAnsi"/>
          <w:lang w:eastAsia="zh-CN"/>
        </w:rPr>
      </w:pPr>
      <w:r w:rsidRPr="00F44925">
        <w:rPr>
          <w:rFonts w:asciiTheme="minorHAnsi" w:hAnsiTheme="minorHAnsi" w:cstheme="minorHAnsi"/>
          <w:lang w:eastAsia="zh-CN"/>
        </w:rPr>
        <w:lastRenderedPageBreak/>
        <w:t>截至</w:t>
      </w:r>
      <w:r w:rsidRPr="00F44925">
        <w:rPr>
          <w:rFonts w:asciiTheme="minorHAnsi" w:hAnsiTheme="minorHAnsi" w:cstheme="minorHAnsi"/>
          <w:lang w:eastAsia="zh-CN"/>
        </w:rPr>
        <w:t>2021</w:t>
      </w:r>
      <w:r w:rsidRPr="00F44925">
        <w:rPr>
          <w:rFonts w:asciiTheme="minorHAnsi" w:hAnsiTheme="minorHAnsi" w:cstheme="minorHAnsi"/>
          <w:lang w:eastAsia="zh-CN"/>
        </w:rPr>
        <w:t>年及</w:t>
      </w:r>
      <w:r w:rsidRPr="00F44925">
        <w:rPr>
          <w:rFonts w:asciiTheme="minorHAnsi" w:hAnsiTheme="minorHAnsi" w:cstheme="minorHAnsi"/>
          <w:lang w:eastAsia="zh-CN"/>
        </w:rPr>
        <w:t>2020</w:t>
      </w:r>
      <w:r w:rsidRPr="00F44925">
        <w:rPr>
          <w:rFonts w:asciiTheme="minorHAnsi" w:hAnsiTheme="minorHAnsi" w:cstheme="minorHAnsi"/>
          <w:lang w:eastAsia="zh-CN"/>
        </w:rPr>
        <w:t>年</w:t>
      </w:r>
      <w:r w:rsidRPr="00F44925">
        <w:rPr>
          <w:rFonts w:asciiTheme="minorHAnsi" w:hAnsiTheme="minorHAnsi" w:cstheme="minorHAnsi"/>
          <w:lang w:eastAsia="zh-CN"/>
        </w:rPr>
        <w:t>12</w:t>
      </w:r>
      <w:r w:rsidRPr="00F44925">
        <w:rPr>
          <w:rFonts w:asciiTheme="minorHAnsi" w:hAnsiTheme="minorHAnsi" w:cstheme="minorHAnsi"/>
          <w:lang w:eastAsia="zh-CN"/>
        </w:rPr>
        <w:t>月</w:t>
      </w:r>
      <w:r w:rsidRPr="00F44925">
        <w:rPr>
          <w:rFonts w:asciiTheme="minorHAnsi" w:hAnsiTheme="minorHAnsi" w:cstheme="minorHAnsi"/>
          <w:lang w:eastAsia="zh-CN"/>
        </w:rPr>
        <w:t>31</w:t>
      </w:r>
      <w:r w:rsidRPr="00F44925">
        <w:rPr>
          <w:rFonts w:asciiTheme="minorHAnsi" w:hAnsiTheme="minorHAnsi" w:cstheme="minorHAnsi"/>
          <w:lang w:eastAsia="zh-CN"/>
        </w:rPr>
        <w:t>日的年度财务状况报表（重报）</w:t>
      </w:r>
    </w:p>
    <w:p w14:paraId="1196DCB8" w14:textId="77777777" w:rsidR="00F14A61" w:rsidRPr="009033DB" w:rsidRDefault="00F14A61" w:rsidP="00D61EB2">
      <w:pPr>
        <w:pStyle w:val="Figure"/>
        <w:rPr>
          <w:b/>
          <w:bCs/>
          <w:sz w:val="28"/>
          <w:szCs w:val="22"/>
        </w:rPr>
      </w:pPr>
      <w:bookmarkStart w:id="824" w:name="lt_pId1270"/>
      <w:r w:rsidRPr="009033DB">
        <w:rPr>
          <w:noProof/>
        </w:rPr>
        <w:drawing>
          <wp:inline distT="0" distB="0" distL="0" distR="0" wp14:anchorId="50EBAECD" wp14:editId="7C9DDE7D">
            <wp:extent cx="5760085" cy="7929880"/>
            <wp:effectExtent l="0" t="0" r="0" b="0"/>
            <wp:docPr id="478128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760085" cy="7929880"/>
                    </a:xfrm>
                    <a:prstGeom prst="rect">
                      <a:avLst/>
                    </a:prstGeom>
                    <a:noFill/>
                    <a:ln>
                      <a:noFill/>
                    </a:ln>
                  </pic:spPr>
                </pic:pic>
              </a:graphicData>
            </a:graphic>
          </wp:inline>
        </w:drawing>
      </w:r>
    </w:p>
    <w:bookmarkEnd w:id="824"/>
    <w:p w14:paraId="639E3816" w14:textId="77777777" w:rsidR="00F14A61" w:rsidRPr="009033DB" w:rsidRDefault="00F14A61" w:rsidP="00F14A61">
      <w:pPr>
        <w:overflowPunct/>
        <w:autoSpaceDE/>
        <w:autoSpaceDN/>
        <w:adjustRightInd/>
        <w:spacing w:before="0"/>
        <w:textAlignment w:val="auto"/>
        <w:rPr>
          <w:b/>
          <w:bCs/>
          <w:sz w:val="28"/>
          <w:szCs w:val="22"/>
          <w:lang w:eastAsia="zh-CN"/>
        </w:rPr>
      </w:pPr>
      <w:r w:rsidRPr="009033DB">
        <w:rPr>
          <w:b/>
          <w:bCs/>
          <w:sz w:val="28"/>
          <w:szCs w:val="22"/>
          <w:lang w:eastAsia="zh-CN"/>
        </w:rPr>
        <w:br w:type="page"/>
      </w:r>
    </w:p>
    <w:p w14:paraId="47DA9B81" w14:textId="77777777" w:rsidR="00F14A61" w:rsidRPr="00F44925" w:rsidRDefault="00F14A61" w:rsidP="00F14A61">
      <w:pPr>
        <w:pStyle w:val="Tabletitle"/>
        <w:rPr>
          <w:rFonts w:asciiTheme="minorHAnsi" w:hAnsiTheme="minorHAnsi" w:cstheme="minorHAnsi"/>
          <w:lang w:eastAsia="zh-CN"/>
        </w:rPr>
      </w:pPr>
      <w:r w:rsidRPr="00F44925">
        <w:rPr>
          <w:rFonts w:asciiTheme="minorHAnsi" w:hAnsiTheme="minorHAnsi" w:cstheme="minorHAnsi"/>
          <w:lang w:eastAsia="zh-CN"/>
        </w:rPr>
        <w:lastRenderedPageBreak/>
        <w:t>截至</w:t>
      </w:r>
      <w:r w:rsidRPr="00F44925">
        <w:rPr>
          <w:rFonts w:asciiTheme="minorHAnsi" w:hAnsiTheme="minorHAnsi" w:cstheme="minorHAnsi"/>
          <w:lang w:eastAsia="zh-CN"/>
        </w:rPr>
        <w:t>2021</w:t>
      </w:r>
      <w:r w:rsidRPr="00F44925">
        <w:rPr>
          <w:rFonts w:asciiTheme="minorHAnsi" w:hAnsiTheme="minorHAnsi" w:cstheme="minorHAnsi"/>
          <w:lang w:eastAsia="zh-CN"/>
        </w:rPr>
        <w:t>年</w:t>
      </w:r>
      <w:r w:rsidRPr="00F44925">
        <w:rPr>
          <w:rFonts w:asciiTheme="minorHAnsi" w:hAnsiTheme="minorHAnsi" w:cstheme="minorHAnsi"/>
          <w:lang w:eastAsia="zh-CN"/>
        </w:rPr>
        <w:t>12</w:t>
      </w:r>
      <w:r w:rsidRPr="00F44925">
        <w:rPr>
          <w:rFonts w:asciiTheme="minorHAnsi" w:hAnsiTheme="minorHAnsi" w:cstheme="minorHAnsi"/>
          <w:lang w:eastAsia="zh-CN"/>
        </w:rPr>
        <w:t>月</w:t>
      </w:r>
      <w:r w:rsidRPr="00F44925">
        <w:rPr>
          <w:rFonts w:asciiTheme="minorHAnsi" w:hAnsiTheme="minorHAnsi" w:cstheme="minorHAnsi"/>
          <w:lang w:eastAsia="zh-CN"/>
        </w:rPr>
        <w:t>31</w:t>
      </w:r>
      <w:r w:rsidRPr="00F44925">
        <w:rPr>
          <w:rFonts w:asciiTheme="minorHAnsi" w:hAnsiTheme="minorHAnsi" w:cstheme="minorHAnsi"/>
          <w:lang w:eastAsia="zh-CN"/>
        </w:rPr>
        <w:t>日的年度财务绩效报表（重报）</w:t>
      </w:r>
    </w:p>
    <w:p w14:paraId="288C72D7" w14:textId="77777777" w:rsidR="00F14A61" w:rsidRPr="00783272" w:rsidRDefault="00F14A61" w:rsidP="00D61EB2">
      <w:pPr>
        <w:pStyle w:val="Figure"/>
      </w:pPr>
      <w:r w:rsidRPr="00F44925">
        <w:rPr>
          <w:noProof/>
        </w:rPr>
        <w:drawing>
          <wp:inline distT="0" distB="0" distL="0" distR="0" wp14:anchorId="4F6D5074" wp14:editId="2FB45379">
            <wp:extent cx="5363845" cy="5363845"/>
            <wp:effectExtent l="0" t="0" r="8255" b="8255"/>
            <wp:docPr id="14110835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363845" cy="5363845"/>
                    </a:xfrm>
                    <a:prstGeom prst="rect">
                      <a:avLst/>
                    </a:prstGeom>
                    <a:noFill/>
                    <a:ln>
                      <a:noFill/>
                    </a:ln>
                  </pic:spPr>
                </pic:pic>
              </a:graphicData>
            </a:graphic>
          </wp:inline>
        </w:drawing>
      </w:r>
    </w:p>
    <w:p w14:paraId="2F1E66D1" w14:textId="77777777" w:rsidR="00F14A61" w:rsidRDefault="00F14A61" w:rsidP="00F14A61">
      <w:pPr>
        <w:tabs>
          <w:tab w:val="clear" w:pos="794"/>
          <w:tab w:val="clear" w:pos="1191"/>
          <w:tab w:val="clear" w:pos="1588"/>
          <w:tab w:val="clear" w:pos="1985"/>
        </w:tabs>
        <w:overflowPunct/>
        <w:autoSpaceDE/>
        <w:autoSpaceDN/>
        <w:adjustRightInd/>
        <w:spacing w:before="0"/>
        <w:textAlignment w:val="auto"/>
        <w:rPr>
          <w:b/>
          <w:sz w:val="28"/>
          <w:szCs w:val="28"/>
          <w:lang w:eastAsia="zh-CN"/>
        </w:rPr>
      </w:pPr>
      <w:bookmarkStart w:id="825" w:name="lt_pId1271"/>
      <w:r>
        <w:rPr>
          <w:sz w:val="28"/>
          <w:szCs w:val="28"/>
          <w:lang w:eastAsia="zh-CN"/>
        </w:rPr>
        <w:br w:type="page"/>
      </w:r>
    </w:p>
    <w:p w14:paraId="3C5B290E" w14:textId="77777777" w:rsidR="00F14A61" w:rsidRPr="009033DB" w:rsidRDefault="00F14A61" w:rsidP="00F14A61">
      <w:pPr>
        <w:pStyle w:val="Headingb"/>
        <w:rPr>
          <w:sz w:val="28"/>
          <w:szCs w:val="28"/>
          <w:lang w:eastAsia="zh-CN"/>
        </w:rPr>
      </w:pPr>
      <w:r w:rsidRPr="009033DB">
        <w:rPr>
          <w:rFonts w:hint="eastAsia"/>
          <w:sz w:val="28"/>
          <w:szCs w:val="28"/>
          <w:lang w:eastAsia="zh-CN"/>
        </w:rPr>
        <w:lastRenderedPageBreak/>
        <w:t>会计政策变更</w:t>
      </w:r>
      <w:bookmarkEnd w:id="825"/>
    </w:p>
    <w:p w14:paraId="1042E2B8" w14:textId="77777777" w:rsidR="00F14A61" w:rsidRPr="00FC1264" w:rsidRDefault="00F14A61" w:rsidP="00F14A61">
      <w:pPr>
        <w:pStyle w:val="Heading2"/>
        <w:rPr>
          <w:lang w:eastAsia="zh-CN"/>
        </w:rPr>
      </w:pPr>
      <w:bookmarkStart w:id="826" w:name="lt_pId1272"/>
      <w:r>
        <w:rPr>
          <w:lang w:eastAsia="zh-CN"/>
        </w:rPr>
        <w:t>1</w:t>
      </w:r>
      <w:r>
        <w:rPr>
          <w:lang w:eastAsia="zh-CN"/>
        </w:rPr>
        <w:tab/>
      </w:r>
      <w:bookmarkEnd w:id="826"/>
      <w:r w:rsidRPr="009A2CFB">
        <w:rPr>
          <w:rFonts w:hint="eastAsia"/>
          <w:lang w:eastAsia="zh-CN"/>
        </w:rPr>
        <w:t>FIPOI</w:t>
      </w:r>
      <w:r w:rsidRPr="009A2CFB">
        <w:rPr>
          <w:rFonts w:hint="eastAsia"/>
          <w:lang w:eastAsia="zh-CN"/>
        </w:rPr>
        <w:t>贷款</w:t>
      </w:r>
    </w:p>
    <w:p w14:paraId="71005E25" w14:textId="77777777" w:rsidR="00F14A61" w:rsidRDefault="00F14A61" w:rsidP="00F14A61">
      <w:pPr>
        <w:spacing w:line="259" w:lineRule="auto"/>
        <w:ind w:firstLineChars="200" w:firstLine="480"/>
        <w:jc w:val="both"/>
        <w:rPr>
          <w:lang w:val="en-US" w:eastAsia="zh-CN"/>
        </w:rPr>
      </w:pPr>
      <w:r w:rsidRPr="009A2CFB">
        <w:rPr>
          <w:rFonts w:hint="eastAsia"/>
          <w:lang w:val="en-US" w:eastAsia="zh-CN"/>
        </w:rPr>
        <w:t>自</w:t>
      </w:r>
      <w:r w:rsidRPr="009A2CFB">
        <w:rPr>
          <w:rFonts w:hint="eastAsia"/>
          <w:lang w:val="en-US" w:eastAsia="zh-CN"/>
        </w:rPr>
        <w:t>2010</w:t>
      </w:r>
      <w:r w:rsidRPr="009A2CFB">
        <w:rPr>
          <w:rFonts w:hint="eastAsia"/>
          <w:lang w:val="en-US" w:eastAsia="zh-CN"/>
        </w:rPr>
        <w:t>年以来，</w:t>
      </w:r>
      <w:r w:rsidRPr="009A2CFB">
        <w:rPr>
          <w:rFonts w:hint="eastAsia"/>
          <w:lang w:val="en-US" w:eastAsia="zh-CN"/>
        </w:rPr>
        <w:t>FIPOI</w:t>
      </w:r>
      <w:r w:rsidRPr="009A2CFB">
        <w:rPr>
          <w:rFonts w:hint="eastAsia"/>
          <w:lang w:val="en-US" w:eastAsia="zh-CN"/>
        </w:rPr>
        <w:t>贷款在财务状况中按</w:t>
      </w:r>
      <w:r>
        <w:rPr>
          <w:rFonts w:hint="eastAsia"/>
          <w:lang w:val="en-US" w:eastAsia="zh-CN"/>
        </w:rPr>
        <w:t>名义</w:t>
      </w:r>
      <w:r w:rsidRPr="009A2CFB">
        <w:rPr>
          <w:rFonts w:hint="eastAsia"/>
          <w:lang w:val="en-US" w:eastAsia="zh-CN"/>
        </w:rPr>
        <w:t>价值确认，</w:t>
      </w:r>
      <w:r>
        <w:rPr>
          <w:rFonts w:hint="eastAsia"/>
          <w:lang w:val="en-US" w:eastAsia="zh-CN"/>
        </w:rPr>
        <w:t>对应</w:t>
      </w:r>
      <w:r w:rsidRPr="009A2CFB">
        <w:rPr>
          <w:rFonts w:hint="eastAsia"/>
          <w:lang w:val="en-US" w:eastAsia="zh-CN"/>
        </w:rPr>
        <w:t>于承诺在期限内偿还</w:t>
      </w:r>
      <w:r w:rsidRPr="009A2CFB">
        <w:rPr>
          <w:rFonts w:hint="eastAsia"/>
          <w:lang w:val="en-US" w:eastAsia="zh-CN"/>
        </w:rPr>
        <w:t>FIPOI</w:t>
      </w:r>
      <w:r w:rsidRPr="009A2CFB">
        <w:rPr>
          <w:rFonts w:hint="eastAsia"/>
          <w:lang w:val="en-US" w:eastAsia="zh-CN"/>
        </w:rPr>
        <w:t>的金额。</w:t>
      </w:r>
      <w:r w:rsidRPr="009A2CFB">
        <w:rPr>
          <w:rFonts w:hint="eastAsia"/>
          <w:lang w:val="en-US" w:eastAsia="zh-CN"/>
        </w:rPr>
        <w:t>2022</w:t>
      </w:r>
      <w:r w:rsidRPr="009A2CFB">
        <w:rPr>
          <w:rFonts w:hint="eastAsia"/>
          <w:lang w:val="en-US" w:eastAsia="zh-CN"/>
        </w:rPr>
        <w:t>年，国际电联决定修订会计政策，以公允价值列报贷款，为财务报表读者提供更有价值的信息。因此，下表汇总了</w:t>
      </w:r>
      <w:r>
        <w:rPr>
          <w:rFonts w:hint="eastAsia"/>
          <w:lang w:val="en-US" w:eastAsia="zh-CN"/>
        </w:rPr>
        <w:t>为</w:t>
      </w:r>
      <w:r w:rsidRPr="009A2CFB">
        <w:rPr>
          <w:rFonts w:hint="eastAsia"/>
          <w:lang w:val="en-US" w:eastAsia="zh-CN"/>
        </w:rPr>
        <w:t>将贷款金额记录为年末公允价值</w:t>
      </w:r>
      <w:r>
        <w:rPr>
          <w:rFonts w:hint="eastAsia"/>
          <w:lang w:val="en-US" w:eastAsia="zh-CN"/>
        </w:rPr>
        <w:t>而做出</w:t>
      </w:r>
      <w:r w:rsidRPr="009A2CFB">
        <w:rPr>
          <w:rFonts w:hint="eastAsia"/>
          <w:lang w:val="en-US" w:eastAsia="zh-CN"/>
        </w:rPr>
        <w:t>的调整。</w:t>
      </w:r>
    </w:p>
    <w:p w14:paraId="36289F36" w14:textId="77777777" w:rsidR="00F14A61" w:rsidRDefault="00F14A61" w:rsidP="00D61EB2">
      <w:pPr>
        <w:pStyle w:val="Figure"/>
        <w:rPr>
          <w:lang w:val="en-US" w:eastAsia="zh-CN"/>
        </w:rPr>
      </w:pPr>
      <w:r w:rsidRPr="003F20FB">
        <w:rPr>
          <w:noProof/>
        </w:rPr>
        <w:drawing>
          <wp:inline distT="0" distB="0" distL="0" distR="0" wp14:anchorId="33F320ED" wp14:editId="1142E104">
            <wp:extent cx="5760085" cy="1156335"/>
            <wp:effectExtent l="0" t="0" r="0" b="5715"/>
            <wp:docPr id="5835573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760085" cy="1156335"/>
                    </a:xfrm>
                    <a:prstGeom prst="rect">
                      <a:avLst/>
                    </a:prstGeom>
                    <a:noFill/>
                    <a:ln>
                      <a:noFill/>
                    </a:ln>
                  </pic:spPr>
                </pic:pic>
              </a:graphicData>
            </a:graphic>
          </wp:inline>
        </w:drawing>
      </w:r>
    </w:p>
    <w:p w14:paraId="4F70B880" w14:textId="77777777" w:rsidR="00F14A61" w:rsidRPr="004E4241" w:rsidRDefault="00F14A61" w:rsidP="00F14A61">
      <w:pPr>
        <w:pStyle w:val="Heading2"/>
        <w:rPr>
          <w:lang w:eastAsia="zh-CN"/>
        </w:rPr>
      </w:pPr>
      <w:bookmarkStart w:id="827" w:name="lt_pId1276"/>
      <w:r w:rsidRPr="004E4241">
        <w:rPr>
          <w:lang w:eastAsia="zh-CN"/>
        </w:rPr>
        <w:t>2</w:t>
      </w:r>
      <w:r w:rsidRPr="004E4241">
        <w:rPr>
          <w:lang w:eastAsia="zh-CN"/>
        </w:rPr>
        <w:tab/>
      </w:r>
      <w:bookmarkEnd w:id="827"/>
      <w:r w:rsidRPr="004E4241">
        <w:rPr>
          <w:rFonts w:hint="eastAsia"/>
          <w:lang w:eastAsia="zh-CN"/>
        </w:rPr>
        <w:t>赞助协议</w:t>
      </w:r>
    </w:p>
    <w:p w14:paraId="3262F731" w14:textId="77777777" w:rsidR="00F14A61" w:rsidRDefault="00F14A61" w:rsidP="00F14A61">
      <w:pPr>
        <w:ind w:firstLineChars="200" w:firstLine="480"/>
        <w:jc w:val="both"/>
        <w:rPr>
          <w:lang w:eastAsia="zh-CN"/>
        </w:rPr>
      </w:pPr>
      <w:r w:rsidRPr="009A2CFB">
        <w:rPr>
          <w:rFonts w:hint="eastAsia"/>
          <w:lang w:eastAsia="zh-CN"/>
        </w:rPr>
        <w:t>赞助协议收到的捐款以前在收到赞助方的资金时确认为收入。国际电联决定改变会计政策，在赞助商签署具有约束力的协议时</w:t>
      </w:r>
      <w:r>
        <w:rPr>
          <w:rFonts w:hint="eastAsia"/>
          <w:lang w:eastAsia="zh-CN"/>
        </w:rPr>
        <w:t>便</w:t>
      </w:r>
      <w:r w:rsidRPr="009A2CFB">
        <w:rPr>
          <w:rFonts w:hint="eastAsia"/>
          <w:lang w:eastAsia="zh-CN"/>
        </w:rPr>
        <w:t>确认赞助协议收入，从而更好地反映</w:t>
      </w:r>
      <w:r>
        <w:rPr>
          <w:rFonts w:hint="eastAsia"/>
          <w:lang w:eastAsia="zh-CN"/>
        </w:rPr>
        <w:t>已签署的</w:t>
      </w:r>
      <w:r w:rsidRPr="009A2CFB">
        <w:rPr>
          <w:rFonts w:hint="eastAsia"/>
          <w:lang w:eastAsia="zh-CN"/>
        </w:rPr>
        <w:t>协议和相关</w:t>
      </w:r>
      <w:r>
        <w:rPr>
          <w:rFonts w:hint="eastAsia"/>
          <w:lang w:eastAsia="zh-CN"/>
        </w:rPr>
        <w:t>底层</w:t>
      </w:r>
      <w:r w:rsidRPr="009A2CFB">
        <w:rPr>
          <w:rFonts w:hint="eastAsia"/>
          <w:lang w:eastAsia="zh-CN"/>
        </w:rPr>
        <w:t>项目的财务状况。由于会计政策的变化，国际电联确认</w:t>
      </w:r>
      <w:r w:rsidRPr="009A2CFB">
        <w:rPr>
          <w:rFonts w:hint="eastAsia"/>
          <w:lang w:eastAsia="zh-CN"/>
        </w:rPr>
        <w:t>2021</w:t>
      </w:r>
      <w:r w:rsidRPr="009A2CFB">
        <w:rPr>
          <w:rFonts w:hint="eastAsia"/>
          <w:lang w:eastAsia="zh-CN"/>
        </w:rPr>
        <w:t>年</w:t>
      </w:r>
      <w:r>
        <w:rPr>
          <w:rFonts w:hint="eastAsia"/>
          <w:lang w:eastAsia="zh-CN"/>
        </w:rPr>
        <w:t>营运</w:t>
      </w:r>
      <w:r w:rsidRPr="009A2CFB">
        <w:rPr>
          <w:rFonts w:hint="eastAsia"/>
          <w:lang w:eastAsia="zh-CN"/>
        </w:rPr>
        <w:t>收入增加</w:t>
      </w:r>
      <w:r w:rsidRPr="009A2CFB">
        <w:rPr>
          <w:rFonts w:hint="eastAsia"/>
          <w:lang w:eastAsia="zh-CN"/>
        </w:rPr>
        <w:t>531</w:t>
      </w:r>
      <w:r w:rsidRPr="009A2CFB">
        <w:rPr>
          <w:rFonts w:hint="eastAsia"/>
          <w:lang w:eastAsia="zh-CN"/>
        </w:rPr>
        <w:t>万</w:t>
      </w:r>
      <w:r>
        <w:rPr>
          <w:rFonts w:hint="eastAsia"/>
          <w:lang w:eastAsia="zh-CN"/>
        </w:rPr>
        <w:t>瑞郎</w:t>
      </w:r>
      <w:r w:rsidRPr="009A2CFB">
        <w:rPr>
          <w:rFonts w:hint="eastAsia"/>
          <w:lang w:eastAsia="zh-CN"/>
        </w:rPr>
        <w:t>，应收账款增加</w:t>
      </w:r>
      <w:r w:rsidRPr="009A2CFB">
        <w:rPr>
          <w:rFonts w:hint="eastAsia"/>
          <w:lang w:eastAsia="zh-CN"/>
        </w:rPr>
        <w:t>379</w:t>
      </w:r>
      <w:r w:rsidRPr="009A2CFB">
        <w:rPr>
          <w:rFonts w:hint="eastAsia"/>
          <w:lang w:eastAsia="zh-CN"/>
        </w:rPr>
        <w:t>万</w:t>
      </w:r>
      <w:r>
        <w:rPr>
          <w:rFonts w:hint="eastAsia"/>
          <w:lang w:eastAsia="zh-CN"/>
        </w:rPr>
        <w:t>瑞郎</w:t>
      </w:r>
      <w:r w:rsidRPr="009A2CFB">
        <w:rPr>
          <w:rFonts w:hint="eastAsia"/>
          <w:lang w:eastAsia="zh-CN"/>
        </w:rPr>
        <w:t>，递延收入增加</w:t>
      </w:r>
      <w:r w:rsidRPr="009A2CFB">
        <w:rPr>
          <w:rFonts w:hint="eastAsia"/>
          <w:lang w:eastAsia="zh-CN"/>
        </w:rPr>
        <w:t>379</w:t>
      </w:r>
      <w:r w:rsidRPr="009A2CFB">
        <w:rPr>
          <w:rFonts w:hint="eastAsia"/>
          <w:lang w:eastAsia="zh-CN"/>
        </w:rPr>
        <w:t>万</w:t>
      </w:r>
      <w:r>
        <w:rPr>
          <w:rFonts w:hint="eastAsia"/>
          <w:lang w:eastAsia="zh-CN"/>
        </w:rPr>
        <w:t>瑞郎</w:t>
      </w:r>
      <w:r w:rsidRPr="009A2CFB">
        <w:rPr>
          <w:rFonts w:hint="eastAsia"/>
          <w:lang w:eastAsia="zh-CN"/>
        </w:rPr>
        <w:t>。</w:t>
      </w:r>
    </w:p>
    <w:p w14:paraId="19B1F3D6" w14:textId="77777777" w:rsidR="00F14A61" w:rsidRPr="009665AE" w:rsidRDefault="00F14A61" w:rsidP="00D61EB2">
      <w:pPr>
        <w:pStyle w:val="Figure"/>
        <w:rPr>
          <w:lang w:eastAsia="zh-CN"/>
        </w:rPr>
      </w:pPr>
      <w:r w:rsidRPr="00EC6876">
        <w:rPr>
          <w:noProof/>
        </w:rPr>
        <w:drawing>
          <wp:inline distT="0" distB="0" distL="0" distR="0" wp14:anchorId="4DBF23C7" wp14:editId="38CC7484">
            <wp:extent cx="5760085" cy="1045210"/>
            <wp:effectExtent l="0" t="0" r="0" b="2540"/>
            <wp:docPr id="12990724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760085" cy="1045210"/>
                    </a:xfrm>
                    <a:prstGeom prst="rect">
                      <a:avLst/>
                    </a:prstGeom>
                    <a:noFill/>
                    <a:ln>
                      <a:noFill/>
                    </a:ln>
                  </pic:spPr>
                </pic:pic>
              </a:graphicData>
            </a:graphic>
          </wp:inline>
        </w:drawing>
      </w:r>
    </w:p>
    <w:bookmarkEnd w:id="820"/>
    <w:bookmarkEnd w:id="821"/>
    <w:p w14:paraId="5AE414D5" w14:textId="77777777" w:rsidR="00F14A61" w:rsidRPr="00903175" w:rsidRDefault="00F14A61" w:rsidP="00F14A61">
      <w:pPr>
        <w:spacing w:before="360"/>
        <w:rPr>
          <w:b/>
          <w:bCs/>
          <w:sz w:val="28"/>
          <w:szCs w:val="28"/>
          <w:lang w:eastAsia="zh-CN"/>
        </w:rPr>
      </w:pPr>
      <w:r w:rsidRPr="00903175">
        <w:rPr>
          <w:rFonts w:hint="eastAsia"/>
          <w:b/>
          <w:bCs/>
          <w:sz w:val="28"/>
          <w:szCs w:val="28"/>
          <w:lang w:eastAsia="zh-CN"/>
        </w:rPr>
        <w:t>前期错误的更正</w:t>
      </w:r>
    </w:p>
    <w:p w14:paraId="7B002324" w14:textId="77777777" w:rsidR="00F14A61" w:rsidRDefault="00F14A61" w:rsidP="00F14A61">
      <w:pPr>
        <w:pStyle w:val="Heading2"/>
        <w:rPr>
          <w:lang w:eastAsia="zh-CN"/>
        </w:rPr>
      </w:pPr>
      <w:bookmarkStart w:id="828" w:name="lt_pId1281"/>
      <w:r w:rsidRPr="004E4241">
        <w:rPr>
          <w:lang w:eastAsia="zh-CN"/>
        </w:rPr>
        <w:t>3</w:t>
      </w:r>
      <w:r w:rsidRPr="004E4241">
        <w:rPr>
          <w:lang w:eastAsia="zh-CN"/>
        </w:rPr>
        <w:tab/>
      </w:r>
      <w:bookmarkEnd w:id="828"/>
      <w:r w:rsidRPr="004E4241">
        <w:rPr>
          <w:rFonts w:hint="eastAsia"/>
          <w:lang w:eastAsia="zh-CN"/>
        </w:rPr>
        <w:t>分摊会费</w:t>
      </w:r>
    </w:p>
    <w:p w14:paraId="4F510E45" w14:textId="77777777" w:rsidR="00F14A61" w:rsidRPr="009665AE" w:rsidRDefault="00F14A61" w:rsidP="00F14A61">
      <w:pPr>
        <w:ind w:firstLineChars="200" w:firstLine="480"/>
        <w:rPr>
          <w:lang w:eastAsia="zh-CN"/>
        </w:rPr>
      </w:pPr>
      <w:r>
        <w:rPr>
          <w:rFonts w:hint="eastAsia"/>
          <w:lang w:eastAsia="zh-CN"/>
        </w:rPr>
        <w:t>我们</w:t>
      </w:r>
      <w:r w:rsidRPr="009A2CFB">
        <w:rPr>
          <w:rFonts w:hint="eastAsia"/>
          <w:lang w:eastAsia="zh-CN"/>
        </w:rPr>
        <w:t>发现</w:t>
      </w:r>
      <w:r>
        <w:rPr>
          <w:rFonts w:hint="eastAsia"/>
          <w:lang w:eastAsia="zh-CN"/>
        </w:rPr>
        <w:t>在</w:t>
      </w:r>
      <w:r w:rsidRPr="009A2CFB">
        <w:rPr>
          <w:rFonts w:hint="eastAsia"/>
          <w:lang w:eastAsia="zh-CN"/>
        </w:rPr>
        <w:t>2020</w:t>
      </w:r>
      <w:r w:rsidRPr="009A2CFB">
        <w:rPr>
          <w:rFonts w:hint="eastAsia"/>
          <w:lang w:eastAsia="zh-CN"/>
        </w:rPr>
        <w:t>和</w:t>
      </w:r>
      <w:r w:rsidRPr="009A2CFB">
        <w:rPr>
          <w:rFonts w:hint="eastAsia"/>
          <w:lang w:eastAsia="zh-CN"/>
        </w:rPr>
        <w:t>2021</w:t>
      </w:r>
      <w:r w:rsidRPr="009A2CFB">
        <w:rPr>
          <w:rFonts w:hint="eastAsia"/>
          <w:lang w:eastAsia="zh-CN"/>
        </w:rPr>
        <w:t>年，国际电联在某些应收</w:t>
      </w:r>
      <w:r>
        <w:rPr>
          <w:rFonts w:hint="eastAsia"/>
          <w:lang w:eastAsia="zh-CN"/>
        </w:rPr>
        <w:t>分摊会费</w:t>
      </w:r>
      <w:r w:rsidRPr="009A2CFB">
        <w:rPr>
          <w:rFonts w:hint="eastAsia"/>
          <w:lang w:eastAsia="zh-CN"/>
        </w:rPr>
        <w:t>和递延收入到期之前</w:t>
      </w:r>
      <w:r>
        <w:rPr>
          <w:rFonts w:hint="eastAsia"/>
          <w:lang w:eastAsia="zh-CN"/>
        </w:rPr>
        <w:t>便对其加以</w:t>
      </w:r>
      <w:r w:rsidRPr="009A2CFB">
        <w:rPr>
          <w:rFonts w:hint="eastAsia"/>
          <w:lang w:eastAsia="zh-CN"/>
        </w:rPr>
        <w:t>确认。</w:t>
      </w:r>
      <w:r>
        <w:rPr>
          <w:rFonts w:hint="eastAsia"/>
          <w:lang w:eastAsia="zh-CN"/>
        </w:rPr>
        <w:t>基于</w:t>
      </w:r>
      <w:r w:rsidRPr="009A2CFB">
        <w:rPr>
          <w:rFonts w:hint="eastAsia"/>
          <w:lang w:eastAsia="zh-CN"/>
        </w:rPr>
        <w:t>详细分析</w:t>
      </w:r>
      <w:r>
        <w:rPr>
          <w:rFonts w:hint="eastAsia"/>
          <w:lang w:eastAsia="zh-CN"/>
        </w:rPr>
        <w:t>的</w:t>
      </w:r>
      <w:r w:rsidRPr="009A2CFB">
        <w:rPr>
          <w:rFonts w:hint="eastAsia"/>
          <w:lang w:eastAsia="zh-CN"/>
        </w:rPr>
        <w:t>结果，</w:t>
      </w:r>
      <w:r>
        <w:rPr>
          <w:rFonts w:hint="eastAsia"/>
          <w:lang w:eastAsia="zh-CN"/>
        </w:rPr>
        <w:t>依</w:t>
      </w:r>
      <w:r w:rsidRPr="009A2CFB">
        <w:rPr>
          <w:rFonts w:hint="eastAsia"/>
          <w:lang w:eastAsia="zh-CN"/>
        </w:rPr>
        <w:t>照</w:t>
      </w:r>
      <w:r w:rsidRPr="009665AE">
        <w:rPr>
          <w:lang w:eastAsia="zh-CN"/>
        </w:rPr>
        <w:t>IPSAS</w:t>
      </w:r>
      <w:r w:rsidRPr="009A2CFB">
        <w:rPr>
          <w:rFonts w:hint="eastAsia"/>
          <w:lang w:eastAsia="zh-CN"/>
        </w:rPr>
        <w:t>的要求，</w:t>
      </w:r>
      <w:r>
        <w:rPr>
          <w:rFonts w:hint="eastAsia"/>
          <w:lang w:eastAsia="zh-CN"/>
        </w:rPr>
        <w:t>现</w:t>
      </w:r>
      <w:r w:rsidRPr="009A2CFB">
        <w:rPr>
          <w:rFonts w:hint="eastAsia"/>
          <w:lang w:eastAsia="zh-CN"/>
        </w:rPr>
        <w:t>重</w:t>
      </w:r>
      <w:r>
        <w:rPr>
          <w:rFonts w:hint="eastAsia"/>
          <w:lang w:eastAsia="zh-CN"/>
        </w:rPr>
        <w:t>新列</w:t>
      </w:r>
      <w:r w:rsidRPr="009A2CFB">
        <w:rPr>
          <w:rFonts w:hint="eastAsia"/>
          <w:lang w:eastAsia="zh-CN"/>
        </w:rPr>
        <w:t>报应收账款、递延收入和预收捐款</w:t>
      </w:r>
      <w:r>
        <w:rPr>
          <w:rFonts w:hint="eastAsia"/>
          <w:lang w:eastAsia="zh-CN"/>
        </w:rPr>
        <w:t>的数据</w:t>
      </w:r>
      <w:r w:rsidRPr="009A2CFB">
        <w:rPr>
          <w:rFonts w:hint="eastAsia"/>
          <w:lang w:eastAsia="zh-CN"/>
        </w:rPr>
        <w:t>，以反映国际电联在</w:t>
      </w:r>
      <w:r>
        <w:rPr>
          <w:rFonts w:hint="eastAsia"/>
          <w:lang w:eastAsia="zh-CN"/>
        </w:rPr>
        <w:t>各年度</w:t>
      </w:r>
      <w:r w:rsidRPr="009A2CFB">
        <w:rPr>
          <w:rFonts w:hint="eastAsia"/>
          <w:lang w:eastAsia="zh-CN"/>
        </w:rPr>
        <w:t>期末的状况。</w:t>
      </w:r>
    </w:p>
    <w:p w14:paraId="739D4002" w14:textId="77777777" w:rsidR="00F14A61" w:rsidRPr="009665AE" w:rsidRDefault="00F14A61" w:rsidP="00D61EB2">
      <w:pPr>
        <w:pStyle w:val="Figure"/>
      </w:pPr>
      <w:r w:rsidRPr="00612D4A">
        <w:rPr>
          <w:noProof/>
        </w:rPr>
        <w:drawing>
          <wp:inline distT="0" distB="0" distL="0" distR="0" wp14:anchorId="169EC306" wp14:editId="63AC7333">
            <wp:extent cx="5760085" cy="845820"/>
            <wp:effectExtent l="0" t="0" r="0" b="0"/>
            <wp:docPr id="2026879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760085" cy="845820"/>
                    </a:xfrm>
                    <a:prstGeom prst="rect">
                      <a:avLst/>
                    </a:prstGeom>
                    <a:noFill/>
                    <a:ln>
                      <a:noFill/>
                    </a:ln>
                  </pic:spPr>
                </pic:pic>
              </a:graphicData>
            </a:graphic>
          </wp:inline>
        </w:drawing>
      </w:r>
    </w:p>
    <w:p w14:paraId="72AD8FD9" w14:textId="77777777" w:rsidR="00F14A61" w:rsidRPr="004E4241" w:rsidRDefault="00F14A61" w:rsidP="00F14A61">
      <w:pPr>
        <w:pStyle w:val="Heading2"/>
        <w:rPr>
          <w:lang w:eastAsia="zh-CN"/>
        </w:rPr>
      </w:pPr>
      <w:bookmarkStart w:id="829" w:name="lt_pId1284"/>
      <w:r w:rsidRPr="004E4241">
        <w:rPr>
          <w:lang w:eastAsia="zh-CN"/>
        </w:rPr>
        <w:t>4</w:t>
      </w:r>
      <w:r w:rsidRPr="004E4241">
        <w:rPr>
          <w:lang w:eastAsia="zh-CN"/>
        </w:rPr>
        <w:tab/>
        <w:t>UNSMIS</w:t>
      </w:r>
      <w:r w:rsidRPr="004E4241">
        <w:rPr>
          <w:rFonts w:hint="eastAsia"/>
          <w:lang w:eastAsia="zh-CN"/>
        </w:rPr>
        <w:t>加入费</w:t>
      </w:r>
      <w:bookmarkEnd w:id="829"/>
    </w:p>
    <w:p w14:paraId="0774733E" w14:textId="77777777" w:rsidR="00F14A61" w:rsidRPr="009A2CFB" w:rsidRDefault="00F14A61" w:rsidP="00F14A61">
      <w:pPr>
        <w:ind w:firstLineChars="200" w:firstLine="480"/>
        <w:jc w:val="both"/>
        <w:rPr>
          <w:lang w:val="en-US" w:eastAsia="zh-CN"/>
        </w:rPr>
      </w:pPr>
      <w:r w:rsidRPr="009A2CFB">
        <w:rPr>
          <w:rFonts w:hint="eastAsia"/>
          <w:lang w:val="en-US" w:eastAsia="zh-CN"/>
        </w:rPr>
        <w:t>自</w:t>
      </w:r>
      <w:r w:rsidRPr="009A2CFB">
        <w:rPr>
          <w:rFonts w:hint="eastAsia"/>
          <w:lang w:val="en-US" w:eastAsia="zh-CN"/>
        </w:rPr>
        <w:t>2020</w:t>
      </w:r>
      <w:r w:rsidRPr="009A2CFB">
        <w:rPr>
          <w:rFonts w:hint="eastAsia"/>
          <w:lang w:val="en-US" w:eastAsia="zh-CN"/>
        </w:rPr>
        <w:t>年</w:t>
      </w:r>
      <w:r w:rsidRPr="009A2CFB">
        <w:rPr>
          <w:rFonts w:hint="eastAsia"/>
          <w:lang w:val="en-US" w:eastAsia="zh-CN"/>
        </w:rPr>
        <w:t>1</w:t>
      </w:r>
      <w:r w:rsidRPr="009A2CFB">
        <w:rPr>
          <w:rFonts w:hint="eastAsia"/>
          <w:lang w:val="en-US" w:eastAsia="zh-CN"/>
        </w:rPr>
        <w:t>月</w:t>
      </w:r>
      <w:r w:rsidRPr="009A2CFB">
        <w:rPr>
          <w:rFonts w:hint="eastAsia"/>
          <w:lang w:val="en-US" w:eastAsia="zh-CN"/>
        </w:rPr>
        <w:t>1</w:t>
      </w:r>
      <w:r w:rsidRPr="009A2CFB">
        <w:rPr>
          <w:rFonts w:hint="eastAsia"/>
          <w:lang w:val="en-US" w:eastAsia="zh-CN"/>
        </w:rPr>
        <w:t>日起，国际电联与</w:t>
      </w:r>
      <w:r w:rsidRPr="00042290">
        <w:rPr>
          <w:rFonts w:hint="eastAsia"/>
          <w:lang w:val="en-US" w:eastAsia="zh-CN"/>
        </w:rPr>
        <w:t>联合国日内瓦办事处</w:t>
      </w:r>
      <w:r w:rsidRPr="009A2CFB">
        <w:rPr>
          <w:rFonts w:hint="eastAsia"/>
          <w:lang w:val="en-US" w:eastAsia="zh-CN"/>
        </w:rPr>
        <w:t>签署了一项关于</w:t>
      </w:r>
      <w:r>
        <w:rPr>
          <w:rFonts w:hint="eastAsia"/>
          <w:lang w:val="en-US" w:eastAsia="zh-CN"/>
        </w:rPr>
        <w:t>职员</w:t>
      </w:r>
      <w:r w:rsidRPr="009A2CFB">
        <w:rPr>
          <w:rFonts w:hint="eastAsia"/>
          <w:lang w:val="en-US" w:eastAsia="zh-CN"/>
        </w:rPr>
        <w:t>疾病和</w:t>
      </w:r>
      <w:r>
        <w:rPr>
          <w:rFonts w:hint="eastAsia"/>
          <w:lang w:val="en-US" w:eastAsia="zh-CN"/>
        </w:rPr>
        <w:t>意外</w:t>
      </w:r>
      <w:r w:rsidRPr="009A2CFB">
        <w:rPr>
          <w:rFonts w:hint="eastAsia"/>
          <w:lang w:val="en-US" w:eastAsia="zh-CN"/>
        </w:rPr>
        <w:t>集体保障计划的</w:t>
      </w:r>
      <w:r>
        <w:rPr>
          <w:rFonts w:hint="eastAsia"/>
          <w:lang w:val="en-US" w:eastAsia="zh-CN"/>
        </w:rPr>
        <w:t>协议</w:t>
      </w:r>
      <w:r w:rsidRPr="009A2CFB">
        <w:rPr>
          <w:rFonts w:hint="eastAsia"/>
          <w:lang w:val="en-US" w:eastAsia="zh-CN"/>
        </w:rPr>
        <w:t>。作为</w:t>
      </w:r>
      <w:r>
        <w:rPr>
          <w:rFonts w:hint="eastAsia"/>
          <w:lang w:val="en-US" w:eastAsia="zh-CN"/>
        </w:rPr>
        <w:t>此</w:t>
      </w:r>
      <w:r w:rsidRPr="009A2CFB">
        <w:rPr>
          <w:rFonts w:hint="eastAsia"/>
          <w:lang w:val="en-US" w:eastAsia="zh-CN"/>
        </w:rPr>
        <w:t>协议的一部分，国际电联</w:t>
      </w:r>
      <w:r>
        <w:rPr>
          <w:rFonts w:hint="eastAsia"/>
          <w:lang w:val="en-US" w:eastAsia="zh-CN"/>
        </w:rPr>
        <w:t>拟</w:t>
      </w:r>
      <w:r w:rsidRPr="009A2CFB">
        <w:rPr>
          <w:rFonts w:hint="eastAsia"/>
          <w:lang w:val="en-US" w:eastAsia="zh-CN"/>
        </w:rPr>
        <w:t>从</w:t>
      </w:r>
      <w:r w:rsidRPr="009A2CFB">
        <w:rPr>
          <w:rFonts w:hint="eastAsia"/>
          <w:lang w:val="en-US" w:eastAsia="zh-CN"/>
        </w:rPr>
        <w:t>2020</w:t>
      </w:r>
      <w:r w:rsidRPr="009A2CFB">
        <w:rPr>
          <w:rFonts w:hint="eastAsia"/>
          <w:lang w:val="en-US" w:eastAsia="zh-CN"/>
        </w:rPr>
        <w:t>年开始付款，直</w:t>
      </w:r>
      <w:r>
        <w:rPr>
          <w:rFonts w:hint="eastAsia"/>
          <w:lang w:val="en-US" w:eastAsia="zh-CN"/>
        </w:rPr>
        <w:lastRenderedPageBreak/>
        <w:t>至</w:t>
      </w:r>
      <w:r w:rsidRPr="009A2CFB">
        <w:rPr>
          <w:rFonts w:hint="eastAsia"/>
          <w:lang w:val="en-US" w:eastAsia="zh-CN"/>
        </w:rPr>
        <w:t>2032</w:t>
      </w:r>
      <w:r w:rsidRPr="009A2CFB">
        <w:rPr>
          <w:rFonts w:hint="eastAsia"/>
          <w:lang w:val="en-US" w:eastAsia="zh-CN"/>
        </w:rPr>
        <w:t>年</w:t>
      </w:r>
      <w:r>
        <w:rPr>
          <w:rFonts w:hint="eastAsia"/>
          <w:lang w:val="en-US" w:eastAsia="zh-CN"/>
        </w:rPr>
        <w:t>协议结束</w:t>
      </w:r>
      <w:r w:rsidRPr="009A2CFB">
        <w:rPr>
          <w:rFonts w:hint="eastAsia"/>
          <w:lang w:val="en-US" w:eastAsia="zh-CN"/>
        </w:rPr>
        <w:t>。</w:t>
      </w:r>
      <w:r>
        <w:rPr>
          <w:rFonts w:hint="eastAsia"/>
          <w:lang w:val="en-US" w:eastAsia="zh-CN"/>
        </w:rPr>
        <w:t>请参见</w:t>
      </w:r>
      <w:r w:rsidRPr="009A2CFB">
        <w:rPr>
          <w:rFonts w:hint="eastAsia"/>
          <w:lang w:val="en-US" w:eastAsia="zh-CN"/>
        </w:rPr>
        <w:t>“</w:t>
      </w:r>
      <w:r>
        <w:rPr>
          <w:rFonts w:hint="eastAsia"/>
          <w:lang w:val="en-US" w:eastAsia="zh-CN"/>
        </w:rPr>
        <w:t>国和电联</w:t>
      </w:r>
      <w:r>
        <w:rPr>
          <w:lang w:val="en-US" w:eastAsia="zh-CN"/>
        </w:rPr>
        <w:t xml:space="preserve"> </w:t>
      </w:r>
      <w:r w:rsidRPr="008C14AF">
        <w:rPr>
          <w:lang w:val="en-US" w:eastAsia="zh-CN"/>
        </w:rPr>
        <w:t>–</w:t>
      </w:r>
      <w:r>
        <w:rPr>
          <w:lang w:val="en-US" w:eastAsia="zh-CN"/>
        </w:rPr>
        <w:t xml:space="preserve"> </w:t>
      </w:r>
      <w:r w:rsidRPr="00042290">
        <w:rPr>
          <w:lang w:val="en-US" w:eastAsia="zh-CN"/>
        </w:rPr>
        <w:t>联合国日内瓦办事</w:t>
      </w:r>
      <w:r w:rsidRPr="00042290">
        <w:rPr>
          <w:rFonts w:hint="eastAsia"/>
          <w:lang w:val="en-US" w:eastAsia="zh-CN"/>
        </w:rPr>
        <w:t>处有关</w:t>
      </w:r>
      <w:r w:rsidRPr="00042290">
        <w:rPr>
          <w:rFonts w:hint="eastAsia"/>
          <w:lang w:val="en-US" w:eastAsia="zh-CN"/>
        </w:rPr>
        <w:t>U</w:t>
      </w:r>
      <w:r w:rsidRPr="00042290">
        <w:rPr>
          <w:lang w:val="en-US" w:eastAsia="zh-CN"/>
        </w:rPr>
        <w:t>NSMIS</w:t>
      </w:r>
      <w:r w:rsidRPr="00042290">
        <w:rPr>
          <w:rFonts w:hint="eastAsia"/>
          <w:lang w:val="en-US" w:eastAsia="zh-CN"/>
        </w:rPr>
        <w:t>的</w:t>
      </w:r>
      <w:r>
        <w:rPr>
          <w:rFonts w:hint="eastAsia"/>
          <w:lang w:val="en-US" w:eastAsia="zh-CN"/>
        </w:rPr>
        <w:t>协议</w:t>
      </w:r>
      <w:r w:rsidRPr="009A2CFB">
        <w:rPr>
          <w:rFonts w:hint="eastAsia"/>
          <w:lang w:val="en-US" w:eastAsia="zh-CN"/>
        </w:rPr>
        <w:t>”。</w:t>
      </w:r>
    </w:p>
    <w:p w14:paraId="1975CB4C" w14:textId="77777777" w:rsidR="00F14A61" w:rsidRPr="009A2CFB" w:rsidRDefault="00F14A61" w:rsidP="00F14A61">
      <w:pPr>
        <w:ind w:firstLineChars="200" w:firstLine="480"/>
        <w:jc w:val="both"/>
        <w:rPr>
          <w:lang w:val="en-US" w:eastAsia="zh-CN"/>
        </w:rPr>
      </w:pPr>
      <w:r>
        <w:rPr>
          <w:rFonts w:hint="eastAsia"/>
          <w:lang w:val="en-US" w:eastAsia="zh-CN"/>
        </w:rPr>
        <w:t>上述协议生效</w:t>
      </w:r>
      <w:r w:rsidRPr="009A2CFB">
        <w:rPr>
          <w:rFonts w:hint="eastAsia"/>
          <w:lang w:val="en-US" w:eastAsia="zh-CN"/>
        </w:rPr>
        <w:t>时，国际电联支付了</w:t>
      </w:r>
      <w:r w:rsidRPr="009A2CFB">
        <w:rPr>
          <w:rFonts w:hint="eastAsia"/>
          <w:lang w:val="en-US" w:eastAsia="zh-CN"/>
        </w:rPr>
        <w:t>2</w:t>
      </w:r>
      <w:r>
        <w:rPr>
          <w:lang w:val="en-US" w:eastAsia="zh-CN"/>
        </w:rPr>
        <w:t xml:space="preserve"> </w:t>
      </w:r>
      <w:r w:rsidRPr="009A2CFB">
        <w:rPr>
          <w:rFonts w:hint="eastAsia"/>
          <w:lang w:val="en-US" w:eastAsia="zh-CN"/>
        </w:rPr>
        <w:t>000</w:t>
      </w:r>
      <w:r w:rsidRPr="009A2CFB">
        <w:rPr>
          <w:rFonts w:hint="eastAsia"/>
          <w:lang w:val="en-US" w:eastAsia="zh-CN"/>
        </w:rPr>
        <w:t>万</w:t>
      </w:r>
      <w:r>
        <w:rPr>
          <w:rFonts w:hint="eastAsia"/>
          <w:lang w:val="en-US" w:eastAsia="zh-CN"/>
        </w:rPr>
        <w:t>瑞郎</w:t>
      </w:r>
      <w:r w:rsidRPr="009A2CFB">
        <w:rPr>
          <w:rFonts w:hint="eastAsia"/>
          <w:lang w:val="en-US" w:eastAsia="zh-CN"/>
        </w:rPr>
        <w:t>，这笔款项</w:t>
      </w:r>
      <w:r>
        <w:rPr>
          <w:rFonts w:hint="eastAsia"/>
          <w:lang w:val="en-US" w:eastAsia="zh-CN"/>
        </w:rPr>
        <w:t>同时被</w:t>
      </w:r>
      <w:r w:rsidRPr="009A2CFB">
        <w:rPr>
          <w:rFonts w:hint="eastAsia"/>
          <w:lang w:val="en-US" w:eastAsia="zh-CN"/>
        </w:rPr>
        <w:t>确认为资产和负债。此外，国际电联在</w:t>
      </w:r>
      <w:r w:rsidRPr="009A2CFB">
        <w:rPr>
          <w:rFonts w:hint="eastAsia"/>
          <w:lang w:val="en-US" w:eastAsia="zh-CN"/>
        </w:rPr>
        <w:t>2020</w:t>
      </w:r>
      <w:r w:rsidRPr="009A2CFB">
        <w:rPr>
          <w:rFonts w:hint="eastAsia"/>
          <w:lang w:val="en-US" w:eastAsia="zh-CN"/>
        </w:rPr>
        <w:t>年和</w:t>
      </w:r>
      <w:r w:rsidRPr="009A2CFB">
        <w:rPr>
          <w:rFonts w:hint="eastAsia"/>
          <w:lang w:val="en-US" w:eastAsia="zh-CN"/>
        </w:rPr>
        <w:t>2021</w:t>
      </w:r>
      <w:r w:rsidRPr="009A2CFB">
        <w:rPr>
          <w:rFonts w:hint="eastAsia"/>
          <w:lang w:val="en-US" w:eastAsia="zh-CN"/>
        </w:rPr>
        <w:t>年期间错误地确认了</w:t>
      </w:r>
      <w:r w:rsidRPr="009A2CFB">
        <w:rPr>
          <w:rFonts w:hint="eastAsia"/>
          <w:lang w:val="en-US" w:eastAsia="zh-CN"/>
        </w:rPr>
        <w:t>2021</w:t>
      </w:r>
      <w:r w:rsidRPr="009A2CFB">
        <w:rPr>
          <w:rFonts w:hint="eastAsia"/>
          <w:lang w:val="en-US" w:eastAsia="zh-CN"/>
        </w:rPr>
        <w:t>年和</w:t>
      </w:r>
      <w:r w:rsidRPr="009A2CFB">
        <w:rPr>
          <w:rFonts w:hint="eastAsia"/>
          <w:lang w:val="en-US" w:eastAsia="zh-CN"/>
        </w:rPr>
        <w:t>2022</w:t>
      </w:r>
      <w:r w:rsidRPr="009A2CFB">
        <w:rPr>
          <w:rFonts w:hint="eastAsia"/>
          <w:lang w:val="en-US" w:eastAsia="zh-CN"/>
        </w:rPr>
        <w:t>年到期的分期付款</w:t>
      </w:r>
      <w:r>
        <w:rPr>
          <w:rFonts w:hint="eastAsia"/>
          <w:lang w:val="en-US" w:eastAsia="zh-CN"/>
        </w:rPr>
        <w:t>金额</w:t>
      </w:r>
      <w:r w:rsidRPr="009A2CFB">
        <w:rPr>
          <w:rFonts w:hint="eastAsia"/>
          <w:lang w:val="en-US" w:eastAsia="zh-CN"/>
        </w:rPr>
        <w:t>分别为</w:t>
      </w:r>
      <w:r w:rsidRPr="009A2CFB">
        <w:rPr>
          <w:rFonts w:hint="eastAsia"/>
          <w:lang w:val="en-US" w:eastAsia="zh-CN"/>
        </w:rPr>
        <w:t>149.3</w:t>
      </w:r>
      <w:r w:rsidRPr="009A2CFB">
        <w:rPr>
          <w:rFonts w:hint="eastAsia"/>
          <w:lang w:val="en-US" w:eastAsia="zh-CN"/>
        </w:rPr>
        <w:t>万</w:t>
      </w:r>
      <w:r>
        <w:rPr>
          <w:rFonts w:hint="eastAsia"/>
          <w:lang w:val="en-US" w:eastAsia="zh-CN"/>
        </w:rPr>
        <w:t>瑞郎</w:t>
      </w:r>
      <w:r w:rsidRPr="009A2CFB">
        <w:rPr>
          <w:rFonts w:hint="eastAsia"/>
          <w:lang w:val="en-US" w:eastAsia="zh-CN"/>
        </w:rPr>
        <w:t>和</w:t>
      </w:r>
      <w:r w:rsidRPr="009A2CFB">
        <w:rPr>
          <w:rFonts w:hint="eastAsia"/>
          <w:lang w:val="en-US" w:eastAsia="zh-CN"/>
        </w:rPr>
        <w:t>153.9</w:t>
      </w:r>
      <w:r w:rsidRPr="009A2CFB">
        <w:rPr>
          <w:rFonts w:hint="eastAsia"/>
          <w:lang w:val="en-US" w:eastAsia="zh-CN"/>
        </w:rPr>
        <w:t>万</w:t>
      </w:r>
      <w:r>
        <w:rPr>
          <w:rFonts w:hint="eastAsia"/>
          <w:lang w:val="en-US" w:eastAsia="zh-CN"/>
        </w:rPr>
        <w:t>瑞郎</w:t>
      </w:r>
      <w:r w:rsidRPr="009A2CFB">
        <w:rPr>
          <w:rFonts w:hint="eastAsia"/>
          <w:lang w:val="en-US" w:eastAsia="zh-CN"/>
        </w:rPr>
        <w:t>。</w:t>
      </w:r>
    </w:p>
    <w:p w14:paraId="5704D7CF" w14:textId="77777777" w:rsidR="00F14A61" w:rsidRPr="009665AE" w:rsidRDefault="00F14A61" w:rsidP="00F14A61">
      <w:pPr>
        <w:ind w:firstLineChars="200" w:firstLine="480"/>
        <w:jc w:val="both"/>
        <w:rPr>
          <w:lang w:val="en-US" w:eastAsia="zh-CN"/>
        </w:rPr>
      </w:pPr>
      <w:r w:rsidRPr="009A2CFB">
        <w:rPr>
          <w:rFonts w:hint="eastAsia"/>
          <w:lang w:val="en-US" w:eastAsia="zh-CN"/>
        </w:rPr>
        <w:t>以下</w:t>
      </w:r>
      <w:r>
        <w:rPr>
          <w:rFonts w:hint="eastAsia"/>
          <w:lang w:val="en-US" w:eastAsia="zh-CN"/>
        </w:rPr>
        <w:t>分录涉及修改期初</w:t>
      </w:r>
      <w:r w:rsidRPr="009A2CFB">
        <w:rPr>
          <w:rFonts w:hint="eastAsia"/>
          <w:lang w:val="en-US" w:eastAsia="zh-CN"/>
        </w:rPr>
        <w:t>确认的资产和负债的未清余额</w:t>
      </w:r>
      <w:r>
        <w:rPr>
          <w:rFonts w:hint="eastAsia"/>
          <w:lang w:val="en-US" w:eastAsia="zh-CN"/>
        </w:rPr>
        <w:t>，</w:t>
      </w:r>
      <w:r w:rsidRPr="009A2CFB">
        <w:rPr>
          <w:rFonts w:hint="eastAsia"/>
          <w:lang w:val="en-US" w:eastAsia="zh-CN"/>
        </w:rPr>
        <w:t>以及在</w:t>
      </w:r>
      <w:r>
        <w:rPr>
          <w:rFonts w:hint="eastAsia"/>
          <w:lang w:val="en-US" w:eastAsia="zh-CN"/>
        </w:rPr>
        <w:t>相应</w:t>
      </w:r>
      <w:r w:rsidRPr="009A2CFB">
        <w:rPr>
          <w:rFonts w:hint="eastAsia"/>
          <w:lang w:val="en-US" w:eastAsia="zh-CN"/>
        </w:rPr>
        <w:t>期间确认</w:t>
      </w:r>
      <w:r>
        <w:rPr>
          <w:rFonts w:hint="eastAsia"/>
          <w:lang w:val="en-US" w:eastAsia="zh-CN"/>
        </w:rPr>
        <w:t>的</w:t>
      </w:r>
      <w:r w:rsidRPr="009A2CFB">
        <w:rPr>
          <w:rFonts w:hint="eastAsia"/>
          <w:lang w:val="en-US" w:eastAsia="zh-CN"/>
        </w:rPr>
        <w:t>2020</w:t>
      </w:r>
      <w:r w:rsidRPr="009A2CFB">
        <w:rPr>
          <w:rFonts w:hint="eastAsia"/>
          <w:lang w:val="en-US" w:eastAsia="zh-CN"/>
        </w:rPr>
        <w:t>年和</w:t>
      </w:r>
      <w:r w:rsidRPr="009A2CFB">
        <w:rPr>
          <w:rFonts w:hint="eastAsia"/>
          <w:lang w:val="en-US" w:eastAsia="zh-CN"/>
        </w:rPr>
        <w:t>2021</w:t>
      </w:r>
      <w:r w:rsidRPr="009A2CFB">
        <w:rPr>
          <w:rFonts w:hint="eastAsia"/>
          <w:lang w:val="en-US" w:eastAsia="zh-CN"/>
        </w:rPr>
        <w:t>年分期付款。</w:t>
      </w:r>
    </w:p>
    <w:p w14:paraId="6FD7F8B0" w14:textId="77777777" w:rsidR="00F14A61" w:rsidRPr="009665AE" w:rsidRDefault="00F14A61" w:rsidP="00D61EB2">
      <w:pPr>
        <w:pStyle w:val="Figure"/>
      </w:pPr>
      <w:r w:rsidRPr="000C0B6B">
        <w:rPr>
          <w:noProof/>
        </w:rPr>
        <w:drawing>
          <wp:inline distT="0" distB="0" distL="0" distR="0" wp14:anchorId="69CC6A4E" wp14:editId="62171910">
            <wp:extent cx="5760085" cy="1263650"/>
            <wp:effectExtent l="0" t="0" r="0" b="0"/>
            <wp:docPr id="84815436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760085" cy="1263650"/>
                    </a:xfrm>
                    <a:prstGeom prst="rect">
                      <a:avLst/>
                    </a:prstGeom>
                    <a:noFill/>
                    <a:ln>
                      <a:noFill/>
                    </a:ln>
                  </pic:spPr>
                </pic:pic>
              </a:graphicData>
            </a:graphic>
          </wp:inline>
        </w:drawing>
      </w:r>
    </w:p>
    <w:p w14:paraId="4B6C65A2" w14:textId="77777777" w:rsidR="00F14A61" w:rsidRPr="004E4241" w:rsidRDefault="00F14A61" w:rsidP="00F14A61">
      <w:pPr>
        <w:pStyle w:val="Heading2"/>
        <w:rPr>
          <w:lang w:eastAsia="zh-CN"/>
        </w:rPr>
      </w:pPr>
      <w:bookmarkStart w:id="830" w:name="lt_pId1291"/>
      <w:r w:rsidRPr="004E4241">
        <w:rPr>
          <w:lang w:eastAsia="zh-CN"/>
        </w:rPr>
        <w:t>5</w:t>
      </w:r>
      <w:r w:rsidRPr="004E4241">
        <w:rPr>
          <w:lang w:eastAsia="zh-CN"/>
        </w:rPr>
        <w:tab/>
        <w:t>CMIP</w:t>
      </w:r>
      <w:r w:rsidRPr="004E4241">
        <w:rPr>
          <w:rFonts w:hint="eastAsia"/>
          <w:lang w:eastAsia="zh-CN"/>
        </w:rPr>
        <w:t>重新估值</w:t>
      </w:r>
      <w:bookmarkEnd w:id="830"/>
    </w:p>
    <w:p w14:paraId="1883CEB2" w14:textId="77777777" w:rsidR="00F14A61" w:rsidRPr="009665AE" w:rsidRDefault="00F14A61" w:rsidP="00F14A61">
      <w:pPr>
        <w:ind w:firstLineChars="200" w:firstLine="480"/>
        <w:rPr>
          <w:lang w:eastAsia="zh-CN"/>
        </w:rPr>
      </w:pPr>
      <w:r w:rsidRPr="009A2CFB">
        <w:rPr>
          <w:rFonts w:hint="eastAsia"/>
          <w:lang w:eastAsia="zh-CN"/>
        </w:rPr>
        <w:t>2020</w:t>
      </w:r>
      <w:r w:rsidRPr="009A2CFB">
        <w:rPr>
          <w:rFonts w:hint="eastAsia"/>
          <w:lang w:eastAsia="zh-CN"/>
        </w:rPr>
        <w:t>年和</w:t>
      </w:r>
      <w:r w:rsidRPr="009A2CFB">
        <w:rPr>
          <w:rFonts w:hint="eastAsia"/>
          <w:lang w:eastAsia="zh-CN"/>
        </w:rPr>
        <w:t>2021</w:t>
      </w:r>
      <w:r w:rsidRPr="009A2CFB">
        <w:rPr>
          <w:rFonts w:hint="eastAsia"/>
          <w:lang w:eastAsia="zh-CN"/>
        </w:rPr>
        <w:t>年国际电联对</w:t>
      </w:r>
      <w:r>
        <w:rPr>
          <w:rFonts w:hint="eastAsia"/>
          <w:lang w:eastAsia="zh-CN"/>
        </w:rPr>
        <w:t>此</w:t>
      </w:r>
      <w:r w:rsidRPr="009A2CFB">
        <w:rPr>
          <w:rFonts w:hint="eastAsia"/>
          <w:lang w:eastAsia="zh-CN"/>
        </w:rPr>
        <w:t>储备</w:t>
      </w:r>
      <w:r>
        <w:rPr>
          <w:rFonts w:hint="eastAsia"/>
          <w:lang w:eastAsia="zh-CN"/>
        </w:rPr>
        <w:t>金</w:t>
      </w:r>
      <w:r w:rsidRPr="009A2CFB">
        <w:rPr>
          <w:rFonts w:hint="eastAsia"/>
          <w:lang w:eastAsia="zh-CN"/>
        </w:rPr>
        <w:t>账</w:t>
      </w:r>
      <w:r>
        <w:rPr>
          <w:rFonts w:hint="eastAsia"/>
          <w:lang w:eastAsia="zh-CN"/>
        </w:rPr>
        <w:t>目</w:t>
      </w:r>
      <w:r w:rsidRPr="009A2CFB">
        <w:rPr>
          <w:rFonts w:hint="eastAsia"/>
          <w:lang w:eastAsia="zh-CN"/>
        </w:rPr>
        <w:t>进行了错误的重新估值，</w:t>
      </w:r>
      <w:r>
        <w:rPr>
          <w:rFonts w:hint="eastAsia"/>
          <w:lang w:eastAsia="zh-CN"/>
        </w:rPr>
        <w:t>其原因在于此</w:t>
      </w:r>
      <w:r w:rsidRPr="009A2CFB">
        <w:rPr>
          <w:rFonts w:hint="eastAsia"/>
          <w:lang w:eastAsia="zh-CN"/>
        </w:rPr>
        <w:t>账户</w:t>
      </w:r>
      <w:r>
        <w:rPr>
          <w:rFonts w:hint="eastAsia"/>
          <w:lang w:eastAsia="zh-CN"/>
        </w:rPr>
        <w:t>不存在底层</w:t>
      </w:r>
      <w:r w:rsidRPr="009A2CFB">
        <w:rPr>
          <w:rFonts w:hint="eastAsia"/>
          <w:lang w:eastAsia="zh-CN"/>
        </w:rPr>
        <w:t>资产或交易。因此，</w:t>
      </w:r>
      <w:r w:rsidRPr="009A2CFB">
        <w:rPr>
          <w:rFonts w:hint="eastAsia"/>
          <w:lang w:eastAsia="zh-CN"/>
        </w:rPr>
        <w:t>2020</w:t>
      </w:r>
      <w:r w:rsidRPr="009A2CFB">
        <w:rPr>
          <w:rFonts w:hint="eastAsia"/>
          <w:lang w:eastAsia="zh-CN"/>
        </w:rPr>
        <w:t>年及</w:t>
      </w:r>
      <w:r w:rsidRPr="009A2CFB">
        <w:rPr>
          <w:rFonts w:hint="eastAsia"/>
          <w:lang w:eastAsia="zh-CN"/>
        </w:rPr>
        <w:t>2021</w:t>
      </w:r>
      <w:r w:rsidRPr="009A2CFB">
        <w:rPr>
          <w:rFonts w:hint="eastAsia"/>
          <w:lang w:eastAsia="zh-CN"/>
        </w:rPr>
        <w:t>年重估及相关</w:t>
      </w:r>
      <w:r>
        <w:rPr>
          <w:rFonts w:hint="eastAsia"/>
          <w:lang w:eastAsia="zh-CN"/>
        </w:rPr>
        <w:t>费用</w:t>
      </w:r>
      <w:r w:rsidRPr="009A2CFB">
        <w:rPr>
          <w:rFonts w:hint="eastAsia"/>
          <w:lang w:eastAsia="zh-CN"/>
        </w:rPr>
        <w:t>已</w:t>
      </w:r>
      <w:r>
        <w:rPr>
          <w:rFonts w:hint="eastAsia"/>
          <w:lang w:eastAsia="zh-CN"/>
        </w:rPr>
        <w:t>退回</w:t>
      </w:r>
      <w:r w:rsidRPr="009A2CFB">
        <w:rPr>
          <w:rFonts w:hint="eastAsia"/>
          <w:lang w:eastAsia="zh-CN"/>
        </w:rPr>
        <w:t>。</w:t>
      </w:r>
    </w:p>
    <w:p w14:paraId="139D4A26" w14:textId="77777777" w:rsidR="00F14A61" w:rsidRPr="009665AE" w:rsidRDefault="00F14A61" w:rsidP="00D61EB2">
      <w:pPr>
        <w:pStyle w:val="Figure"/>
      </w:pPr>
      <w:r w:rsidRPr="000E6163">
        <w:rPr>
          <w:noProof/>
        </w:rPr>
        <w:drawing>
          <wp:inline distT="0" distB="0" distL="0" distR="0" wp14:anchorId="2B2955C7" wp14:editId="6BCC7A66">
            <wp:extent cx="5760085" cy="753745"/>
            <wp:effectExtent l="0" t="0" r="0" b="8255"/>
            <wp:docPr id="115168481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760085" cy="753745"/>
                    </a:xfrm>
                    <a:prstGeom prst="rect">
                      <a:avLst/>
                    </a:prstGeom>
                    <a:noFill/>
                    <a:ln>
                      <a:noFill/>
                    </a:ln>
                  </pic:spPr>
                </pic:pic>
              </a:graphicData>
            </a:graphic>
          </wp:inline>
        </w:drawing>
      </w:r>
    </w:p>
    <w:p w14:paraId="14325239" w14:textId="77777777" w:rsidR="00F14A61" w:rsidRPr="004E4241" w:rsidRDefault="00F14A61" w:rsidP="00F14A61">
      <w:pPr>
        <w:pStyle w:val="Heading2"/>
        <w:rPr>
          <w:lang w:eastAsia="zh-CN"/>
        </w:rPr>
      </w:pPr>
      <w:bookmarkStart w:id="831" w:name="lt_pId1294"/>
      <w:r w:rsidRPr="004E4241">
        <w:rPr>
          <w:lang w:eastAsia="zh-CN"/>
        </w:rPr>
        <w:t>6</w:t>
      </w:r>
      <w:r w:rsidRPr="004E4241">
        <w:rPr>
          <w:lang w:eastAsia="zh-CN"/>
        </w:rPr>
        <w:tab/>
        <w:t xml:space="preserve">UNDP </w:t>
      </w:r>
      <w:r>
        <w:rPr>
          <w:lang w:eastAsia="zh-CN"/>
        </w:rPr>
        <w:t>–</w:t>
      </w:r>
      <w:r w:rsidRPr="004E4241">
        <w:rPr>
          <w:lang w:eastAsia="zh-CN"/>
        </w:rPr>
        <w:t xml:space="preserve"> </w:t>
      </w:r>
      <w:r w:rsidRPr="004E4241">
        <w:rPr>
          <w:rFonts w:hint="eastAsia"/>
          <w:lang w:eastAsia="zh-CN"/>
        </w:rPr>
        <w:t>重新估值</w:t>
      </w:r>
      <w:bookmarkEnd w:id="831"/>
    </w:p>
    <w:p w14:paraId="698913F2" w14:textId="77777777" w:rsidR="00F14A61" w:rsidRPr="009665AE" w:rsidRDefault="00F14A61" w:rsidP="00F14A61">
      <w:pPr>
        <w:ind w:firstLineChars="200" w:firstLine="480"/>
        <w:jc w:val="both"/>
        <w:rPr>
          <w:lang w:eastAsia="zh-CN"/>
        </w:rPr>
      </w:pPr>
      <w:r w:rsidRPr="009A2CFB">
        <w:rPr>
          <w:rFonts w:hint="eastAsia"/>
          <w:lang w:eastAsia="zh-CN"/>
        </w:rPr>
        <w:t>2020</w:t>
      </w:r>
      <w:r w:rsidRPr="009A2CFB">
        <w:rPr>
          <w:rFonts w:hint="eastAsia"/>
          <w:lang w:eastAsia="zh-CN"/>
        </w:rPr>
        <w:t>年和</w:t>
      </w:r>
      <w:r w:rsidRPr="009A2CFB">
        <w:rPr>
          <w:rFonts w:hint="eastAsia"/>
          <w:lang w:eastAsia="zh-CN"/>
        </w:rPr>
        <w:t>2021</w:t>
      </w:r>
      <w:r w:rsidRPr="009A2CFB">
        <w:rPr>
          <w:rFonts w:hint="eastAsia"/>
          <w:lang w:eastAsia="zh-CN"/>
        </w:rPr>
        <w:t>年，</w:t>
      </w:r>
      <w:r>
        <w:rPr>
          <w:rFonts w:hint="eastAsia"/>
          <w:lang w:eastAsia="zh-CN"/>
        </w:rPr>
        <w:t>我们就联合国开发计划署（</w:t>
      </w:r>
      <w:r w:rsidRPr="009665AE">
        <w:rPr>
          <w:lang w:eastAsia="zh-CN"/>
        </w:rPr>
        <w:t>UNDP</w:t>
      </w:r>
      <w:r>
        <w:rPr>
          <w:rFonts w:hint="eastAsia"/>
          <w:lang w:eastAsia="zh-CN"/>
        </w:rPr>
        <w:t>）与</w:t>
      </w:r>
      <w:r w:rsidRPr="009A2CFB">
        <w:rPr>
          <w:rFonts w:hint="eastAsia"/>
          <w:lang w:eastAsia="zh-CN"/>
        </w:rPr>
        <w:t>国际电联对账账</w:t>
      </w:r>
      <w:r>
        <w:rPr>
          <w:rFonts w:hint="eastAsia"/>
          <w:lang w:eastAsia="zh-CN"/>
        </w:rPr>
        <w:t>目</w:t>
      </w:r>
      <w:r w:rsidRPr="009A2CFB">
        <w:rPr>
          <w:rFonts w:hint="eastAsia"/>
          <w:lang w:eastAsia="zh-CN"/>
        </w:rPr>
        <w:t>中的所有外币项目</w:t>
      </w:r>
      <w:r>
        <w:rPr>
          <w:rFonts w:hint="eastAsia"/>
          <w:lang w:eastAsia="zh-CN"/>
        </w:rPr>
        <w:t>均</w:t>
      </w:r>
      <w:r w:rsidRPr="009A2CFB">
        <w:rPr>
          <w:rFonts w:hint="eastAsia"/>
          <w:lang w:eastAsia="zh-CN"/>
        </w:rPr>
        <w:t>进行了重新估值。然而，这些</w:t>
      </w:r>
      <w:r>
        <w:rPr>
          <w:rFonts w:hint="eastAsia"/>
          <w:lang w:eastAsia="zh-CN"/>
        </w:rPr>
        <w:t>项目</w:t>
      </w:r>
      <w:r w:rsidRPr="009A2CFB">
        <w:rPr>
          <w:rFonts w:hint="eastAsia"/>
          <w:lang w:eastAsia="zh-CN"/>
        </w:rPr>
        <w:t>已经结</w:t>
      </w:r>
      <w:r>
        <w:rPr>
          <w:rFonts w:hint="eastAsia"/>
          <w:lang w:eastAsia="zh-CN"/>
        </w:rPr>
        <w:t>算完毕</w:t>
      </w:r>
      <w:r w:rsidRPr="009A2CFB">
        <w:rPr>
          <w:rFonts w:hint="eastAsia"/>
          <w:lang w:eastAsia="zh-CN"/>
        </w:rPr>
        <w:t>，因此不需要重新估</w:t>
      </w:r>
      <w:r>
        <w:rPr>
          <w:rFonts w:hint="eastAsia"/>
          <w:lang w:eastAsia="zh-CN"/>
        </w:rPr>
        <w:t>值</w:t>
      </w:r>
      <w:r w:rsidRPr="009A2CFB">
        <w:rPr>
          <w:rFonts w:hint="eastAsia"/>
          <w:lang w:eastAsia="zh-CN"/>
        </w:rPr>
        <w:t>。</w:t>
      </w:r>
    </w:p>
    <w:p w14:paraId="4ACF1071" w14:textId="77777777" w:rsidR="00F14A61" w:rsidRPr="00783272" w:rsidRDefault="00F14A61" w:rsidP="00D61EB2">
      <w:pPr>
        <w:pStyle w:val="Figure"/>
      </w:pPr>
      <w:r w:rsidRPr="00A86455">
        <w:rPr>
          <w:noProof/>
        </w:rPr>
        <w:drawing>
          <wp:inline distT="0" distB="0" distL="0" distR="0" wp14:anchorId="1E80835B" wp14:editId="433C0DE7">
            <wp:extent cx="5760085" cy="761365"/>
            <wp:effectExtent l="0" t="0" r="0" b="635"/>
            <wp:docPr id="87745534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760085" cy="761365"/>
                    </a:xfrm>
                    <a:prstGeom prst="rect">
                      <a:avLst/>
                    </a:prstGeom>
                    <a:noFill/>
                    <a:ln>
                      <a:noFill/>
                    </a:ln>
                  </pic:spPr>
                </pic:pic>
              </a:graphicData>
            </a:graphic>
          </wp:inline>
        </w:drawing>
      </w:r>
    </w:p>
    <w:p w14:paraId="04B69D9D" w14:textId="77777777" w:rsidR="00F14A61" w:rsidRPr="004965C0" w:rsidRDefault="00F14A61" w:rsidP="00F14A61">
      <w:pPr>
        <w:pStyle w:val="Heading2"/>
        <w:rPr>
          <w:lang w:val="en-US" w:eastAsia="zh-CN"/>
        </w:rPr>
      </w:pPr>
      <w:bookmarkStart w:id="832" w:name="lt_pId1297"/>
      <w:r w:rsidRPr="00903175">
        <w:rPr>
          <w:lang w:eastAsia="zh-CN"/>
        </w:rPr>
        <w:t>7</w:t>
      </w:r>
      <w:r w:rsidRPr="00903175">
        <w:rPr>
          <w:lang w:eastAsia="zh-CN"/>
        </w:rPr>
        <w:tab/>
      </w:r>
      <w:bookmarkEnd w:id="832"/>
      <w:r w:rsidRPr="00903175">
        <w:rPr>
          <w:rFonts w:hint="eastAsia"/>
          <w:lang w:eastAsia="zh-CN"/>
        </w:rPr>
        <w:t>现金及现金等价物和投资</w:t>
      </w:r>
    </w:p>
    <w:p w14:paraId="6CC94C5A" w14:textId="77777777" w:rsidR="00F14A61" w:rsidRPr="00783272" w:rsidRDefault="00F14A61" w:rsidP="00F14A61">
      <w:pPr>
        <w:ind w:firstLineChars="200" w:firstLine="480"/>
        <w:jc w:val="both"/>
        <w:rPr>
          <w:lang w:eastAsia="zh-CN"/>
        </w:rPr>
      </w:pPr>
      <w:r w:rsidRPr="009A2CFB">
        <w:rPr>
          <w:rFonts w:hint="eastAsia"/>
          <w:lang w:eastAsia="zh-CN"/>
        </w:rPr>
        <w:t>根据</w:t>
      </w:r>
      <w:r w:rsidRPr="009665AE">
        <w:rPr>
          <w:lang w:eastAsia="zh-CN"/>
        </w:rPr>
        <w:t>IPSAS 2</w:t>
      </w:r>
      <w:r w:rsidRPr="009A2CFB">
        <w:rPr>
          <w:rFonts w:hint="eastAsia"/>
          <w:lang w:eastAsia="zh-CN"/>
        </w:rPr>
        <w:t>第</w:t>
      </w:r>
      <w:r w:rsidRPr="009A2CFB">
        <w:rPr>
          <w:rFonts w:hint="eastAsia"/>
          <w:lang w:eastAsia="zh-CN"/>
        </w:rPr>
        <w:t>9</w:t>
      </w:r>
      <w:r w:rsidRPr="009A2CFB">
        <w:rPr>
          <w:rFonts w:hint="eastAsia"/>
          <w:lang w:eastAsia="zh-CN"/>
        </w:rPr>
        <w:t>段，到期日为三个月或更短的投资</w:t>
      </w:r>
      <w:r>
        <w:rPr>
          <w:rFonts w:hint="eastAsia"/>
          <w:lang w:eastAsia="zh-CN"/>
        </w:rPr>
        <w:t>可视作</w:t>
      </w:r>
      <w:r w:rsidRPr="009A2CFB">
        <w:rPr>
          <w:rFonts w:hint="eastAsia"/>
          <w:lang w:eastAsia="zh-CN"/>
        </w:rPr>
        <w:t>现金等价物。然而，国际电联</w:t>
      </w:r>
      <w:r w:rsidRPr="009A2CFB">
        <w:rPr>
          <w:rFonts w:hint="eastAsia"/>
          <w:lang w:eastAsia="zh-CN"/>
        </w:rPr>
        <w:t>2020</w:t>
      </w:r>
      <w:r w:rsidRPr="009A2CFB">
        <w:rPr>
          <w:rFonts w:hint="eastAsia"/>
          <w:lang w:eastAsia="zh-CN"/>
        </w:rPr>
        <w:t>年和</w:t>
      </w:r>
      <w:r w:rsidRPr="009A2CFB">
        <w:rPr>
          <w:rFonts w:hint="eastAsia"/>
          <w:lang w:eastAsia="zh-CN"/>
        </w:rPr>
        <w:t>2021</w:t>
      </w:r>
      <w:r w:rsidRPr="009A2CFB">
        <w:rPr>
          <w:rFonts w:hint="eastAsia"/>
          <w:lang w:eastAsia="zh-CN"/>
        </w:rPr>
        <w:t>年将所有投资（无论</w:t>
      </w:r>
      <w:r>
        <w:rPr>
          <w:rFonts w:hint="eastAsia"/>
          <w:lang w:eastAsia="zh-CN"/>
        </w:rPr>
        <w:t>何时到期</w:t>
      </w:r>
      <w:r w:rsidRPr="009A2CFB">
        <w:rPr>
          <w:rFonts w:hint="eastAsia"/>
          <w:lang w:eastAsia="zh-CN"/>
        </w:rPr>
        <w:t>）</w:t>
      </w:r>
      <w:r>
        <w:rPr>
          <w:rFonts w:hint="eastAsia"/>
          <w:lang w:eastAsia="zh-CN"/>
        </w:rPr>
        <w:t>均</w:t>
      </w:r>
      <w:r w:rsidRPr="009A2CFB">
        <w:rPr>
          <w:rFonts w:hint="eastAsia"/>
          <w:lang w:eastAsia="zh-CN"/>
        </w:rPr>
        <w:t>归类到投资项目下。因此，国际电联</w:t>
      </w:r>
      <w:r>
        <w:rPr>
          <w:rFonts w:hint="eastAsia"/>
          <w:lang w:eastAsia="zh-CN"/>
        </w:rPr>
        <w:t>对此</w:t>
      </w:r>
      <w:r w:rsidRPr="009A2CFB">
        <w:rPr>
          <w:rFonts w:hint="eastAsia"/>
          <w:lang w:eastAsia="zh-CN"/>
        </w:rPr>
        <w:t>进行了详细分析，</w:t>
      </w:r>
      <w:r>
        <w:rPr>
          <w:rFonts w:hint="eastAsia"/>
          <w:lang w:eastAsia="zh-CN"/>
        </w:rPr>
        <w:t>并</w:t>
      </w:r>
      <w:r w:rsidRPr="009A2CFB">
        <w:rPr>
          <w:rFonts w:hint="eastAsia"/>
          <w:lang w:eastAsia="zh-CN"/>
        </w:rPr>
        <w:t>在</w:t>
      </w:r>
      <w:r w:rsidRPr="009A2CFB">
        <w:rPr>
          <w:rFonts w:hint="eastAsia"/>
          <w:lang w:eastAsia="zh-CN"/>
        </w:rPr>
        <w:t>2020</w:t>
      </w:r>
      <w:r w:rsidRPr="009A2CFB">
        <w:rPr>
          <w:rFonts w:hint="eastAsia"/>
          <w:lang w:eastAsia="zh-CN"/>
        </w:rPr>
        <w:t>年底和</w:t>
      </w:r>
      <w:r w:rsidRPr="009A2CFB">
        <w:rPr>
          <w:rFonts w:hint="eastAsia"/>
          <w:lang w:eastAsia="zh-CN"/>
        </w:rPr>
        <w:t>2021</w:t>
      </w:r>
      <w:r w:rsidRPr="009A2CFB">
        <w:rPr>
          <w:rFonts w:hint="eastAsia"/>
          <w:lang w:eastAsia="zh-CN"/>
        </w:rPr>
        <w:t>年底</w:t>
      </w:r>
      <w:r>
        <w:rPr>
          <w:rFonts w:hint="eastAsia"/>
          <w:lang w:eastAsia="zh-CN"/>
        </w:rPr>
        <w:t>将</w:t>
      </w:r>
      <w:r w:rsidRPr="009A2CFB">
        <w:rPr>
          <w:rFonts w:hint="eastAsia"/>
          <w:lang w:eastAsia="zh-CN"/>
        </w:rPr>
        <w:t>到期日为三个月或更短时间的所有投资被重新</w:t>
      </w:r>
      <w:r>
        <w:rPr>
          <w:rFonts w:hint="eastAsia"/>
          <w:lang w:eastAsia="zh-CN"/>
        </w:rPr>
        <w:t>归</w:t>
      </w:r>
      <w:r w:rsidRPr="009A2CFB">
        <w:rPr>
          <w:rFonts w:hint="eastAsia"/>
          <w:lang w:eastAsia="zh-CN"/>
        </w:rPr>
        <w:t>类为现金等价物。</w:t>
      </w:r>
    </w:p>
    <w:p w14:paraId="0182FB01" w14:textId="77777777" w:rsidR="00F14A61" w:rsidRPr="003A05FB" w:rsidRDefault="00F14A61" w:rsidP="00D61EB2">
      <w:pPr>
        <w:pStyle w:val="Figure"/>
        <w:rPr>
          <w:b/>
          <w:bCs/>
          <w:lang w:val="en-US"/>
        </w:rPr>
      </w:pPr>
      <w:r w:rsidRPr="00563F19">
        <w:rPr>
          <w:noProof/>
        </w:rPr>
        <w:lastRenderedPageBreak/>
        <w:drawing>
          <wp:inline distT="0" distB="0" distL="0" distR="0" wp14:anchorId="71EE3A92" wp14:editId="5B49E335">
            <wp:extent cx="5760085" cy="673100"/>
            <wp:effectExtent l="0" t="0" r="0" b="0"/>
            <wp:docPr id="49212220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760085" cy="673100"/>
                    </a:xfrm>
                    <a:prstGeom prst="rect">
                      <a:avLst/>
                    </a:prstGeom>
                    <a:noFill/>
                    <a:ln>
                      <a:noFill/>
                    </a:ln>
                  </pic:spPr>
                </pic:pic>
              </a:graphicData>
            </a:graphic>
          </wp:inline>
        </w:drawing>
      </w:r>
    </w:p>
    <w:p w14:paraId="18E414D5" w14:textId="77777777" w:rsidR="00F14A61" w:rsidRPr="004E4241" w:rsidRDefault="00F14A61" w:rsidP="00F14A61">
      <w:pPr>
        <w:pStyle w:val="Heading2"/>
        <w:rPr>
          <w:lang w:eastAsia="zh-CN"/>
        </w:rPr>
      </w:pPr>
      <w:bookmarkStart w:id="833" w:name="lt_pId1301"/>
      <w:r w:rsidRPr="004E4241">
        <w:rPr>
          <w:lang w:eastAsia="zh-CN"/>
        </w:rPr>
        <w:t>8</w:t>
      </w:r>
      <w:r w:rsidRPr="004E4241">
        <w:rPr>
          <w:lang w:eastAsia="zh-CN"/>
        </w:rPr>
        <w:tab/>
      </w:r>
      <w:bookmarkEnd w:id="833"/>
      <w:r w:rsidRPr="004E4241">
        <w:rPr>
          <w:rFonts w:hint="eastAsia"/>
          <w:lang w:eastAsia="zh-CN"/>
        </w:rPr>
        <w:t>外币投资</w:t>
      </w:r>
    </w:p>
    <w:p w14:paraId="00FFDD17" w14:textId="77777777" w:rsidR="00F14A61" w:rsidRPr="009665AE" w:rsidRDefault="00F14A61" w:rsidP="00F14A61">
      <w:pPr>
        <w:ind w:firstLineChars="200" w:firstLine="480"/>
        <w:jc w:val="both"/>
        <w:rPr>
          <w:lang w:eastAsia="zh-CN"/>
        </w:rPr>
      </w:pPr>
      <w:r w:rsidRPr="009A2CFB">
        <w:rPr>
          <w:rFonts w:hint="eastAsia"/>
          <w:lang w:eastAsia="zh-CN"/>
        </w:rPr>
        <w:t>某些外币投资在</w:t>
      </w:r>
      <w:r w:rsidRPr="009A2CFB">
        <w:rPr>
          <w:rFonts w:hint="eastAsia"/>
          <w:lang w:eastAsia="zh-CN"/>
        </w:rPr>
        <w:t>2020</w:t>
      </w:r>
      <w:r w:rsidRPr="009A2CFB">
        <w:rPr>
          <w:rFonts w:hint="eastAsia"/>
          <w:lang w:eastAsia="zh-CN"/>
        </w:rPr>
        <w:t>年底未因外币波动而</w:t>
      </w:r>
      <w:r>
        <w:rPr>
          <w:rFonts w:hint="eastAsia"/>
          <w:lang w:eastAsia="zh-CN"/>
        </w:rPr>
        <w:t>做出</w:t>
      </w:r>
      <w:r w:rsidRPr="009A2CFB">
        <w:rPr>
          <w:rFonts w:hint="eastAsia"/>
          <w:lang w:eastAsia="zh-CN"/>
        </w:rPr>
        <w:t>调整。因此，</w:t>
      </w:r>
      <w:r w:rsidRPr="009A2CFB">
        <w:rPr>
          <w:rFonts w:hint="eastAsia"/>
          <w:lang w:eastAsia="zh-CN"/>
        </w:rPr>
        <w:t>2020</w:t>
      </w:r>
      <w:r w:rsidRPr="009A2CFB">
        <w:rPr>
          <w:rFonts w:hint="eastAsia"/>
          <w:lang w:eastAsia="zh-CN"/>
        </w:rPr>
        <w:t>年底减</w:t>
      </w:r>
      <w:r>
        <w:rPr>
          <w:rFonts w:hint="eastAsia"/>
          <w:lang w:eastAsia="zh-CN"/>
        </w:rPr>
        <w:t>记</w:t>
      </w:r>
      <w:r w:rsidRPr="009A2CFB">
        <w:rPr>
          <w:rFonts w:hint="eastAsia"/>
          <w:lang w:eastAsia="zh-CN"/>
        </w:rPr>
        <w:t>了</w:t>
      </w:r>
      <w:r w:rsidRPr="009A2CFB">
        <w:rPr>
          <w:rFonts w:hint="eastAsia"/>
          <w:lang w:eastAsia="zh-CN"/>
        </w:rPr>
        <w:t>339</w:t>
      </w:r>
      <w:r>
        <w:rPr>
          <w:rFonts w:hint="eastAsia"/>
          <w:lang w:eastAsia="zh-CN"/>
        </w:rPr>
        <w:t>瑞郎</w:t>
      </w:r>
      <w:r w:rsidRPr="009A2CFB">
        <w:rPr>
          <w:rFonts w:hint="eastAsia"/>
          <w:lang w:eastAsia="zh-CN"/>
        </w:rPr>
        <w:t>，以反映</w:t>
      </w:r>
      <w:r>
        <w:rPr>
          <w:rFonts w:hint="eastAsia"/>
          <w:lang w:eastAsia="zh-CN"/>
        </w:rPr>
        <w:t>在此</w:t>
      </w:r>
      <w:r w:rsidRPr="009A2CFB">
        <w:rPr>
          <w:rFonts w:hint="eastAsia"/>
          <w:lang w:eastAsia="zh-CN"/>
        </w:rPr>
        <w:t>期间</w:t>
      </w:r>
      <w:r>
        <w:rPr>
          <w:rFonts w:hint="eastAsia"/>
          <w:lang w:eastAsia="zh-CN"/>
        </w:rPr>
        <w:t>这</w:t>
      </w:r>
      <w:r w:rsidRPr="009A2CFB">
        <w:rPr>
          <w:rFonts w:hint="eastAsia"/>
          <w:lang w:eastAsia="zh-CN"/>
        </w:rPr>
        <w:t>类投资的外币损失。</w:t>
      </w:r>
      <w:r w:rsidRPr="009A2CFB">
        <w:rPr>
          <w:rFonts w:hint="eastAsia"/>
          <w:lang w:eastAsia="zh-CN"/>
        </w:rPr>
        <w:t>2021</w:t>
      </w:r>
      <w:r w:rsidRPr="009A2CFB">
        <w:rPr>
          <w:rFonts w:hint="eastAsia"/>
          <w:lang w:eastAsia="zh-CN"/>
        </w:rPr>
        <w:t>年无需调整。</w:t>
      </w:r>
    </w:p>
    <w:p w14:paraId="72D172B0" w14:textId="77777777" w:rsidR="00F14A61" w:rsidRPr="009665AE" w:rsidRDefault="00F14A61" w:rsidP="00D61EB2">
      <w:pPr>
        <w:pStyle w:val="Figure"/>
      </w:pPr>
      <w:r w:rsidRPr="00A528C3">
        <w:rPr>
          <w:noProof/>
        </w:rPr>
        <w:drawing>
          <wp:inline distT="0" distB="0" distL="0" distR="0" wp14:anchorId="3C9E3EF2" wp14:editId="1DE1A9D3">
            <wp:extent cx="6120765" cy="852805"/>
            <wp:effectExtent l="0" t="0" r="0" b="4445"/>
            <wp:docPr id="206604720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120765" cy="852805"/>
                    </a:xfrm>
                    <a:prstGeom prst="rect">
                      <a:avLst/>
                    </a:prstGeom>
                    <a:noFill/>
                    <a:ln>
                      <a:noFill/>
                    </a:ln>
                  </pic:spPr>
                </pic:pic>
              </a:graphicData>
            </a:graphic>
          </wp:inline>
        </w:drawing>
      </w:r>
    </w:p>
    <w:p w14:paraId="6829BC64" w14:textId="77777777" w:rsidR="00F14A61" w:rsidRPr="004E4241" w:rsidRDefault="00F14A61" w:rsidP="00F14A61">
      <w:pPr>
        <w:pStyle w:val="Heading2"/>
        <w:rPr>
          <w:lang w:eastAsia="zh-CN"/>
        </w:rPr>
      </w:pPr>
      <w:bookmarkStart w:id="834" w:name="lt_pId1305"/>
      <w:r w:rsidRPr="004E4241">
        <w:rPr>
          <w:lang w:eastAsia="zh-CN"/>
        </w:rPr>
        <w:t>9</w:t>
      </w:r>
      <w:r w:rsidRPr="004E4241">
        <w:rPr>
          <w:lang w:eastAsia="zh-CN"/>
        </w:rPr>
        <w:tab/>
      </w:r>
      <w:bookmarkEnd w:id="834"/>
      <w:r w:rsidRPr="004E4241">
        <w:rPr>
          <w:rFonts w:hint="eastAsia"/>
          <w:lang w:eastAsia="zh-CN"/>
        </w:rPr>
        <w:t>美国税收</w:t>
      </w:r>
    </w:p>
    <w:p w14:paraId="242D2C0F" w14:textId="77777777" w:rsidR="00F14A61" w:rsidRPr="009665AE" w:rsidRDefault="00F14A61" w:rsidP="00F14A61">
      <w:pPr>
        <w:ind w:firstLineChars="200" w:firstLine="480"/>
        <w:jc w:val="both"/>
        <w:rPr>
          <w:lang w:eastAsia="zh-CN"/>
        </w:rPr>
      </w:pPr>
      <w:r w:rsidRPr="009A2CFB">
        <w:rPr>
          <w:rFonts w:hint="eastAsia"/>
          <w:lang w:eastAsia="zh-CN"/>
        </w:rPr>
        <w:t>所有美国公民都有义务就其在世界各地获得的收入向美国税务局缴纳所得税。国际电联</w:t>
      </w:r>
      <w:r>
        <w:rPr>
          <w:rFonts w:hint="eastAsia"/>
          <w:lang w:eastAsia="zh-CN"/>
        </w:rPr>
        <w:t>为有此义务</w:t>
      </w:r>
      <w:r w:rsidRPr="009A2CFB">
        <w:rPr>
          <w:rFonts w:hint="eastAsia"/>
          <w:lang w:eastAsia="zh-CN"/>
        </w:rPr>
        <w:t>的美国</w:t>
      </w:r>
      <w:r>
        <w:rPr>
          <w:rFonts w:hint="eastAsia"/>
          <w:lang w:eastAsia="zh-CN"/>
        </w:rPr>
        <w:t>籍</w:t>
      </w:r>
      <w:r w:rsidRPr="009A2CFB">
        <w:rPr>
          <w:rFonts w:hint="eastAsia"/>
          <w:lang w:eastAsia="zh-CN"/>
        </w:rPr>
        <w:t>员工支付</w:t>
      </w:r>
      <w:r>
        <w:rPr>
          <w:rFonts w:hint="eastAsia"/>
          <w:lang w:eastAsia="zh-CN"/>
        </w:rPr>
        <w:t>税收</w:t>
      </w:r>
      <w:r w:rsidRPr="009A2CFB">
        <w:rPr>
          <w:rFonts w:hint="eastAsia"/>
          <w:lang w:eastAsia="zh-CN"/>
        </w:rPr>
        <w:t>预付款，随后从美国税务局</w:t>
      </w:r>
      <w:r>
        <w:rPr>
          <w:rFonts w:hint="eastAsia"/>
          <w:lang w:eastAsia="zh-CN"/>
        </w:rPr>
        <w:t>接</w:t>
      </w:r>
      <w:r w:rsidRPr="009A2CFB">
        <w:rPr>
          <w:rFonts w:hint="eastAsia"/>
          <w:lang w:eastAsia="zh-CN"/>
        </w:rPr>
        <w:t>收退款。然而，</w:t>
      </w:r>
      <w:r>
        <w:rPr>
          <w:rFonts w:hint="eastAsia"/>
          <w:lang w:eastAsia="zh-CN"/>
        </w:rPr>
        <w:t>与各</w:t>
      </w:r>
      <w:r w:rsidRPr="009A2CFB">
        <w:rPr>
          <w:rFonts w:hint="eastAsia"/>
          <w:lang w:eastAsia="zh-CN"/>
        </w:rPr>
        <w:t>联合国组织</w:t>
      </w:r>
      <w:r>
        <w:rPr>
          <w:rFonts w:hint="eastAsia"/>
          <w:lang w:eastAsia="zh-CN"/>
        </w:rPr>
        <w:t>面对的情况相同</w:t>
      </w:r>
      <w:r w:rsidRPr="009A2CFB">
        <w:rPr>
          <w:rFonts w:hint="eastAsia"/>
          <w:lang w:eastAsia="zh-CN"/>
        </w:rPr>
        <w:t>，美国税务局</w:t>
      </w:r>
      <w:r>
        <w:rPr>
          <w:rFonts w:hint="eastAsia"/>
          <w:lang w:eastAsia="zh-CN"/>
        </w:rPr>
        <w:t>计算</w:t>
      </w:r>
      <w:r w:rsidRPr="009A2CFB">
        <w:rPr>
          <w:rFonts w:hint="eastAsia"/>
          <w:lang w:eastAsia="zh-CN"/>
        </w:rPr>
        <w:t>退款的基础与国际电联计算预付款的基础不同，因此</w:t>
      </w:r>
      <w:r>
        <w:rPr>
          <w:rFonts w:hint="eastAsia"/>
          <w:lang w:eastAsia="zh-CN"/>
        </w:rPr>
        <w:t>就</w:t>
      </w:r>
      <w:r w:rsidRPr="009A2CFB">
        <w:rPr>
          <w:rFonts w:hint="eastAsia"/>
          <w:lang w:eastAsia="zh-CN"/>
        </w:rPr>
        <w:t>国际电联而言</w:t>
      </w:r>
      <w:r>
        <w:rPr>
          <w:rFonts w:hint="eastAsia"/>
          <w:lang w:eastAsia="zh-CN"/>
        </w:rPr>
        <w:t>两者</w:t>
      </w:r>
      <w:r w:rsidRPr="009A2CFB">
        <w:rPr>
          <w:rFonts w:hint="eastAsia"/>
          <w:lang w:eastAsia="zh-CN"/>
        </w:rPr>
        <w:t>存在差异。这一差额记为</w:t>
      </w:r>
      <w:r>
        <w:rPr>
          <w:rFonts w:hint="eastAsia"/>
          <w:lang w:eastAsia="zh-CN"/>
        </w:rPr>
        <w:t>针对</w:t>
      </w:r>
      <w:r w:rsidRPr="009A2CFB">
        <w:rPr>
          <w:rFonts w:hint="eastAsia"/>
          <w:lang w:eastAsia="zh-CN"/>
        </w:rPr>
        <w:t>美国税务局的应收账款，</w:t>
      </w:r>
      <w:r>
        <w:rPr>
          <w:rFonts w:hint="eastAsia"/>
          <w:lang w:eastAsia="zh-CN"/>
        </w:rPr>
        <w:t>但</w:t>
      </w:r>
      <w:r w:rsidRPr="009A2CFB">
        <w:rPr>
          <w:rFonts w:hint="eastAsia"/>
          <w:lang w:eastAsia="zh-CN"/>
        </w:rPr>
        <w:t>国际电联</w:t>
      </w:r>
      <w:r>
        <w:rPr>
          <w:rFonts w:hint="eastAsia"/>
          <w:lang w:eastAsia="zh-CN"/>
        </w:rPr>
        <w:t>却</w:t>
      </w:r>
      <w:r w:rsidRPr="009A2CFB">
        <w:rPr>
          <w:rFonts w:hint="eastAsia"/>
          <w:lang w:eastAsia="zh-CN"/>
        </w:rPr>
        <w:t>无法收回。</w:t>
      </w:r>
      <w:r>
        <w:rPr>
          <w:rFonts w:hint="eastAsia"/>
          <w:lang w:eastAsia="zh-CN"/>
        </w:rPr>
        <w:t>所以</w:t>
      </w:r>
      <w:r w:rsidRPr="009A2CFB">
        <w:rPr>
          <w:rFonts w:hint="eastAsia"/>
          <w:lang w:eastAsia="zh-CN"/>
        </w:rPr>
        <w:t>，</w:t>
      </w:r>
      <w:r w:rsidRPr="009A2CFB">
        <w:rPr>
          <w:rFonts w:hint="eastAsia"/>
          <w:lang w:eastAsia="zh-CN"/>
        </w:rPr>
        <w:t>2020</w:t>
      </w:r>
      <w:r w:rsidRPr="009A2CFB">
        <w:rPr>
          <w:rFonts w:hint="eastAsia"/>
          <w:lang w:eastAsia="zh-CN"/>
        </w:rPr>
        <w:t>及</w:t>
      </w:r>
      <w:r w:rsidRPr="009A2CFB">
        <w:rPr>
          <w:rFonts w:hint="eastAsia"/>
          <w:lang w:eastAsia="zh-CN"/>
        </w:rPr>
        <w:t>2021</w:t>
      </w:r>
      <w:r w:rsidRPr="009A2CFB">
        <w:rPr>
          <w:rFonts w:hint="eastAsia"/>
          <w:lang w:eastAsia="zh-CN"/>
        </w:rPr>
        <w:t>年底录</w:t>
      </w:r>
      <w:r>
        <w:rPr>
          <w:rFonts w:hint="eastAsia"/>
          <w:lang w:eastAsia="zh-CN"/>
        </w:rPr>
        <w:t>入了未清</w:t>
      </w:r>
      <w:r w:rsidRPr="009A2CFB">
        <w:rPr>
          <w:rFonts w:hint="eastAsia"/>
          <w:lang w:eastAsia="zh-CN"/>
        </w:rPr>
        <w:t>应收账款减值。</w:t>
      </w:r>
    </w:p>
    <w:p w14:paraId="74000C38" w14:textId="77777777" w:rsidR="00F14A61" w:rsidRPr="009665AE" w:rsidRDefault="00F14A61" w:rsidP="00D61EB2">
      <w:pPr>
        <w:pStyle w:val="Figure"/>
      </w:pPr>
      <w:r w:rsidRPr="003A05FB">
        <w:rPr>
          <w:noProof/>
        </w:rPr>
        <w:drawing>
          <wp:inline distT="0" distB="0" distL="0" distR="0" wp14:anchorId="753CCA4F" wp14:editId="382A1D8E">
            <wp:extent cx="5760085" cy="673100"/>
            <wp:effectExtent l="0" t="0" r="0" b="0"/>
            <wp:docPr id="21182108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760085" cy="673100"/>
                    </a:xfrm>
                    <a:prstGeom prst="rect">
                      <a:avLst/>
                    </a:prstGeom>
                    <a:noFill/>
                    <a:ln>
                      <a:noFill/>
                    </a:ln>
                  </pic:spPr>
                </pic:pic>
              </a:graphicData>
            </a:graphic>
          </wp:inline>
        </w:drawing>
      </w:r>
    </w:p>
    <w:p w14:paraId="40E1B934" w14:textId="77777777" w:rsidR="00F14A61" w:rsidRPr="004E4241" w:rsidRDefault="00F14A61" w:rsidP="00F14A61">
      <w:pPr>
        <w:pStyle w:val="Heading2"/>
        <w:rPr>
          <w:lang w:eastAsia="zh-CN"/>
        </w:rPr>
      </w:pPr>
      <w:bookmarkStart w:id="835" w:name="lt_pId1311"/>
      <w:r w:rsidRPr="004E4241">
        <w:rPr>
          <w:lang w:eastAsia="zh-CN"/>
        </w:rPr>
        <w:t>10</w:t>
      </w:r>
      <w:r w:rsidRPr="004E4241">
        <w:rPr>
          <w:lang w:eastAsia="zh-CN"/>
        </w:rPr>
        <w:tab/>
      </w:r>
      <w:bookmarkEnd w:id="835"/>
      <w:r w:rsidRPr="004E4241">
        <w:rPr>
          <w:rFonts w:hint="eastAsia"/>
          <w:lang w:eastAsia="zh-CN"/>
        </w:rPr>
        <w:t>电信展活动</w:t>
      </w:r>
    </w:p>
    <w:p w14:paraId="2E8AD948" w14:textId="77777777" w:rsidR="00F14A61" w:rsidRPr="009665AE" w:rsidRDefault="00F14A61" w:rsidP="00F14A61">
      <w:pPr>
        <w:spacing w:after="120"/>
        <w:ind w:firstLineChars="200" w:firstLine="480"/>
        <w:jc w:val="both"/>
        <w:rPr>
          <w:lang w:eastAsia="zh-CN"/>
        </w:rPr>
      </w:pPr>
      <w:r w:rsidRPr="009A2CFB">
        <w:rPr>
          <w:rFonts w:hint="eastAsia"/>
          <w:lang w:eastAsia="zh-CN"/>
        </w:rPr>
        <w:t>由于新冠肺炎的限制，国际电联</w:t>
      </w:r>
      <w:r>
        <w:rPr>
          <w:rFonts w:hint="eastAsia"/>
          <w:lang w:eastAsia="zh-CN"/>
        </w:rPr>
        <w:t>拟</w:t>
      </w:r>
      <w:r w:rsidRPr="009A2CFB">
        <w:rPr>
          <w:rFonts w:hint="eastAsia"/>
          <w:lang w:eastAsia="zh-CN"/>
        </w:rPr>
        <w:t>于</w:t>
      </w:r>
      <w:r w:rsidRPr="009A2CFB">
        <w:rPr>
          <w:rFonts w:hint="eastAsia"/>
          <w:lang w:eastAsia="zh-CN"/>
        </w:rPr>
        <w:t>2021</w:t>
      </w:r>
      <w:r w:rsidRPr="009A2CFB">
        <w:rPr>
          <w:rFonts w:hint="eastAsia"/>
          <w:lang w:eastAsia="zh-CN"/>
        </w:rPr>
        <w:t>年举办的</w:t>
      </w:r>
      <w:r>
        <w:rPr>
          <w:rFonts w:hint="eastAsia"/>
          <w:lang w:eastAsia="zh-CN"/>
        </w:rPr>
        <w:t>电信展</w:t>
      </w:r>
      <w:r w:rsidRPr="009A2CFB">
        <w:rPr>
          <w:rFonts w:hint="eastAsia"/>
          <w:lang w:eastAsia="zh-CN"/>
        </w:rPr>
        <w:t>活动被取消。然而，国际电联将</w:t>
      </w:r>
      <w:r w:rsidRPr="009A2CFB">
        <w:rPr>
          <w:rFonts w:hint="eastAsia"/>
          <w:lang w:eastAsia="zh-CN"/>
        </w:rPr>
        <w:t>2021</w:t>
      </w:r>
      <w:r w:rsidRPr="009A2CFB">
        <w:rPr>
          <w:rFonts w:hint="eastAsia"/>
          <w:lang w:eastAsia="zh-CN"/>
        </w:rPr>
        <w:t>年发生的秘书处</w:t>
      </w:r>
      <w:r>
        <w:rPr>
          <w:rFonts w:hint="eastAsia"/>
          <w:lang w:eastAsia="zh-CN"/>
        </w:rPr>
        <w:t>支出</w:t>
      </w:r>
      <w:r w:rsidRPr="009A2CFB">
        <w:rPr>
          <w:rFonts w:hint="eastAsia"/>
          <w:lang w:eastAsia="zh-CN"/>
        </w:rPr>
        <w:t>确认为预付款，</w:t>
      </w:r>
      <w:r>
        <w:rPr>
          <w:rFonts w:hint="eastAsia"/>
          <w:lang w:eastAsia="zh-CN"/>
        </w:rPr>
        <w:t>列入</w:t>
      </w:r>
      <w:r w:rsidRPr="009A2CFB">
        <w:rPr>
          <w:rFonts w:hint="eastAsia"/>
          <w:lang w:eastAsia="zh-CN"/>
        </w:rPr>
        <w:t>其他应收款，而不计入当期</w:t>
      </w:r>
      <w:r>
        <w:rPr>
          <w:rFonts w:hint="eastAsia"/>
          <w:lang w:eastAsia="zh-CN"/>
        </w:rPr>
        <w:t>收入报</w:t>
      </w:r>
      <w:r w:rsidRPr="009A2CFB">
        <w:rPr>
          <w:rFonts w:hint="eastAsia"/>
          <w:lang w:eastAsia="zh-CN"/>
        </w:rPr>
        <w:t>表。因此，</w:t>
      </w:r>
      <w:r>
        <w:rPr>
          <w:rFonts w:hint="eastAsia"/>
          <w:lang w:eastAsia="zh-CN"/>
        </w:rPr>
        <w:t>做出</w:t>
      </w:r>
      <w:r w:rsidRPr="009A2CFB">
        <w:rPr>
          <w:rFonts w:hint="eastAsia"/>
          <w:lang w:eastAsia="zh-CN"/>
        </w:rPr>
        <w:t>一项更正，以</w:t>
      </w:r>
      <w:r>
        <w:rPr>
          <w:rFonts w:hint="eastAsia"/>
          <w:lang w:eastAsia="zh-CN"/>
        </w:rPr>
        <w:t>便</w:t>
      </w:r>
      <w:r w:rsidRPr="009A2CFB">
        <w:rPr>
          <w:rFonts w:hint="eastAsia"/>
          <w:lang w:eastAsia="zh-CN"/>
        </w:rPr>
        <w:t>在</w:t>
      </w:r>
      <w:r>
        <w:rPr>
          <w:rFonts w:hint="eastAsia"/>
          <w:lang w:eastAsia="zh-CN"/>
        </w:rPr>
        <w:t>对应</w:t>
      </w:r>
      <w:r w:rsidRPr="009A2CFB">
        <w:rPr>
          <w:rFonts w:hint="eastAsia"/>
          <w:lang w:eastAsia="zh-CN"/>
        </w:rPr>
        <w:t>期间确认</w:t>
      </w:r>
      <w:r w:rsidRPr="009A2CFB">
        <w:rPr>
          <w:rFonts w:hint="eastAsia"/>
          <w:lang w:eastAsia="zh-CN"/>
        </w:rPr>
        <w:t>2021</w:t>
      </w:r>
      <w:r w:rsidRPr="009A2CFB">
        <w:rPr>
          <w:rFonts w:hint="eastAsia"/>
          <w:lang w:eastAsia="zh-CN"/>
        </w:rPr>
        <w:t>年</w:t>
      </w:r>
      <w:r>
        <w:rPr>
          <w:rFonts w:hint="eastAsia"/>
          <w:lang w:eastAsia="zh-CN"/>
        </w:rPr>
        <w:t>的</w:t>
      </w:r>
      <w:r w:rsidRPr="009A2CFB">
        <w:rPr>
          <w:rFonts w:hint="eastAsia"/>
          <w:lang w:eastAsia="zh-CN"/>
        </w:rPr>
        <w:t>秘书处</w:t>
      </w:r>
      <w:r>
        <w:rPr>
          <w:rFonts w:hint="eastAsia"/>
          <w:lang w:eastAsia="zh-CN"/>
        </w:rPr>
        <w:t>支出</w:t>
      </w:r>
      <w:r w:rsidRPr="009A2CFB">
        <w:rPr>
          <w:rFonts w:hint="eastAsia"/>
          <w:lang w:eastAsia="zh-CN"/>
        </w:rPr>
        <w:t>。</w:t>
      </w:r>
    </w:p>
    <w:p w14:paraId="1FBE6D62" w14:textId="77777777" w:rsidR="00F14A61" w:rsidRPr="009665AE" w:rsidRDefault="00F14A61" w:rsidP="00D61EB2">
      <w:pPr>
        <w:pStyle w:val="Figure"/>
      </w:pPr>
      <w:r w:rsidRPr="00417B3C">
        <w:rPr>
          <w:noProof/>
        </w:rPr>
        <w:drawing>
          <wp:inline distT="0" distB="0" distL="0" distR="0" wp14:anchorId="42BC96F2" wp14:editId="57F78AE5">
            <wp:extent cx="5760085" cy="673100"/>
            <wp:effectExtent l="0" t="0" r="0" b="0"/>
            <wp:docPr id="196169855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760085" cy="673100"/>
                    </a:xfrm>
                    <a:prstGeom prst="rect">
                      <a:avLst/>
                    </a:prstGeom>
                    <a:noFill/>
                    <a:ln>
                      <a:noFill/>
                    </a:ln>
                  </pic:spPr>
                </pic:pic>
              </a:graphicData>
            </a:graphic>
          </wp:inline>
        </w:drawing>
      </w:r>
    </w:p>
    <w:p w14:paraId="6777145A" w14:textId="77777777" w:rsidR="00F14A61" w:rsidRPr="004E4241" w:rsidRDefault="00F14A61" w:rsidP="00F14A61">
      <w:pPr>
        <w:pStyle w:val="Heading2"/>
        <w:rPr>
          <w:lang w:eastAsia="zh-CN"/>
        </w:rPr>
      </w:pPr>
      <w:bookmarkStart w:id="836" w:name="lt_pId1315"/>
      <w:r w:rsidRPr="004E4241">
        <w:rPr>
          <w:lang w:eastAsia="zh-CN"/>
        </w:rPr>
        <w:t>11</w:t>
      </w:r>
      <w:r w:rsidRPr="004E4241">
        <w:rPr>
          <w:lang w:eastAsia="zh-CN"/>
        </w:rPr>
        <w:tab/>
      </w:r>
      <w:r w:rsidRPr="004E4241">
        <w:rPr>
          <w:rFonts w:hint="eastAsia"/>
          <w:lang w:eastAsia="zh-CN"/>
        </w:rPr>
        <w:t>重新估值</w:t>
      </w:r>
      <w:bookmarkEnd w:id="836"/>
    </w:p>
    <w:p w14:paraId="5E54B309" w14:textId="77777777" w:rsidR="00F14A61" w:rsidRPr="009665AE" w:rsidRDefault="00F14A61" w:rsidP="00F14A61">
      <w:pPr>
        <w:ind w:firstLineChars="200" w:firstLine="480"/>
        <w:jc w:val="both"/>
        <w:rPr>
          <w:lang w:val="en-US" w:eastAsia="zh-CN"/>
        </w:rPr>
      </w:pPr>
      <w:r w:rsidRPr="009A2CFB">
        <w:rPr>
          <w:rFonts w:hint="eastAsia"/>
          <w:lang w:val="en-US" w:eastAsia="zh-CN"/>
        </w:rPr>
        <w:t>2020</w:t>
      </w:r>
      <w:r w:rsidRPr="009A2CFB">
        <w:rPr>
          <w:rFonts w:hint="eastAsia"/>
          <w:lang w:val="en-US" w:eastAsia="zh-CN"/>
        </w:rPr>
        <w:t>年，国际电联确认了前几年预算外资金</w:t>
      </w:r>
      <w:r>
        <w:rPr>
          <w:rFonts w:hint="eastAsia"/>
          <w:lang w:val="en-US" w:eastAsia="zh-CN"/>
        </w:rPr>
        <w:t>的</w:t>
      </w:r>
      <w:r w:rsidRPr="009A2CFB">
        <w:rPr>
          <w:rFonts w:hint="eastAsia"/>
          <w:lang w:val="en-US" w:eastAsia="zh-CN"/>
        </w:rPr>
        <w:t>外币</w:t>
      </w:r>
      <w:r>
        <w:rPr>
          <w:rFonts w:hint="eastAsia"/>
          <w:lang w:val="en-US" w:eastAsia="zh-CN"/>
        </w:rPr>
        <w:t>（</w:t>
      </w:r>
      <w:r w:rsidRPr="009A2CFB">
        <w:rPr>
          <w:rFonts w:hint="eastAsia"/>
          <w:lang w:val="en-US" w:eastAsia="zh-CN"/>
        </w:rPr>
        <w:t>欧元和美元</w:t>
      </w:r>
      <w:r>
        <w:rPr>
          <w:rFonts w:hint="eastAsia"/>
          <w:lang w:val="en-US" w:eastAsia="zh-CN"/>
        </w:rPr>
        <w:t>）重新估值</w:t>
      </w:r>
      <w:r w:rsidRPr="009A2CFB">
        <w:rPr>
          <w:rFonts w:hint="eastAsia"/>
          <w:lang w:val="en-US" w:eastAsia="zh-CN"/>
        </w:rPr>
        <w:t>累积效应。此后，</w:t>
      </w:r>
      <w:r>
        <w:rPr>
          <w:rFonts w:hint="eastAsia"/>
          <w:lang w:val="en-US" w:eastAsia="zh-CN"/>
        </w:rPr>
        <w:t>按年度</w:t>
      </w:r>
      <w:r w:rsidRPr="009A2CFB">
        <w:rPr>
          <w:rFonts w:hint="eastAsia"/>
          <w:lang w:val="en-US" w:eastAsia="zh-CN"/>
        </w:rPr>
        <w:t>确认</w:t>
      </w:r>
      <w:r>
        <w:rPr>
          <w:rFonts w:hint="eastAsia"/>
          <w:lang w:val="en-US" w:eastAsia="zh-CN"/>
        </w:rPr>
        <w:t>了</w:t>
      </w:r>
      <w:r w:rsidRPr="009A2CFB">
        <w:rPr>
          <w:rFonts w:hint="eastAsia"/>
          <w:lang w:val="en-US" w:eastAsia="zh-CN"/>
        </w:rPr>
        <w:t>2021</w:t>
      </w:r>
      <w:r w:rsidRPr="009A2CFB">
        <w:rPr>
          <w:rFonts w:hint="eastAsia"/>
          <w:lang w:val="en-US" w:eastAsia="zh-CN"/>
        </w:rPr>
        <w:t>年和</w:t>
      </w:r>
      <w:r w:rsidRPr="009A2CFB">
        <w:rPr>
          <w:rFonts w:hint="eastAsia"/>
          <w:lang w:val="en-US" w:eastAsia="zh-CN"/>
        </w:rPr>
        <w:t>2022</w:t>
      </w:r>
      <w:r w:rsidRPr="009A2CFB">
        <w:rPr>
          <w:rFonts w:hint="eastAsia"/>
          <w:lang w:val="en-US" w:eastAsia="zh-CN"/>
        </w:rPr>
        <w:t>年的重</w:t>
      </w:r>
      <w:r>
        <w:rPr>
          <w:rFonts w:hint="eastAsia"/>
          <w:lang w:val="en-US" w:eastAsia="zh-CN"/>
        </w:rPr>
        <w:t>新</w:t>
      </w:r>
      <w:r w:rsidRPr="009A2CFB">
        <w:rPr>
          <w:rFonts w:hint="eastAsia"/>
          <w:lang w:val="en-US" w:eastAsia="zh-CN"/>
        </w:rPr>
        <w:t>估</w:t>
      </w:r>
      <w:r>
        <w:rPr>
          <w:rFonts w:hint="eastAsia"/>
          <w:lang w:val="en-US" w:eastAsia="zh-CN"/>
        </w:rPr>
        <w:t>值</w:t>
      </w:r>
      <w:r w:rsidRPr="009A2CFB">
        <w:rPr>
          <w:rFonts w:hint="eastAsia"/>
          <w:lang w:val="en-US" w:eastAsia="zh-CN"/>
        </w:rPr>
        <w:t>。</w:t>
      </w:r>
    </w:p>
    <w:p w14:paraId="72654126" w14:textId="77777777" w:rsidR="00F14A61" w:rsidRPr="009665AE" w:rsidRDefault="00F14A61" w:rsidP="00D61EB2">
      <w:pPr>
        <w:pStyle w:val="Figure"/>
      </w:pPr>
      <w:r w:rsidRPr="004965C0">
        <w:rPr>
          <w:noProof/>
        </w:rPr>
        <w:lastRenderedPageBreak/>
        <w:drawing>
          <wp:inline distT="0" distB="0" distL="0" distR="0" wp14:anchorId="4E9849E2" wp14:editId="43574303">
            <wp:extent cx="5760085" cy="955675"/>
            <wp:effectExtent l="0" t="0" r="0" b="0"/>
            <wp:docPr id="12706811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760085" cy="955675"/>
                    </a:xfrm>
                    <a:prstGeom prst="rect">
                      <a:avLst/>
                    </a:prstGeom>
                    <a:noFill/>
                    <a:ln>
                      <a:noFill/>
                    </a:ln>
                  </pic:spPr>
                </pic:pic>
              </a:graphicData>
            </a:graphic>
          </wp:inline>
        </w:drawing>
      </w:r>
    </w:p>
    <w:p w14:paraId="318149B0" w14:textId="77777777" w:rsidR="00F14A61" w:rsidRPr="009665AE" w:rsidRDefault="00F14A61" w:rsidP="00F14A61">
      <w:pPr>
        <w:pStyle w:val="Heading2"/>
        <w:rPr>
          <w:lang w:eastAsia="zh-CN"/>
        </w:rPr>
      </w:pPr>
      <w:bookmarkStart w:id="837" w:name="lt_pId1318"/>
      <w:r w:rsidRPr="004E4241">
        <w:rPr>
          <w:lang w:eastAsia="zh-CN"/>
        </w:rPr>
        <w:t>12</w:t>
      </w:r>
      <w:r w:rsidRPr="004E4241">
        <w:rPr>
          <w:lang w:eastAsia="zh-CN"/>
        </w:rPr>
        <w:tab/>
      </w:r>
      <w:bookmarkEnd w:id="837"/>
      <w:r w:rsidRPr="004E4241">
        <w:rPr>
          <w:rFonts w:hint="eastAsia"/>
          <w:lang w:eastAsia="zh-CN"/>
        </w:rPr>
        <w:t>退款</w:t>
      </w:r>
      <w:r w:rsidRPr="00037CD0">
        <w:rPr>
          <w:rFonts w:asciiTheme="minorHAnsi" w:hAnsiTheme="minorHAnsi" w:cstheme="minorHAnsi"/>
          <w:lang w:eastAsia="zh-CN"/>
        </w:rPr>
        <w:t xml:space="preserve"> –</w:t>
      </w:r>
      <w:r>
        <w:rPr>
          <w:lang w:eastAsia="zh-CN"/>
        </w:rPr>
        <w:t xml:space="preserve"> </w:t>
      </w:r>
      <w:r w:rsidRPr="004E4241">
        <w:rPr>
          <w:rFonts w:hint="eastAsia"/>
          <w:lang w:eastAsia="zh-CN"/>
        </w:rPr>
        <w:t>欺诈行为</w:t>
      </w:r>
    </w:p>
    <w:p w14:paraId="47F4BA95" w14:textId="77777777" w:rsidR="00F14A61" w:rsidRPr="00C35146" w:rsidRDefault="00F14A61" w:rsidP="00F14A61">
      <w:pPr>
        <w:ind w:firstLineChars="200" w:firstLine="480"/>
        <w:rPr>
          <w:lang w:val="en-US" w:eastAsia="zh-CN"/>
        </w:rPr>
      </w:pPr>
      <w:r w:rsidRPr="00C35146">
        <w:rPr>
          <w:rFonts w:hint="eastAsia"/>
          <w:lang w:val="en-US" w:eastAsia="zh-CN"/>
        </w:rPr>
        <w:t>经调查，最终发现国际电联</w:t>
      </w:r>
      <w:r>
        <w:rPr>
          <w:rFonts w:hint="eastAsia"/>
          <w:lang w:val="en-US" w:eastAsia="zh-CN"/>
        </w:rPr>
        <w:t>某</w:t>
      </w:r>
      <w:r w:rsidRPr="00C35146">
        <w:rPr>
          <w:rFonts w:hint="eastAsia"/>
          <w:lang w:val="en-US" w:eastAsia="zh-CN"/>
        </w:rPr>
        <w:t>区域办事处的一名</w:t>
      </w:r>
      <w:r>
        <w:rPr>
          <w:rFonts w:hint="eastAsia"/>
          <w:lang w:val="en-US" w:eastAsia="zh-CN"/>
        </w:rPr>
        <w:t>员工存在</w:t>
      </w:r>
      <w:r w:rsidRPr="00C35146">
        <w:rPr>
          <w:rFonts w:hint="eastAsia"/>
          <w:lang w:val="en-US" w:eastAsia="zh-CN"/>
        </w:rPr>
        <w:t>欺诈行为，</w:t>
      </w:r>
      <w:r>
        <w:rPr>
          <w:rFonts w:hint="eastAsia"/>
          <w:lang w:val="en-US" w:eastAsia="zh-CN"/>
        </w:rPr>
        <w:t>该员工通过</w:t>
      </w:r>
      <w:r w:rsidRPr="006D0C2C">
        <w:rPr>
          <w:rFonts w:hint="eastAsia"/>
          <w:lang w:val="en-US" w:eastAsia="zh-CN"/>
        </w:rPr>
        <w:t>泰国国家广播和电信委员会（</w:t>
      </w:r>
      <w:r w:rsidRPr="006D0C2C">
        <w:rPr>
          <w:rFonts w:hint="eastAsia"/>
          <w:lang w:val="en-US" w:eastAsia="zh-CN"/>
        </w:rPr>
        <w:t>NBTC</w:t>
      </w:r>
      <w:r w:rsidRPr="006D0C2C">
        <w:rPr>
          <w:rFonts w:hint="eastAsia"/>
          <w:lang w:val="en-US" w:eastAsia="zh-CN"/>
        </w:rPr>
        <w:t>）</w:t>
      </w:r>
      <w:r w:rsidRPr="00C35146">
        <w:rPr>
          <w:rFonts w:hint="eastAsia"/>
          <w:lang w:val="en-US" w:eastAsia="zh-CN"/>
        </w:rPr>
        <w:t>资助的两个项目</w:t>
      </w:r>
      <w:r>
        <w:rPr>
          <w:rFonts w:hint="eastAsia"/>
          <w:lang w:val="en-US" w:eastAsia="zh-CN"/>
        </w:rPr>
        <w:t>报销了</w:t>
      </w:r>
      <w:r w:rsidRPr="00C35146">
        <w:rPr>
          <w:rFonts w:hint="eastAsia"/>
          <w:lang w:val="en-US" w:eastAsia="zh-CN"/>
        </w:rPr>
        <w:t>个人和其他无关费用。</w:t>
      </w:r>
    </w:p>
    <w:p w14:paraId="12A6B136" w14:textId="77777777" w:rsidR="00F14A61" w:rsidRPr="00783272" w:rsidRDefault="00F14A61" w:rsidP="00F14A61">
      <w:pPr>
        <w:spacing w:after="120"/>
        <w:ind w:firstLineChars="200" w:firstLine="480"/>
        <w:rPr>
          <w:lang w:val="en-US" w:eastAsia="zh-CN"/>
        </w:rPr>
      </w:pPr>
      <w:r w:rsidRPr="00C35146">
        <w:rPr>
          <w:rFonts w:hint="eastAsia"/>
          <w:lang w:val="en-US" w:eastAsia="zh-CN"/>
        </w:rPr>
        <w:t>2021</w:t>
      </w:r>
      <w:r w:rsidRPr="00C35146">
        <w:rPr>
          <w:rFonts w:hint="eastAsia"/>
          <w:lang w:val="en-US" w:eastAsia="zh-CN"/>
        </w:rPr>
        <w:t>年，国际电联向捐助</w:t>
      </w:r>
      <w:r>
        <w:rPr>
          <w:rFonts w:hint="eastAsia"/>
          <w:lang w:val="en-US" w:eastAsia="zh-CN"/>
        </w:rPr>
        <w:t>方</w:t>
      </w:r>
      <w:r w:rsidRPr="00C35146">
        <w:rPr>
          <w:rFonts w:hint="eastAsia"/>
          <w:lang w:val="en-US" w:eastAsia="zh-CN"/>
        </w:rPr>
        <w:t>退款并确认了一项资产，目的是从</w:t>
      </w:r>
      <w:r>
        <w:rPr>
          <w:rFonts w:hint="eastAsia"/>
          <w:lang w:val="en-US" w:eastAsia="zh-CN"/>
        </w:rPr>
        <w:t>有欺诈行为的员工</w:t>
      </w:r>
      <w:r w:rsidRPr="00C35146">
        <w:rPr>
          <w:rFonts w:hint="eastAsia"/>
          <w:lang w:val="en-US" w:eastAsia="zh-CN"/>
        </w:rPr>
        <w:t>那里收回不当款项。</w:t>
      </w:r>
    </w:p>
    <w:p w14:paraId="1FE9183F" w14:textId="77777777" w:rsidR="00F14A61" w:rsidRPr="009665AE" w:rsidRDefault="00F14A61" w:rsidP="00D61EB2">
      <w:pPr>
        <w:pStyle w:val="Figure"/>
      </w:pPr>
      <w:r w:rsidRPr="00CE7BE5">
        <w:rPr>
          <w:noProof/>
        </w:rPr>
        <w:drawing>
          <wp:inline distT="0" distB="0" distL="0" distR="0" wp14:anchorId="05B290C0" wp14:editId="2E67D43E">
            <wp:extent cx="5061585" cy="1191260"/>
            <wp:effectExtent l="0" t="0" r="5715" b="8890"/>
            <wp:docPr id="199933410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061585" cy="1191260"/>
                    </a:xfrm>
                    <a:prstGeom prst="rect">
                      <a:avLst/>
                    </a:prstGeom>
                    <a:noFill/>
                    <a:ln>
                      <a:noFill/>
                    </a:ln>
                  </pic:spPr>
                </pic:pic>
              </a:graphicData>
            </a:graphic>
          </wp:inline>
        </w:drawing>
      </w:r>
    </w:p>
    <w:p w14:paraId="4C53E222" w14:textId="77777777" w:rsidR="00F14A61" w:rsidRPr="00775BAF" w:rsidRDefault="00F14A61" w:rsidP="00F14A61">
      <w:pPr>
        <w:pStyle w:val="Heading2"/>
        <w:rPr>
          <w:lang w:eastAsia="zh-CN"/>
        </w:rPr>
      </w:pPr>
      <w:bookmarkStart w:id="838" w:name="lt_pId1321"/>
      <w:r w:rsidRPr="004E4241">
        <w:rPr>
          <w:lang w:eastAsia="zh-CN"/>
        </w:rPr>
        <w:t>13</w:t>
      </w:r>
      <w:r w:rsidRPr="004E4241">
        <w:rPr>
          <w:lang w:eastAsia="zh-CN"/>
        </w:rPr>
        <w:tab/>
      </w:r>
      <w:bookmarkEnd w:id="838"/>
      <w:r w:rsidRPr="004E4241">
        <w:rPr>
          <w:rFonts w:hint="eastAsia"/>
          <w:lang w:eastAsia="zh-CN"/>
        </w:rPr>
        <w:t>借方余额重新分类</w:t>
      </w:r>
    </w:p>
    <w:p w14:paraId="49170380" w14:textId="77777777" w:rsidR="00F14A61" w:rsidRPr="00C35146" w:rsidRDefault="00F14A61" w:rsidP="00F14A61">
      <w:pPr>
        <w:ind w:firstLineChars="200" w:firstLine="480"/>
        <w:rPr>
          <w:lang w:val="en-US" w:eastAsia="zh-CN"/>
        </w:rPr>
      </w:pPr>
      <w:r w:rsidRPr="00C35146">
        <w:rPr>
          <w:rFonts w:hint="eastAsia"/>
          <w:lang w:val="en-US" w:eastAsia="zh-CN"/>
        </w:rPr>
        <w:t>除已收到的贷方票据和已支付的预付款外，某些应付</w:t>
      </w:r>
      <w:r>
        <w:rPr>
          <w:rFonts w:hint="eastAsia"/>
          <w:lang w:val="en-US" w:eastAsia="zh-CN"/>
        </w:rPr>
        <w:t>款</w:t>
      </w:r>
      <w:r w:rsidRPr="00C35146">
        <w:rPr>
          <w:rFonts w:hint="eastAsia"/>
          <w:lang w:val="en-US" w:eastAsia="zh-CN"/>
        </w:rPr>
        <w:t>账</w:t>
      </w:r>
      <w:r>
        <w:rPr>
          <w:rFonts w:hint="eastAsia"/>
          <w:lang w:val="en-US" w:eastAsia="zh-CN"/>
        </w:rPr>
        <w:t>目</w:t>
      </w:r>
      <w:r w:rsidRPr="00C35146">
        <w:rPr>
          <w:rFonts w:hint="eastAsia"/>
          <w:lang w:val="en-US" w:eastAsia="zh-CN"/>
        </w:rPr>
        <w:t>在</w:t>
      </w:r>
      <w:r w:rsidRPr="00C35146">
        <w:rPr>
          <w:rFonts w:hint="eastAsia"/>
          <w:lang w:val="en-US" w:eastAsia="zh-CN"/>
        </w:rPr>
        <w:t>2021</w:t>
      </w:r>
      <w:r w:rsidRPr="00C35146">
        <w:rPr>
          <w:rFonts w:hint="eastAsia"/>
          <w:lang w:val="en-US" w:eastAsia="zh-CN"/>
        </w:rPr>
        <w:t>年末</w:t>
      </w:r>
      <w:r>
        <w:rPr>
          <w:rFonts w:hint="eastAsia"/>
          <w:lang w:val="en-US" w:eastAsia="zh-CN"/>
        </w:rPr>
        <w:t>显示为</w:t>
      </w:r>
      <w:r w:rsidRPr="006D0C2C">
        <w:rPr>
          <w:rFonts w:hint="eastAsia"/>
          <w:lang w:val="en-US" w:eastAsia="zh-CN"/>
        </w:rPr>
        <w:t>借方净差额</w:t>
      </w:r>
      <w:r w:rsidRPr="00C35146">
        <w:rPr>
          <w:rFonts w:hint="eastAsia"/>
          <w:lang w:val="en-US" w:eastAsia="zh-CN"/>
        </w:rPr>
        <w:t>。因此，</w:t>
      </w:r>
      <w:r w:rsidRPr="006D0C2C">
        <w:rPr>
          <w:rFonts w:hint="eastAsia"/>
          <w:lang w:val="en-US" w:eastAsia="zh-CN"/>
        </w:rPr>
        <w:t>借方净差额</w:t>
      </w:r>
      <w:r w:rsidRPr="00C35146">
        <w:rPr>
          <w:rFonts w:hint="eastAsia"/>
          <w:lang w:val="en-US" w:eastAsia="zh-CN"/>
        </w:rPr>
        <w:t>被适当地重新归类</w:t>
      </w:r>
      <w:r>
        <w:rPr>
          <w:rFonts w:hint="eastAsia"/>
          <w:lang w:val="en-US" w:eastAsia="zh-CN"/>
        </w:rPr>
        <w:t>入</w:t>
      </w:r>
      <w:r w:rsidRPr="00C35146">
        <w:rPr>
          <w:rFonts w:hint="eastAsia"/>
          <w:lang w:val="en-US" w:eastAsia="zh-CN"/>
        </w:rPr>
        <w:t>其他应收款。</w:t>
      </w:r>
    </w:p>
    <w:p w14:paraId="12EE147A" w14:textId="77777777" w:rsidR="00F14A61" w:rsidRPr="006D0C2C" w:rsidRDefault="00F14A61" w:rsidP="00F14A61">
      <w:pPr>
        <w:spacing w:after="120"/>
        <w:ind w:firstLineChars="200" w:firstLine="480"/>
        <w:rPr>
          <w:lang w:val="en-US" w:eastAsia="zh-CN"/>
        </w:rPr>
      </w:pPr>
      <w:r>
        <w:rPr>
          <w:rFonts w:hint="eastAsia"/>
          <w:lang w:val="en-US" w:eastAsia="zh-CN"/>
        </w:rPr>
        <w:t>此类</w:t>
      </w:r>
      <w:r w:rsidRPr="00C35146">
        <w:rPr>
          <w:rFonts w:hint="eastAsia"/>
          <w:lang w:val="en-US" w:eastAsia="zh-CN"/>
        </w:rPr>
        <w:t>重</w:t>
      </w:r>
      <w:r>
        <w:rPr>
          <w:rFonts w:hint="eastAsia"/>
          <w:lang w:val="en-US" w:eastAsia="zh-CN"/>
        </w:rPr>
        <w:t>报</w:t>
      </w:r>
      <w:r w:rsidRPr="00C35146">
        <w:rPr>
          <w:rFonts w:hint="eastAsia"/>
          <w:lang w:val="en-US" w:eastAsia="zh-CN"/>
        </w:rPr>
        <w:t>对财务</w:t>
      </w:r>
      <w:r>
        <w:rPr>
          <w:rFonts w:hint="eastAsia"/>
          <w:lang w:val="en-US" w:eastAsia="zh-CN"/>
        </w:rPr>
        <w:t>绩效</w:t>
      </w:r>
      <w:r w:rsidRPr="00C35146">
        <w:rPr>
          <w:rFonts w:hint="eastAsia"/>
          <w:lang w:val="en-US" w:eastAsia="zh-CN"/>
        </w:rPr>
        <w:t>没有任何影响。</w:t>
      </w:r>
    </w:p>
    <w:p w14:paraId="52945107" w14:textId="77777777" w:rsidR="00F14A61" w:rsidRPr="009665AE" w:rsidRDefault="00F14A61" w:rsidP="00D61EB2">
      <w:pPr>
        <w:pStyle w:val="Figure"/>
      </w:pPr>
      <w:r w:rsidRPr="00910A97">
        <w:rPr>
          <w:noProof/>
        </w:rPr>
        <w:drawing>
          <wp:inline distT="0" distB="0" distL="0" distR="0" wp14:anchorId="604614BB" wp14:editId="7B962B56">
            <wp:extent cx="5061585" cy="1017270"/>
            <wp:effectExtent l="0" t="0" r="5715" b="0"/>
            <wp:docPr id="144168154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061585" cy="1017270"/>
                    </a:xfrm>
                    <a:prstGeom prst="rect">
                      <a:avLst/>
                    </a:prstGeom>
                    <a:noFill/>
                    <a:ln>
                      <a:noFill/>
                    </a:ln>
                  </pic:spPr>
                </pic:pic>
              </a:graphicData>
            </a:graphic>
          </wp:inline>
        </w:drawing>
      </w:r>
    </w:p>
    <w:p w14:paraId="1EF5690A" w14:textId="77777777" w:rsidR="00F14A61" w:rsidRPr="002017A9" w:rsidRDefault="00F14A61" w:rsidP="00F14A61">
      <w:pPr>
        <w:pStyle w:val="Heading2"/>
        <w:rPr>
          <w:lang w:eastAsia="zh-CN"/>
        </w:rPr>
      </w:pPr>
      <w:bookmarkStart w:id="839" w:name="lt_pId1325"/>
      <w:r w:rsidRPr="004E4241">
        <w:rPr>
          <w:lang w:eastAsia="zh-CN"/>
        </w:rPr>
        <w:t>14</w:t>
      </w:r>
      <w:r w:rsidRPr="004E4241">
        <w:rPr>
          <w:lang w:eastAsia="zh-CN"/>
        </w:rPr>
        <w:tab/>
      </w:r>
      <w:bookmarkEnd w:id="839"/>
      <w:r w:rsidRPr="004E4241">
        <w:rPr>
          <w:rFonts w:hint="eastAsia"/>
          <w:lang w:eastAsia="zh-CN"/>
        </w:rPr>
        <w:t>为重大活动提供资金</w:t>
      </w:r>
    </w:p>
    <w:p w14:paraId="47CB62E6" w14:textId="77777777" w:rsidR="00F14A61" w:rsidRDefault="00F14A61" w:rsidP="00F14A61">
      <w:pPr>
        <w:ind w:firstLineChars="200" w:firstLine="480"/>
        <w:jc w:val="both"/>
        <w:rPr>
          <w:lang w:eastAsia="zh-CN"/>
        </w:rPr>
      </w:pPr>
      <w:r>
        <w:rPr>
          <w:rFonts w:hint="eastAsia"/>
          <w:lang w:eastAsia="zh-CN"/>
        </w:rPr>
        <w:t>为</w:t>
      </w:r>
      <w:r>
        <w:rPr>
          <w:rFonts w:hint="eastAsia"/>
          <w:lang w:eastAsia="zh-CN"/>
        </w:rPr>
        <w:t>2021</w:t>
      </w:r>
      <w:r>
        <w:rPr>
          <w:rFonts w:hint="eastAsia"/>
          <w:lang w:eastAsia="zh-CN"/>
        </w:rPr>
        <w:t>年发生的某些费用编列了</w:t>
      </w:r>
      <w:r>
        <w:rPr>
          <w:rFonts w:hint="eastAsia"/>
          <w:lang w:eastAsia="zh-CN"/>
        </w:rPr>
        <w:t>158.1</w:t>
      </w:r>
      <w:r>
        <w:rPr>
          <w:rFonts w:hint="eastAsia"/>
          <w:lang w:eastAsia="zh-CN"/>
        </w:rPr>
        <w:t>万瑞郎的预算。然而，相应的活动被推迟到</w:t>
      </w:r>
      <w:r>
        <w:rPr>
          <w:rFonts w:hint="eastAsia"/>
          <w:lang w:eastAsia="zh-CN"/>
        </w:rPr>
        <w:t>2022</w:t>
      </w:r>
      <w:r>
        <w:rPr>
          <w:rFonts w:hint="eastAsia"/>
          <w:lang w:eastAsia="zh-CN"/>
        </w:rPr>
        <w:t>年举办。</w:t>
      </w:r>
    </w:p>
    <w:p w14:paraId="609DE938" w14:textId="77777777" w:rsidR="00F14A61" w:rsidRPr="009665AE" w:rsidRDefault="00F14A61" w:rsidP="00F14A61">
      <w:pPr>
        <w:ind w:firstLineChars="200" w:firstLine="480"/>
        <w:jc w:val="both"/>
        <w:rPr>
          <w:lang w:eastAsia="zh-CN"/>
        </w:rPr>
      </w:pPr>
      <w:r>
        <w:rPr>
          <w:rFonts w:hint="eastAsia"/>
          <w:lang w:eastAsia="zh-CN"/>
        </w:rPr>
        <w:t>国际电联错误地将</w:t>
      </w:r>
      <w:r>
        <w:rPr>
          <w:rFonts w:hint="eastAsia"/>
          <w:lang w:eastAsia="zh-CN"/>
        </w:rPr>
        <w:t>22.7</w:t>
      </w:r>
      <w:r>
        <w:rPr>
          <w:rFonts w:hint="eastAsia"/>
          <w:lang w:eastAsia="zh-CN"/>
        </w:rPr>
        <w:t>万瑞郎的预算金额确认为</w:t>
      </w:r>
      <w:r>
        <w:rPr>
          <w:rFonts w:hint="eastAsia"/>
          <w:lang w:eastAsia="zh-CN"/>
        </w:rPr>
        <w:t>2021</w:t>
      </w:r>
      <w:r>
        <w:rPr>
          <w:rFonts w:hint="eastAsia"/>
          <w:lang w:eastAsia="zh-CN"/>
        </w:rPr>
        <w:t>年的合同服务支出。因此，这些总额共计</w:t>
      </w:r>
      <w:r>
        <w:rPr>
          <w:rFonts w:hint="eastAsia"/>
          <w:lang w:eastAsia="zh-CN"/>
        </w:rPr>
        <w:t>135.4</w:t>
      </w:r>
      <w:r>
        <w:rPr>
          <w:rFonts w:hint="eastAsia"/>
          <w:lang w:eastAsia="zh-CN"/>
        </w:rPr>
        <w:t>万瑞郎的交易已被取销，并在</w:t>
      </w:r>
      <w:r>
        <w:rPr>
          <w:rFonts w:hint="eastAsia"/>
          <w:lang w:eastAsia="zh-CN"/>
        </w:rPr>
        <w:t>2022</w:t>
      </w:r>
      <w:r>
        <w:rPr>
          <w:rFonts w:hint="eastAsia"/>
          <w:lang w:eastAsia="zh-CN"/>
        </w:rPr>
        <w:t>年发生时进一步确认。</w:t>
      </w:r>
    </w:p>
    <w:p w14:paraId="2508F71E" w14:textId="77777777" w:rsidR="00F14A61" w:rsidRPr="009665AE" w:rsidRDefault="00F14A61" w:rsidP="0084762D">
      <w:pPr>
        <w:pStyle w:val="Figure"/>
        <w:keepNext w:val="0"/>
        <w:keepLines w:val="0"/>
      </w:pPr>
      <w:r w:rsidRPr="00DF6708">
        <w:rPr>
          <w:noProof/>
        </w:rPr>
        <w:drawing>
          <wp:inline distT="0" distB="0" distL="0" distR="0" wp14:anchorId="4B09878A" wp14:editId="5EAE7F8F">
            <wp:extent cx="5760085" cy="923290"/>
            <wp:effectExtent l="0" t="0" r="0" b="0"/>
            <wp:docPr id="3936911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760085" cy="923290"/>
                    </a:xfrm>
                    <a:prstGeom prst="rect">
                      <a:avLst/>
                    </a:prstGeom>
                    <a:noFill/>
                    <a:ln>
                      <a:noFill/>
                    </a:ln>
                  </pic:spPr>
                </pic:pic>
              </a:graphicData>
            </a:graphic>
          </wp:inline>
        </w:drawing>
      </w:r>
    </w:p>
    <w:p w14:paraId="63FCF158" w14:textId="77777777" w:rsidR="00F14A61" w:rsidRPr="004E4241" w:rsidRDefault="00F14A61" w:rsidP="00F14A61">
      <w:pPr>
        <w:pStyle w:val="Heading2"/>
        <w:rPr>
          <w:lang w:eastAsia="zh-CN"/>
        </w:rPr>
      </w:pPr>
      <w:bookmarkStart w:id="840" w:name="lt_pId1330"/>
      <w:r w:rsidRPr="004E4241">
        <w:rPr>
          <w:lang w:eastAsia="zh-CN"/>
        </w:rPr>
        <w:lastRenderedPageBreak/>
        <w:t>15</w:t>
      </w:r>
      <w:r w:rsidRPr="004E4241">
        <w:rPr>
          <w:lang w:eastAsia="zh-CN"/>
        </w:rPr>
        <w:tab/>
      </w:r>
      <w:bookmarkEnd w:id="840"/>
      <w:r w:rsidRPr="004E4241">
        <w:rPr>
          <w:rFonts w:hint="eastAsia"/>
          <w:lang w:eastAsia="zh-CN"/>
        </w:rPr>
        <w:t>针对</w:t>
      </w:r>
      <w:r w:rsidRPr="004E4241">
        <w:rPr>
          <w:rFonts w:hint="eastAsia"/>
          <w:lang w:eastAsia="zh-CN"/>
        </w:rPr>
        <w:t>ICT</w:t>
      </w:r>
      <w:r w:rsidRPr="004E4241">
        <w:rPr>
          <w:rFonts w:hint="eastAsia"/>
          <w:lang w:eastAsia="zh-CN"/>
        </w:rPr>
        <w:t>博物馆和波波夫厅的捐赠</w:t>
      </w:r>
    </w:p>
    <w:p w14:paraId="79C3A6B0" w14:textId="77777777" w:rsidR="00F14A61" w:rsidRPr="009665AE" w:rsidRDefault="00F14A61" w:rsidP="00F14A61">
      <w:pPr>
        <w:ind w:firstLineChars="200" w:firstLine="480"/>
        <w:jc w:val="both"/>
        <w:rPr>
          <w:lang w:eastAsia="zh-CN"/>
        </w:rPr>
      </w:pPr>
      <w:r w:rsidRPr="00107FA5">
        <w:rPr>
          <w:rFonts w:hint="eastAsia"/>
          <w:lang w:val="en-US" w:eastAsia="zh-CN"/>
        </w:rPr>
        <w:t>国际电联错误地记录了</w:t>
      </w:r>
      <w:r w:rsidRPr="00107FA5">
        <w:rPr>
          <w:rFonts w:hint="eastAsia"/>
          <w:lang w:val="en-US" w:eastAsia="zh-CN"/>
        </w:rPr>
        <w:t>2020</w:t>
      </w:r>
      <w:r w:rsidRPr="00107FA5">
        <w:rPr>
          <w:rFonts w:hint="eastAsia"/>
          <w:lang w:val="en-US" w:eastAsia="zh-CN"/>
        </w:rPr>
        <w:t>年和</w:t>
      </w:r>
      <w:r w:rsidRPr="00107FA5">
        <w:rPr>
          <w:rFonts w:hint="eastAsia"/>
          <w:lang w:val="en-US" w:eastAsia="zh-CN"/>
        </w:rPr>
        <w:t>2021</w:t>
      </w:r>
      <w:r w:rsidRPr="00107FA5">
        <w:rPr>
          <w:rFonts w:hint="eastAsia"/>
          <w:lang w:val="en-US" w:eastAsia="zh-CN"/>
        </w:rPr>
        <w:t>年有关</w:t>
      </w:r>
      <w:r w:rsidRPr="00107FA5">
        <w:rPr>
          <w:rFonts w:hint="eastAsia"/>
          <w:lang w:val="en-US" w:eastAsia="zh-CN"/>
        </w:rPr>
        <w:t>ICT</w:t>
      </w:r>
      <w:r w:rsidRPr="00107FA5">
        <w:rPr>
          <w:rFonts w:hint="eastAsia"/>
          <w:lang w:val="en-US" w:eastAsia="zh-CN"/>
        </w:rPr>
        <w:t>博物馆和波波夫厅的赞助收入。关于</w:t>
      </w:r>
      <w:r w:rsidRPr="00107FA5">
        <w:rPr>
          <w:rFonts w:hint="eastAsia"/>
          <w:lang w:val="en-US" w:eastAsia="zh-CN"/>
        </w:rPr>
        <w:t>I</w:t>
      </w:r>
      <w:r w:rsidRPr="00107FA5">
        <w:rPr>
          <w:lang w:val="en-US" w:eastAsia="zh-CN"/>
        </w:rPr>
        <w:t>CT</w:t>
      </w:r>
      <w:r w:rsidRPr="00107FA5">
        <w:rPr>
          <w:rFonts w:hint="eastAsia"/>
          <w:lang w:val="en-US" w:eastAsia="zh-CN"/>
        </w:rPr>
        <w:t>博物馆和波波夫厅的捐赠记账已经取消。</w:t>
      </w:r>
    </w:p>
    <w:p w14:paraId="61DEB974" w14:textId="77777777" w:rsidR="00F14A61" w:rsidRPr="009665AE" w:rsidRDefault="00F14A61" w:rsidP="0084762D">
      <w:pPr>
        <w:pStyle w:val="Figure"/>
      </w:pPr>
      <w:r w:rsidRPr="00775373">
        <w:rPr>
          <w:noProof/>
        </w:rPr>
        <w:drawing>
          <wp:inline distT="0" distB="0" distL="0" distR="0" wp14:anchorId="1D5F22D2" wp14:editId="39ACF673">
            <wp:extent cx="5760085" cy="1060450"/>
            <wp:effectExtent l="0" t="0" r="0" b="6350"/>
            <wp:docPr id="10558700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760085" cy="1060450"/>
                    </a:xfrm>
                    <a:prstGeom prst="rect">
                      <a:avLst/>
                    </a:prstGeom>
                    <a:noFill/>
                    <a:ln>
                      <a:noFill/>
                    </a:ln>
                  </pic:spPr>
                </pic:pic>
              </a:graphicData>
            </a:graphic>
          </wp:inline>
        </w:drawing>
      </w:r>
    </w:p>
    <w:p w14:paraId="387D795F" w14:textId="77777777" w:rsidR="00F14A61" w:rsidRPr="004E4241" w:rsidRDefault="00F14A61" w:rsidP="00F14A61">
      <w:pPr>
        <w:pStyle w:val="Heading2"/>
        <w:rPr>
          <w:lang w:eastAsia="zh-CN"/>
        </w:rPr>
      </w:pPr>
      <w:bookmarkStart w:id="841" w:name="lt_pId1333"/>
      <w:r w:rsidRPr="004E4241">
        <w:rPr>
          <w:lang w:eastAsia="zh-CN"/>
        </w:rPr>
        <w:t>16</w:t>
      </w:r>
      <w:r w:rsidRPr="004E4241">
        <w:rPr>
          <w:lang w:eastAsia="zh-CN"/>
        </w:rPr>
        <w:tab/>
      </w:r>
      <w:bookmarkEnd w:id="841"/>
      <w:r w:rsidRPr="004E4241">
        <w:rPr>
          <w:rFonts w:hint="eastAsia"/>
          <w:lang w:eastAsia="zh-CN"/>
        </w:rPr>
        <w:t>支出的抵消</w:t>
      </w:r>
    </w:p>
    <w:p w14:paraId="40A6105F" w14:textId="77777777" w:rsidR="00F14A61" w:rsidRPr="009665AE" w:rsidRDefault="00F14A61" w:rsidP="00F14A61">
      <w:pPr>
        <w:ind w:firstLineChars="200" w:firstLine="480"/>
        <w:jc w:val="both"/>
        <w:rPr>
          <w:lang w:eastAsia="zh-CN"/>
        </w:rPr>
      </w:pPr>
      <w:r w:rsidRPr="00C35146">
        <w:rPr>
          <w:rFonts w:hint="eastAsia"/>
          <w:lang w:eastAsia="zh-CN"/>
        </w:rPr>
        <w:t>下述分录与国际电联日常</w:t>
      </w:r>
      <w:r>
        <w:rPr>
          <w:rFonts w:hint="eastAsia"/>
          <w:lang w:eastAsia="zh-CN"/>
        </w:rPr>
        <w:t>运作</w:t>
      </w:r>
      <w:r w:rsidRPr="00C35146">
        <w:rPr>
          <w:rFonts w:hint="eastAsia"/>
          <w:lang w:eastAsia="zh-CN"/>
        </w:rPr>
        <w:t>会计</w:t>
      </w:r>
      <w:r>
        <w:rPr>
          <w:rFonts w:hint="eastAsia"/>
          <w:lang w:eastAsia="zh-CN"/>
        </w:rPr>
        <w:t>支出</w:t>
      </w:r>
      <w:r w:rsidRPr="00C35146">
        <w:rPr>
          <w:rFonts w:hint="eastAsia"/>
          <w:lang w:eastAsia="zh-CN"/>
        </w:rPr>
        <w:t>的抵销有关。不应抵消</w:t>
      </w:r>
      <w:r>
        <w:rPr>
          <w:rFonts w:hint="eastAsia"/>
          <w:lang w:eastAsia="zh-CN"/>
        </w:rPr>
        <w:t>此金</w:t>
      </w:r>
      <w:r w:rsidRPr="00C35146">
        <w:rPr>
          <w:rFonts w:hint="eastAsia"/>
          <w:lang w:eastAsia="zh-CN"/>
        </w:rPr>
        <w:t>额，而应</w:t>
      </w:r>
      <w:r>
        <w:rPr>
          <w:rFonts w:hint="eastAsia"/>
          <w:lang w:eastAsia="zh-CN"/>
        </w:rPr>
        <w:t>将其</w:t>
      </w:r>
      <w:r w:rsidRPr="00C35146">
        <w:rPr>
          <w:rFonts w:hint="eastAsia"/>
          <w:lang w:eastAsia="zh-CN"/>
        </w:rPr>
        <w:t>确认为收入和</w:t>
      </w:r>
      <w:r>
        <w:rPr>
          <w:rFonts w:hint="eastAsia"/>
          <w:lang w:eastAsia="zh-CN"/>
        </w:rPr>
        <w:t>支出</w:t>
      </w:r>
      <w:r w:rsidRPr="00C35146">
        <w:rPr>
          <w:rFonts w:hint="eastAsia"/>
          <w:lang w:eastAsia="zh-CN"/>
        </w:rPr>
        <w:t>。</w:t>
      </w:r>
    </w:p>
    <w:p w14:paraId="3DCEE4B4" w14:textId="77777777" w:rsidR="00F14A61" w:rsidRPr="009665AE" w:rsidRDefault="00F14A61" w:rsidP="0084762D">
      <w:pPr>
        <w:pStyle w:val="Figure"/>
      </w:pPr>
      <w:r w:rsidRPr="00944396">
        <w:rPr>
          <w:noProof/>
        </w:rPr>
        <w:drawing>
          <wp:inline distT="0" distB="0" distL="0" distR="0" wp14:anchorId="33D93110" wp14:editId="3B7766F5">
            <wp:extent cx="5093335" cy="862965"/>
            <wp:effectExtent l="0" t="0" r="0" b="0"/>
            <wp:docPr id="56924501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093335" cy="862965"/>
                    </a:xfrm>
                    <a:prstGeom prst="rect">
                      <a:avLst/>
                    </a:prstGeom>
                    <a:noFill/>
                    <a:ln>
                      <a:noFill/>
                    </a:ln>
                  </pic:spPr>
                </pic:pic>
              </a:graphicData>
            </a:graphic>
          </wp:inline>
        </w:drawing>
      </w:r>
    </w:p>
    <w:p w14:paraId="45289F36" w14:textId="77777777" w:rsidR="00F14A61" w:rsidRPr="004E4241" w:rsidRDefault="00F14A61" w:rsidP="00F14A61">
      <w:pPr>
        <w:pStyle w:val="Headingb"/>
        <w:rPr>
          <w:lang w:eastAsia="zh-CN"/>
        </w:rPr>
      </w:pPr>
      <w:bookmarkStart w:id="842" w:name="lt_pId1336"/>
      <w:r w:rsidRPr="004E4241">
        <w:rPr>
          <w:lang w:eastAsia="zh-CN"/>
        </w:rPr>
        <w:t>17</w:t>
      </w:r>
      <w:r w:rsidRPr="004E4241">
        <w:rPr>
          <w:lang w:eastAsia="zh-CN"/>
        </w:rPr>
        <w:tab/>
      </w:r>
      <w:bookmarkEnd w:id="842"/>
      <w:r w:rsidRPr="004E4241">
        <w:rPr>
          <w:rFonts w:hint="eastAsia"/>
          <w:lang w:eastAsia="zh-CN"/>
        </w:rPr>
        <w:t>第三方已结账户</w:t>
      </w:r>
    </w:p>
    <w:p w14:paraId="4270C1F2" w14:textId="77777777" w:rsidR="00F14A61" w:rsidRDefault="00F14A61" w:rsidP="00F14A61">
      <w:pPr>
        <w:ind w:firstLineChars="200" w:firstLine="480"/>
        <w:jc w:val="both"/>
        <w:rPr>
          <w:lang w:eastAsia="zh-CN"/>
        </w:rPr>
      </w:pPr>
      <w:r>
        <w:rPr>
          <w:rFonts w:hint="eastAsia"/>
          <w:lang w:eastAsia="zh-CN"/>
        </w:rPr>
        <w:t>2021</w:t>
      </w:r>
      <w:r>
        <w:rPr>
          <w:rFonts w:hint="eastAsia"/>
          <w:lang w:eastAsia="zh-CN"/>
        </w:rPr>
        <w:t>年，国际电联发现，第三方已结账户下的未付余额为</w:t>
      </w:r>
      <w:r>
        <w:rPr>
          <w:rFonts w:hint="eastAsia"/>
          <w:lang w:eastAsia="zh-CN"/>
        </w:rPr>
        <w:t>35</w:t>
      </w:r>
      <w:r>
        <w:rPr>
          <w:rFonts w:hint="eastAsia"/>
          <w:lang w:eastAsia="zh-CN"/>
        </w:rPr>
        <w:t>瑞郎，本应在相关项目完成时结清。</w:t>
      </w:r>
    </w:p>
    <w:p w14:paraId="7ACD26E5" w14:textId="77777777" w:rsidR="00F14A61" w:rsidRPr="009665AE" w:rsidRDefault="00F14A61" w:rsidP="00F14A61">
      <w:pPr>
        <w:ind w:firstLineChars="200" w:firstLine="480"/>
        <w:jc w:val="both"/>
        <w:rPr>
          <w:lang w:eastAsia="zh-CN"/>
        </w:rPr>
      </w:pPr>
      <w:r>
        <w:rPr>
          <w:rFonts w:hint="eastAsia"/>
          <w:lang w:eastAsia="zh-CN"/>
        </w:rPr>
        <w:t>因此，国际电联将此类未付余额转为累计盈余。</w:t>
      </w:r>
    </w:p>
    <w:p w14:paraId="2B5A120F" w14:textId="77777777" w:rsidR="00F14A61" w:rsidRPr="009665AE" w:rsidRDefault="00F14A61" w:rsidP="0084762D">
      <w:pPr>
        <w:pStyle w:val="Figure"/>
      </w:pPr>
      <w:r w:rsidRPr="00944396">
        <w:rPr>
          <w:noProof/>
        </w:rPr>
        <w:drawing>
          <wp:inline distT="0" distB="0" distL="0" distR="0" wp14:anchorId="50E0B2CA" wp14:editId="5737BDAF">
            <wp:extent cx="5389880" cy="875665"/>
            <wp:effectExtent l="0" t="0" r="1270" b="635"/>
            <wp:docPr id="1925155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389880" cy="875665"/>
                    </a:xfrm>
                    <a:prstGeom prst="rect">
                      <a:avLst/>
                    </a:prstGeom>
                    <a:noFill/>
                    <a:ln>
                      <a:noFill/>
                    </a:ln>
                  </pic:spPr>
                </pic:pic>
              </a:graphicData>
            </a:graphic>
          </wp:inline>
        </w:drawing>
      </w:r>
    </w:p>
    <w:p w14:paraId="39738E75" w14:textId="77777777" w:rsidR="00F14A61" w:rsidRPr="004E4241" w:rsidRDefault="00F14A61" w:rsidP="00F14A61">
      <w:pPr>
        <w:pStyle w:val="Heading2"/>
        <w:rPr>
          <w:lang w:eastAsia="zh-CN"/>
        </w:rPr>
      </w:pPr>
      <w:bookmarkStart w:id="843" w:name="lt_pId1339"/>
      <w:r w:rsidRPr="004E4241">
        <w:rPr>
          <w:lang w:eastAsia="zh-CN"/>
        </w:rPr>
        <w:t>18</w:t>
      </w:r>
      <w:r w:rsidRPr="004E4241">
        <w:rPr>
          <w:lang w:eastAsia="zh-CN"/>
        </w:rPr>
        <w:tab/>
      </w:r>
      <w:bookmarkEnd w:id="843"/>
      <w:r w:rsidRPr="004E4241">
        <w:rPr>
          <w:rFonts w:hint="eastAsia"/>
          <w:lang w:eastAsia="zh-CN"/>
        </w:rPr>
        <w:t>历史损失</w:t>
      </w:r>
    </w:p>
    <w:p w14:paraId="212D0382" w14:textId="77777777" w:rsidR="00F14A61" w:rsidRDefault="00F14A61" w:rsidP="00F14A61">
      <w:pPr>
        <w:spacing w:line="259" w:lineRule="auto"/>
        <w:ind w:firstLineChars="200" w:firstLine="480"/>
        <w:jc w:val="both"/>
        <w:rPr>
          <w:lang w:eastAsia="zh-CN"/>
        </w:rPr>
      </w:pPr>
      <w:r>
        <w:rPr>
          <w:rFonts w:hint="eastAsia"/>
          <w:lang w:eastAsia="zh-CN"/>
        </w:rPr>
        <w:t>2021</w:t>
      </w:r>
      <w:r>
        <w:rPr>
          <w:rFonts w:hint="eastAsia"/>
          <w:lang w:eastAsia="zh-CN"/>
        </w:rPr>
        <w:t>年，国际电联通过借记应收账目而非相关项目账目，确认了项目汇兑损益的净收益。</w:t>
      </w:r>
    </w:p>
    <w:p w14:paraId="56EC665F" w14:textId="77777777" w:rsidR="00F14A61" w:rsidRPr="009665AE" w:rsidRDefault="00F14A61" w:rsidP="00F14A61">
      <w:pPr>
        <w:spacing w:line="259" w:lineRule="auto"/>
        <w:ind w:firstLineChars="200" w:firstLine="480"/>
        <w:jc w:val="both"/>
        <w:rPr>
          <w:lang w:eastAsia="zh-CN"/>
        </w:rPr>
      </w:pPr>
      <w:r>
        <w:rPr>
          <w:rFonts w:hint="eastAsia"/>
          <w:lang w:eastAsia="zh-CN"/>
        </w:rPr>
        <w:t>因此，这种正净收益已被重新归类到项目账目。</w:t>
      </w:r>
    </w:p>
    <w:p w14:paraId="462023AD" w14:textId="77777777" w:rsidR="00F14A61" w:rsidRPr="009665AE" w:rsidRDefault="00F14A61" w:rsidP="0084762D">
      <w:pPr>
        <w:pStyle w:val="Figure"/>
      </w:pPr>
      <w:r w:rsidRPr="00944396">
        <w:rPr>
          <w:noProof/>
        </w:rPr>
        <w:drawing>
          <wp:inline distT="0" distB="0" distL="0" distR="0" wp14:anchorId="1074B54C" wp14:editId="685BEC77">
            <wp:extent cx="5460365" cy="843280"/>
            <wp:effectExtent l="0" t="0" r="6985" b="0"/>
            <wp:docPr id="16694413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460365" cy="843280"/>
                    </a:xfrm>
                    <a:prstGeom prst="rect">
                      <a:avLst/>
                    </a:prstGeom>
                    <a:noFill/>
                    <a:ln>
                      <a:noFill/>
                    </a:ln>
                  </pic:spPr>
                </pic:pic>
              </a:graphicData>
            </a:graphic>
          </wp:inline>
        </w:drawing>
      </w:r>
    </w:p>
    <w:p w14:paraId="5A058388" w14:textId="77777777" w:rsidR="00F14A61" w:rsidRPr="004E4241" w:rsidRDefault="00F14A61" w:rsidP="00F14A61">
      <w:pPr>
        <w:pStyle w:val="Heading2"/>
        <w:rPr>
          <w:lang w:eastAsia="zh-CN"/>
        </w:rPr>
      </w:pPr>
      <w:bookmarkStart w:id="844" w:name="lt_pId1342"/>
      <w:bookmarkStart w:id="845" w:name="_Toc482894263"/>
      <w:bookmarkStart w:id="846" w:name="_Toc358364829"/>
      <w:r w:rsidRPr="004E4241">
        <w:rPr>
          <w:lang w:eastAsia="zh-CN"/>
        </w:rPr>
        <w:t>19</w:t>
      </w:r>
      <w:r w:rsidRPr="004E4241">
        <w:rPr>
          <w:lang w:eastAsia="zh-CN"/>
        </w:rPr>
        <w:tab/>
      </w:r>
      <w:bookmarkEnd w:id="844"/>
      <w:r w:rsidRPr="004E4241">
        <w:rPr>
          <w:rFonts w:hint="eastAsia"/>
          <w:lang w:eastAsia="zh-CN"/>
        </w:rPr>
        <w:t>养恤金</w:t>
      </w:r>
    </w:p>
    <w:p w14:paraId="2093D086" w14:textId="77777777" w:rsidR="00F14A61" w:rsidRPr="00C35146" w:rsidRDefault="00F14A61" w:rsidP="00F14A61">
      <w:pPr>
        <w:ind w:firstLineChars="200" w:firstLine="480"/>
        <w:jc w:val="both"/>
        <w:rPr>
          <w:lang w:val="en-US" w:eastAsia="zh-CN"/>
        </w:rPr>
      </w:pPr>
      <w:r w:rsidRPr="00C35146">
        <w:rPr>
          <w:rFonts w:hint="eastAsia"/>
          <w:lang w:val="en-US" w:eastAsia="zh-CN"/>
        </w:rPr>
        <w:t>2020</w:t>
      </w:r>
      <w:r w:rsidRPr="00C35146">
        <w:rPr>
          <w:rFonts w:hint="eastAsia"/>
          <w:lang w:val="en-US" w:eastAsia="zh-CN"/>
        </w:rPr>
        <w:t>年，</w:t>
      </w:r>
      <w:r>
        <w:rPr>
          <w:rFonts w:hint="eastAsia"/>
          <w:lang w:val="en-US" w:eastAsia="zh-CN"/>
        </w:rPr>
        <w:t>我</w:t>
      </w:r>
      <w:r w:rsidRPr="00C35146">
        <w:rPr>
          <w:rFonts w:hint="eastAsia"/>
          <w:lang w:val="en-US" w:eastAsia="zh-CN"/>
        </w:rPr>
        <w:t>们发现在</w:t>
      </w:r>
      <w:r w:rsidRPr="00DE4960">
        <w:rPr>
          <w:lang w:val="en-US" w:eastAsia="zh-CN"/>
        </w:rPr>
        <w:t>UNSPF</w:t>
      </w:r>
      <w:r w:rsidRPr="00C35146">
        <w:rPr>
          <w:rFonts w:hint="eastAsia"/>
          <w:lang w:val="en-US" w:eastAsia="zh-CN"/>
        </w:rPr>
        <w:t>做出决定和养恤金领取人提前去世后，国际电联多年来积累的养恤金负债实际上并未到期。</w:t>
      </w:r>
    </w:p>
    <w:p w14:paraId="61B36F88" w14:textId="77777777" w:rsidR="00F14A61" w:rsidRPr="009665AE" w:rsidRDefault="00F14A61" w:rsidP="00F14A61">
      <w:pPr>
        <w:ind w:firstLineChars="200" w:firstLine="480"/>
        <w:jc w:val="both"/>
        <w:rPr>
          <w:lang w:val="en-US" w:eastAsia="zh-CN"/>
        </w:rPr>
      </w:pPr>
      <w:r w:rsidRPr="00C35146">
        <w:rPr>
          <w:rFonts w:hint="eastAsia"/>
          <w:lang w:val="en-US" w:eastAsia="zh-CN"/>
        </w:rPr>
        <w:t>因此，</w:t>
      </w:r>
      <w:r w:rsidRPr="00C35146">
        <w:rPr>
          <w:rFonts w:hint="eastAsia"/>
          <w:lang w:val="en-US" w:eastAsia="zh-CN"/>
        </w:rPr>
        <w:t>2020</w:t>
      </w:r>
      <w:r w:rsidRPr="00C35146">
        <w:rPr>
          <w:rFonts w:hint="eastAsia"/>
          <w:lang w:val="en-US" w:eastAsia="zh-CN"/>
        </w:rPr>
        <w:t>年国际电联</w:t>
      </w:r>
      <w:r>
        <w:rPr>
          <w:rFonts w:hint="eastAsia"/>
          <w:lang w:val="en-US" w:eastAsia="zh-CN"/>
        </w:rPr>
        <w:t>取消了相关</w:t>
      </w:r>
      <w:r w:rsidRPr="00C35146">
        <w:rPr>
          <w:rFonts w:hint="eastAsia"/>
          <w:lang w:val="en-US" w:eastAsia="zh-CN"/>
        </w:rPr>
        <w:t>未偿负债，并将净收益转入</w:t>
      </w:r>
      <w:r>
        <w:rPr>
          <w:rFonts w:hint="eastAsia"/>
          <w:lang w:val="en-US" w:eastAsia="zh-CN"/>
        </w:rPr>
        <w:t>储</w:t>
      </w:r>
      <w:r w:rsidRPr="00C35146">
        <w:rPr>
          <w:rFonts w:hint="eastAsia"/>
          <w:lang w:val="en-US" w:eastAsia="zh-CN"/>
        </w:rPr>
        <w:t>备金。</w:t>
      </w:r>
    </w:p>
    <w:p w14:paraId="3BCA9FDB" w14:textId="77777777" w:rsidR="00F14A61" w:rsidRPr="00775BAF" w:rsidRDefault="00F14A61" w:rsidP="0084762D">
      <w:pPr>
        <w:pStyle w:val="Figure"/>
      </w:pPr>
      <w:r w:rsidRPr="00944396">
        <w:rPr>
          <w:noProof/>
        </w:rPr>
        <w:lastRenderedPageBreak/>
        <w:drawing>
          <wp:inline distT="0" distB="0" distL="0" distR="0" wp14:anchorId="298B727D" wp14:editId="65B3F668">
            <wp:extent cx="5460365" cy="856615"/>
            <wp:effectExtent l="0" t="0" r="6985" b="635"/>
            <wp:docPr id="29059337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460365" cy="856615"/>
                    </a:xfrm>
                    <a:prstGeom prst="rect">
                      <a:avLst/>
                    </a:prstGeom>
                    <a:noFill/>
                    <a:ln>
                      <a:noFill/>
                    </a:ln>
                  </pic:spPr>
                </pic:pic>
              </a:graphicData>
            </a:graphic>
          </wp:inline>
        </w:drawing>
      </w:r>
    </w:p>
    <w:p w14:paraId="67635A2A" w14:textId="77777777" w:rsidR="00F14A61" w:rsidRPr="004E4241" w:rsidRDefault="00F14A61" w:rsidP="00F14A61">
      <w:pPr>
        <w:pStyle w:val="Heading2"/>
        <w:rPr>
          <w:lang w:eastAsia="zh-CN"/>
        </w:rPr>
      </w:pPr>
      <w:bookmarkStart w:id="847" w:name="lt_pId1345"/>
      <w:r w:rsidRPr="004E4241">
        <w:rPr>
          <w:lang w:eastAsia="zh-CN"/>
        </w:rPr>
        <w:t>20</w:t>
      </w:r>
      <w:r w:rsidRPr="004E4241">
        <w:rPr>
          <w:lang w:eastAsia="zh-CN"/>
        </w:rPr>
        <w:tab/>
      </w:r>
      <w:bookmarkEnd w:id="847"/>
      <w:r w:rsidRPr="004E4241">
        <w:rPr>
          <w:rFonts w:hint="eastAsia"/>
          <w:lang w:eastAsia="zh-CN"/>
        </w:rPr>
        <w:t>未实现的外汇损益</w:t>
      </w:r>
    </w:p>
    <w:p w14:paraId="6986F3A4" w14:textId="77777777" w:rsidR="00F14A61" w:rsidRDefault="00F14A61" w:rsidP="00F14A61">
      <w:pPr>
        <w:ind w:firstLineChars="200" w:firstLine="480"/>
        <w:jc w:val="both"/>
        <w:rPr>
          <w:lang w:eastAsia="zh-CN"/>
        </w:rPr>
      </w:pPr>
      <w:r>
        <w:rPr>
          <w:rFonts w:hint="eastAsia"/>
          <w:lang w:eastAsia="zh-CN"/>
        </w:rPr>
        <w:t>我们发现国际电联确认的</w:t>
      </w:r>
      <w:r>
        <w:rPr>
          <w:rFonts w:hint="eastAsia"/>
          <w:lang w:eastAsia="zh-CN"/>
        </w:rPr>
        <w:t>2010</w:t>
      </w:r>
      <w:r>
        <w:rPr>
          <w:rFonts w:hint="eastAsia"/>
          <w:lang w:eastAsia="zh-CN"/>
        </w:rPr>
        <w:t>年至</w:t>
      </w:r>
      <w:r>
        <w:rPr>
          <w:rFonts w:hint="eastAsia"/>
          <w:lang w:eastAsia="zh-CN"/>
        </w:rPr>
        <w:t>2020</w:t>
      </w:r>
      <w:r>
        <w:rPr>
          <w:rFonts w:hint="eastAsia"/>
          <w:lang w:eastAsia="zh-CN"/>
        </w:rPr>
        <w:t>年期间未实现的外汇损益，是使用错误的外汇汇率计算的。</w:t>
      </w:r>
    </w:p>
    <w:p w14:paraId="793DDA7A" w14:textId="77777777" w:rsidR="00F14A61" w:rsidRPr="009665AE" w:rsidRDefault="00F14A61" w:rsidP="00F14A61">
      <w:pPr>
        <w:ind w:firstLineChars="200" w:firstLine="480"/>
        <w:jc w:val="both"/>
        <w:rPr>
          <w:lang w:eastAsia="zh-CN"/>
        </w:rPr>
      </w:pPr>
      <w:r>
        <w:rPr>
          <w:rFonts w:hint="eastAsia"/>
          <w:lang w:eastAsia="zh-CN"/>
        </w:rPr>
        <w:t>因此，我们使用每个区间的适当汇率重新计算了未实现的外汇损益。</w:t>
      </w:r>
    </w:p>
    <w:p w14:paraId="54F37CD8" w14:textId="77777777" w:rsidR="00F14A61" w:rsidRPr="009665AE" w:rsidRDefault="00F14A61" w:rsidP="0084762D">
      <w:pPr>
        <w:pStyle w:val="Figure"/>
      </w:pPr>
      <w:r w:rsidRPr="00944396">
        <w:rPr>
          <w:noProof/>
        </w:rPr>
        <w:drawing>
          <wp:inline distT="0" distB="0" distL="0" distR="0" wp14:anchorId="4400DB2F" wp14:editId="6FE56706">
            <wp:extent cx="5177155" cy="1010920"/>
            <wp:effectExtent l="0" t="0" r="4445" b="0"/>
            <wp:docPr id="38104537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177155" cy="1010920"/>
                    </a:xfrm>
                    <a:prstGeom prst="rect">
                      <a:avLst/>
                    </a:prstGeom>
                    <a:noFill/>
                    <a:ln>
                      <a:noFill/>
                    </a:ln>
                  </pic:spPr>
                </pic:pic>
              </a:graphicData>
            </a:graphic>
          </wp:inline>
        </w:drawing>
      </w:r>
    </w:p>
    <w:p w14:paraId="1C09547F" w14:textId="77777777" w:rsidR="00F14A61" w:rsidRPr="004E4241" w:rsidRDefault="00F14A61" w:rsidP="00F14A61">
      <w:pPr>
        <w:pStyle w:val="Heading2"/>
        <w:rPr>
          <w:lang w:eastAsia="zh-CN"/>
        </w:rPr>
      </w:pPr>
      <w:bookmarkStart w:id="848" w:name="lt_pId1348"/>
      <w:r w:rsidRPr="004E4241">
        <w:rPr>
          <w:lang w:eastAsia="zh-CN"/>
        </w:rPr>
        <w:t>21</w:t>
      </w:r>
      <w:r w:rsidRPr="004E4241">
        <w:rPr>
          <w:lang w:eastAsia="zh-CN"/>
        </w:rPr>
        <w:tab/>
      </w:r>
      <w:bookmarkEnd w:id="848"/>
      <w:r w:rsidRPr="004E4241">
        <w:rPr>
          <w:rFonts w:hint="eastAsia"/>
          <w:lang w:eastAsia="zh-CN"/>
        </w:rPr>
        <w:t>已实现和未实现的外汇损益</w:t>
      </w:r>
    </w:p>
    <w:p w14:paraId="2CFB4070" w14:textId="77777777" w:rsidR="00F14A61" w:rsidRPr="009665AE" w:rsidRDefault="00F14A61" w:rsidP="00F14A61">
      <w:pPr>
        <w:ind w:firstLineChars="200" w:firstLine="480"/>
        <w:jc w:val="both"/>
        <w:rPr>
          <w:lang w:eastAsia="zh-CN"/>
        </w:rPr>
      </w:pPr>
      <w:r w:rsidRPr="00C35146">
        <w:rPr>
          <w:rFonts w:hint="eastAsia"/>
          <w:lang w:eastAsia="zh-CN"/>
        </w:rPr>
        <w:t>2021</w:t>
      </w:r>
      <w:r w:rsidRPr="00C35146">
        <w:rPr>
          <w:rFonts w:hint="eastAsia"/>
          <w:lang w:eastAsia="zh-CN"/>
        </w:rPr>
        <w:t>年，国际电联记录</w:t>
      </w:r>
      <w:r>
        <w:rPr>
          <w:rFonts w:hint="eastAsia"/>
          <w:lang w:eastAsia="zh-CN"/>
        </w:rPr>
        <w:t>的</w:t>
      </w:r>
      <w:r w:rsidRPr="00C35146">
        <w:rPr>
          <w:rFonts w:hint="eastAsia"/>
          <w:lang w:eastAsia="zh-CN"/>
        </w:rPr>
        <w:t>未实现外汇损益</w:t>
      </w:r>
      <w:r>
        <w:rPr>
          <w:rFonts w:hint="eastAsia"/>
          <w:lang w:eastAsia="zh-CN"/>
        </w:rPr>
        <w:t>，涉及</w:t>
      </w:r>
      <w:r w:rsidRPr="00C35146">
        <w:rPr>
          <w:rFonts w:hint="eastAsia"/>
          <w:lang w:eastAsia="zh-CN"/>
        </w:rPr>
        <w:t>本应确认为已实现外汇损益的已结算交易。因此，实现</w:t>
      </w:r>
      <w:r>
        <w:rPr>
          <w:rFonts w:hint="eastAsia"/>
          <w:lang w:eastAsia="zh-CN"/>
        </w:rPr>
        <w:t>的</w:t>
      </w:r>
      <w:r w:rsidRPr="00C35146">
        <w:rPr>
          <w:rFonts w:hint="eastAsia"/>
          <w:lang w:eastAsia="zh-CN"/>
        </w:rPr>
        <w:t>汇兑损益已在</w:t>
      </w:r>
      <w:r w:rsidRPr="00C35146">
        <w:rPr>
          <w:rFonts w:hint="eastAsia"/>
          <w:lang w:eastAsia="zh-CN"/>
        </w:rPr>
        <w:t>2021</w:t>
      </w:r>
      <w:r w:rsidRPr="00C35146">
        <w:rPr>
          <w:rFonts w:hint="eastAsia"/>
          <w:lang w:eastAsia="zh-CN"/>
        </w:rPr>
        <w:t>年财务</w:t>
      </w:r>
      <w:r>
        <w:rPr>
          <w:rFonts w:hint="eastAsia"/>
          <w:lang w:eastAsia="zh-CN"/>
        </w:rPr>
        <w:t>绩效</w:t>
      </w:r>
      <w:r w:rsidRPr="00C35146">
        <w:rPr>
          <w:rFonts w:hint="eastAsia"/>
          <w:lang w:eastAsia="zh-CN"/>
        </w:rPr>
        <w:t>表中重新分类。</w:t>
      </w:r>
    </w:p>
    <w:p w14:paraId="3DE3DA49" w14:textId="77777777" w:rsidR="00F14A61" w:rsidRPr="009665AE" w:rsidRDefault="00F14A61" w:rsidP="0084762D">
      <w:pPr>
        <w:pStyle w:val="Figure"/>
      </w:pPr>
      <w:r w:rsidRPr="00540167">
        <w:rPr>
          <w:noProof/>
        </w:rPr>
        <w:drawing>
          <wp:inline distT="0" distB="0" distL="0" distR="0" wp14:anchorId="4EAE3FEC" wp14:editId="67607726">
            <wp:extent cx="5273675" cy="850265"/>
            <wp:effectExtent l="0" t="0" r="635" b="6350"/>
            <wp:docPr id="21971571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273675" cy="850265"/>
                    </a:xfrm>
                    <a:prstGeom prst="rect">
                      <a:avLst/>
                    </a:prstGeom>
                    <a:noFill/>
                    <a:ln>
                      <a:noFill/>
                    </a:ln>
                  </pic:spPr>
                </pic:pic>
              </a:graphicData>
            </a:graphic>
          </wp:inline>
        </w:drawing>
      </w:r>
    </w:p>
    <w:p w14:paraId="6939F4F0" w14:textId="77777777" w:rsidR="00F14A61" w:rsidRPr="004E4241" w:rsidRDefault="00F14A61" w:rsidP="00F14A61">
      <w:pPr>
        <w:pStyle w:val="Heading2"/>
        <w:rPr>
          <w:lang w:eastAsia="zh-CN"/>
        </w:rPr>
      </w:pPr>
      <w:bookmarkStart w:id="849" w:name="lt_pId1351"/>
      <w:r w:rsidRPr="004E4241">
        <w:rPr>
          <w:lang w:eastAsia="zh-CN"/>
        </w:rPr>
        <w:t>22</w:t>
      </w:r>
      <w:r w:rsidRPr="004E4241">
        <w:rPr>
          <w:lang w:eastAsia="zh-CN"/>
        </w:rPr>
        <w:tab/>
      </w:r>
      <w:bookmarkEnd w:id="849"/>
      <w:r w:rsidRPr="004E4241">
        <w:rPr>
          <w:rFonts w:hint="eastAsia"/>
          <w:lang w:eastAsia="zh-CN"/>
        </w:rPr>
        <w:t>预算外资金</w:t>
      </w:r>
    </w:p>
    <w:p w14:paraId="6F7693E5" w14:textId="77777777" w:rsidR="00F14A61" w:rsidRDefault="00F14A61" w:rsidP="00F14A61">
      <w:pPr>
        <w:ind w:firstLineChars="200" w:firstLine="480"/>
        <w:jc w:val="both"/>
        <w:rPr>
          <w:lang w:eastAsia="zh-CN"/>
        </w:rPr>
      </w:pPr>
      <w:r>
        <w:rPr>
          <w:rFonts w:hint="eastAsia"/>
          <w:lang w:eastAsia="zh-CN"/>
        </w:rPr>
        <w:t>2020</w:t>
      </w:r>
      <w:r>
        <w:rPr>
          <w:rFonts w:hint="eastAsia"/>
          <w:lang w:eastAsia="zh-CN"/>
        </w:rPr>
        <w:t>年，国际电联发现某些资金被错误地归类为预算外资金，而不是归类为其他储备金。</w:t>
      </w:r>
    </w:p>
    <w:p w14:paraId="3314A9EF" w14:textId="77777777" w:rsidR="00F14A61" w:rsidRPr="009665AE" w:rsidRDefault="00F14A61" w:rsidP="00F14A61">
      <w:pPr>
        <w:ind w:firstLineChars="200" w:firstLine="480"/>
        <w:jc w:val="both"/>
        <w:rPr>
          <w:lang w:eastAsia="zh-CN"/>
        </w:rPr>
      </w:pPr>
      <w:r>
        <w:rPr>
          <w:rFonts w:hint="eastAsia"/>
          <w:lang w:eastAsia="zh-CN"/>
        </w:rPr>
        <w:t>因此，国际电联记录了从预算外资金到其他储备金的重新分类。</w:t>
      </w:r>
    </w:p>
    <w:p w14:paraId="3AC80579" w14:textId="77777777" w:rsidR="00F14A61" w:rsidRPr="00775BAF" w:rsidRDefault="00F14A61" w:rsidP="0084762D">
      <w:pPr>
        <w:pStyle w:val="Figure"/>
      </w:pPr>
      <w:r w:rsidRPr="00540167">
        <w:rPr>
          <w:noProof/>
        </w:rPr>
        <w:drawing>
          <wp:inline distT="0" distB="0" distL="0" distR="0" wp14:anchorId="12D52C0A" wp14:editId="7AC7E3B6">
            <wp:extent cx="4958080" cy="850265"/>
            <wp:effectExtent l="0" t="0" r="0" b="8890"/>
            <wp:docPr id="105691225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958080" cy="850265"/>
                    </a:xfrm>
                    <a:prstGeom prst="rect">
                      <a:avLst/>
                    </a:prstGeom>
                    <a:noFill/>
                    <a:ln>
                      <a:noFill/>
                    </a:ln>
                  </pic:spPr>
                </pic:pic>
              </a:graphicData>
            </a:graphic>
          </wp:inline>
        </w:drawing>
      </w:r>
    </w:p>
    <w:p w14:paraId="2686D005" w14:textId="77777777" w:rsidR="00F14A61" w:rsidRPr="004E4241" w:rsidRDefault="00F14A61" w:rsidP="00F14A61">
      <w:pPr>
        <w:pStyle w:val="Heading2"/>
        <w:rPr>
          <w:lang w:eastAsia="zh-CN"/>
        </w:rPr>
      </w:pPr>
      <w:bookmarkStart w:id="850" w:name="lt_pId1354"/>
      <w:r w:rsidRPr="004E4241">
        <w:rPr>
          <w:lang w:eastAsia="zh-CN"/>
        </w:rPr>
        <w:t>23</w:t>
      </w:r>
      <w:r w:rsidRPr="004E4241">
        <w:rPr>
          <w:lang w:eastAsia="zh-CN"/>
        </w:rPr>
        <w:tab/>
      </w:r>
      <w:bookmarkEnd w:id="850"/>
      <w:r w:rsidRPr="004E4241">
        <w:rPr>
          <w:rFonts w:hint="eastAsia"/>
          <w:lang w:eastAsia="zh-CN"/>
        </w:rPr>
        <w:t>内部资金转移</w:t>
      </w:r>
    </w:p>
    <w:p w14:paraId="1CE71A39" w14:textId="77777777" w:rsidR="00F14A61" w:rsidRPr="009665AE" w:rsidRDefault="00F14A61" w:rsidP="00F14A61">
      <w:pPr>
        <w:ind w:firstLineChars="200" w:firstLine="480"/>
        <w:jc w:val="both"/>
        <w:rPr>
          <w:lang w:eastAsia="zh-CN"/>
        </w:rPr>
      </w:pPr>
      <w:r w:rsidRPr="00C35146">
        <w:rPr>
          <w:rFonts w:hint="eastAsia"/>
          <w:lang w:eastAsia="zh-CN"/>
        </w:rPr>
        <w:t>2021</w:t>
      </w:r>
      <w:r w:rsidRPr="00C35146">
        <w:rPr>
          <w:rFonts w:hint="eastAsia"/>
          <w:lang w:eastAsia="zh-CN"/>
        </w:rPr>
        <w:t>年，国际电联发现某些收入被错误地</w:t>
      </w:r>
      <w:r>
        <w:rPr>
          <w:rFonts w:hint="eastAsia"/>
          <w:lang w:eastAsia="zh-CN"/>
        </w:rPr>
        <w:t>划入</w:t>
      </w:r>
      <w:r w:rsidRPr="00C35146">
        <w:rPr>
          <w:rFonts w:hint="eastAsia"/>
          <w:lang w:eastAsia="zh-CN"/>
        </w:rPr>
        <w:t>预算外活动。因此，国际电联对以前错误</w:t>
      </w:r>
      <w:r>
        <w:rPr>
          <w:rFonts w:hint="eastAsia"/>
          <w:lang w:eastAsia="zh-CN"/>
        </w:rPr>
        <w:t>的</w:t>
      </w:r>
      <w:r w:rsidRPr="00C35146">
        <w:rPr>
          <w:rFonts w:hint="eastAsia"/>
          <w:lang w:eastAsia="zh-CN"/>
        </w:rPr>
        <w:t>日</w:t>
      </w:r>
      <w:r>
        <w:rPr>
          <w:rFonts w:hint="eastAsia"/>
          <w:lang w:eastAsia="zh-CN"/>
        </w:rPr>
        <w:t>记账分录予以</w:t>
      </w:r>
      <w:r w:rsidRPr="00C35146">
        <w:rPr>
          <w:rFonts w:hint="eastAsia"/>
          <w:lang w:eastAsia="zh-CN"/>
        </w:rPr>
        <w:t>撤销。</w:t>
      </w:r>
    </w:p>
    <w:p w14:paraId="68E5BE58" w14:textId="77777777" w:rsidR="00F14A61" w:rsidRPr="009665AE" w:rsidRDefault="00F14A61" w:rsidP="0084762D">
      <w:pPr>
        <w:pStyle w:val="Figure"/>
        <w:keepNext w:val="0"/>
        <w:keepLines w:val="0"/>
      </w:pPr>
      <w:r w:rsidRPr="00540167">
        <w:rPr>
          <w:noProof/>
        </w:rPr>
        <w:drawing>
          <wp:inline distT="0" distB="0" distL="0" distR="0" wp14:anchorId="0AD7C924" wp14:editId="134C0E46">
            <wp:extent cx="5138420" cy="869315"/>
            <wp:effectExtent l="0" t="0" r="5080" b="6985"/>
            <wp:docPr id="20748716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138420" cy="869315"/>
                    </a:xfrm>
                    <a:prstGeom prst="rect">
                      <a:avLst/>
                    </a:prstGeom>
                    <a:noFill/>
                    <a:ln>
                      <a:noFill/>
                    </a:ln>
                  </pic:spPr>
                </pic:pic>
              </a:graphicData>
            </a:graphic>
          </wp:inline>
        </w:drawing>
      </w:r>
    </w:p>
    <w:p w14:paraId="50C4144E" w14:textId="77777777" w:rsidR="00F14A61" w:rsidRPr="004E4241" w:rsidRDefault="00F14A61" w:rsidP="00F14A61">
      <w:pPr>
        <w:pStyle w:val="Heading2"/>
        <w:rPr>
          <w:lang w:eastAsia="zh-CN"/>
        </w:rPr>
      </w:pPr>
      <w:bookmarkStart w:id="851" w:name="lt_pId1357"/>
      <w:r w:rsidRPr="004E4241">
        <w:rPr>
          <w:lang w:eastAsia="zh-CN"/>
        </w:rPr>
        <w:lastRenderedPageBreak/>
        <w:t>24</w:t>
      </w:r>
      <w:r w:rsidRPr="004E4241">
        <w:rPr>
          <w:lang w:eastAsia="zh-CN"/>
        </w:rPr>
        <w:tab/>
      </w:r>
      <w:bookmarkEnd w:id="851"/>
      <w:r w:rsidRPr="004E4241">
        <w:rPr>
          <w:rFonts w:hint="eastAsia"/>
          <w:lang w:eastAsia="zh-CN"/>
        </w:rPr>
        <w:t>自愿离职计划</w:t>
      </w:r>
    </w:p>
    <w:p w14:paraId="0D4BC21D" w14:textId="77777777" w:rsidR="00F14A61" w:rsidRPr="009665AE" w:rsidRDefault="00F14A61" w:rsidP="00F14A61">
      <w:pPr>
        <w:ind w:firstLineChars="200" w:firstLine="480"/>
        <w:jc w:val="both"/>
        <w:rPr>
          <w:lang w:eastAsia="zh-CN"/>
        </w:rPr>
      </w:pPr>
      <w:r w:rsidRPr="00C35146">
        <w:rPr>
          <w:rFonts w:hint="eastAsia"/>
          <w:lang w:eastAsia="zh-CN"/>
        </w:rPr>
        <w:t>2019</w:t>
      </w:r>
      <w:r w:rsidRPr="00C35146">
        <w:rPr>
          <w:rFonts w:hint="eastAsia"/>
          <w:lang w:eastAsia="zh-CN"/>
        </w:rPr>
        <w:t>年和</w:t>
      </w:r>
      <w:r w:rsidRPr="00C35146">
        <w:rPr>
          <w:rFonts w:hint="eastAsia"/>
          <w:lang w:eastAsia="zh-CN"/>
        </w:rPr>
        <w:t>2020</w:t>
      </w:r>
      <w:r w:rsidRPr="00C35146">
        <w:rPr>
          <w:rFonts w:hint="eastAsia"/>
          <w:lang w:eastAsia="zh-CN"/>
        </w:rPr>
        <w:t>年，国际电联实施了一项自愿离职计划，并向某些员工支付了</w:t>
      </w:r>
      <w:r>
        <w:rPr>
          <w:rFonts w:hint="eastAsia"/>
          <w:lang w:eastAsia="zh-CN"/>
        </w:rPr>
        <w:t>离职套餐款</w:t>
      </w:r>
      <w:r w:rsidRPr="00C35146">
        <w:rPr>
          <w:rFonts w:hint="eastAsia"/>
          <w:lang w:eastAsia="zh-CN"/>
        </w:rPr>
        <w:t>。总支付额低于最初</w:t>
      </w:r>
      <w:r>
        <w:rPr>
          <w:rFonts w:hint="eastAsia"/>
          <w:lang w:eastAsia="zh-CN"/>
        </w:rPr>
        <w:t>为此</w:t>
      </w:r>
      <w:r w:rsidRPr="00C35146">
        <w:rPr>
          <w:rFonts w:hint="eastAsia"/>
          <w:lang w:eastAsia="zh-CN"/>
        </w:rPr>
        <w:t>累计的金额，但国际电联直到</w:t>
      </w:r>
      <w:r w:rsidRPr="00C35146">
        <w:rPr>
          <w:rFonts w:hint="eastAsia"/>
          <w:lang w:eastAsia="zh-CN"/>
        </w:rPr>
        <w:t>2021</w:t>
      </w:r>
      <w:r w:rsidRPr="00C35146">
        <w:rPr>
          <w:rFonts w:hint="eastAsia"/>
          <w:lang w:eastAsia="zh-CN"/>
        </w:rPr>
        <w:t>年才</w:t>
      </w:r>
      <w:r>
        <w:rPr>
          <w:rFonts w:hint="eastAsia"/>
          <w:lang w:eastAsia="zh-CN"/>
        </w:rPr>
        <w:t>确</w:t>
      </w:r>
      <w:r w:rsidRPr="00C35146">
        <w:rPr>
          <w:rFonts w:hint="eastAsia"/>
          <w:lang w:eastAsia="zh-CN"/>
        </w:rPr>
        <w:t>认这一收益。因此，此</w:t>
      </w:r>
      <w:r>
        <w:rPr>
          <w:rFonts w:hint="eastAsia"/>
          <w:lang w:eastAsia="zh-CN"/>
        </w:rPr>
        <w:t>收益</w:t>
      </w:r>
      <w:r w:rsidRPr="00C35146">
        <w:rPr>
          <w:rFonts w:hint="eastAsia"/>
          <w:lang w:eastAsia="zh-CN"/>
        </w:rPr>
        <w:t>在适当的期间得到确认。</w:t>
      </w:r>
    </w:p>
    <w:p w14:paraId="2E629AD8" w14:textId="77777777" w:rsidR="00F14A61" w:rsidRPr="004E4241" w:rsidRDefault="00F14A61" w:rsidP="0084762D">
      <w:pPr>
        <w:pStyle w:val="Figure"/>
      </w:pPr>
      <w:r w:rsidRPr="00F21B34">
        <w:rPr>
          <w:noProof/>
        </w:rPr>
        <w:drawing>
          <wp:inline distT="0" distB="0" distL="0" distR="0" wp14:anchorId="67CC3CA3" wp14:editId="213F35AC">
            <wp:extent cx="5138420" cy="695325"/>
            <wp:effectExtent l="0" t="0" r="5080" b="9525"/>
            <wp:docPr id="88633204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138420" cy="695325"/>
                    </a:xfrm>
                    <a:prstGeom prst="rect">
                      <a:avLst/>
                    </a:prstGeom>
                    <a:noFill/>
                    <a:ln>
                      <a:noFill/>
                    </a:ln>
                  </pic:spPr>
                </pic:pic>
              </a:graphicData>
            </a:graphic>
          </wp:inline>
        </w:drawing>
      </w:r>
    </w:p>
    <w:p w14:paraId="17DB0ED0" w14:textId="77777777" w:rsidR="00F14A61" w:rsidRPr="009665AE" w:rsidRDefault="00F14A61" w:rsidP="00F14A61">
      <w:pPr>
        <w:pStyle w:val="Heading2"/>
        <w:rPr>
          <w:lang w:eastAsia="zh-CN"/>
        </w:rPr>
      </w:pPr>
      <w:bookmarkStart w:id="852" w:name="lt_pId1361"/>
      <w:r w:rsidRPr="004E4241">
        <w:rPr>
          <w:lang w:eastAsia="zh-CN"/>
        </w:rPr>
        <w:t>25</w:t>
      </w:r>
      <w:r w:rsidRPr="004E4241">
        <w:rPr>
          <w:lang w:eastAsia="zh-CN"/>
        </w:rPr>
        <w:tab/>
      </w:r>
      <w:bookmarkEnd w:id="852"/>
      <w:r w:rsidRPr="004E4241">
        <w:rPr>
          <w:rFonts w:hint="eastAsia"/>
          <w:lang w:eastAsia="zh-CN"/>
        </w:rPr>
        <w:t>新办公楼基金的储备金</w:t>
      </w:r>
    </w:p>
    <w:p w14:paraId="49D3F9D5" w14:textId="77777777" w:rsidR="00F14A61" w:rsidRDefault="00F14A61" w:rsidP="00F14A61">
      <w:pPr>
        <w:spacing w:line="259" w:lineRule="auto"/>
        <w:ind w:firstLineChars="200" w:firstLine="480"/>
        <w:jc w:val="both"/>
        <w:rPr>
          <w:lang w:eastAsia="zh-CN"/>
        </w:rPr>
      </w:pPr>
      <w:r>
        <w:rPr>
          <w:rFonts w:hint="eastAsia"/>
          <w:lang w:eastAsia="zh-CN"/>
        </w:rPr>
        <w:t>国际电联过去在“新办公楼基金”项下列报负储备金余额，以便将这一项目与其他储备金和累计赤字分开。</w:t>
      </w:r>
    </w:p>
    <w:p w14:paraId="64244A07" w14:textId="77777777" w:rsidR="00F14A61" w:rsidRPr="009665AE" w:rsidRDefault="00F14A61" w:rsidP="00F14A61">
      <w:pPr>
        <w:spacing w:line="259" w:lineRule="auto"/>
        <w:ind w:firstLineChars="200" w:firstLine="480"/>
        <w:jc w:val="both"/>
        <w:rPr>
          <w:lang w:eastAsia="zh-CN"/>
        </w:rPr>
      </w:pPr>
      <w:r>
        <w:rPr>
          <w:rFonts w:hint="eastAsia"/>
          <w:lang w:eastAsia="zh-CN"/>
        </w:rPr>
        <w:t>2022</w:t>
      </w:r>
      <w:r>
        <w:rPr>
          <w:rFonts w:hint="eastAsia"/>
          <w:lang w:eastAsia="zh-CN"/>
        </w:rPr>
        <w:t>年，国际电联决定转变这种列报方式，并将累计赤字中的未清余额重新分类。</w:t>
      </w:r>
    </w:p>
    <w:p w14:paraId="5F38CCBA" w14:textId="77777777" w:rsidR="00F14A61" w:rsidRPr="009665AE" w:rsidRDefault="00F14A61" w:rsidP="0084762D">
      <w:pPr>
        <w:pStyle w:val="Figure"/>
      </w:pPr>
      <w:r w:rsidRPr="00F21B34">
        <w:rPr>
          <w:noProof/>
        </w:rPr>
        <w:drawing>
          <wp:inline distT="0" distB="0" distL="0" distR="0" wp14:anchorId="10FAD603" wp14:editId="01F0F25B">
            <wp:extent cx="5260975" cy="875665"/>
            <wp:effectExtent l="0" t="0" r="0" b="635"/>
            <wp:docPr id="137650902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260975" cy="875665"/>
                    </a:xfrm>
                    <a:prstGeom prst="rect">
                      <a:avLst/>
                    </a:prstGeom>
                    <a:noFill/>
                    <a:ln>
                      <a:noFill/>
                    </a:ln>
                  </pic:spPr>
                </pic:pic>
              </a:graphicData>
            </a:graphic>
          </wp:inline>
        </w:drawing>
      </w:r>
    </w:p>
    <w:p w14:paraId="2112E1C6" w14:textId="77777777" w:rsidR="00F14A61" w:rsidRPr="009665AE" w:rsidRDefault="00F14A61" w:rsidP="00F14A61">
      <w:pPr>
        <w:pStyle w:val="Heading2"/>
        <w:rPr>
          <w:lang w:eastAsia="zh-CN"/>
        </w:rPr>
      </w:pPr>
      <w:bookmarkStart w:id="853" w:name="lt_pId1364"/>
      <w:r w:rsidRPr="004E4241">
        <w:rPr>
          <w:lang w:eastAsia="zh-CN"/>
        </w:rPr>
        <w:t>26</w:t>
      </w:r>
      <w:r w:rsidRPr="004E4241">
        <w:rPr>
          <w:lang w:eastAsia="zh-CN"/>
        </w:rPr>
        <w:tab/>
      </w:r>
      <w:bookmarkEnd w:id="853"/>
      <w:r w:rsidRPr="004E4241">
        <w:rPr>
          <w:rFonts w:hint="eastAsia"/>
          <w:lang w:eastAsia="zh-CN"/>
        </w:rPr>
        <w:t>ASHI</w:t>
      </w:r>
      <w:r w:rsidRPr="004E4241">
        <w:rPr>
          <w:rFonts w:hint="eastAsia"/>
          <w:lang w:eastAsia="zh-CN"/>
        </w:rPr>
        <w:t>储备金的更正和</w:t>
      </w:r>
      <w:r w:rsidRPr="004E4241">
        <w:rPr>
          <w:rFonts w:hint="eastAsia"/>
          <w:lang w:eastAsia="zh-CN"/>
        </w:rPr>
        <w:t>ASHI</w:t>
      </w:r>
      <w:r w:rsidRPr="004E4241">
        <w:rPr>
          <w:rFonts w:hint="eastAsia"/>
          <w:lang w:eastAsia="zh-CN"/>
        </w:rPr>
        <w:t>财务支出的取消</w:t>
      </w:r>
    </w:p>
    <w:p w14:paraId="6C6C397A" w14:textId="77777777" w:rsidR="00F14A61" w:rsidRDefault="00F14A61" w:rsidP="00F14A61">
      <w:pPr>
        <w:ind w:firstLineChars="200" w:firstLine="480"/>
        <w:rPr>
          <w:lang w:eastAsia="zh-CN"/>
        </w:rPr>
      </w:pPr>
      <w:r>
        <w:rPr>
          <w:rFonts w:hint="eastAsia"/>
          <w:lang w:eastAsia="zh-CN"/>
        </w:rPr>
        <w:t>国际电联错误地将与</w:t>
      </w:r>
      <w:r>
        <w:rPr>
          <w:rFonts w:hint="eastAsia"/>
          <w:lang w:eastAsia="zh-CN"/>
        </w:rPr>
        <w:t>ASHI</w:t>
      </w:r>
      <w:r>
        <w:rPr>
          <w:rFonts w:hint="eastAsia"/>
          <w:lang w:eastAsia="zh-CN"/>
        </w:rPr>
        <w:t>负债有关的</w:t>
      </w:r>
      <w:r>
        <w:rPr>
          <w:rFonts w:hint="eastAsia"/>
          <w:lang w:eastAsia="zh-CN"/>
        </w:rPr>
        <w:t>2021</w:t>
      </w:r>
      <w:r>
        <w:rPr>
          <w:rFonts w:hint="eastAsia"/>
          <w:lang w:eastAsia="zh-CN"/>
        </w:rPr>
        <w:t>年财务收入直接转回累计盈余，而不是通过财务绩效报表转回。此外，与独立专家那里收到的独立评估相比，国际电联记录的</w:t>
      </w:r>
      <w:r>
        <w:rPr>
          <w:rFonts w:hint="eastAsia"/>
          <w:lang w:eastAsia="zh-CN"/>
        </w:rPr>
        <w:t>ASHI</w:t>
      </w:r>
      <w:r>
        <w:rPr>
          <w:rFonts w:hint="eastAsia"/>
          <w:lang w:eastAsia="zh-CN"/>
        </w:rPr>
        <w:t>准备金存在错误。</w:t>
      </w:r>
    </w:p>
    <w:p w14:paraId="0EE5E147" w14:textId="77777777" w:rsidR="00F14A61" w:rsidRPr="004E4241" w:rsidRDefault="00F14A61" w:rsidP="00F14A61">
      <w:pPr>
        <w:spacing w:after="120"/>
        <w:ind w:firstLineChars="200" w:firstLine="480"/>
        <w:rPr>
          <w:lang w:eastAsia="zh-CN"/>
        </w:rPr>
      </w:pPr>
      <w:r>
        <w:rPr>
          <w:rFonts w:hint="eastAsia"/>
          <w:lang w:eastAsia="zh-CN"/>
        </w:rPr>
        <w:t>以下日记账分录是为正确反映</w:t>
      </w:r>
      <w:r>
        <w:rPr>
          <w:rFonts w:hint="eastAsia"/>
          <w:lang w:eastAsia="zh-CN"/>
        </w:rPr>
        <w:t>ASHI</w:t>
      </w:r>
      <w:r>
        <w:rPr>
          <w:rFonts w:hint="eastAsia"/>
          <w:lang w:eastAsia="zh-CN"/>
        </w:rPr>
        <w:t>储备金余额、财务和累计赤字的影响，而对更正进行的记录。</w:t>
      </w:r>
    </w:p>
    <w:p w14:paraId="24002042" w14:textId="77777777" w:rsidR="00F14A61" w:rsidRPr="009665AE" w:rsidRDefault="00F14A61" w:rsidP="0084762D">
      <w:pPr>
        <w:pStyle w:val="Figure"/>
      </w:pPr>
      <w:r w:rsidRPr="006E68DF">
        <w:rPr>
          <w:noProof/>
        </w:rPr>
        <w:drawing>
          <wp:inline distT="0" distB="0" distL="0" distR="0" wp14:anchorId="138E488E" wp14:editId="54822B9B">
            <wp:extent cx="5760085" cy="798195"/>
            <wp:effectExtent l="0" t="0" r="0" b="1905"/>
            <wp:docPr id="19807525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760085" cy="798195"/>
                    </a:xfrm>
                    <a:prstGeom prst="rect">
                      <a:avLst/>
                    </a:prstGeom>
                    <a:noFill/>
                    <a:ln>
                      <a:noFill/>
                    </a:ln>
                  </pic:spPr>
                </pic:pic>
              </a:graphicData>
            </a:graphic>
          </wp:inline>
        </w:drawing>
      </w:r>
    </w:p>
    <w:p w14:paraId="33E2580C" w14:textId="77777777" w:rsidR="00F14A61" w:rsidRDefault="00F14A61" w:rsidP="00F14A61">
      <w:pPr>
        <w:tabs>
          <w:tab w:val="clear" w:pos="794"/>
          <w:tab w:val="clear" w:pos="1191"/>
          <w:tab w:val="clear" w:pos="1588"/>
          <w:tab w:val="clear" w:pos="1985"/>
        </w:tabs>
        <w:overflowPunct/>
        <w:autoSpaceDE/>
        <w:autoSpaceDN/>
        <w:adjustRightInd/>
        <w:spacing w:before="0"/>
        <w:textAlignment w:val="auto"/>
        <w:rPr>
          <w:caps/>
          <w:sz w:val="28"/>
          <w:lang w:eastAsia="zh-CN"/>
        </w:rPr>
      </w:pPr>
      <w:bookmarkStart w:id="854" w:name="_Toc41908084"/>
      <w:bookmarkStart w:id="855" w:name="_Toc73519300"/>
      <w:bookmarkStart w:id="856" w:name="_Toc73636339"/>
      <w:bookmarkStart w:id="857" w:name="_Toc41905914"/>
      <w:bookmarkStart w:id="858" w:name="_Toc482894270"/>
      <w:bookmarkStart w:id="859" w:name="_Toc511116023"/>
      <w:bookmarkStart w:id="860" w:name="_Toc364154312"/>
      <w:bookmarkEnd w:id="845"/>
      <w:bookmarkEnd w:id="846"/>
      <w:r>
        <w:rPr>
          <w:lang w:eastAsia="zh-CN"/>
        </w:rPr>
        <w:br w:type="page"/>
      </w:r>
    </w:p>
    <w:p w14:paraId="0D58968F" w14:textId="77777777" w:rsidR="00F14A61" w:rsidRPr="000C156A" w:rsidRDefault="00F14A61" w:rsidP="00F14A61">
      <w:pPr>
        <w:pStyle w:val="AnnexNo"/>
        <w:outlineLvl w:val="0"/>
        <w:rPr>
          <w:lang w:eastAsia="zh-CN"/>
        </w:rPr>
      </w:pPr>
      <w:bookmarkStart w:id="861" w:name="_Toc163723315"/>
      <w:r w:rsidRPr="000C156A">
        <w:rPr>
          <w:rFonts w:hint="eastAsia"/>
          <w:lang w:eastAsia="zh-CN"/>
        </w:rPr>
        <w:lastRenderedPageBreak/>
        <w:t>附件</w:t>
      </w:r>
      <w:r w:rsidRPr="000C156A">
        <w:rPr>
          <w:lang w:eastAsia="zh-CN"/>
        </w:rPr>
        <w:t>A</w:t>
      </w:r>
      <w:bookmarkEnd w:id="854"/>
      <w:bookmarkEnd w:id="855"/>
      <w:bookmarkEnd w:id="856"/>
      <w:bookmarkEnd w:id="861"/>
    </w:p>
    <w:p w14:paraId="1A94A965" w14:textId="77777777" w:rsidR="00F14A61" w:rsidRPr="000C156A" w:rsidRDefault="00F14A61" w:rsidP="00F14A61">
      <w:pPr>
        <w:pStyle w:val="ResNo"/>
        <w:rPr>
          <w:lang w:val="en-US" w:eastAsia="zh-CN"/>
        </w:rPr>
      </w:pPr>
      <w:bookmarkStart w:id="862" w:name="_Toc41908085"/>
      <w:bookmarkStart w:id="863" w:name="_Toc73518901"/>
      <w:bookmarkStart w:id="864" w:name="_Toc73519301"/>
      <w:bookmarkStart w:id="865" w:name="_Toc73636340"/>
      <w:bookmarkStart w:id="866" w:name="_Toc163723316"/>
      <w:r w:rsidRPr="000C156A">
        <w:rPr>
          <w:rFonts w:hint="eastAsia"/>
          <w:lang w:eastAsia="zh-CN"/>
        </w:rPr>
        <w:t>决议草案</w:t>
      </w:r>
      <w:bookmarkEnd w:id="857"/>
      <w:bookmarkEnd w:id="862"/>
      <w:bookmarkEnd w:id="863"/>
      <w:bookmarkEnd w:id="864"/>
      <w:bookmarkEnd w:id="865"/>
      <w:bookmarkEnd w:id="866"/>
    </w:p>
    <w:p w14:paraId="54333911" w14:textId="77777777" w:rsidR="00F14A61" w:rsidRPr="000C156A" w:rsidRDefault="00F14A61" w:rsidP="00F14A61">
      <w:pPr>
        <w:pStyle w:val="Restitle"/>
        <w:rPr>
          <w:lang w:eastAsia="zh-CN"/>
        </w:rPr>
      </w:pPr>
      <w:r w:rsidRPr="000C156A">
        <w:rPr>
          <w:rFonts w:hint="eastAsia"/>
          <w:lang w:eastAsia="zh-CN"/>
        </w:rPr>
        <w:t>202</w:t>
      </w:r>
      <w:r>
        <w:rPr>
          <w:lang w:eastAsia="zh-CN"/>
        </w:rPr>
        <w:t>2</w:t>
      </w:r>
      <w:r w:rsidRPr="000C156A">
        <w:rPr>
          <w:rFonts w:hint="eastAsia"/>
          <w:lang w:eastAsia="zh-CN"/>
        </w:rPr>
        <w:t>财务年度的财务工作报告</w:t>
      </w:r>
    </w:p>
    <w:p w14:paraId="4C2135EA" w14:textId="77777777" w:rsidR="00F14A61" w:rsidRPr="000C156A" w:rsidRDefault="00F14A61" w:rsidP="00F14A61">
      <w:pPr>
        <w:pStyle w:val="Normalaftertitle"/>
        <w:rPr>
          <w:bCs/>
          <w:sz w:val="22"/>
          <w:szCs w:val="22"/>
          <w:lang w:eastAsia="zh-CN"/>
        </w:rPr>
      </w:pPr>
      <w:r w:rsidRPr="000C156A">
        <w:rPr>
          <w:rFonts w:hint="eastAsia"/>
          <w:lang w:eastAsia="zh-CN"/>
        </w:rPr>
        <w:t>国际电联理事会，</w:t>
      </w:r>
    </w:p>
    <w:p w14:paraId="311E2BB3" w14:textId="77777777" w:rsidR="00F14A61" w:rsidRPr="000C156A" w:rsidRDefault="00F14A61" w:rsidP="00F14A61">
      <w:pPr>
        <w:pStyle w:val="call0"/>
        <w:textAlignment w:val="baseline"/>
        <w:rPr>
          <w:lang w:val="en-GB" w:eastAsia="zh-CN"/>
        </w:rPr>
      </w:pPr>
      <w:r w:rsidRPr="000C156A">
        <w:rPr>
          <w:rFonts w:hint="eastAsia"/>
          <w:lang w:eastAsia="zh-CN"/>
        </w:rPr>
        <w:t>鉴于</w:t>
      </w:r>
    </w:p>
    <w:p w14:paraId="6D7F35C3" w14:textId="77777777" w:rsidR="00F14A61" w:rsidRPr="000C156A" w:rsidRDefault="00F14A61" w:rsidP="00F14A61">
      <w:pPr>
        <w:ind w:firstLineChars="200" w:firstLine="480"/>
        <w:rPr>
          <w:lang w:eastAsia="zh-CN"/>
        </w:rPr>
      </w:pPr>
      <w:r w:rsidRPr="000C156A">
        <w:rPr>
          <w:rFonts w:hint="eastAsia"/>
          <w:lang w:eastAsia="zh-CN"/>
        </w:rPr>
        <w:t>国际电信联盟《公约》第</w:t>
      </w:r>
      <w:hyperlink r:id="rId114" w:history="1">
        <w:r w:rsidRPr="000C156A">
          <w:rPr>
            <w:color w:val="0000FF"/>
            <w:u w:val="single"/>
            <w:lang w:val="en-US" w:eastAsia="zh-CN"/>
          </w:rPr>
          <w:t>101</w:t>
        </w:r>
      </w:hyperlink>
      <w:r w:rsidRPr="000C156A">
        <w:rPr>
          <w:rFonts w:hint="eastAsia"/>
          <w:lang w:eastAsia="zh-CN"/>
        </w:rPr>
        <w:t>款和国际电联《财务规则》第</w:t>
      </w:r>
      <w:hyperlink r:id="rId115" w:history="1">
        <w:r w:rsidRPr="000C156A">
          <w:rPr>
            <w:color w:val="0000FF"/>
            <w:u w:val="single"/>
            <w:lang w:val="en-US" w:eastAsia="zh-CN"/>
          </w:rPr>
          <w:t>30</w:t>
        </w:r>
        <w:r w:rsidRPr="000C156A">
          <w:rPr>
            <w:color w:val="0000FF"/>
            <w:u w:val="single"/>
            <w:lang w:val="en-US" w:eastAsia="zh-CN"/>
          </w:rPr>
          <w:t>条</w:t>
        </w:r>
      </w:hyperlink>
      <w:r w:rsidRPr="000C156A">
        <w:rPr>
          <w:rFonts w:hint="eastAsia"/>
          <w:lang w:eastAsia="zh-CN"/>
        </w:rPr>
        <w:t>的规定，</w:t>
      </w:r>
    </w:p>
    <w:p w14:paraId="443E5B79" w14:textId="77777777" w:rsidR="00F14A61" w:rsidRPr="000C156A" w:rsidRDefault="00F14A61" w:rsidP="00F14A61">
      <w:pPr>
        <w:pStyle w:val="call0"/>
        <w:textAlignment w:val="baseline"/>
        <w:rPr>
          <w:i/>
          <w:lang w:val="en-GB" w:eastAsia="zh-CN"/>
        </w:rPr>
      </w:pPr>
      <w:r w:rsidRPr="000C156A">
        <w:rPr>
          <w:rFonts w:hint="eastAsia"/>
          <w:lang w:eastAsia="zh-CN"/>
        </w:rPr>
        <w:t>经审查</w:t>
      </w:r>
    </w:p>
    <w:p w14:paraId="2747FE82" w14:textId="77777777" w:rsidR="00F14A61" w:rsidRPr="000C156A" w:rsidRDefault="00F14A61" w:rsidP="00F14A61">
      <w:pPr>
        <w:ind w:firstLineChars="200" w:firstLine="480"/>
        <w:rPr>
          <w:lang w:eastAsia="zh-CN"/>
        </w:rPr>
      </w:pPr>
      <w:r w:rsidRPr="000C156A">
        <w:rPr>
          <w:lang w:eastAsia="zh-CN"/>
        </w:rPr>
        <w:t>20</w:t>
      </w:r>
      <w:r w:rsidRPr="000C156A">
        <w:rPr>
          <w:rFonts w:hint="eastAsia"/>
          <w:lang w:eastAsia="zh-CN"/>
        </w:rPr>
        <w:t>2</w:t>
      </w:r>
      <w:r>
        <w:rPr>
          <w:lang w:eastAsia="zh-CN"/>
        </w:rPr>
        <w:t>2</w:t>
      </w:r>
      <w:r w:rsidRPr="000C156A">
        <w:rPr>
          <w:rFonts w:hint="eastAsia"/>
          <w:lang w:eastAsia="zh-CN"/>
        </w:rPr>
        <w:t>财年的财务工作报告及其包含的经审计的国际电联</w:t>
      </w:r>
      <w:r w:rsidRPr="000C156A">
        <w:rPr>
          <w:lang w:eastAsia="zh-CN"/>
        </w:rPr>
        <w:t>20</w:t>
      </w:r>
      <w:r w:rsidRPr="000C156A">
        <w:rPr>
          <w:rFonts w:hint="eastAsia"/>
          <w:lang w:eastAsia="zh-CN"/>
        </w:rPr>
        <w:t>2</w:t>
      </w:r>
      <w:r>
        <w:rPr>
          <w:lang w:eastAsia="zh-CN"/>
        </w:rPr>
        <w:t>2</w:t>
      </w:r>
      <w:r w:rsidRPr="000C156A">
        <w:rPr>
          <w:rFonts w:hint="eastAsia"/>
          <w:lang w:eastAsia="zh-CN"/>
        </w:rPr>
        <w:t>财年预算账目</w:t>
      </w:r>
      <w:r>
        <w:rPr>
          <w:rFonts w:hint="eastAsia"/>
          <w:lang w:eastAsia="zh-CN"/>
        </w:rPr>
        <w:t>，</w:t>
      </w:r>
      <w:r w:rsidRPr="000C156A">
        <w:rPr>
          <w:rFonts w:hint="eastAsia"/>
          <w:lang w:eastAsia="zh-CN"/>
        </w:rPr>
        <w:t>经审计的</w:t>
      </w:r>
      <w:r w:rsidRPr="000C156A">
        <w:rPr>
          <w:lang w:eastAsia="zh-CN"/>
        </w:rPr>
        <w:t>20</w:t>
      </w:r>
      <w:r w:rsidRPr="000C156A">
        <w:rPr>
          <w:rFonts w:hint="eastAsia"/>
          <w:lang w:eastAsia="zh-CN"/>
        </w:rPr>
        <w:t>2</w:t>
      </w:r>
      <w:r>
        <w:rPr>
          <w:lang w:eastAsia="zh-CN"/>
        </w:rPr>
        <w:t>1</w:t>
      </w:r>
      <w:r w:rsidRPr="000C156A">
        <w:rPr>
          <w:rFonts w:hint="eastAsia"/>
          <w:lang w:eastAsia="zh-CN"/>
        </w:rPr>
        <w:t>年技术合作项目、自愿捐款和国际电联职员退休和福利基金等各账目，</w:t>
      </w:r>
    </w:p>
    <w:p w14:paraId="0FFB9AFE" w14:textId="77777777" w:rsidR="00F14A61" w:rsidRPr="000C156A" w:rsidRDefault="00F14A61" w:rsidP="00F14A61">
      <w:pPr>
        <w:pStyle w:val="call0"/>
        <w:textAlignment w:val="baseline"/>
        <w:rPr>
          <w:lang w:val="en-GB" w:eastAsia="zh-CN"/>
        </w:rPr>
      </w:pPr>
      <w:r w:rsidRPr="000C156A">
        <w:rPr>
          <w:rFonts w:hint="eastAsia"/>
          <w:lang w:eastAsia="zh-CN"/>
        </w:rPr>
        <w:t>已注意到</w:t>
      </w:r>
    </w:p>
    <w:p w14:paraId="4275CCFA" w14:textId="2DB09988" w:rsidR="00F14A61" w:rsidRPr="000C156A" w:rsidRDefault="00CE269B" w:rsidP="00F14A61">
      <w:pPr>
        <w:ind w:firstLineChars="200" w:firstLine="480"/>
        <w:rPr>
          <w:lang w:eastAsia="zh-CN"/>
        </w:rPr>
      </w:pPr>
      <w:hyperlink r:id="rId116" w:history="1">
        <w:r w:rsidR="00F14A61" w:rsidRPr="00CE269B">
          <w:rPr>
            <w:rStyle w:val="Hyperlink"/>
            <w:rFonts w:hint="eastAsia"/>
            <w:lang w:eastAsia="zh-CN"/>
          </w:rPr>
          <w:t>C</w:t>
        </w:r>
        <w:r w:rsidR="00F14A61" w:rsidRPr="00CE269B">
          <w:rPr>
            <w:rStyle w:val="Hyperlink"/>
            <w:lang w:eastAsia="zh-CN"/>
          </w:rPr>
          <w:t>24/</w:t>
        </w:r>
        <w:r w:rsidRPr="00CE269B">
          <w:rPr>
            <w:rStyle w:val="Hyperlink"/>
            <w:lang w:eastAsia="zh-CN"/>
          </w:rPr>
          <w:t>41</w:t>
        </w:r>
      </w:hyperlink>
      <w:r w:rsidR="00F14A61" w:rsidRPr="000C156A">
        <w:rPr>
          <w:rFonts w:hint="eastAsia"/>
          <w:lang w:eastAsia="zh-CN"/>
        </w:rPr>
        <w:t>号</w:t>
      </w:r>
      <w:r w:rsidR="00F14A61" w:rsidRPr="000C156A">
        <w:rPr>
          <w:lang w:eastAsia="zh-CN"/>
        </w:rPr>
        <w:t>文件</w:t>
      </w:r>
      <w:r w:rsidR="00F14A61" w:rsidRPr="000C156A">
        <w:rPr>
          <w:rFonts w:hint="eastAsia"/>
          <w:lang w:eastAsia="zh-CN"/>
        </w:rPr>
        <w:t>提供的外部审计员的报告，</w:t>
      </w:r>
    </w:p>
    <w:p w14:paraId="3C457055" w14:textId="77777777" w:rsidR="00F14A61" w:rsidRPr="000C156A" w:rsidRDefault="00F14A61" w:rsidP="00F14A61">
      <w:pPr>
        <w:pStyle w:val="call0"/>
        <w:textAlignment w:val="baseline"/>
        <w:rPr>
          <w:lang w:val="en-GB" w:eastAsia="zh-CN"/>
        </w:rPr>
      </w:pPr>
      <w:r w:rsidRPr="000C156A">
        <w:rPr>
          <w:rFonts w:hint="eastAsia"/>
          <w:lang w:eastAsia="zh-CN"/>
        </w:rPr>
        <w:t>做出决议</w:t>
      </w:r>
    </w:p>
    <w:p w14:paraId="4EF33ABB" w14:textId="3E66CD0A" w:rsidR="00F14A61" w:rsidRDefault="00F14A61" w:rsidP="00F14A61">
      <w:pPr>
        <w:ind w:firstLineChars="200" w:firstLine="480"/>
        <w:rPr>
          <w:lang w:eastAsia="zh-CN"/>
        </w:rPr>
      </w:pPr>
      <w:r w:rsidRPr="000C156A">
        <w:rPr>
          <w:rFonts w:hint="eastAsia"/>
          <w:lang w:eastAsia="zh-CN"/>
        </w:rPr>
        <w:t>批准</w:t>
      </w:r>
      <w:r w:rsidRPr="000C156A">
        <w:rPr>
          <w:lang w:eastAsia="zh-CN"/>
        </w:rPr>
        <w:t>20</w:t>
      </w:r>
      <w:r w:rsidRPr="000C156A">
        <w:rPr>
          <w:rFonts w:hint="eastAsia"/>
          <w:lang w:eastAsia="zh-CN"/>
        </w:rPr>
        <w:t>2</w:t>
      </w:r>
      <w:r>
        <w:rPr>
          <w:lang w:eastAsia="zh-CN"/>
        </w:rPr>
        <w:t>2</w:t>
      </w:r>
      <w:r w:rsidRPr="000C156A">
        <w:rPr>
          <w:rFonts w:hint="eastAsia"/>
          <w:lang w:eastAsia="zh-CN"/>
        </w:rPr>
        <w:t>财年的财务工作报告（</w:t>
      </w:r>
      <w:hyperlink r:id="rId117" w:history="1">
        <w:r w:rsidRPr="00CE269B">
          <w:rPr>
            <w:rStyle w:val="Hyperlink"/>
            <w:rFonts w:hint="eastAsia"/>
            <w:lang w:eastAsia="zh-CN"/>
          </w:rPr>
          <w:t>C</w:t>
        </w:r>
        <w:r w:rsidRPr="00CE269B">
          <w:rPr>
            <w:rStyle w:val="Hyperlink"/>
            <w:lang w:eastAsia="zh-CN"/>
          </w:rPr>
          <w:t>24/</w:t>
        </w:r>
        <w:r w:rsidR="00CE269B" w:rsidRPr="00CE269B">
          <w:rPr>
            <w:rStyle w:val="Hyperlink"/>
            <w:lang w:eastAsia="zh-CN"/>
          </w:rPr>
          <w:t>40</w:t>
        </w:r>
      </w:hyperlink>
      <w:hyperlink r:id="rId118" w:history="1">
        <w:r w:rsidRPr="00A908FF">
          <w:rPr>
            <w:lang w:eastAsia="zh-CN"/>
          </w:rPr>
          <w:t>号文件</w:t>
        </w:r>
      </w:hyperlink>
      <w:r w:rsidRPr="000C156A">
        <w:rPr>
          <w:rFonts w:hint="eastAsia"/>
          <w:lang w:eastAsia="zh-CN"/>
        </w:rPr>
        <w:t>）及其包含的经审计的国际电联账目、和经审计的</w:t>
      </w:r>
      <w:r w:rsidRPr="000C156A">
        <w:rPr>
          <w:lang w:eastAsia="zh-CN"/>
        </w:rPr>
        <w:t>20</w:t>
      </w:r>
      <w:r w:rsidRPr="000C156A">
        <w:rPr>
          <w:rFonts w:hint="eastAsia"/>
          <w:lang w:eastAsia="zh-CN"/>
        </w:rPr>
        <w:t>2</w:t>
      </w:r>
      <w:r>
        <w:rPr>
          <w:lang w:eastAsia="zh-CN"/>
        </w:rPr>
        <w:t>2</w:t>
      </w:r>
      <w:r w:rsidRPr="000C156A">
        <w:rPr>
          <w:rFonts w:hint="eastAsia"/>
          <w:lang w:eastAsia="zh-CN"/>
        </w:rPr>
        <w:t>年</w:t>
      </w:r>
      <w:r>
        <w:rPr>
          <w:rFonts w:hint="eastAsia"/>
          <w:lang w:eastAsia="zh-CN"/>
        </w:rPr>
        <w:t>预算外资金账目</w:t>
      </w:r>
      <w:r w:rsidRPr="000C156A">
        <w:rPr>
          <w:rFonts w:hint="eastAsia"/>
          <w:lang w:eastAsia="zh-CN"/>
        </w:rPr>
        <w:t>和国际电联职员退休和福利基金等各账目。</w:t>
      </w:r>
      <w:bookmarkEnd w:id="858"/>
      <w:bookmarkEnd w:id="859"/>
      <w:bookmarkEnd w:id="860"/>
    </w:p>
    <w:p w14:paraId="6420E735" w14:textId="77777777" w:rsidR="00F14A61" w:rsidRDefault="00F14A61" w:rsidP="00F14A61">
      <w:pPr>
        <w:pStyle w:val="Reasons"/>
        <w:rPr>
          <w:lang w:eastAsia="zh-CN"/>
        </w:rPr>
      </w:pPr>
    </w:p>
    <w:p w14:paraId="0616796B" w14:textId="3D1F87DD" w:rsidR="00F14A61" w:rsidRPr="00831062" w:rsidRDefault="00F14A61" w:rsidP="00831062">
      <w:pPr>
        <w:jc w:val="center"/>
      </w:pPr>
      <w:r>
        <w:t>______________</w:t>
      </w:r>
    </w:p>
    <w:sectPr w:rsidR="00F14A61" w:rsidRPr="00831062" w:rsidSect="00F14A61">
      <w:headerReference w:type="default" r:id="rId119"/>
      <w:footerReference w:type="default" r:id="rId120"/>
      <w:headerReference w:type="first" r:id="rId121"/>
      <w:footerReference w:type="first" r:id="rId122"/>
      <w:pgSz w:w="11907" w:h="16834"/>
      <w:pgMar w:top="1418" w:right="1418" w:bottom="1418" w:left="1418"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83A30" w14:textId="77777777" w:rsidR="00070AC5" w:rsidRDefault="00070AC5">
      <w:r>
        <w:separator/>
      </w:r>
    </w:p>
  </w:endnote>
  <w:endnote w:type="continuationSeparator" w:id="0">
    <w:p w14:paraId="75D03357" w14:textId="77777777" w:rsidR="00070AC5" w:rsidRDefault="0007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C129B0" w:rsidRPr="00784011" w14:paraId="6D19AC7B" w14:textId="77777777" w:rsidTr="00364116">
      <w:trPr>
        <w:jc w:val="center"/>
      </w:trPr>
      <w:tc>
        <w:tcPr>
          <w:tcW w:w="1803" w:type="dxa"/>
          <w:vAlign w:val="center"/>
        </w:tcPr>
        <w:p w14:paraId="263611F5" w14:textId="77777777" w:rsidR="00C129B0" w:rsidRDefault="00C129B0" w:rsidP="00C129B0">
          <w:pPr>
            <w:pStyle w:val="Header"/>
            <w:jc w:val="left"/>
            <w:rPr>
              <w:noProof/>
            </w:rPr>
          </w:pPr>
          <w:r w:rsidRPr="00CE269B">
            <w:rPr>
              <w:noProof/>
              <w:color w:val="808080" w:themeColor="background1" w:themeShade="80"/>
            </w:rPr>
            <w:t>DPS 534335</w:t>
          </w:r>
        </w:p>
      </w:tc>
      <w:tc>
        <w:tcPr>
          <w:tcW w:w="8261" w:type="dxa"/>
        </w:tcPr>
        <w:p w14:paraId="035BA01A" w14:textId="77777777" w:rsidR="00C129B0" w:rsidRPr="00E06FD5" w:rsidRDefault="00C129B0" w:rsidP="00C129B0">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40</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40AB0C87" w14:textId="146A4065" w:rsidR="00B40A53" w:rsidRPr="00E24D59" w:rsidRDefault="00B40A53" w:rsidP="00CE2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CE269B" w:rsidRPr="00CE269B" w14:paraId="707DF761" w14:textId="77777777" w:rsidTr="00364116">
      <w:trPr>
        <w:jc w:val="center"/>
      </w:trPr>
      <w:tc>
        <w:tcPr>
          <w:tcW w:w="1803" w:type="dxa"/>
          <w:vAlign w:val="center"/>
        </w:tcPr>
        <w:p w14:paraId="154C7960" w14:textId="77777777" w:rsidR="00C129B0" w:rsidRDefault="00C129B0" w:rsidP="00C129B0">
          <w:pPr>
            <w:pStyle w:val="Header"/>
            <w:jc w:val="left"/>
            <w:rPr>
              <w:noProof/>
            </w:rPr>
          </w:pPr>
          <w:r w:rsidRPr="00B93453">
            <w:rPr>
              <w:color w:val="0563C1"/>
              <w:szCs w:val="14"/>
            </w:rPr>
            <w:t>www.itu.int/council</w:t>
          </w:r>
        </w:p>
      </w:tc>
      <w:tc>
        <w:tcPr>
          <w:tcW w:w="8261" w:type="dxa"/>
        </w:tcPr>
        <w:p w14:paraId="31D91817" w14:textId="77777777" w:rsidR="00C129B0" w:rsidRPr="00CE269B" w:rsidRDefault="00C129B0" w:rsidP="00C129B0">
          <w:pPr>
            <w:pStyle w:val="Header"/>
            <w:tabs>
              <w:tab w:val="left" w:pos="7070"/>
              <w:tab w:val="right" w:pos="8505"/>
              <w:tab w:val="right" w:pos="9639"/>
            </w:tabs>
            <w:jc w:val="left"/>
            <w:rPr>
              <w:rFonts w:ascii="Arial" w:hAnsi="Arial" w:cs="Arial"/>
              <w:b/>
              <w:bCs/>
              <w:color w:val="808080" w:themeColor="background1" w:themeShade="80"/>
              <w:szCs w:val="18"/>
            </w:rPr>
          </w:pPr>
          <w:r w:rsidRPr="00CE269B">
            <w:rPr>
              <w:bCs/>
              <w:color w:val="808080" w:themeColor="background1" w:themeShade="80"/>
            </w:rPr>
            <w:tab/>
            <w:t>C24/40-C</w:t>
          </w:r>
          <w:r w:rsidRPr="00CE269B">
            <w:rPr>
              <w:bCs/>
              <w:color w:val="808080" w:themeColor="background1" w:themeShade="80"/>
            </w:rPr>
            <w:tab/>
          </w:r>
          <w:r w:rsidRPr="00CE269B">
            <w:rPr>
              <w:color w:val="808080" w:themeColor="background1" w:themeShade="80"/>
            </w:rPr>
            <w:fldChar w:fldCharType="begin"/>
          </w:r>
          <w:r w:rsidRPr="00CE269B">
            <w:rPr>
              <w:color w:val="808080" w:themeColor="background1" w:themeShade="80"/>
            </w:rPr>
            <w:instrText>PAGE</w:instrText>
          </w:r>
          <w:r w:rsidRPr="00CE269B">
            <w:rPr>
              <w:color w:val="808080" w:themeColor="background1" w:themeShade="80"/>
            </w:rPr>
            <w:fldChar w:fldCharType="separate"/>
          </w:r>
          <w:r w:rsidRPr="00CE269B">
            <w:rPr>
              <w:color w:val="808080" w:themeColor="background1" w:themeShade="80"/>
            </w:rPr>
            <w:t>1</w:t>
          </w:r>
          <w:r w:rsidRPr="00CE269B">
            <w:rPr>
              <w:noProof/>
              <w:color w:val="808080" w:themeColor="background1" w:themeShade="80"/>
            </w:rPr>
            <w:fldChar w:fldCharType="end"/>
          </w:r>
        </w:p>
      </w:tc>
    </w:tr>
  </w:tbl>
  <w:p w14:paraId="3A787CA3" w14:textId="7A832689" w:rsidR="00AC516F" w:rsidRPr="00E24D59" w:rsidRDefault="00AC516F" w:rsidP="00CE26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60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2798"/>
    </w:tblGrid>
    <w:tr w:rsidR="00C129B0" w:rsidRPr="00784011" w14:paraId="6AFBF824" w14:textId="77777777" w:rsidTr="00364116">
      <w:tc>
        <w:tcPr>
          <w:tcW w:w="1803" w:type="dxa"/>
          <w:vAlign w:val="center"/>
        </w:tcPr>
        <w:p w14:paraId="7DA60531" w14:textId="77777777" w:rsidR="00C129B0" w:rsidRDefault="00C129B0" w:rsidP="00C129B0">
          <w:pPr>
            <w:pStyle w:val="Header"/>
            <w:jc w:val="left"/>
            <w:rPr>
              <w:noProof/>
            </w:rPr>
          </w:pPr>
          <w:r w:rsidRPr="00CE269B">
            <w:rPr>
              <w:noProof/>
              <w:color w:val="808080" w:themeColor="background1" w:themeShade="80"/>
            </w:rPr>
            <w:t>DPS 534335</w:t>
          </w:r>
        </w:p>
      </w:tc>
      <w:tc>
        <w:tcPr>
          <w:tcW w:w="12798" w:type="dxa"/>
        </w:tcPr>
        <w:p w14:paraId="65222BEC" w14:textId="77777777" w:rsidR="00C129B0" w:rsidRPr="00E06FD5" w:rsidRDefault="00C129B0" w:rsidP="00C129B0">
          <w:pPr>
            <w:pStyle w:val="Header"/>
            <w:tabs>
              <w:tab w:val="right" w:pos="12118"/>
            </w:tabs>
            <w:jc w:val="left"/>
            <w:rPr>
              <w:rFonts w:ascii="Arial" w:hAnsi="Arial" w:cs="Arial"/>
              <w:b/>
              <w:bCs/>
              <w:szCs w:val="18"/>
            </w:rPr>
          </w:pPr>
          <w:r>
            <w:rPr>
              <w:bCs/>
            </w:rPr>
            <w:tab/>
          </w:r>
          <w:r w:rsidRPr="00623AE3">
            <w:rPr>
              <w:bCs/>
            </w:rPr>
            <w:t>C</w:t>
          </w:r>
          <w:r>
            <w:rPr>
              <w:bCs/>
            </w:rPr>
            <w:t>24</w:t>
          </w:r>
          <w:r w:rsidRPr="00623AE3">
            <w:rPr>
              <w:bCs/>
            </w:rPr>
            <w:t>/</w:t>
          </w:r>
          <w:r>
            <w:rPr>
              <w:bCs/>
            </w:rPr>
            <w:t>40</w:t>
          </w:r>
          <w:r w:rsidRPr="00623AE3">
            <w:rPr>
              <w:bCs/>
            </w:rPr>
            <w:t>-</w:t>
          </w:r>
          <w:r>
            <w:rPr>
              <w:bCs/>
            </w:rPr>
            <w:t>C</w:t>
          </w:r>
          <w:r>
            <w:rPr>
              <w:bCs/>
            </w:rPr>
            <w:tab/>
          </w:r>
          <w:r>
            <w:fldChar w:fldCharType="begin"/>
          </w:r>
          <w:r>
            <w:instrText>PAGE</w:instrText>
          </w:r>
          <w:r>
            <w:fldChar w:fldCharType="separate"/>
          </w:r>
          <w:r>
            <w:t>2</w:t>
          </w:r>
          <w:r>
            <w:rPr>
              <w:noProof/>
            </w:rPr>
            <w:fldChar w:fldCharType="end"/>
          </w:r>
        </w:p>
      </w:tc>
    </w:tr>
  </w:tbl>
  <w:p w14:paraId="5F6B5D22" w14:textId="515DA1BD" w:rsidR="00C129B0" w:rsidRPr="00E24D59" w:rsidRDefault="00C129B0" w:rsidP="00E24D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60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2798"/>
    </w:tblGrid>
    <w:tr w:rsidR="00C129B0" w:rsidRPr="00784011" w14:paraId="2AD39149" w14:textId="77777777" w:rsidTr="00C129B0">
      <w:tc>
        <w:tcPr>
          <w:tcW w:w="1803" w:type="dxa"/>
          <w:vAlign w:val="center"/>
        </w:tcPr>
        <w:p w14:paraId="188B47D5" w14:textId="77777777" w:rsidR="00C129B0" w:rsidRDefault="00C129B0" w:rsidP="00C129B0">
          <w:pPr>
            <w:pStyle w:val="Header"/>
            <w:jc w:val="left"/>
            <w:rPr>
              <w:noProof/>
            </w:rPr>
          </w:pPr>
          <w:r w:rsidRPr="00CE269B">
            <w:rPr>
              <w:noProof/>
              <w:color w:val="808080" w:themeColor="background1" w:themeShade="80"/>
            </w:rPr>
            <w:t>DPS 534335</w:t>
          </w:r>
        </w:p>
      </w:tc>
      <w:tc>
        <w:tcPr>
          <w:tcW w:w="12798" w:type="dxa"/>
        </w:tcPr>
        <w:p w14:paraId="324F649C" w14:textId="77777777" w:rsidR="00C129B0" w:rsidRPr="00E06FD5" w:rsidRDefault="00C129B0" w:rsidP="00C129B0">
          <w:pPr>
            <w:pStyle w:val="Header"/>
            <w:tabs>
              <w:tab w:val="right" w:pos="12118"/>
            </w:tabs>
            <w:jc w:val="left"/>
            <w:rPr>
              <w:rFonts w:ascii="Arial" w:hAnsi="Arial" w:cs="Arial"/>
              <w:b/>
              <w:bCs/>
              <w:szCs w:val="18"/>
            </w:rPr>
          </w:pPr>
          <w:r>
            <w:rPr>
              <w:bCs/>
            </w:rPr>
            <w:tab/>
          </w:r>
          <w:r w:rsidRPr="00623AE3">
            <w:rPr>
              <w:bCs/>
            </w:rPr>
            <w:t>C</w:t>
          </w:r>
          <w:r>
            <w:rPr>
              <w:bCs/>
            </w:rPr>
            <w:t>24</w:t>
          </w:r>
          <w:r w:rsidRPr="00623AE3">
            <w:rPr>
              <w:bCs/>
            </w:rPr>
            <w:t>/</w:t>
          </w:r>
          <w:r>
            <w:rPr>
              <w:bCs/>
            </w:rPr>
            <w:t>40</w:t>
          </w:r>
          <w:r w:rsidRPr="00623AE3">
            <w:rPr>
              <w:bCs/>
            </w:rPr>
            <w:t>-</w:t>
          </w:r>
          <w:r>
            <w:rPr>
              <w:bCs/>
            </w:rPr>
            <w:t>C</w:t>
          </w:r>
          <w:r>
            <w:rPr>
              <w:bCs/>
            </w:rPr>
            <w:tab/>
          </w:r>
          <w:r>
            <w:fldChar w:fldCharType="begin"/>
          </w:r>
          <w:r>
            <w:instrText>PAGE</w:instrText>
          </w:r>
          <w:r>
            <w:fldChar w:fldCharType="separate"/>
          </w:r>
          <w:r>
            <w:t>2</w:t>
          </w:r>
          <w:r>
            <w:rPr>
              <w:noProof/>
            </w:rPr>
            <w:fldChar w:fldCharType="end"/>
          </w:r>
        </w:p>
      </w:tc>
    </w:tr>
  </w:tbl>
  <w:p w14:paraId="1179647B" w14:textId="4B352873" w:rsidR="00C129B0" w:rsidRPr="00E24D59" w:rsidRDefault="00C129B0" w:rsidP="00CE26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14A61" w:rsidRPr="00784011" w14:paraId="3262701B" w14:textId="77777777" w:rsidTr="00E31DCE">
      <w:trPr>
        <w:jc w:val="center"/>
      </w:trPr>
      <w:tc>
        <w:tcPr>
          <w:tcW w:w="1803" w:type="dxa"/>
          <w:vAlign w:val="center"/>
        </w:tcPr>
        <w:p w14:paraId="1BCFFA58" w14:textId="77777777" w:rsidR="00F14A61" w:rsidRDefault="00F14A61" w:rsidP="00E24D59">
          <w:pPr>
            <w:pStyle w:val="Header"/>
            <w:jc w:val="left"/>
            <w:rPr>
              <w:noProof/>
            </w:rPr>
          </w:pPr>
          <w:r w:rsidRPr="00CE269B">
            <w:rPr>
              <w:noProof/>
              <w:color w:val="808080" w:themeColor="background1" w:themeShade="80"/>
            </w:rPr>
            <w:t>DPS 534335</w:t>
          </w:r>
        </w:p>
      </w:tc>
      <w:tc>
        <w:tcPr>
          <w:tcW w:w="8261" w:type="dxa"/>
        </w:tcPr>
        <w:p w14:paraId="14C3B0CD" w14:textId="77777777" w:rsidR="00F14A61" w:rsidRPr="00E06FD5" w:rsidRDefault="00F14A61"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40</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0573882A" w14:textId="35B5B3EA" w:rsidR="00F14A61" w:rsidRPr="00E24D59" w:rsidRDefault="00F14A61" w:rsidP="00E24D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14A61" w:rsidRPr="00784011" w14:paraId="61E1D7A6" w14:textId="77777777" w:rsidTr="00364116">
      <w:trPr>
        <w:jc w:val="center"/>
      </w:trPr>
      <w:tc>
        <w:tcPr>
          <w:tcW w:w="1803" w:type="dxa"/>
          <w:vAlign w:val="center"/>
        </w:tcPr>
        <w:p w14:paraId="2F2717C9" w14:textId="77777777" w:rsidR="00F14A61" w:rsidRDefault="00F14A61" w:rsidP="00F14A61">
          <w:pPr>
            <w:pStyle w:val="Header"/>
            <w:jc w:val="left"/>
            <w:rPr>
              <w:noProof/>
            </w:rPr>
          </w:pPr>
          <w:r w:rsidRPr="00CE269B">
            <w:rPr>
              <w:noProof/>
              <w:color w:val="808080" w:themeColor="background1" w:themeShade="80"/>
            </w:rPr>
            <w:t>DPS 534335</w:t>
          </w:r>
        </w:p>
      </w:tc>
      <w:tc>
        <w:tcPr>
          <w:tcW w:w="8261" w:type="dxa"/>
        </w:tcPr>
        <w:p w14:paraId="09C83D3C" w14:textId="77777777" w:rsidR="00F14A61" w:rsidRPr="00E06FD5" w:rsidRDefault="00F14A61" w:rsidP="00F14A6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40</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627F3128" w14:textId="1012A0F6" w:rsidR="00F14A61" w:rsidRPr="00E24D59" w:rsidRDefault="00F14A61" w:rsidP="00A36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F53F0" w14:textId="77777777" w:rsidR="00070AC5" w:rsidRDefault="00070AC5">
      <w:r>
        <w:t>____________________</w:t>
      </w:r>
    </w:p>
  </w:footnote>
  <w:footnote w:type="continuationSeparator" w:id="0">
    <w:p w14:paraId="0B9AD720" w14:textId="77777777" w:rsidR="00070AC5" w:rsidRDefault="00070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7FE4" w14:textId="710E1F3D" w:rsidR="00105C56" w:rsidRDefault="00105C56">
    <w:pPr>
      <w:pStyle w:val="Header"/>
      <w:rPr>
        <w:noProof/>
        <w:lang w:eastAsia="zh-CN"/>
      </w:rPr>
    </w:pPr>
    <w:r>
      <w:fldChar w:fldCharType="begin"/>
    </w:r>
    <w:r>
      <w:rPr>
        <w:lang w:eastAsia="zh-CN"/>
      </w:rPr>
      <w:instrText xml:space="preserve"> PAGE   \* MERGEFORMAT </w:instrText>
    </w:r>
    <w:r>
      <w:fldChar w:fldCharType="separate"/>
    </w:r>
    <w:r>
      <w:rPr>
        <w:noProof/>
        <w:lang w:eastAsia="zh-CN"/>
      </w:rPr>
      <w:t>1</w:t>
    </w:r>
    <w:r>
      <w:rPr>
        <w:noProof/>
      </w:rPr>
      <w:fldChar w:fldCharType="end"/>
    </w:r>
  </w:p>
  <w:p w14:paraId="0DA6A5E6" w14:textId="2E28E835" w:rsidR="002A6FE6" w:rsidRDefault="002A6FE6">
    <w:pPr>
      <w:pStyle w:val="Header"/>
      <w:rPr>
        <w:lang w:eastAsia="zh-CN"/>
      </w:rPr>
    </w:pPr>
    <w:r>
      <w:rPr>
        <w:rStyle w:val="ui-provider"/>
        <w:lang w:eastAsia="zh-CN"/>
      </w:rPr>
      <w:t>国际电联</w:t>
    </w:r>
    <w:r>
      <w:rPr>
        <w:rStyle w:val="ui-provider"/>
        <w:lang w:eastAsia="zh-CN"/>
      </w:rPr>
      <w:t>2022</w:t>
    </w:r>
    <w:r w:rsidRPr="009D11DF">
      <w:rPr>
        <w:rStyle w:val="ui-provider"/>
        <w:rFonts w:asciiTheme="minorEastAsia" w:eastAsiaTheme="minorEastAsia" w:hAnsiTheme="minorEastAsia"/>
        <w:lang w:eastAsia="zh-CN"/>
      </w:rPr>
      <w:t>年年度财务工作报告和财务报</w:t>
    </w:r>
    <w:r w:rsidRPr="009D11DF">
      <w:rPr>
        <w:rStyle w:val="ui-provider"/>
        <w:rFonts w:asciiTheme="minorEastAsia" w:eastAsiaTheme="minorEastAsia" w:hAnsiTheme="minorEastAsia" w:cs="MS Mincho" w:hint="eastAsia"/>
        <w:lang w:eastAsia="zh-CN"/>
      </w:rPr>
      <w:t>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6619DF0" w14:textId="77777777" w:rsidTr="00E31DCE">
      <w:trPr>
        <w:trHeight w:val="1104"/>
        <w:jc w:val="center"/>
      </w:trPr>
      <w:tc>
        <w:tcPr>
          <w:tcW w:w="4390" w:type="dxa"/>
          <w:vAlign w:val="center"/>
        </w:tcPr>
        <w:p w14:paraId="636CE796" w14:textId="77777777" w:rsidR="00E24D59" w:rsidRPr="009621F8" w:rsidRDefault="00B93453" w:rsidP="00E24D59">
          <w:pPr>
            <w:pStyle w:val="Header"/>
            <w:jc w:val="left"/>
            <w:rPr>
              <w:rFonts w:ascii="Arial" w:hAnsi="Arial" w:cs="Arial"/>
              <w:b/>
              <w:bCs/>
              <w:color w:val="009CD6"/>
              <w:sz w:val="36"/>
              <w:szCs w:val="36"/>
            </w:rPr>
          </w:pPr>
          <w:bookmarkStart w:id="716" w:name="_Hlk133422111"/>
          <w:r>
            <w:rPr>
              <w:noProof/>
            </w:rPr>
            <w:drawing>
              <wp:inline distT="0" distB="0" distL="0" distR="0" wp14:anchorId="78591EB7" wp14:editId="0DFC5D7A">
                <wp:extent cx="1987200" cy="558000"/>
                <wp:effectExtent l="0" t="0" r="0" b="0"/>
                <wp:docPr id="1680484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63FD61F2" w14:textId="77777777" w:rsidR="00E24D59" w:rsidRDefault="00E24D59" w:rsidP="00E24D59">
          <w:pPr>
            <w:pStyle w:val="Header"/>
            <w:jc w:val="right"/>
            <w:rPr>
              <w:rFonts w:ascii="Arial" w:hAnsi="Arial" w:cs="Arial"/>
              <w:b/>
              <w:bCs/>
              <w:color w:val="009CD6"/>
              <w:szCs w:val="18"/>
            </w:rPr>
          </w:pPr>
        </w:p>
        <w:p w14:paraId="0AA375CE" w14:textId="77777777" w:rsidR="00E24D59" w:rsidRDefault="00E24D59" w:rsidP="00E24D59">
          <w:pPr>
            <w:pStyle w:val="Header"/>
            <w:jc w:val="right"/>
            <w:rPr>
              <w:rFonts w:ascii="Arial" w:hAnsi="Arial" w:cs="Arial"/>
              <w:b/>
              <w:bCs/>
              <w:color w:val="009CD6"/>
              <w:szCs w:val="18"/>
            </w:rPr>
          </w:pPr>
        </w:p>
        <w:p w14:paraId="3BEB2119"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16"/>
  <w:p w14:paraId="29F4E292"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59AC2B3" wp14:editId="3D2C1B67">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3C26A"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7B54" w14:textId="77777777" w:rsidR="00F14A61" w:rsidRDefault="00F14A61" w:rsidP="00F14A61">
    <w:pPr>
      <w:pStyle w:val="Header"/>
      <w:rPr>
        <w:noProof/>
        <w:lang w:eastAsia="zh-CN"/>
      </w:rPr>
    </w:pPr>
    <w:r>
      <w:fldChar w:fldCharType="begin"/>
    </w:r>
    <w:r>
      <w:rPr>
        <w:lang w:eastAsia="zh-CN"/>
      </w:rPr>
      <w:instrText xml:space="preserve"> PAGE   \* MERGEFORMAT </w:instrText>
    </w:r>
    <w:r>
      <w:fldChar w:fldCharType="separate"/>
    </w:r>
    <w:r>
      <w:rPr>
        <w:lang w:eastAsia="zh-CN"/>
      </w:rPr>
      <w:t>57</w:t>
    </w:r>
    <w:r>
      <w:rPr>
        <w:noProof/>
      </w:rPr>
      <w:fldChar w:fldCharType="end"/>
    </w:r>
  </w:p>
  <w:p w14:paraId="7E259822" w14:textId="22788CD1" w:rsidR="00F14A61" w:rsidRDefault="00F14A61">
    <w:pPr>
      <w:pStyle w:val="Header"/>
      <w:rPr>
        <w:lang w:eastAsia="zh-CN"/>
      </w:rPr>
    </w:pPr>
    <w:r>
      <w:rPr>
        <w:rStyle w:val="ui-provider"/>
        <w:lang w:eastAsia="zh-CN"/>
      </w:rPr>
      <w:t>国际电联</w:t>
    </w:r>
    <w:r>
      <w:rPr>
        <w:rStyle w:val="ui-provider"/>
        <w:lang w:eastAsia="zh-CN"/>
      </w:rPr>
      <w:t>2022</w:t>
    </w:r>
    <w:r w:rsidRPr="009D11DF">
      <w:rPr>
        <w:rStyle w:val="ui-provider"/>
        <w:rFonts w:asciiTheme="minorEastAsia" w:eastAsiaTheme="minorEastAsia" w:hAnsiTheme="minorEastAsia"/>
        <w:lang w:eastAsia="zh-CN"/>
      </w:rPr>
      <w:t>年年度财务工作报告和财务报</w:t>
    </w:r>
    <w:r w:rsidRPr="009D11DF">
      <w:rPr>
        <w:rStyle w:val="ui-provider"/>
        <w:rFonts w:asciiTheme="minorEastAsia" w:eastAsiaTheme="minorEastAsia" w:hAnsiTheme="minorEastAsia" w:cs="MS Mincho" w:hint="eastAsia"/>
        <w:lang w:eastAsia="zh-CN"/>
      </w:rPr>
      <w:t>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055B" w14:textId="77777777" w:rsidR="00F14A61" w:rsidRDefault="00F14A61">
    <w:pPr>
      <w:pStyle w:val="Header"/>
      <w:rPr>
        <w:noProof/>
        <w:lang w:eastAsia="zh-CN"/>
      </w:rPr>
    </w:pPr>
    <w:r>
      <w:fldChar w:fldCharType="begin"/>
    </w:r>
    <w:r>
      <w:rPr>
        <w:lang w:eastAsia="zh-CN"/>
      </w:rPr>
      <w:instrText xml:space="preserve"> PAGE   \* MERGEFORMAT </w:instrText>
    </w:r>
    <w:r>
      <w:fldChar w:fldCharType="separate"/>
    </w:r>
    <w:r>
      <w:rPr>
        <w:noProof/>
        <w:lang w:eastAsia="zh-CN"/>
      </w:rPr>
      <w:t>1</w:t>
    </w:r>
    <w:r>
      <w:rPr>
        <w:noProof/>
      </w:rPr>
      <w:fldChar w:fldCharType="end"/>
    </w:r>
  </w:p>
  <w:p w14:paraId="5EB52A4E" w14:textId="77777777" w:rsidR="00F14A61" w:rsidRDefault="00F14A61">
    <w:pPr>
      <w:pStyle w:val="Header"/>
      <w:rPr>
        <w:lang w:eastAsia="zh-CN"/>
      </w:rPr>
    </w:pPr>
    <w:r>
      <w:rPr>
        <w:rStyle w:val="ui-provider"/>
        <w:lang w:eastAsia="zh-CN"/>
      </w:rPr>
      <w:t>国际电联</w:t>
    </w:r>
    <w:r>
      <w:rPr>
        <w:rStyle w:val="ui-provider"/>
        <w:lang w:eastAsia="zh-CN"/>
      </w:rPr>
      <w:t>2022</w:t>
    </w:r>
    <w:r w:rsidRPr="009D11DF">
      <w:rPr>
        <w:rStyle w:val="ui-provider"/>
        <w:rFonts w:asciiTheme="minorEastAsia" w:eastAsiaTheme="minorEastAsia" w:hAnsiTheme="minorEastAsia"/>
        <w:lang w:eastAsia="zh-CN"/>
      </w:rPr>
      <w:t>年年度财务工作报告和财务报</w:t>
    </w:r>
    <w:r w:rsidRPr="009D11DF">
      <w:rPr>
        <w:rStyle w:val="ui-provider"/>
        <w:rFonts w:asciiTheme="minorEastAsia" w:eastAsiaTheme="minorEastAsia" w:hAnsiTheme="minorEastAsia" w:cs="MS Mincho" w:hint="eastAsia"/>
        <w:lang w:eastAsia="zh-CN"/>
      </w:rPr>
      <w:t>表</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7559" w14:textId="77777777" w:rsidR="00F14A61" w:rsidRDefault="00F14A61" w:rsidP="00F14A61">
    <w:pPr>
      <w:pStyle w:val="Header"/>
      <w:rPr>
        <w:noProof/>
        <w:lang w:eastAsia="zh-CN"/>
      </w:rPr>
    </w:pPr>
    <w:r>
      <w:fldChar w:fldCharType="begin"/>
    </w:r>
    <w:r>
      <w:rPr>
        <w:lang w:eastAsia="zh-CN"/>
      </w:rPr>
      <w:instrText xml:space="preserve"> PAGE   \* MERGEFORMAT </w:instrText>
    </w:r>
    <w:r>
      <w:fldChar w:fldCharType="separate"/>
    </w:r>
    <w:r>
      <w:rPr>
        <w:lang w:eastAsia="zh-CN"/>
      </w:rPr>
      <w:t>57</w:t>
    </w:r>
    <w:r>
      <w:rPr>
        <w:noProof/>
      </w:rPr>
      <w:fldChar w:fldCharType="end"/>
    </w:r>
  </w:p>
  <w:p w14:paraId="1BF254E9" w14:textId="63C431F1" w:rsidR="00F14A61" w:rsidRDefault="00F14A61">
    <w:pPr>
      <w:pStyle w:val="Header"/>
      <w:rPr>
        <w:lang w:eastAsia="zh-CN"/>
      </w:rPr>
    </w:pPr>
    <w:r>
      <w:rPr>
        <w:rStyle w:val="ui-provider"/>
        <w:lang w:eastAsia="zh-CN"/>
      </w:rPr>
      <w:t>国际电联</w:t>
    </w:r>
    <w:r>
      <w:rPr>
        <w:rStyle w:val="ui-provider"/>
        <w:lang w:eastAsia="zh-CN"/>
      </w:rPr>
      <w:t>2022</w:t>
    </w:r>
    <w:r w:rsidRPr="009D11DF">
      <w:rPr>
        <w:rStyle w:val="ui-provider"/>
        <w:rFonts w:asciiTheme="minorEastAsia" w:eastAsiaTheme="minorEastAsia" w:hAnsiTheme="minorEastAsia"/>
        <w:lang w:eastAsia="zh-CN"/>
      </w:rPr>
      <w:t>年年度财务工作报告和财务报</w:t>
    </w:r>
    <w:r w:rsidRPr="009D11DF">
      <w:rPr>
        <w:rStyle w:val="ui-provider"/>
        <w:rFonts w:asciiTheme="minorEastAsia" w:eastAsiaTheme="minorEastAsia" w:hAnsiTheme="minorEastAsia" w:cs="MS Mincho" w:hint="eastAsia"/>
        <w:lang w:eastAsia="zh-CN"/>
      </w:rPr>
      <w:t>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2C4D2C"/>
    <w:lvl w:ilvl="0">
      <w:start w:val="1"/>
      <w:numFmt w:val="decimal"/>
      <w:pStyle w:val="ListNumber5"/>
      <w:lvlText w:val="%1."/>
      <w:lvlJc w:val="left"/>
      <w:pPr>
        <w:tabs>
          <w:tab w:val="num" w:pos="1699"/>
        </w:tabs>
        <w:ind w:left="1699"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054C3"/>
    <w:multiLevelType w:val="multilevel"/>
    <w:tmpl w:val="48BE3954"/>
    <w:lvl w:ilvl="0">
      <w:start w:val="1"/>
      <w:numFmt w:val="decimal"/>
      <w:lvlText w:val="Note %1."/>
      <w:lvlJc w:val="left"/>
      <w:pPr>
        <w:ind w:left="1134" w:hanging="113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18324E"/>
    <w:multiLevelType w:val="hybridMultilevel"/>
    <w:tmpl w:val="E71CD634"/>
    <w:lvl w:ilvl="0" w:tplc="04090001">
      <w:start w:val="1"/>
      <w:numFmt w:val="bullet"/>
      <w:lvlText w:val=""/>
      <w:lvlJc w:val="left"/>
      <w:pPr>
        <w:ind w:left="360" w:hanging="360"/>
      </w:pPr>
      <w:rPr>
        <w:rFonts w:ascii="Symbol" w:hAnsi="Symbol" w:hint="default"/>
      </w:rPr>
    </w:lvl>
    <w:lvl w:ilvl="1" w:tplc="86CCCC90">
      <w:numFmt w:val="bullet"/>
      <w:lvlText w:val="•"/>
      <w:lvlJc w:val="left"/>
      <w:pPr>
        <w:ind w:left="1440" w:hanging="72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221B4D"/>
    <w:multiLevelType w:val="hybridMultilevel"/>
    <w:tmpl w:val="FFD2A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C50783"/>
    <w:multiLevelType w:val="hybridMultilevel"/>
    <w:tmpl w:val="5052B6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81F0874"/>
    <w:multiLevelType w:val="hybridMultilevel"/>
    <w:tmpl w:val="1A5E0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6"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FDA33FA"/>
    <w:multiLevelType w:val="hybridMultilevel"/>
    <w:tmpl w:val="6E620326"/>
    <w:lvl w:ilvl="0" w:tplc="D152EDB4">
      <w:start w:val="1"/>
      <w:numFmt w:val="bullet"/>
      <w:lvlText w:val=""/>
      <w:lvlJc w:val="left"/>
      <w:pPr>
        <w:ind w:left="720" w:hanging="360"/>
      </w:pPr>
      <w:rPr>
        <w:rFonts w:ascii="Symbol" w:hAnsi="Symbol" w:hint="default"/>
      </w:rPr>
    </w:lvl>
    <w:lvl w:ilvl="1" w:tplc="A9F83EBA" w:tentative="1">
      <w:start w:val="1"/>
      <w:numFmt w:val="bullet"/>
      <w:lvlText w:val="o"/>
      <w:lvlJc w:val="left"/>
      <w:pPr>
        <w:ind w:left="1440" w:hanging="360"/>
      </w:pPr>
      <w:rPr>
        <w:rFonts w:ascii="Courier New" w:hAnsi="Courier New" w:cs="Courier New" w:hint="default"/>
      </w:rPr>
    </w:lvl>
    <w:lvl w:ilvl="2" w:tplc="F2CAB790" w:tentative="1">
      <w:start w:val="1"/>
      <w:numFmt w:val="bullet"/>
      <w:lvlText w:val=""/>
      <w:lvlJc w:val="left"/>
      <w:pPr>
        <w:ind w:left="2160" w:hanging="360"/>
      </w:pPr>
      <w:rPr>
        <w:rFonts w:ascii="Wingdings" w:hAnsi="Wingdings" w:hint="default"/>
      </w:rPr>
    </w:lvl>
    <w:lvl w:ilvl="3" w:tplc="8424C0AC" w:tentative="1">
      <w:start w:val="1"/>
      <w:numFmt w:val="bullet"/>
      <w:lvlText w:val=""/>
      <w:lvlJc w:val="left"/>
      <w:pPr>
        <w:ind w:left="2880" w:hanging="360"/>
      </w:pPr>
      <w:rPr>
        <w:rFonts w:ascii="Symbol" w:hAnsi="Symbol" w:hint="default"/>
      </w:rPr>
    </w:lvl>
    <w:lvl w:ilvl="4" w:tplc="418A9986" w:tentative="1">
      <w:start w:val="1"/>
      <w:numFmt w:val="bullet"/>
      <w:lvlText w:val="o"/>
      <w:lvlJc w:val="left"/>
      <w:pPr>
        <w:ind w:left="3600" w:hanging="360"/>
      </w:pPr>
      <w:rPr>
        <w:rFonts w:ascii="Courier New" w:hAnsi="Courier New" w:cs="Courier New" w:hint="default"/>
      </w:rPr>
    </w:lvl>
    <w:lvl w:ilvl="5" w:tplc="327E55A6" w:tentative="1">
      <w:start w:val="1"/>
      <w:numFmt w:val="bullet"/>
      <w:lvlText w:val=""/>
      <w:lvlJc w:val="left"/>
      <w:pPr>
        <w:ind w:left="4320" w:hanging="360"/>
      </w:pPr>
      <w:rPr>
        <w:rFonts w:ascii="Wingdings" w:hAnsi="Wingdings" w:hint="default"/>
      </w:rPr>
    </w:lvl>
    <w:lvl w:ilvl="6" w:tplc="353496A4" w:tentative="1">
      <w:start w:val="1"/>
      <w:numFmt w:val="bullet"/>
      <w:lvlText w:val=""/>
      <w:lvlJc w:val="left"/>
      <w:pPr>
        <w:ind w:left="5040" w:hanging="360"/>
      </w:pPr>
      <w:rPr>
        <w:rFonts w:ascii="Symbol" w:hAnsi="Symbol" w:hint="default"/>
      </w:rPr>
    </w:lvl>
    <w:lvl w:ilvl="7" w:tplc="C152DD7E" w:tentative="1">
      <w:start w:val="1"/>
      <w:numFmt w:val="bullet"/>
      <w:lvlText w:val="o"/>
      <w:lvlJc w:val="left"/>
      <w:pPr>
        <w:ind w:left="5760" w:hanging="360"/>
      </w:pPr>
      <w:rPr>
        <w:rFonts w:ascii="Courier New" w:hAnsi="Courier New" w:cs="Courier New" w:hint="default"/>
      </w:rPr>
    </w:lvl>
    <w:lvl w:ilvl="8" w:tplc="E068947E" w:tentative="1">
      <w:start w:val="1"/>
      <w:numFmt w:val="bullet"/>
      <w:lvlText w:val=""/>
      <w:lvlJc w:val="left"/>
      <w:pPr>
        <w:ind w:left="6480" w:hanging="360"/>
      </w:pPr>
      <w:rPr>
        <w:rFonts w:ascii="Wingdings" w:hAnsi="Wingdings" w:hint="default"/>
      </w:rPr>
    </w:lvl>
  </w:abstractNum>
  <w:abstractNum w:abstractNumId="18" w15:restartNumberingAfterBreak="0">
    <w:nsid w:val="294E6247"/>
    <w:multiLevelType w:val="multilevel"/>
    <w:tmpl w:val="23F6E536"/>
    <w:styleLink w:val="Style3"/>
    <w:lvl w:ilvl="0">
      <w:start w:val="1"/>
      <w:numFmt w:val="decimal"/>
      <w:lvlText w:val="Note %1."/>
      <w:lvlJc w:val="left"/>
      <w:pPr>
        <w:ind w:left="1418" w:hanging="141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5A94BE9"/>
    <w:multiLevelType w:val="hybridMultilevel"/>
    <w:tmpl w:val="53426974"/>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2" w15:restartNumberingAfterBreak="0">
    <w:nsid w:val="5DD5008D"/>
    <w:multiLevelType w:val="hybridMultilevel"/>
    <w:tmpl w:val="847E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A0457E"/>
    <w:multiLevelType w:val="hybridMultilevel"/>
    <w:tmpl w:val="F12E1872"/>
    <w:lvl w:ilvl="0" w:tplc="E38E575C">
      <w:start w:val="1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423412C"/>
    <w:multiLevelType w:val="multilevel"/>
    <w:tmpl w:val="59B25D6E"/>
    <w:styleLink w:val="Style2"/>
    <w:lvl w:ilvl="0">
      <w:start w:val="1"/>
      <w:numFmt w:val="decimal"/>
      <w:lvlText w:val="Note %1."/>
      <w:lvlJc w:val="left"/>
      <w:pPr>
        <w:ind w:left="1701" w:hanging="170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AFC6C25"/>
    <w:multiLevelType w:val="hybridMultilevel"/>
    <w:tmpl w:val="3782ECA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0" w15:restartNumberingAfterBreak="0">
    <w:nsid w:val="7CFE61AF"/>
    <w:multiLevelType w:val="hybridMultilevel"/>
    <w:tmpl w:val="5F548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D654DE"/>
    <w:multiLevelType w:val="hybridMultilevel"/>
    <w:tmpl w:val="3864DAF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num w:numId="1" w16cid:durableId="1079449368">
    <w:abstractNumId w:val="9"/>
  </w:num>
  <w:num w:numId="2" w16cid:durableId="501241818">
    <w:abstractNumId w:val="19"/>
  </w:num>
  <w:num w:numId="3" w16cid:durableId="371539808">
    <w:abstractNumId w:val="20"/>
  </w:num>
  <w:num w:numId="4" w16cid:durableId="1525828948">
    <w:abstractNumId w:val="25"/>
  </w:num>
  <w:num w:numId="5" w16cid:durableId="2033219779">
    <w:abstractNumId w:val="28"/>
  </w:num>
  <w:num w:numId="6" w16cid:durableId="349645790">
    <w:abstractNumId w:val="26"/>
  </w:num>
  <w:num w:numId="7" w16cid:durableId="1451586466">
    <w:abstractNumId w:val="16"/>
  </w:num>
  <w:num w:numId="8" w16cid:durableId="5456794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5298847">
    <w:abstractNumId w:val="24"/>
  </w:num>
  <w:num w:numId="10" w16cid:durableId="551426102">
    <w:abstractNumId w:val="8"/>
    <w:lvlOverride w:ilvl="0">
      <w:startOverride w:val="1"/>
    </w:lvlOverride>
  </w:num>
  <w:num w:numId="11" w16cid:durableId="1883788093">
    <w:abstractNumId w:val="7"/>
  </w:num>
  <w:num w:numId="12" w16cid:durableId="2032224842">
    <w:abstractNumId w:val="6"/>
  </w:num>
  <w:num w:numId="13" w16cid:durableId="151912870">
    <w:abstractNumId w:val="5"/>
  </w:num>
  <w:num w:numId="14" w16cid:durableId="576013502">
    <w:abstractNumId w:val="3"/>
    <w:lvlOverride w:ilvl="0">
      <w:startOverride w:val="1"/>
    </w:lvlOverride>
  </w:num>
  <w:num w:numId="15" w16cid:durableId="168184943">
    <w:abstractNumId w:val="2"/>
    <w:lvlOverride w:ilvl="0">
      <w:startOverride w:val="1"/>
    </w:lvlOverride>
  </w:num>
  <w:num w:numId="16" w16cid:durableId="1733694687">
    <w:abstractNumId w:val="1"/>
    <w:lvlOverride w:ilvl="0">
      <w:startOverride w:val="1"/>
    </w:lvlOverride>
  </w:num>
  <w:num w:numId="17" w16cid:durableId="478689146">
    <w:abstractNumId w:val="0"/>
    <w:lvlOverride w:ilvl="0">
      <w:startOverride w:val="1"/>
    </w:lvlOverride>
  </w:num>
  <w:num w:numId="18" w16cid:durableId="1391033934">
    <w:abstractNumId w:val="18"/>
  </w:num>
  <w:num w:numId="19" w16cid:durableId="296222895">
    <w:abstractNumId w:val="27"/>
  </w:num>
  <w:num w:numId="20" w16cid:durableId="416366811">
    <w:abstractNumId w:val="4"/>
  </w:num>
  <w:num w:numId="21" w16cid:durableId="31544395">
    <w:abstractNumId w:val="10"/>
  </w:num>
  <w:num w:numId="22" w16cid:durableId="963852153">
    <w:abstractNumId w:val="13"/>
  </w:num>
  <w:num w:numId="23" w16cid:durableId="1274819766">
    <w:abstractNumId w:val="12"/>
  </w:num>
  <w:num w:numId="24" w16cid:durableId="906300700">
    <w:abstractNumId w:val="14"/>
  </w:num>
  <w:num w:numId="25" w16cid:durableId="1705594086">
    <w:abstractNumId w:val="22"/>
  </w:num>
  <w:num w:numId="26" w16cid:durableId="678384414">
    <w:abstractNumId w:val="30"/>
  </w:num>
  <w:num w:numId="27" w16cid:durableId="415174535">
    <w:abstractNumId w:val="11"/>
  </w:num>
  <w:num w:numId="28" w16cid:durableId="1327712417">
    <w:abstractNumId w:val="29"/>
  </w:num>
  <w:num w:numId="29" w16cid:durableId="339739906">
    <w:abstractNumId w:val="31"/>
  </w:num>
  <w:num w:numId="30" w16cid:durableId="1046416144">
    <w:abstractNumId w:val="21"/>
  </w:num>
  <w:num w:numId="31" w16cid:durableId="223221704">
    <w:abstractNumId w:val="23"/>
  </w:num>
  <w:num w:numId="32" w16cid:durableId="871919364">
    <w:abstractNumId w:val="15"/>
  </w:num>
  <w:num w:numId="33" w16cid:durableId="5035894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60F0C"/>
    <w:rsid w:val="00070AC5"/>
    <w:rsid w:val="000829FF"/>
    <w:rsid w:val="000853C0"/>
    <w:rsid w:val="0009409E"/>
    <w:rsid w:val="000A1A40"/>
    <w:rsid w:val="000A1C21"/>
    <w:rsid w:val="000A44B6"/>
    <w:rsid w:val="000A616D"/>
    <w:rsid w:val="000B0AC3"/>
    <w:rsid w:val="000C0BC5"/>
    <w:rsid w:val="000C4401"/>
    <w:rsid w:val="000D15EA"/>
    <w:rsid w:val="000F4DE1"/>
    <w:rsid w:val="000F6E34"/>
    <w:rsid w:val="00100D84"/>
    <w:rsid w:val="001016E1"/>
    <w:rsid w:val="00105C56"/>
    <w:rsid w:val="00112240"/>
    <w:rsid w:val="00113660"/>
    <w:rsid w:val="00124C9D"/>
    <w:rsid w:val="00152A6A"/>
    <w:rsid w:val="00157773"/>
    <w:rsid w:val="0018251A"/>
    <w:rsid w:val="00187F43"/>
    <w:rsid w:val="00190272"/>
    <w:rsid w:val="001920D9"/>
    <w:rsid w:val="00193244"/>
    <w:rsid w:val="00195C6C"/>
    <w:rsid w:val="00195FED"/>
    <w:rsid w:val="001A4BD6"/>
    <w:rsid w:val="001B3094"/>
    <w:rsid w:val="001D5A18"/>
    <w:rsid w:val="00224449"/>
    <w:rsid w:val="00232E78"/>
    <w:rsid w:val="002340DA"/>
    <w:rsid w:val="0023500D"/>
    <w:rsid w:val="0023555A"/>
    <w:rsid w:val="00280EB8"/>
    <w:rsid w:val="00286751"/>
    <w:rsid w:val="00287744"/>
    <w:rsid w:val="002A6670"/>
    <w:rsid w:val="002A6FE6"/>
    <w:rsid w:val="002B043E"/>
    <w:rsid w:val="00303502"/>
    <w:rsid w:val="00322D62"/>
    <w:rsid w:val="00325C25"/>
    <w:rsid w:val="003358C9"/>
    <w:rsid w:val="00372C4B"/>
    <w:rsid w:val="00372C8F"/>
    <w:rsid w:val="00380ECE"/>
    <w:rsid w:val="00390AE4"/>
    <w:rsid w:val="00393DDF"/>
    <w:rsid w:val="003976A3"/>
    <w:rsid w:val="00397F55"/>
    <w:rsid w:val="003B4454"/>
    <w:rsid w:val="003C2E37"/>
    <w:rsid w:val="003C4FE9"/>
    <w:rsid w:val="003E1E26"/>
    <w:rsid w:val="003F1415"/>
    <w:rsid w:val="0040144C"/>
    <w:rsid w:val="00403EB7"/>
    <w:rsid w:val="00430BF0"/>
    <w:rsid w:val="00431F9A"/>
    <w:rsid w:val="00433447"/>
    <w:rsid w:val="0044129B"/>
    <w:rsid w:val="004672E6"/>
    <w:rsid w:val="00471901"/>
    <w:rsid w:val="00474ED1"/>
    <w:rsid w:val="00480F68"/>
    <w:rsid w:val="0048384A"/>
    <w:rsid w:val="00493085"/>
    <w:rsid w:val="004A36EC"/>
    <w:rsid w:val="004B2404"/>
    <w:rsid w:val="004D163F"/>
    <w:rsid w:val="004D5573"/>
    <w:rsid w:val="004E4BFF"/>
    <w:rsid w:val="004F2598"/>
    <w:rsid w:val="00534B63"/>
    <w:rsid w:val="005403F7"/>
    <w:rsid w:val="00540632"/>
    <w:rsid w:val="00541CF4"/>
    <w:rsid w:val="005451E8"/>
    <w:rsid w:val="005507F2"/>
    <w:rsid w:val="00570A54"/>
    <w:rsid w:val="0057436C"/>
    <w:rsid w:val="005759CC"/>
    <w:rsid w:val="00590F1D"/>
    <w:rsid w:val="005A5FF5"/>
    <w:rsid w:val="005A72E1"/>
    <w:rsid w:val="005C6632"/>
    <w:rsid w:val="005D1C9E"/>
    <w:rsid w:val="005E0AB3"/>
    <w:rsid w:val="006046E5"/>
    <w:rsid w:val="00630DD5"/>
    <w:rsid w:val="00654257"/>
    <w:rsid w:val="0065435A"/>
    <w:rsid w:val="00695271"/>
    <w:rsid w:val="006A2DD3"/>
    <w:rsid w:val="006A5AF8"/>
    <w:rsid w:val="006C36CD"/>
    <w:rsid w:val="006E52F7"/>
    <w:rsid w:val="006F051D"/>
    <w:rsid w:val="00700D1F"/>
    <w:rsid w:val="007205CB"/>
    <w:rsid w:val="00726073"/>
    <w:rsid w:val="00727FB0"/>
    <w:rsid w:val="00734FE8"/>
    <w:rsid w:val="007360CE"/>
    <w:rsid w:val="00737E4E"/>
    <w:rsid w:val="00767B44"/>
    <w:rsid w:val="00772315"/>
    <w:rsid w:val="00775157"/>
    <w:rsid w:val="007813AE"/>
    <w:rsid w:val="00792572"/>
    <w:rsid w:val="007A37DB"/>
    <w:rsid w:val="007C3994"/>
    <w:rsid w:val="007E189D"/>
    <w:rsid w:val="007F0210"/>
    <w:rsid w:val="00806E3F"/>
    <w:rsid w:val="00811259"/>
    <w:rsid w:val="00813AA2"/>
    <w:rsid w:val="008173A3"/>
    <w:rsid w:val="00831062"/>
    <w:rsid w:val="00837E35"/>
    <w:rsid w:val="008418F5"/>
    <w:rsid w:val="0084762D"/>
    <w:rsid w:val="00856905"/>
    <w:rsid w:val="00857999"/>
    <w:rsid w:val="0086059C"/>
    <w:rsid w:val="00864589"/>
    <w:rsid w:val="00874C82"/>
    <w:rsid w:val="00890AFB"/>
    <w:rsid w:val="00890FC4"/>
    <w:rsid w:val="00895905"/>
    <w:rsid w:val="008A42FE"/>
    <w:rsid w:val="008A7244"/>
    <w:rsid w:val="008A7AC2"/>
    <w:rsid w:val="008F64AD"/>
    <w:rsid w:val="008F71C7"/>
    <w:rsid w:val="00911867"/>
    <w:rsid w:val="009164A9"/>
    <w:rsid w:val="009258CB"/>
    <w:rsid w:val="0093362E"/>
    <w:rsid w:val="00944563"/>
    <w:rsid w:val="00953160"/>
    <w:rsid w:val="0095742B"/>
    <w:rsid w:val="009625D8"/>
    <w:rsid w:val="0098459B"/>
    <w:rsid w:val="0098613E"/>
    <w:rsid w:val="00997185"/>
    <w:rsid w:val="009B086A"/>
    <w:rsid w:val="009B6322"/>
    <w:rsid w:val="009C2458"/>
    <w:rsid w:val="009C4A7B"/>
    <w:rsid w:val="009C6123"/>
    <w:rsid w:val="009D11DF"/>
    <w:rsid w:val="009F1E3E"/>
    <w:rsid w:val="00A1213C"/>
    <w:rsid w:val="00A272FF"/>
    <w:rsid w:val="00A36435"/>
    <w:rsid w:val="00A5354B"/>
    <w:rsid w:val="00A71B57"/>
    <w:rsid w:val="00A834A8"/>
    <w:rsid w:val="00A91C79"/>
    <w:rsid w:val="00AB42C1"/>
    <w:rsid w:val="00AC516F"/>
    <w:rsid w:val="00AE195F"/>
    <w:rsid w:val="00AE2926"/>
    <w:rsid w:val="00AF0F44"/>
    <w:rsid w:val="00B0184B"/>
    <w:rsid w:val="00B035CD"/>
    <w:rsid w:val="00B0769D"/>
    <w:rsid w:val="00B07ACB"/>
    <w:rsid w:val="00B217F8"/>
    <w:rsid w:val="00B332EA"/>
    <w:rsid w:val="00B40A53"/>
    <w:rsid w:val="00B45365"/>
    <w:rsid w:val="00B46A65"/>
    <w:rsid w:val="00B50665"/>
    <w:rsid w:val="00B5070D"/>
    <w:rsid w:val="00B52143"/>
    <w:rsid w:val="00B60184"/>
    <w:rsid w:val="00B62D20"/>
    <w:rsid w:val="00B643E4"/>
    <w:rsid w:val="00B66D6D"/>
    <w:rsid w:val="00B70994"/>
    <w:rsid w:val="00B81E75"/>
    <w:rsid w:val="00B87288"/>
    <w:rsid w:val="00B93453"/>
    <w:rsid w:val="00BA17D4"/>
    <w:rsid w:val="00BA2827"/>
    <w:rsid w:val="00BB0B83"/>
    <w:rsid w:val="00BD0954"/>
    <w:rsid w:val="00BD1A5A"/>
    <w:rsid w:val="00BD7A9B"/>
    <w:rsid w:val="00BD7BE1"/>
    <w:rsid w:val="00BF02A4"/>
    <w:rsid w:val="00BF416B"/>
    <w:rsid w:val="00C129B0"/>
    <w:rsid w:val="00C160D9"/>
    <w:rsid w:val="00C2781F"/>
    <w:rsid w:val="00C33152"/>
    <w:rsid w:val="00C45EB2"/>
    <w:rsid w:val="00C477C6"/>
    <w:rsid w:val="00C55525"/>
    <w:rsid w:val="00C64E4E"/>
    <w:rsid w:val="00C66E64"/>
    <w:rsid w:val="00C761A0"/>
    <w:rsid w:val="00C80556"/>
    <w:rsid w:val="00C85F7E"/>
    <w:rsid w:val="00C90D53"/>
    <w:rsid w:val="00CA0B2E"/>
    <w:rsid w:val="00CA6EF7"/>
    <w:rsid w:val="00CD368B"/>
    <w:rsid w:val="00CD42E9"/>
    <w:rsid w:val="00CD47F0"/>
    <w:rsid w:val="00CD5566"/>
    <w:rsid w:val="00CD64D7"/>
    <w:rsid w:val="00CE269B"/>
    <w:rsid w:val="00CE6F22"/>
    <w:rsid w:val="00CF41F6"/>
    <w:rsid w:val="00CF7D3E"/>
    <w:rsid w:val="00D02B4E"/>
    <w:rsid w:val="00D21F11"/>
    <w:rsid w:val="00D329DD"/>
    <w:rsid w:val="00D36817"/>
    <w:rsid w:val="00D40DAC"/>
    <w:rsid w:val="00D453EE"/>
    <w:rsid w:val="00D5666C"/>
    <w:rsid w:val="00D61EB2"/>
    <w:rsid w:val="00D666BC"/>
    <w:rsid w:val="00D82DFA"/>
    <w:rsid w:val="00D83542"/>
    <w:rsid w:val="00D92F45"/>
    <w:rsid w:val="00D94637"/>
    <w:rsid w:val="00D9725C"/>
    <w:rsid w:val="00DA68F6"/>
    <w:rsid w:val="00DA7006"/>
    <w:rsid w:val="00DB3621"/>
    <w:rsid w:val="00DC6427"/>
    <w:rsid w:val="00DC6B4E"/>
    <w:rsid w:val="00DD62F5"/>
    <w:rsid w:val="00DD66A1"/>
    <w:rsid w:val="00DE196D"/>
    <w:rsid w:val="00DF6B49"/>
    <w:rsid w:val="00E067C5"/>
    <w:rsid w:val="00E24D59"/>
    <w:rsid w:val="00E265BF"/>
    <w:rsid w:val="00E26D09"/>
    <w:rsid w:val="00E378D8"/>
    <w:rsid w:val="00E40C8A"/>
    <w:rsid w:val="00E43A12"/>
    <w:rsid w:val="00E67C67"/>
    <w:rsid w:val="00E77391"/>
    <w:rsid w:val="00E77476"/>
    <w:rsid w:val="00E8228B"/>
    <w:rsid w:val="00E86EB5"/>
    <w:rsid w:val="00E969DE"/>
    <w:rsid w:val="00EA18F1"/>
    <w:rsid w:val="00EE5706"/>
    <w:rsid w:val="00EF373D"/>
    <w:rsid w:val="00F1013F"/>
    <w:rsid w:val="00F10B27"/>
    <w:rsid w:val="00F11595"/>
    <w:rsid w:val="00F131CD"/>
    <w:rsid w:val="00F13BC9"/>
    <w:rsid w:val="00F14A61"/>
    <w:rsid w:val="00F209AB"/>
    <w:rsid w:val="00F357B2"/>
    <w:rsid w:val="00F36556"/>
    <w:rsid w:val="00F705DF"/>
    <w:rsid w:val="00F70622"/>
    <w:rsid w:val="00F72521"/>
    <w:rsid w:val="00F85624"/>
    <w:rsid w:val="00F87C05"/>
    <w:rsid w:val="00F93191"/>
    <w:rsid w:val="00F93A17"/>
    <w:rsid w:val="00FA2AF6"/>
    <w:rsid w:val="00FA5CB4"/>
    <w:rsid w:val="00FB073D"/>
    <w:rsid w:val="00FB771F"/>
    <w:rsid w:val="00FC322E"/>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DADE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99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aliases w:val="h1,título 1,1,l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link w:val="Heading3Char"/>
    <w:qFormat/>
    <w:rsid w:val="004D163F"/>
    <w:pPr>
      <w:spacing w:before="200"/>
      <w:ind w:left="0" w:firstLine="0"/>
      <w:outlineLvl w:val="2"/>
    </w:pPr>
    <w:rPr>
      <w:i/>
      <w:sz w:val="24"/>
    </w:rPr>
  </w:style>
  <w:style w:type="paragraph" w:styleId="Heading4">
    <w:name w:val="heading 4"/>
    <w:basedOn w:val="Heading3"/>
    <w:next w:val="Normal"/>
    <w:link w:val="Heading4Char"/>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6C36CD"/>
    <w:pPr>
      <w:outlineLvl w:val="4"/>
    </w:pPr>
  </w:style>
  <w:style w:type="paragraph" w:styleId="Heading6">
    <w:name w:val="heading 6"/>
    <w:basedOn w:val="Heading4"/>
    <w:next w:val="Normal"/>
    <w:link w:val="Heading6Char"/>
    <w:qFormat/>
    <w:rsid w:val="006C36CD"/>
    <w:pPr>
      <w:outlineLvl w:val="5"/>
    </w:pPr>
  </w:style>
  <w:style w:type="paragraph" w:styleId="Heading7">
    <w:name w:val="heading 7"/>
    <w:basedOn w:val="Heading6"/>
    <w:next w:val="Normal"/>
    <w:link w:val="Heading7Char"/>
    <w:qFormat/>
    <w:rsid w:val="006C36CD"/>
    <w:pPr>
      <w:outlineLvl w:val="6"/>
    </w:pPr>
  </w:style>
  <w:style w:type="paragraph" w:styleId="Heading8">
    <w:name w:val="heading 8"/>
    <w:basedOn w:val="Heading6"/>
    <w:next w:val="Normal"/>
    <w:link w:val="Heading8Char"/>
    <w:qFormat/>
    <w:rsid w:val="006C36CD"/>
    <w:pPr>
      <w:outlineLvl w:val="7"/>
    </w:pPr>
  </w:style>
  <w:style w:type="paragraph" w:styleId="Heading9">
    <w:name w:val="heading 9"/>
    <w:basedOn w:val="Heading6"/>
    <w:next w:val="Normal"/>
    <w:link w:val="Heading9Char"/>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6C36CD"/>
  </w:style>
  <w:style w:type="paragraph" w:styleId="TOC4">
    <w:name w:val="toc 4"/>
    <w:basedOn w:val="TOC3"/>
    <w:uiPriority w:val="39"/>
    <w:rsid w:val="006C36CD"/>
    <w:pPr>
      <w:spacing w:before="80"/>
    </w:pPr>
  </w:style>
  <w:style w:type="paragraph" w:styleId="TOC3">
    <w:name w:val="toc 3"/>
    <w:basedOn w:val="TOC2"/>
    <w:uiPriority w:val="39"/>
    <w:rsid w:val="006C36CD"/>
  </w:style>
  <w:style w:type="paragraph" w:styleId="TOC2">
    <w:name w:val="toc 2"/>
    <w:basedOn w:val="TOC1"/>
    <w:uiPriority w:val="39"/>
    <w:qFormat/>
    <w:rsid w:val="006C36CD"/>
    <w:pPr>
      <w:spacing w:before="160"/>
    </w:pPr>
  </w:style>
  <w:style w:type="paragraph" w:styleId="TOC1">
    <w:name w:val="toc 1"/>
    <w:basedOn w:val="Normal"/>
    <w:uiPriority w:val="39"/>
    <w:qFormat/>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uiPriority w:val="39"/>
    <w:rsid w:val="006C36CD"/>
  </w:style>
  <w:style w:type="paragraph" w:styleId="TOC6">
    <w:name w:val="toc 6"/>
    <w:basedOn w:val="TOC4"/>
    <w:uiPriority w:val="39"/>
    <w:rsid w:val="006C36CD"/>
  </w:style>
  <w:style w:type="paragraph" w:styleId="TOC5">
    <w:name w:val="toc 5"/>
    <w:basedOn w:val="TOC4"/>
    <w:uiPriority w:val="39"/>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rsid w:val="006C36CD"/>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Style 58,超????,超?级链,하이퍼링크2,하이퍼링크21,CEO_Hyperlink"/>
    <w:basedOn w:val="DefaultParagraphFont"/>
    <w:uiPriority w:val="99"/>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uiPriority w:val="39"/>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after="480"/>
    </w:pPr>
  </w:style>
  <w:style w:type="paragraph" w:customStyle="1" w:styleId="Tabletitle">
    <w:name w:val="Table_title"/>
    <w:basedOn w:val="TableNo"/>
    <w:next w:val="Tabletext"/>
    <w:link w:val="TabletitleChar"/>
    <w:rsid w:val="00471901"/>
    <w:pPr>
      <w:spacing w:before="240"/>
    </w:pPr>
    <w:rPr>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A91C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uiPriority w:val="99"/>
    <w:qFormat/>
    <w:rsid w:val="00E77476"/>
    <w:pPr>
      <w:ind w:firstLineChars="200" w:firstLine="200"/>
    </w:pPr>
    <w:rPr>
      <w:szCs w:val="19"/>
      <w:lang w:eastAsia="zh-CN"/>
    </w:rPr>
  </w:style>
  <w:style w:type="character" w:customStyle="1" w:styleId="Heading1Char">
    <w:name w:val="Heading 1 Char"/>
    <w:aliases w:val="h1 Char,título 1 Char,1 Char,l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rsid w:val="007A37DB"/>
    <w:rPr>
      <w:rFonts w:ascii="Calibri" w:hAnsi="Calibri"/>
      <w:sz w:val="24"/>
      <w:lang w:val="en-GB" w:eastAsia="en-US"/>
    </w:rPr>
  </w:style>
  <w:style w:type="paragraph" w:styleId="ListParagraph">
    <w:name w:val="List Paragraph"/>
    <w:aliases w:val="List Paragraph1,Recommendation,List Paragraph11,Bullet List,FooterText,numbered,Paragraphe de liste1,Bulletr List Paragraph,Bullet 1,Numbered Para 1,Dot pt,No Spacing1,List Paragraph Char Char Char,Indicator Text,Bullet Points,titre"/>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customStyle="1" w:styleId="enumlev1Char">
    <w:name w:val="enumlev1 Char"/>
    <w:basedOn w:val="DefaultParagraphFont"/>
    <w:link w:val="enumlev1"/>
    <w:locked/>
    <w:rsid w:val="00390AE4"/>
    <w:rPr>
      <w:rFonts w:ascii="Calibri" w:hAnsi="Calibri"/>
      <w:sz w:val="24"/>
      <w:lang w:val="en-GB" w:eastAsia="en-US"/>
    </w:rPr>
  </w:style>
  <w:style w:type="character" w:customStyle="1" w:styleId="ui-provider">
    <w:name w:val="ui-provider"/>
    <w:basedOn w:val="DefaultParagraphFont"/>
    <w:rsid w:val="002A6FE6"/>
  </w:style>
  <w:style w:type="paragraph" w:customStyle="1" w:styleId="firstfooter0">
    <w:name w:val="firstfooter"/>
    <w:basedOn w:val="Normal"/>
    <w:rsid w:val="00232E78"/>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
    <w:name w:val="Table_#"/>
    <w:basedOn w:val="Normal"/>
    <w:next w:val="Normal"/>
    <w:rsid w:val="00232E78"/>
    <w:pPr>
      <w:keepNext/>
      <w:overflowPunct/>
      <w:autoSpaceDE/>
      <w:autoSpaceDN/>
      <w:adjustRightInd/>
      <w:spacing w:before="560" w:after="120"/>
      <w:jc w:val="center"/>
      <w:textAlignment w:val="auto"/>
    </w:pPr>
    <w:rPr>
      <w:rFonts w:ascii="Times New Roman" w:hAnsi="Times New Roman"/>
      <w:caps/>
    </w:rPr>
  </w:style>
  <w:style w:type="character" w:customStyle="1" w:styleId="Heading3Char">
    <w:name w:val="Heading 3 Char"/>
    <w:link w:val="Heading3"/>
    <w:rsid w:val="00232E78"/>
    <w:rPr>
      <w:rFonts w:ascii="Calibri" w:hAnsi="Calibri"/>
      <w:b/>
      <w:i/>
      <w:sz w:val="24"/>
      <w:lang w:val="en-GB" w:eastAsia="en-US"/>
    </w:rPr>
  </w:style>
  <w:style w:type="character" w:customStyle="1" w:styleId="Heading4Char">
    <w:name w:val="Heading 4 Char"/>
    <w:link w:val="Heading4"/>
    <w:rsid w:val="00232E78"/>
    <w:rPr>
      <w:rFonts w:ascii="Calibri" w:hAnsi="Calibri"/>
      <w:i/>
      <w:sz w:val="24"/>
      <w:lang w:val="en-GB" w:eastAsia="en-US"/>
    </w:rPr>
  </w:style>
  <w:style w:type="character" w:customStyle="1" w:styleId="Heading5Char">
    <w:name w:val="Heading 5 Char"/>
    <w:link w:val="Heading5"/>
    <w:rsid w:val="00232E78"/>
    <w:rPr>
      <w:rFonts w:ascii="Calibri" w:hAnsi="Calibri"/>
      <w:i/>
      <w:sz w:val="24"/>
      <w:lang w:val="en-GB" w:eastAsia="en-US"/>
    </w:rPr>
  </w:style>
  <w:style w:type="character" w:customStyle="1" w:styleId="Heading6Char">
    <w:name w:val="Heading 6 Char"/>
    <w:link w:val="Heading6"/>
    <w:rsid w:val="00232E78"/>
    <w:rPr>
      <w:rFonts w:ascii="Calibri" w:hAnsi="Calibri"/>
      <w:i/>
      <w:sz w:val="24"/>
      <w:lang w:val="en-GB" w:eastAsia="en-US"/>
    </w:rPr>
  </w:style>
  <w:style w:type="character" w:customStyle="1" w:styleId="Heading7Char">
    <w:name w:val="Heading 7 Char"/>
    <w:link w:val="Heading7"/>
    <w:rsid w:val="00232E78"/>
    <w:rPr>
      <w:rFonts w:ascii="Calibri" w:hAnsi="Calibri"/>
      <w:i/>
      <w:sz w:val="24"/>
      <w:lang w:val="en-GB" w:eastAsia="en-US"/>
    </w:rPr>
  </w:style>
  <w:style w:type="character" w:customStyle="1" w:styleId="Heading8Char">
    <w:name w:val="Heading 8 Char"/>
    <w:link w:val="Heading8"/>
    <w:rsid w:val="00232E78"/>
    <w:rPr>
      <w:rFonts w:ascii="Calibri" w:hAnsi="Calibri"/>
      <w:i/>
      <w:sz w:val="24"/>
      <w:lang w:val="en-GB" w:eastAsia="en-US"/>
    </w:rPr>
  </w:style>
  <w:style w:type="character" w:customStyle="1" w:styleId="Heading9Char">
    <w:name w:val="Heading 9 Char"/>
    <w:link w:val="Heading9"/>
    <w:rsid w:val="00232E78"/>
    <w:rPr>
      <w:rFonts w:ascii="Calibri" w:hAnsi="Calibri"/>
      <w:i/>
      <w:sz w:val="24"/>
      <w:lang w:val="en-GB" w:eastAsia="en-US"/>
    </w:rPr>
  </w:style>
  <w:style w:type="paragraph" w:styleId="NormalWeb">
    <w:name w:val="Normal (Web)"/>
    <w:basedOn w:val="Normal"/>
    <w:uiPriority w:val="99"/>
    <w:unhideWhenUsed/>
    <w:rsid w:val="00232E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TableText0">
    <w:name w:val="Table_Text"/>
    <w:basedOn w:val="Normal"/>
    <w:rsid w:val="00232E7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hAnsi="Times New Roman"/>
      <w:sz w:val="22"/>
      <w:lang w:val="fr-FR"/>
    </w:rPr>
  </w:style>
  <w:style w:type="paragraph" w:customStyle="1" w:styleId="TableHead0">
    <w:name w:val="Table_Head"/>
    <w:basedOn w:val="TableText0"/>
    <w:rsid w:val="00232E78"/>
    <w:pPr>
      <w:keepNext/>
      <w:spacing w:before="480" w:after="0"/>
      <w:jc w:val="center"/>
    </w:pPr>
    <w:rPr>
      <w:b/>
    </w:rPr>
  </w:style>
  <w:style w:type="paragraph" w:styleId="BalloonText">
    <w:name w:val="Balloon Text"/>
    <w:basedOn w:val="Normal"/>
    <w:link w:val="BalloonTextChar"/>
    <w:uiPriority w:val="99"/>
    <w:unhideWhenUsed/>
    <w:rsid w:val="00232E78"/>
    <w:pPr>
      <w:widowControl w:val="0"/>
      <w:tabs>
        <w:tab w:val="clear" w:pos="794"/>
        <w:tab w:val="clear" w:pos="1191"/>
        <w:tab w:val="clear" w:pos="1588"/>
        <w:tab w:val="clear" w:pos="1985"/>
      </w:tabs>
      <w:kinsoku w:val="0"/>
      <w:overflowPunct/>
      <w:autoSpaceDE/>
      <w:autoSpaceDN/>
      <w:adjustRightInd/>
      <w:spacing w:before="0"/>
      <w:textAlignment w:val="auto"/>
    </w:pPr>
    <w:rPr>
      <w:rFonts w:ascii="Tahoma" w:hAnsi="Tahoma" w:cs="Tahoma"/>
      <w:sz w:val="16"/>
      <w:szCs w:val="16"/>
      <w:lang w:val="en-US" w:eastAsia="zh-CN"/>
    </w:rPr>
  </w:style>
  <w:style w:type="character" w:customStyle="1" w:styleId="BalloonTextChar">
    <w:name w:val="Balloon Text Char"/>
    <w:basedOn w:val="DefaultParagraphFont"/>
    <w:link w:val="BalloonText"/>
    <w:uiPriority w:val="99"/>
    <w:rsid w:val="00232E78"/>
    <w:rPr>
      <w:rFonts w:ascii="Tahoma" w:hAnsi="Tahoma" w:cs="Tahoma"/>
      <w:sz w:val="16"/>
      <w:szCs w:val="16"/>
    </w:rPr>
  </w:style>
  <w:style w:type="paragraph" w:styleId="BodyTextIndent">
    <w:name w:val="Body Text Indent"/>
    <w:basedOn w:val="Normal"/>
    <w:link w:val="BodyTextIndentChar"/>
    <w:rsid w:val="00232E78"/>
    <w:pPr>
      <w:tabs>
        <w:tab w:val="clear" w:pos="794"/>
        <w:tab w:val="clear" w:pos="1191"/>
        <w:tab w:val="clear" w:pos="1588"/>
        <w:tab w:val="clear" w:pos="1985"/>
        <w:tab w:val="left" w:pos="0"/>
        <w:tab w:val="left" w:pos="851"/>
        <w:tab w:val="left" w:pos="1134"/>
      </w:tabs>
      <w:spacing w:before="80" w:line="0" w:lineRule="atLeast"/>
      <w:ind w:left="1134" w:hanging="283"/>
    </w:pPr>
    <w:rPr>
      <w:rFonts w:ascii="Times New Roman" w:hAnsi="Times New Roman"/>
      <w:lang w:val="fr-FR"/>
    </w:rPr>
  </w:style>
  <w:style w:type="character" w:customStyle="1" w:styleId="BodyTextIndentChar">
    <w:name w:val="Body Text Indent Char"/>
    <w:basedOn w:val="DefaultParagraphFont"/>
    <w:link w:val="BodyTextIndent"/>
    <w:rsid w:val="00232E78"/>
    <w:rPr>
      <w:rFonts w:ascii="Times New Roman" w:hAnsi="Times New Roman"/>
      <w:sz w:val="24"/>
      <w:lang w:val="fr-FR" w:eastAsia="en-US"/>
    </w:rPr>
  </w:style>
  <w:style w:type="paragraph" w:styleId="BodyText3">
    <w:name w:val="Body Text 3"/>
    <w:basedOn w:val="Normal"/>
    <w:link w:val="BodyText3Char"/>
    <w:uiPriority w:val="99"/>
    <w:unhideWhenUsed/>
    <w:rsid w:val="00232E78"/>
    <w:pPr>
      <w:widowControl w:val="0"/>
      <w:tabs>
        <w:tab w:val="clear" w:pos="794"/>
        <w:tab w:val="clear" w:pos="1191"/>
        <w:tab w:val="clear" w:pos="1588"/>
        <w:tab w:val="clear" w:pos="1985"/>
      </w:tabs>
      <w:kinsoku w:val="0"/>
      <w:overflowPunct/>
      <w:autoSpaceDE/>
      <w:autoSpaceDN/>
      <w:adjustRightInd/>
      <w:spacing w:before="0" w:after="120"/>
      <w:textAlignment w:val="auto"/>
    </w:pPr>
    <w:rPr>
      <w:rFonts w:ascii="Times New Roman" w:hAnsi="Times New Roman"/>
      <w:sz w:val="16"/>
      <w:szCs w:val="16"/>
      <w:lang w:val="en-US" w:eastAsia="zh-CN"/>
    </w:rPr>
  </w:style>
  <w:style w:type="character" w:customStyle="1" w:styleId="BodyText3Char">
    <w:name w:val="Body Text 3 Char"/>
    <w:basedOn w:val="DefaultParagraphFont"/>
    <w:link w:val="BodyText3"/>
    <w:uiPriority w:val="99"/>
    <w:rsid w:val="00232E78"/>
    <w:rPr>
      <w:rFonts w:ascii="Times New Roman" w:hAnsi="Times New Roman"/>
      <w:sz w:val="16"/>
      <w:szCs w:val="16"/>
    </w:rPr>
  </w:style>
  <w:style w:type="character" w:styleId="Strong">
    <w:name w:val="Strong"/>
    <w:uiPriority w:val="22"/>
    <w:qFormat/>
    <w:rsid w:val="00232E78"/>
    <w:rPr>
      <w:b/>
      <w:bCs/>
    </w:rPr>
  </w:style>
  <w:style w:type="character" w:styleId="CommentReference">
    <w:name w:val="annotation reference"/>
    <w:uiPriority w:val="99"/>
    <w:unhideWhenUsed/>
    <w:rsid w:val="00232E78"/>
    <w:rPr>
      <w:sz w:val="16"/>
      <w:szCs w:val="16"/>
    </w:rPr>
  </w:style>
  <w:style w:type="paragraph" w:styleId="CommentText">
    <w:name w:val="annotation text"/>
    <w:basedOn w:val="Normal"/>
    <w:link w:val="CommentTextChar"/>
    <w:uiPriority w:val="99"/>
    <w:unhideWhenUsed/>
    <w:rsid w:val="00232E78"/>
    <w:pPr>
      <w:tabs>
        <w:tab w:val="clear" w:pos="794"/>
        <w:tab w:val="clear" w:pos="1191"/>
        <w:tab w:val="clear" w:pos="1588"/>
        <w:tab w:val="clear" w:pos="1985"/>
      </w:tabs>
      <w:overflowPunct/>
      <w:autoSpaceDE/>
      <w:autoSpaceDN/>
      <w:adjustRightInd/>
      <w:spacing w:before="0"/>
      <w:textAlignment w:val="auto"/>
    </w:pPr>
    <w:rPr>
      <w:rFonts w:ascii="Times New Roman" w:hAnsi="Times New Roman" w:cs="Arial"/>
      <w:b/>
      <w:sz w:val="20"/>
      <w:lang w:val="fr-FR" w:eastAsia="fr-FR"/>
    </w:rPr>
  </w:style>
  <w:style w:type="character" w:customStyle="1" w:styleId="CommentTextChar">
    <w:name w:val="Comment Text Char"/>
    <w:basedOn w:val="DefaultParagraphFont"/>
    <w:link w:val="CommentText"/>
    <w:uiPriority w:val="99"/>
    <w:rsid w:val="00232E78"/>
    <w:rPr>
      <w:rFonts w:ascii="Times New Roman" w:hAnsi="Times New Roman" w:cs="Arial"/>
      <w:b/>
      <w:lang w:val="fr-FR" w:eastAsia="fr-FR"/>
    </w:rPr>
  </w:style>
  <w:style w:type="paragraph" w:styleId="CommentSubject">
    <w:name w:val="annotation subject"/>
    <w:basedOn w:val="CommentText"/>
    <w:next w:val="CommentText"/>
    <w:link w:val="CommentSubjectChar"/>
    <w:uiPriority w:val="99"/>
    <w:unhideWhenUsed/>
    <w:rsid w:val="00232E78"/>
    <w:rPr>
      <w:bCs/>
    </w:rPr>
  </w:style>
  <w:style w:type="character" w:customStyle="1" w:styleId="CommentSubjectChar">
    <w:name w:val="Comment Subject Char"/>
    <w:basedOn w:val="CommentTextChar"/>
    <w:link w:val="CommentSubject"/>
    <w:uiPriority w:val="99"/>
    <w:rsid w:val="00232E78"/>
    <w:rPr>
      <w:rFonts w:ascii="Times New Roman" w:hAnsi="Times New Roman" w:cs="Arial"/>
      <w:b/>
      <w:bCs/>
      <w:lang w:val="fr-FR" w:eastAsia="fr-FR"/>
    </w:rPr>
  </w:style>
  <w:style w:type="paragraph" w:styleId="Revision">
    <w:name w:val="Revision"/>
    <w:hidden/>
    <w:uiPriority w:val="99"/>
    <w:semiHidden/>
    <w:rsid w:val="00232E78"/>
    <w:rPr>
      <w:rFonts w:ascii="Times New Roman" w:hAnsi="Times New Roman"/>
      <w:sz w:val="24"/>
      <w:szCs w:val="24"/>
    </w:rPr>
  </w:style>
  <w:style w:type="paragraph" w:styleId="Caption">
    <w:name w:val="caption"/>
    <w:basedOn w:val="Normal"/>
    <w:next w:val="Normal"/>
    <w:uiPriority w:val="35"/>
    <w:unhideWhenUsed/>
    <w:qFormat/>
    <w:rsid w:val="00232E78"/>
    <w:pPr>
      <w:widowControl w:val="0"/>
      <w:tabs>
        <w:tab w:val="clear" w:pos="794"/>
        <w:tab w:val="clear" w:pos="1191"/>
        <w:tab w:val="clear" w:pos="1588"/>
        <w:tab w:val="clear" w:pos="1985"/>
      </w:tabs>
      <w:kinsoku w:val="0"/>
      <w:overflowPunct/>
      <w:autoSpaceDE/>
      <w:autoSpaceDN/>
      <w:adjustRightInd/>
      <w:spacing w:before="0" w:after="200"/>
      <w:textAlignment w:val="auto"/>
    </w:pPr>
    <w:rPr>
      <w:rFonts w:ascii="Times New Roman" w:hAnsi="Times New Roman"/>
      <w:b/>
      <w:bCs/>
      <w:color w:val="4F81BD"/>
      <w:sz w:val="18"/>
      <w:szCs w:val="18"/>
      <w:lang w:val="en-US" w:eastAsia="zh-CN"/>
    </w:rPr>
  </w:style>
  <w:style w:type="paragraph" w:styleId="NoSpacing">
    <w:name w:val="No Spacing"/>
    <w:uiPriority w:val="1"/>
    <w:qFormat/>
    <w:rsid w:val="00232E78"/>
    <w:pPr>
      <w:spacing w:before="120" w:after="120" w:line="288" w:lineRule="auto"/>
    </w:pPr>
    <w:rPr>
      <w:rFonts w:ascii="Arial" w:eastAsiaTheme="minorEastAsia" w:hAnsi="Arial" w:cs="Arial"/>
      <w:szCs w:val="24"/>
      <w:lang w:val="fr-FR" w:eastAsia="fr-FR"/>
    </w:rPr>
  </w:style>
  <w:style w:type="paragraph" w:customStyle="1" w:styleId="headingb0">
    <w:name w:val="heading_b"/>
    <w:basedOn w:val="Heading3"/>
    <w:next w:val="Normal"/>
    <w:link w:val="headingbChar"/>
    <w:uiPriority w:val="99"/>
    <w:rsid w:val="00232E78"/>
    <w:pPr>
      <w:tabs>
        <w:tab w:val="clear" w:pos="1191"/>
        <w:tab w:val="clear" w:pos="1588"/>
        <w:tab w:val="clear" w:pos="1985"/>
        <w:tab w:val="left" w:pos="2127"/>
        <w:tab w:val="left" w:pos="2410"/>
        <w:tab w:val="left" w:pos="2921"/>
        <w:tab w:val="left" w:pos="3261"/>
      </w:tabs>
      <w:spacing w:before="160"/>
      <w:outlineLvl w:val="9"/>
    </w:pPr>
    <w:rPr>
      <w:rFonts w:ascii="Times New Roman" w:hAnsi="Times New Roman"/>
      <w:i w:val="0"/>
      <w:lang w:val="fr-FR"/>
    </w:rPr>
  </w:style>
  <w:style w:type="numbering" w:customStyle="1" w:styleId="NoList1">
    <w:name w:val="No List1"/>
    <w:next w:val="NoList"/>
    <w:uiPriority w:val="99"/>
    <w:semiHidden/>
    <w:unhideWhenUsed/>
    <w:rsid w:val="00232E78"/>
  </w:style>
  <w:style w:type="numbering" w:customStyle="1" w:styleId="NoList2">
    <w:name w:val="No List2"/>
    <w:next w:val="NoList"/>
    <w:uiPriority w:val="99"/>
    <w:semiHidden/>
    <w:unhideWhenUsed/>
    <w:rsid w:val="00232E78"/>
  </w:style>
  <w:style w:type="paragraph" w:customStyle="1" w:styleId="font5">
    <w:name w:val="font5"/>
    <w:basedOn w:val="Normal"/>
    <w:rsid w:val="00232E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65">
    <w:name w:val="xl65"/>
    <w:basedOn w:val="Normal"/>
    <w:rsid w:val="00232E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66">
    <w:name w:val="xl66"/>
    <w:basedOn w:val="Normal"/>
    <w:rsid w:val="00232E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67">
    <w:name w:val="xl67"/>
    <w:basedOn w:val="Normal"/>
    <w:rsid w:val="00232E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b/>
      <w:bCs/>
      <w:sz w:val="22"/>
      <w:szCs w:val="22"/>
      <w:lang w:val="en-US" w:eastAsia="zh-CN"/>
    </w:rPr>
  </w:style>
  <w:style w:type="paragraph" w:customStyle="1" w:styleId="xl68">
    <w:name w:val="xl68"/>
    <w:basedOn w:val="Normal"/>
    <w:rsid w:val="00232E78"/>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cs="Calibri"/>
      <w:sz w:val="22"/>
      <w:szCs w:val="22"/>
      <w:lang w:val="en-US" w:eastAsia="zh-CN"/>
    </w:rPr>
  </w:style>
  <w:style w:type="paragraph" w:customStyle="1" w:styleId="xl69">
    <w:name w:val="xl69"/>
    <w:basedOn w:val="Normal"/>
    <w:rsid w:val="00232E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0">
    <w:name w:val="xl70"/>
    <w:basedOn w:val="Normal"/>
    <w:rsid w:val="00232E78"/>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cs="Calibri"/>
      <w:b/>
      <w:bCs/>
      <w:sz w:val="22"/>
      <w:szCs w:val="22"/>
      <w:lang w:val="en-US" w:eastAsia="zh-CN"/>
    </w:rPr>
  </w:style>
  <w:style w:type="paragraph" w:customStyle="1" w:styleId="xl71">
    <w:name w:val="xl71"/>
    <w:basedOn w:val="Normal"/>
    <w:rsid w:val="00232E78"/>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cs="Calibri"/>
      <w:sz w:val="22"/>
      <w:szCs w:val="22"/>
      <w:lang w:val="en-US" w:eastAsia="zh-CN"/>
    </w:rPr>
  </w:style>
  <w:style w:type="paragraph" w:customStyle="1" w:styleId="xl72">
    <w:name w:val="xl72"/>
    <w:basedOn w:val="Normal"/>
    <w:rsid w:val="00232E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3">
    <w:name w:val="xl73"/>
    <w:basedOn w:val="Normal"/>
    <w:rsid w:val="00232E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4">
    <w:name w:val="xl74"/>
    <w:basedOn w:val="Normal"/>
    <w:rsid w:val="00232E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b/>
      <w:bCs/>
      <w:sz w:val="22"/>
      <w:szCs w:val="22"/>
      <w:lang w:val="en-US" w:eastAsia="zh-CN"/>
    </w:rPr>
  </w:style>
  <w:style w:type="paragraph" w:customStyle="1" w:styleId="xl75">
    <w:name w:val="xl75"/>
    <w:basedOn w:val="Normal"/>
    <w:rsid w:val="00232E78"/>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cs="Calibri"/>
      <w:b/>
      <w:bCs/>
      <w:sz w:val="22"/>
      <w:szCs w:val="22"/>
      <w:lang w:val="en-US" w:eastAsia="zh-CN"/>
    </w:rPr>
  </w:style>
  <w:style w:type="paragraph" w:customStyle="1" w:styleId="xl76">
    <w:name w:val="xl76"/>
    <w:basedOn w:val="Normal"/>
    <w:rsid w:val="00232E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77">
    <w:name w:val="xl77"/>
    <w:basedOn w:val="Normal"/>
    <w:rsid w:val="00232E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b/>
      <w:bCs/>
      <w:color w:val="000000"/>
      <w:sz w:val="22"/>
      <w:szCs w:val="22"/>
      <w:lang w:val="en-US" w:eastAsia="zh-CN"/>
    </w:rPr>
  </w:style>
  <w:style w:type="paragraph" w:customStyle="1" w:styleId="xl78">
    <w:name w:val="xl78"/>
    <w:basedOn w:val="Normal"/>
    <w:rsid w:val="00232E78"/>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79">
    <w:name w:val="xl79"/>
    <w:basedOn w:val="Normal"/>
    <w:rsid w:val="00232E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0">
    <w:name w:val="xl80"/>
    <w:basedOn w:val="Normal"/>
    <w:rsid w:val="00232E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1">
    <w:name w:val="xl81"/>
    <w:basedOn w:val="Normal"/>
    <w:rsid w:val="00232E78"/>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2">
    <w:name w:val="xl82"/>
    <w:basedOn w:val="Normal"/>
    <w:rsid w:val="00232E78"/>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cs="Calibri"/>
      <w:color w:val="000000"/>
      <w:sz w:val="22"/>
      <w:szCs w:val="22"/>
      <w:lang w:val="en-US" w:eastAsia="zh-CN"/>
    </w:rPr>
  </w:style>
  <w:style w:type="paragraph" w:customStyle="1" w:styleId="xl83">
    <w:name w:val="xl83"/>
    <w:basedOn w:val="Normal"/>
    <w:rsid w:val="00232E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4">
    <w:name w:val="xl84"/>
    <w:basedOn w:val="Normal"/>
    <w:rsid w:val="00232E78"/>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cs="Calibri"/>
      <w:b/>
      <w:bCs/>
      <w:color w:val="000000"/>
      <w:sz w:val="22"/>
      <w:szCs w:val="22"/>
      <w:lang w:val="en-US" w:eastAsia="zh-CN"/>
    </w:rPr>
  </w:style>
  <w:style w:type="paragraph" w:customStyle="1" w:styleId="xl85">
    <w:name w:val="xl85"/>
    <w:basedOn w:val="Normal"/>
    <w:rsid w:val="00232E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b/>
      <w:bCs/>
      <w:color w:val="000000"/>
      <w:sz w:val="22"/>
      <w:szCs w:val="22"/>
      <w:lang w:val="en-US" w:eastAsia="zh-CN"/>
    </w:rPr>
  </w:style>
  <w:style w:type="paragraph" w:customStyle="1" w:styleId="xl86">
    <w:name w:val="xl86"/>
    <w:basedOn w:val="Normal"/>
    <w:rsid w:val="00232E78"/>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cs="Calibri"/>
      <w:b/>
      <w:bCs/>
      <w:color w:val="000000"/>
      <w:sz w:val="22"/>
      <w:szCs w:val="22"/>
      <w:lang w:val="en-US" w:eastAsia="zh-CN"/>
    </w:rPr>
  </w:style>
  <w:style w:type="paragraph" w:customStyle="1" w:styleId="xl87">
    <w:name w:val="xl87"/>
    <w:basedOn w:val="Normal"/>
    <w:rsid w:val="00232E78"/>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8">
    <w:name w:val="xl88"/>
    <w:basedOn w:val="Normal"/>
    <w:rsid w:val="00232E78"/>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89">
    <w:name w:val="xl89"/>
    <w:basedOn w:val="Normal"/>
    <w:rsid w:val="00232E78"/>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0">
    <w:name w:val="xl90"/>
    <w:basedOn w:val="Normal"/>
    <w:rsid w:val="00232E78"/>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91">
    <w:name w:val="xl91"/>
    <w:basedOn w:val="Normal"/>
    <w:rsid w:val="00232E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2">
    <w:name w:val="xl92"/>
    <w:basedOn w:val="Normal"/>
    <w:rsid w:val="00232E78"/>
    <w:pPr>
      <w:pBdr>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3">
    <w:name w:val="xl93"/>
    <w:basedOn w:val="Normal"/>
    <w:rsid w:val="00232E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color w:val="000000"/>
      <w:sz w:val="20"/>
      <w:lang w:val="en-US" w:eastAsia="zh-CN"/>
    </w:rPr>
  </w:style>
  <w:style w:type="paragraph" w:styleId="Title">
    <w:name w:val="Title"/>
    <w:basedOn w:val="Normal"/>
    <w:link w:val="TitleChar"/>
    <w:qFormat/>
    <w:rsid w:val="00232E78"/>
    <w:pPr>
      <w:tabs>
        <w:tab w:val="clear" w:pos="794"/>
        <w:tab w:val="clear" w:pos="1191"/>
        <w:tab w:val="clear" w:pos="1588"/>
        <w:tab w:val="clear" w:pos="1985"/>
      </w:tabs>
      <w:overflowPunct/>
      <w:autoSpaceDE/>
      <w:autoSpaceDN/>
      <w:adjustRightInd/>
      <w:spacing w:before="0"/>
      <w:jc w:val="center"/>
      <w:textAlignment w:val="auto"/>
    </w:pPr>
    <w:rPr>
      <w:rFonts w:ascii="Arial" w:hAnsi="Arial"/>
      <w:b/>
      <w:bCs/>
      <w:sz w:val="22"/>
      <w:szCs w:val="24"/>
      <w:lang w:eastAsia="zh-CN"/>
    </w:rPr>
  </w:style>
  <w:style w:type="character" w:customStyle="1" w:styleId="TitleChar">
    <w:name w:val="Title Char"/>
    <w:basedOn w:val="DefaultParagraphFont"/>
    <w:link w:val="Title"/>
    <w:rsid w:val="00232E78"/>
    <w:rPr>
      <w:rFonts w:ascii="Arial" w:hAnsi="Arial"/>
      <w:b/>
      <w:bCs/>
      <w:sz w:val="22"/>
      <w:szCs w:val="24"/>
      <w:lang w:val="en-GB"/>
    </w:rPr>
  </w:style>
  <w:style w:type="paragraph" w:styleId="BlockText">
    <w:name w:val="Block Text"/>
    <w:basedOn w:val="Normal"/>
    <w:rsid w:val="00232E78"/>
    <w:pPr>
      <w:tabs>
        <w:tab w:val="clear" w:pos="794"/>
        <w:tab w:val="clear" w:pos="1191"/>
        <w:tab w:val="clear" w:pos="1588"/>
        <w:tab w:val="clear" w:pos="1985"/>
      </w:tabs>
      <w:overflowPunct/>
      <w:autoSpaceDE/>
      <w:autoSpaceDN/>
      <w:adjustRightInd/>
      <w:spacing w:before="0"/>
      <w:ind w:left="567" w:right="566"/>
      <w:textAlignment w:val="auto"/>
    </w:pPr>
    <w:rPr>
      <w:rFonts w:ascii="Univers" w:hAnsi="Univers"/>
      <w:sz w:val="21"/>
      <w:szCs w:val="21"/>
    </w:rPr>
  </w:style>
  <w:style w:type="character" w:styleId="Emphasis">
    <w:name w:val="Emphasis"/>
    <w:basedOn w:val="DefaultParagraphFont"/>
    <w:uiPriority w:val="20"/>
    <w:qFormat/>
    <w:rsid w:val="00232E78"/>
    <w:rPr>
      <w:i/>
      <w:iCs/>
    </w:rPr>
  </w:style>
  <w:style w:type="paragraph" w:customStyle="1" w:styleId="Default">
    <w:name w:val="Default"/>
    <w:rsid w:val="00232E78"/>
    <w:pPr>
      <w:autoSpaceDE w:val="0"/>
      <w:autoSpaceDN w:val="0"/>
      <w:adjustRightInd w:val="0"/>
    </w:pPr>
    <w:rPr>
      <w:rFonts w:ascii="Calibri" w:eastAsiaTheme="minorEastAsia" w:hAnsi="Calibri" w:cs="Calibri"/>
      <w:color w:val="000000"/>
      <w:sz w:val="24"/>
      <w:szCs w:val="24"/>
    </w:rPr>
  </w:style>
  <w:style w:type="character" w:customStyle="1" w:styleId="intro">
    <w:name w:val="intro"/>
    <w:basedOn w:val="DefaultParagraphFont"/>
    <w:rsid w:val="00232E78"/>
  </w:style>
  <w:style w:type="character" w:customStyle="1" w:styleId="ms-rtefontsize-2">
    <w:name w:val="ms-rtefontsize-2"/>
    <w:basedOn w:val="DefaultParagraphFont"/>
    <w:rsid w:val="00232E78"/>
  </w:style>
  <w:style w:type="paragraph" w:styleId="Date">
    <w:name w:val="Date"/>
    <w:basedOn w:val="Normal"/>
    <w:next w:val="Normal"/>
    <w:link w:val="DateChar"/>
    <w:rsid w:val="00232E78"/>
    <w:pPr>
      <w:tabs>
        <w:tab w:val="clear" w:pos="794"/>
        <w:tab w:val="clear" w:pos="1191"/>
        <w:tab w:val="clear" w:pos="1588"/>
        <w:tab w:val="clear" w:pos="1985"/>
        <w:tab w:val="left" w:pos="567"/>
        <w:tab w:val="left" w:pos="1134"/>
        <w:tab w:val="left" w:pos="1701"/>
        <w:tab w:val="left" w:pos="2268"/>
        <w:tab w:val="left" w:pos="2835"/>
      </w:tabs>
    </w:pPr>
  </w:style>
  <w:style w:type="character" w:customStyle="1" w:styleId="DateChar">
    <w:name w:val="Date Char"/>
    <w:basedOn w:val="DefaultParagraphFont"/>
    <w:link w:val="Date"/>
    <w:rsid w:val="00232E78"/>
    <w:rPr>
      <w:rFonts w:ascii="Calibri" w:hAnsi="Calibri"/>
      <w:sz w:val="24"/>
      <w:lang w:val="en-GB" w:eastAsia="en-US"/>
    </w:rPr>
  </w:style>
  <w:style w:type="paragraph" w:customStyle="1" w:styleId="elencopuntato1">
    <w:name w:val="elenco puntato 1"/>
    <w:basedOn w:val="ListParagraph"/>
    <w:qFormat/>
    <w:rsid w:val="00232E78"/>
    <w:pPr>
      <w:numPr>
        <w:numId w:val="9"/>
      </w:numPr>
      <w:tabs>
        <w:tab w:val="clear" w:pos="567"/>
        <w:tab w:val="clear" w:pos="1134"/>
        <w:tab w:val="clear" w:pos="1701"/>
        <w:tab w:val="clear" w:pos="2268"/>
        <w:tab w:val="clear" w:pos="2835"/>
      </w:tabs>
      <w:overflowPunct/>
      <w:autoSpaceDE/>
      <w:autoSpaceDN/>
      <w:spacing w:line="319" w:lineRule="auto"/>
      <w:ind w:left="851" w:hanging="284"/>
      <w:contextualSpacing w:val="0"/>
      <w:jc w:val="both"/>
      <w:textAlignment w:val="auto"/>
    </w:pPr>
    <w:rPr>
      <w:rFonts w:ascii="Arial" w:eastAsiaTheme="minorHAnsi" w:hAnsi="Arial"/>
      <w:szCs w:val="24"/>
      <w:lang w:eastAsia="it-IT"/>
    </w:rPr>
  </w:style>
  <w:style w:type="paragraph" w:customStyle="1" w:styleId="elencopuntatononrientrato">
    <w:name w:val="elenco puntato non rientrato"/>
    <w:basedOn w:val="elencopuntato1"/>
    <w:qFormat/>
    <w:rsid w:val="00232E78"/>
    <w:pPr>
      <w:numPr>
        <w:numId w:val="8"/>
      </w:numPr>
      <w:tabs>
        <w:tab w:val="num" w:pos="360"/>
      </w:tabs>
      <w:ind w:left="284" w:hanging="284"/>
    </w:pPr>
  </w:style>
  <w:style w:type="paragraph" w:customStyle="1" w:styleId="Pa8">
    <w:name w:val="Pa8"/>
    <w:basedOn w:val="Default"/>
    <w:next w:val="Default"/>
    <w:uiPriority w:val="99"/>
    <w:rsid w:val="00232E78"/>
    <w:pPr>
      <w:spacing w:line="191" w:lineRule="atLeast"/>
    </w:pPr>
    <w:rPr>
      <w:rFonts w:ascii="Avenir Next LT Pro" w:hAnsi="Avenir Next LT Pro" w:cs="Times New Roman"/>
      <w:color w:val="auto"/>
    </w:rPr>
  </w:style>
  <w:style w:type="paragraph" w:styleId="BodyText">
    <w:name w:val="Body Text"/>
    <w:basedOn w:val="Normal"/>
    <w:link w:val="BodyTextChar"/>
    <w:unhideWhenUsed/>
    <w:rsid w:val="00232E78"/>
    <w:pPr>
      <w:tabs>
        <w:tab w:val="clear" w:pos="794"/>
        <w:tab w:val="clear" w:pos="1191"/>
        <w:tab w:val="clear" w:pos="1588"/>
        <w:tab w:val="clear" w:pos="1985"/>
        <w:tab w:val="left" w:pos="567"/>
        <w:tab w:val="left" w:pos="1134"/>
        <w:tab w:val="left" w:pos="1701"/>
        <w:tab w:val="left" w:pos="2268"/>
        <w:tab w:val="left" w:pos="2835"/>
      </w:tabs>
      <w:spacing w:after="120"/>
    </w:pPr>
  </w:style>
  <w:style w:type="character" w:customStyle="1" w:styleId="BodyTextChar">
    <w:name w:val="Body Text Char"/>
    <w:basedOn w:val="DefaultParagraphFont"/>
    <w:link w:val="BodyText"/>
    <w:rsid w:val="00232E78"/>
    <w:rPr>
      <w:rFonts w:ascii="Calibri" w:hAnsi="Calibri"/>
      <w:sz w:val="24"/>
      <w:lang w:val="en-GB" w:eastAsia="en-US"/>
    </w:rPr>
  </w:style>
  <w:style w:type="character" w:customStyle="1" w:styleId="Style1Char">
    <w:name w:val="Style1 Char"/>
    <w:basedOn w:val="DefaultParagraphFont"/>
    <w:link w:val="Style1"/>
    <w:locked/>
    <w:rsid w:val="00232E78"/>
    <w:rPr>
      <w:rFonts w:eastAsia="DengXian"/>
      <w:b/>
      <w:iCs/>
      <w:color w:val="548DD4" w:themeColor="text2" w:themeTint="99"/>
      <w:sz w:val="24"/>
      <w:szCs w:val="24"/>
      <w:lang w:eastAsia="en-US"/>
    </w:rPr>
  </w:style>
  <w:style w:type="paragraph" w:customStyle="1" w:styleId="Style1">
    <w:name w:val="Style1"/>
    <w:basedOn w:val="Normal"/>
    <w:link w:val="Style1Char"/>
    <w:qFormat/>
    <w:rsid w:val="00232E78"/>
    <w:pPr>
      <w:keepNext/>
      <w:tabs>
        <w:tab w:val="clear" w:pos="794"/>
        <w:tab w:val="clear" w:pos="1191"/>
        <w:tab w:val="clear" w:pos="1588"/>
        <w:tab w:val="clear" w:pos="1985"/>
      </w:tabs>
      <w:overflowPunct/>
      <w:autoSpaceDE/>
      <w:autoSpaceDN/>
      <w:adjustRightInd/>
      <w:spacing w:before="280" w:after="280" w:line="280" w:lineRule="atLeast"/>
      <w:jc w:val="both"/>
      <w:textAlignment w:val="auto"/>
      <w:outlineLvl w:val="7"/>
    </w:pPr>
    <w:rPr>
      <w:rFonts w:ascii="CG Times" w:eastAsia="DengXian" w:hAnsi="CG Times"/>
      <w:b/>
      <w:iCs/>
      <w:color w:val="548DD4" w:themeColor="text2" w:themeTint="99"/>
      <w:szCs w:val="24"/>
      <w:lang w:val="en-US"/>
    </w:rPr>
  </w:style>
  <w:style w:type="character" w:customStyle="1" w:styleId="ListParagraphChar">
    <w:name w:val="List Paragraph Char"/>
    <w:aliases w:val="List Paragraph1 Char,Recommendation Char,List Paragraph11 Char,Bullet List Char,FooterText Char,numbered Char,Paragraphe de liste1 Char,Bulletr List Paragraph Char,Bullet 1 Char,Numbered Para 1 Char,Dot pt Char,No Spacing1 Char"/>
    <w:basedOn w:val="DefaultParagraphFont"/>
    <w:link w:val="ListParagraph"/>
    <w:uiPriority w:val="34"/>
    <w:qFormat/>
    <w:rsid w:val="00232E78"/>
    <w:rPr>
      <w:rFonts w:ascii="Calibri" w:eastAsia="Times New Roman" w:hAnsi="Calibri"/>
      <w:sz w:val="24"/>
      <w:lang w:val="en-GB" w:eastAsia="en-US"/>
    </w:rPr>
  </w:style>
  <w:style w:type="character" w:customStyle="1" w:styleId="ms-rtethemefontface-1">
    <w:name w:val="ms-rtethemefontface-1"/>
    <w:basedOn w:val="DefaultParagraphFont"/>
    <w:rsid w:val="00232E78"/>
  </w:style>
  <w:style w:type="paragraph" w:customStyle="1" w:styleId="paragraph">
    <w:name w:val="paragraph"/>
    <w:basedOn w:val="Normal"/>
    <w:rsid w:val="00232E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cs="Calibri"/>
      <w:sz w:val="22"/>
      <w:szCs w:val="22"/>
      <w:lang w:eastAsia="en-GB"/>
    </w:rPr>
  </w:style>
  <w:style w:type="character" w:customStyle="1" w:styleId="normaltextrun">
    <w:name w:val="normaltextrun"/>
    <w:basedOn w:val="DefaultParagraphFont"/>
    <w:rsid w:val="00232E78"/>
  </w:style>
  <w:style w:type="character" w:customStyle="1" w:styleId="eop">
    <w:name w:val="eop"/>
    <w:basedOn w:val="DefaultParagraphFont"/>
    <w:rsid w:val="00232E78"/>
  </w:style>
  <w:style w:type="character" w:customStyle="1" w:styleId="ms-rteforecolor-2">
    <w:name w:val="ms-rteforecolor-2"/>
    <w:basedOn w:val="DefaultParagraphFont"/>
    <w:rsid w:val="00232E78"/>
  </w:style>
  <w:style w:type="table" w:customStyle="1" w:styleId="TableGrid1">
    <w:name w:val="Table Grid1"/>
    <w:basedOn w:val="TableNormal"/>
    <w:next w:val="TableGrid"/>
    <w:uiPriority w:val="39"/>
    <w:rsid w:val="00232E78"/>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10pt">
    <w:name w:val="Normal + After 10 pt"/>
    <w:basedOn w:val="Normal"/>
    <w:rsid w:val="00232E78"/>
    <w:pPr>
      <w:tabs>
        <w:tab w:val="clear" w:pos="794"/>
        <w:tab w:val="clear" w:pos="1191"/>
        <w:tab w:val="clear" w:pos="1588"/>
        <w:tab w:val="clear" w:pos="1985"/>
      </w:tabs>
      <w:overflowPunct/>
      <w:autoSpaceDE/>
      <w:autoSpaceDN/>
      <w:adjustRightInd/>
      <w:spacing w:before="0" w:after="200"/>
      <w:textAlignment w:val="auto"/>
    </w:pPr>
    <w:rPr>
      <w:rFonts w:ascii="Arial" w:hAnsi="Arial"/>
      <w:sz w:val="20"/>
      <w:szCs w:val="24"/>
      <w:lang w:eastAsia="fr-FR"/>
    </w:rPr>
  </w:style>
  <w:style w:type="table" w:styleId="GridTable4-Accent6">
    <w:name w:val="Grid Table 4 Accent 6"/>
    <w:basedOn w:val="TableNormal"/>
    <w:uiPriority w:val="49"/>
    <w:rsid w:val="00232E78"/>
    <w:rPr>
      <w:rFonts w:ascii="Times New Roman" w:eastAsiaTheme="minorEastAsia" w:hAnsi="Times New Roman"/>
      <w:lang w:val="fr-CH" w:eastAsia="fr-CH"/>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2">
    <w:name w:val="Table Grid2"/>
    <w:basedOn w:val="TableNormal"/>
    <w:next w:val="TableGrid"/>
    <w:uiPriority w:val="39"/>
    <w:rsid w:val="00232E78"/>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32E78"/>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next w:val="GridTable4-Accent6"/>
    <w:uiPriority w:val="49"/>
    <w:rsid w:val="00232E78"/>
    <w:rPr>
      <w:rFonts w:ascii="Times New Roman" w:eastAsiaTheme="minorEastAsia"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
    <w:name w:val="Table Grid4"/>
    <w:basedOn w:val="TableNormal"/>
    <w:next w:val="TableGrid"/>
    <w:uiPriority w:val="39"/>
    <w:rsid w:val="00232E78"/>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2">
    <w:name w:val="Grid Table 4 - Accent 62"/>
    <w:basedOn w:val="TableNormal"/>
    <w:next w:val="GridTable4-Accent6"/>
    <w:uiPriority w:val="49"/>
    <w:rsid w:val="00232E78"/>
    <w:rPr>
      <w:rFonts w:ascii="Times New Roman" w:eastAsiaTheme="minorEastAsia"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
    <w:name w:val="Table Grid5"/>
    <w:basedOn w:val="TableNormal"/>
    <w:next w:val="TableGrid"/>
    <w:uiPriority w:val="39"/>
    <w:rsid w:val="00232E78"/>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3">
    <w:name w:val="Grid Table 4 - Accent 63"/>
    <w:basedOn w:val="TableNormal"/>
    <w:next w:val="GridTable4-Accent6"/>
    <w:uiPriority w:val="49"/>
    <w:rsid w:val="00232E78"/>
    <w:rPr>
      <w:rFonts w:ascii="Times New Roman" w:eastAsiaTheme="minorEastAsia"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UnresolvedMention1">
    <w:name w:val="Unresolved Mention1"/>
    <w:basedOn w:val="DefaultParagraphFont"/>
    <w:uiPriority w:val="99"/>
    <w:semiHidden/>
    <w:unhideWhenUsed/>
    <w:rsid w:val="00232E78"/>
    <w:rPr>
      <w:color w:val="605E5C"/>
      <w:shd w:val="clear" w:color="auto" w:fill="E1DFDD"/>
    </w:rPr>
  </w:style>
  <w:style w:type="paragraph" w:customStyle="1" w:styleId="xmsonormal">
    <w:name w:val="x_msonormal"/>
    <w:basedOn w:val="Normal"/>
    <w:rsid w:val="00232E78"/>
    <w:pPr>
      <w:tabs>
        <w:tab w:val="clear" w:pos="794"/>
        <w:tab w:val="clear" w:pos="1191"/>
        <w:tab w:val="clear" w:pos="1588"/>
        <w:tab w:val="clear" w:pos="1985"/>
      </w:tabs>
      <w:overflowPunct/>
      <w:autoSpaceDE/>
      <w:autoSpaceDN/>
      <w:adjustRightInd/>
      <w:spacing w:before="0"/>
      <w:textAlignment w:val="auto"/>
    </w:pPr>
    <w:rPr>
      <w:rFonts w:eastAsiaTheme="minorHAnsi" w:cs="Calibri"/>
      <w:sz w:val="22"/>
      <w:szCs w:val="22"/>
      <w:lang w:eastAsia="en-GB"/>
    </w:rPr>
  </w:style>
  <w:style w:type="paragraph" w:customStyle="1" w:styleId="msonormal0">
    <w:name w:val="msonormal"/>
    <w:basedOn w:val="Normal"/>
    <w:rsid w:val="00232E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table" w:styleId="GridTable1Light-Accent1">
    <w:name w:val="Grid Table 1 Light Accent 1"/>
    <w:basedOn w:val="TableNormal"/>
    <w:uiPriority w:val="46"/>
    <w:rsid w:val="00232E78"/>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1">
    <w:name w:val="Heading 1 Char1"/>
    <w:aliases w:val="h1 Char1,título 1 Char1,1 Char1,l1 Char1"/>
    <w:basedOn w:val="DefaultParagraphFont"/>
    <w:rsid w:val="00232E78"/>
    <w:rPr>
      <w:rFonts w:asciiTheme="majorHAnsi" w:eastAsiaTheme="majorEastAsia" w:hAnsiTheme="majorHAnsi" w:cstheme="majorBidi"/>
      <w:color w:val="365F91" w:themeColor="accent1" w:themeShade="BF"/>
      <w:sz w:val="32"/>
      <w:szCs w:val="32"/>
      <w:lang w:val="en-GB" w:eastAsia="en-US"/>
    </w:rPr>
  </w:style>
  <w:style w:type="character" w:customStyle="1" w:styleId="RestitleChar">
    <w:name w:val="Res_title Char"/>
    <w:basedOn w:val="DefaultParagraphFont"/>
    <w:link w:val="Restitle"/>
    <w:locked/>
    <w:rsid w:val="00232E78"/>
    <w:rPr>
      <w:rFonts w:ascii="Calibri" w:hAnsi="Calibri"/>
      <w:b/>
      <w:sz w:val="28"/>
      <w:lang w:val="en-GB" w:eastAsia="en-US"/>
    </w:rPr>
  </w:style>
  <w:style w:type="paragraph" w:styleId="TOCHeading">
    <w:name w:val="TOC Heading"/>
    <w:basedOn w:val="Heading1"/>
    <w:next w:val="Normal"/>
    <w:uiPriority w:val="39"/>
    <w:unhideWhenUsed/>
    <w:qFormat/>
    <w:rsid w:val="00232E78"/>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transsent">
    <w:name w:val="transsent"/>
    <w:basedOn w:val="DefaultParagraphFont"/>
    <w:rsid w:val="00232E78"/>
  </w:style>
  <w:style w:type="character" w:customStyle="1" w:styleId="TabletextChar">
    <w:name w:val="Table_text Char"/>
    <w:link w:val="Tabletext"/>
    <w:locked/>
    <w:rsid w:val="00232E78"/>
    <w:rPr>
      <w:rFonts w:ascii="Calibri" w:hAnsi="Calibri"/>
      <w:sz w:val="22"/>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basedOn w:val="DefaultParagraphFont"/>
    <w:semiHidden/>
    <w:rsid w:val="00232E78"/>
    <w:rPr>
      <w:rFonts w:ascii="Calibri" w:hAnsi="Calibri"/>
      <w:lang w:val="en-GB" w:eastAsia="en-US"/>
    </w:rPr>
  </w:style>
  <w:style w:type="paragraph" w:styleId="EndnoteText">
    <w:name w:val="endnote text"/>
    <w:basedOn w:val="Normal"/>
    <w:link w:val="EndnoteTextChar"/>
    <w:uiPriority w:val="99"/>
    <w:semiHidden/>
    <w:unhideWhenUsed/>
    <w:rsid w:val="00232E78"/>
    <w:pPr>
      <w:jc w:val="both"/>
      <w:textAlignment w:val="auto"/>
    </w:pPr>
    <w:rPr>
      <w:rFonts w:ascii="Times New Roman" w:eastAsiaTheme="minorEastAsia" w:hAnsi="Times New Roman"/>
      <w:sz w:val="20"/>
    </w:rPr>
  </w:style>
  <w:style w:type="character" w:customStyle="1" w:styleId="EndnoteTextChar">
    <w:name w:val="Endnote Text Char"/>
    <w:basedOn w:val="DefaultParagraphFont"/>
    <w:link w:val="EndnoteText"/>
    <w:uiPriority w:val="99"/>
    <w:semiHidden/>
    <w:rsid w:val="00232E78"/>
    <w:rPr>
      <w:rFonts w:ascii="Times New Roman" w:eastAsiaTheme="minorEastAsia" w:hAnsi="Times New Roman"/>
      <w:lang w:val="en-GB" w:eastAsia="en-US"/>
    </w:rPr>
  </w:style>
  <w:style w:type="paragraph" w:styleId="ListBullet">
    <w:name w:val="List Bullet"/>
    <w:basedOn w:val="Normal"/>
    <w:autoRedefine/>
    <w:uiPriority w:val="99"/>
    <w:semiHidden/>
    <w:unhideWhenUsed/>
    <w:rsid w:val="00232E78"/>
    <w:pPr>
      <w:widowControl w:val="0"/>
      <w:tabs>
        <w:tab w:val="clear" w:pos="794"/>
        <w:tab w:val="clear" w:pos="1191"/>
        <w:tab w:val="clear" w:pos="1588"/>
        <w:tab w:val="clear" w:pos="1985"/>
        <w:tab w:val="num" w:pos="360"/>
      </w:tabs>
      <w:overflowPunct/>
      <w:autoSpaceDE/>
      <w:autoSpaceDN/>
      <w:adjustRightInd/>
      <w:snapToGrid w:val="0"/>
      <w:spacing w:before="100" w:after="100"/>
      <w:ind w:left="360" w:hanging="360"/>
      <w:textAlignment w:val="auto"/>
    </w:pPr>
    <w:rPr>
      <w:rFonts w:ascii="Times New Roman" w:eastAsia="Times New Roman" w:hAnsi="Times New Roman"/>
      <w:lang w:val="en-US"/>
    </w:rPr>
  </w:style>
  <w:style w:type="paragraph" w:styleId="ListNumber">
    <w:name w:val="List Number"/>
    <w:basedOn w:val="Normal"/>
    <w:uiPriority w:val="99"/>
    <w:unhideWhenUsed/>
    <w:rsid w:val="00232E78"/>
    <w:pPr>
      <w:widowControl w:val="0"/>
      <w:numPr>
        <w:numId w:val="10"/>
      </w:numPr>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Bullet2">
    <w:name w:val="List Bullet 2"/>
    <w:basedOn w:val="Normal"/>
    <w:autoRedefine/>
    <w:uiPriority w:val="99"/>
    <w:semiHidden/>
    <w:unhideWhenUsed/>
    <w:rsid w:val="00232E78"/>
    <w:pPr>
      <w:widowControl w:val="0"/>
      <w:numPr>
        <w:numId w:val="11"/>
      </w:numPr>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Bullet3">
    <w:name w:val="List Bullet 3"/>
    <w:basedOn w:val="Normal"/>
    <w:autoRedefine/>
    <w:uiPriority w:val="99"/>
    <w:semiHidden/>
    <w:unhideWhenUsed/>
    <w:rsid w:val="00232E78"/>
    <w:pPr>
      <w:widowControl w:val="0"/>
      <w:numPr>
        <w:numId w:val="12"/>
      </w:numPr>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Bullet4">
    <w:name w:val="List Bullet 4"/>
    <w:basedOn w:val="Normal"/>
    <w:autoRedefine/>
    <w:uiPriority w:val="99"/>
    <w:semiHidden/>
    <w:unhideWhenUsed/>
    <w:rsid w:val="00232E78"/>
    <w:pPr>
      <w:widowControl w:val="0"/>
      <w:numPr>
        <w:numId w:val="13"/>
      </w:numPr>
      <w:tabs>
        <w:tab w:val="clear" w:pos="794"/>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Bullet5">
    <w:name w:val="List Bullet 5"/>
    <w:basedOn w:val="Normal"/>
    <w:autoRedefine/>
    <w:uiPriority w:val="99"/>
    <w:semiHidden/>
    <w:unhideWhenUsed/>
    <w:rsid w:val="00232E78"/>
    <w:pPr>
      <w:widowControl w:val="0"/>
      <w:tabs>
        <w:tab w:val="clear" w:pos="794"/>
        <w:tab w:val="clear" w:pos="1191"/>
        <w:tab w:val="clear" w:pos="1588"/>
        <w:tab w:val="clear" w:pos="1985"/>
        <w:tab w:val="num" w:pos="1492"/>
      </w:tabs>
      <w:overflowPunct/>
      <w:autoSpaceDE/>
      <w:autoSpaceDN/>
      <w:adjustRightInd/>
      <w:snapToGrid w:val="0"/>
      <w:spacing w:before="100" w:after="100"/>
      <w:ind w:left="1492" w:hanging="360"/>
      <w:textAlignment w:val="auto"/>
    </w:pPr>
    <w:rPr>
      <w:rFonts w:ascii="Times New Roman" w:eastAsia="Times New Roman" w:hAnsi="Times New Roman"/>
      <w:lang w:val="en-US"/>
    </w:rPr>
  </w:style>
  <w:style w:type="paragraph" w:styleId="ListNumber2">
    <w:name w:val="List Number 2"/>
    <w:basedOn w:val="Normal"/>
    <w:uiPriority w:val="99"/>
    <w:semiHidden/>
    <w:unhideWhenUsed/>
    <w:rsid w:val="00232E78"/>
    <w:pPr>
      <w:widowControl w:val="0"/>
      <w:numPr>
        <w:numId w:val="14"/>
      </w:numPr>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Number3">
    <w:name w:val="List Number 3"/>
    <w:basedOn w:val="Normal"/>
    <w:uiPriority w:val="99"/>
    <w:semiHidden/>
    <w:unhideWhenUsed/>
    <w:rsid w:val="00232E78"/>
    <w:pPr>
      <w:widowControl w:val="0"/>
      <w:numPr>
        <w:numId w:val="15"/>
      </w:numPr>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Number4">
    <w:name w:val="List Number 4"/>
    <w:basedOn w:val="Normal"/>
    <w:uiPriority w:val="99"/>
    <w:semiHidden/>
    <w:unhideWhenUsed/>
    <w:rsid w:val="00232E78"/>
    <w:pPr>
      <w:widowControl w:val="0"/>
      <w:numPr>
        <w:numId w:val="16"/>
      </w:numPr>
      <w:tabs>
        <w:tab w:val="clear" w:pos="794"/>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Number5">
    <w:name w:val="List Number 5"/>
    <w:basedOn w:val="Normal"/>
    <w:uiPriority w:val="99"/>
    <w:semiHidden/>
    <w:unhideWhenUsed/>
    <w:rsid w:val="00232E78"/>
    <w:pPr>
      <w:widowControl w:val="0"/>
      <w:numPr>
        <w:numId w:val="17"/>
      </w:numPr>
      <w:tabs>
        <w:tab w:val="clear" w:pos="794"/>
        <w:tab w:val="clear" w:pos="1191"/>
        <w:tab w:val="clear" w:pos="1588"/>
        <w:tab w:val="clear" w:pos="1699"/>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BodyText2">
    <w:name w:val="Body Text 2"/>
    <w:basedOn w:val="Normal"/>
    <w:link w:val="BodyText2Char"/>
    <w:uiPriority w:val="99"/>
    <w:semiHidden/>
    <w:unhideWhenUsed/>
    <w:rsid w:val="00232E78"/>
    <w:pPr>
      <w:jc w:val="both"/>
      <w:textAlignment w:val="auto"/>
    </w:pPr>
    <w:rPr>
      <w:rFonts w:ascii="Times New Roman" w:eastAsia="Times New Roman" w:hAnsi="Times New Roman"/>
      <w:sz w:val="22"/>
    </w:rPr>
  </w:style>
  <w:style w:type="character" w:customStyle="1" w:styleId="BodyText2Char">
    <w:name w:val="Body Text 2 Char"/>
    <w:basedOn w:val="DefaultParagraphFont"/>
    <w:link w:val="BodyText2"/>
    <w:uiPriority w:val="99"/>
    <w:semiHidden/>
    <w:rsid w:val="00232E78"/>
    <w:rPr>
      <w:rFonts w:ascii="Times New Roman" w:eastAsia="Times New Roman" w:hAnsi="Times New Roman"/>
      <w:sz w:val="22"/>
      <w:lang w:val="en-GB" w:eastAsia="en-US"/>
    </w:rPr>
  </w:style>
  <w:style w:type="paragraph" w:styleId="BodyTextIndent2">
    <w:name w:val="Body Text Indent 2"/>
    <w:basedOn w:val="Normal"/>
    <w:link w:val="BodyTextIndent2Char"/>
    <w:uiPriority w:val="99"/>
    <w:semiHidden/>
    <w:unhideWhenUsed/>
    <w:rsid w:val="00232E78"/>
    <w:pPr>
      <w:widowControl w:val="0"/>
      <w:tabs>
        <w:tab w:val="clear" w:pos="794"/>
        <w:tab w:val="clear" w:pos="1191"/>
        <w:tab w:val="clear" w:pos="1588"/>
        <w:tab w:val="clear" w:pos="1985"/>
      </w:tabs>
      <w:kinsoku w:val="0"/>
      <w:overflowPunct/>
      <w:autoSpaceDE/>
      <w:autoSpaceDN/>
      <w:adjustRightInd/>
      <w:spacing w:before="0" w:after="120" w:line="480" w:lineRule="auto"/>
      <w:ind w:left="283"/>
      <w:textAlignment w:val="auto"/>
    </w:pPr>
    <w:rPr>
      <w:rFonts w:ascii="Times New Roman" w:eastAsiaTheme="minorEastAsia" w:hAnsi="Times New Roman"/>
      <w:szCs w:val="24"/>
      <w:lang w:val="en-US" w:eastAsia="zh-CN"/>
    </w:rPr>
  </w:style>
  <w:style w:type="character" w:customStyle="1" w:styleId="BodyTextIndent2Char">
    <w:name w:val="Body Text Indent 2 Char"/>
    <w:basedOn w:val="DefaultParagraphFont"/>
    <w:link w:val="BodyTextIndent2"/>
    <w:uiPriority w:val="99"/>
    <w:semiHidden/>
    <w:rsid w:val="00232E78"/>
    <w:rPr>
      <w:rFonts w:ascii="Times New Roman" w:eastAsiaTheme="minorEastAsia" w:hAnsi="Times New Roman"/>
      <w:sz w:val="24"/>
      <w:szCs w:val="24"/>
    </w:rPr>
  </w:style>
  <w:style w:type="paragraph" w:styleId="DocumentMap">
    <w:name w:val="Document Map"/>
    <w:basedOn w:val="Normal"/>
    <w:link w:val="DocumentMapChar"/>
    <w:uiPriority w:val="99"/>
    <w:semiHidden/>
    <w:unhideWhenUsed/>
    <w:rsid w:val="00232E78"/>
    <w:pPr>
      <w:shd w:val="clear" w:color="auto" w:fill="000080"/>
      <w:textAlignment w:val="auto"/>
    </w:pPr>
    <w:rPr>
      <w:rFonts w:ascii="Tahoma" w:eastAsia="Times New Roman" w:hAnsi="Tahoma" w:cs="Tahoma"/>
    </w:rPr>
  </w:style>
  <w:style w:type="character" w:customStyle="1" w:styleId="DocumentMapChar">
    <w:name w:val="Document Map Char"/>
    <w:basedOn w:val="DefaultParagraphFont"/>
    <w:link w:val="DocumentMap"/>
    <w:uiPriority w:val="99"/>
    <w:semiHidden/>
    <w:rsid w:val="00232E78"/>
    <w:rPr>
      <w:rFonts w:ascii="Tahoma" w:eastAsia="Times New Roman" w:hAnsi="Tahoma" w:cs="Tahoma"/>
      <w:sz w:val="24"/>
      <w:shd w:val="clear" w:color="auto" w:fill="000080"/>
      <w:lang w:val="en-GB" w:eastAsia="en-US"/>
    </w:rPr>
  </w:style>
  <w:style w:type="paragraph" w:styleId="Quote">
    <w:name w:val="Quote"/>
    <w:basedOn w:val="Normal"/>
    <w:next w:val="Normal"/>
    <w:link w:val="QuoteChar"/>
    <w:uiPriority w:val="29"/>
    <w:qFormat/>
    <w:rsid w:val="00232E78"/>
    <w:pPr>
      <w:tabs>
        <w:tab w:val="clear" w:pos="794"/>
        <w:tab w:val="clear" w:pos="1191"/>
        <w:tab w:val="clear" w:pos="1588"/>
        <w:tab w:val="clear" w:pos="1985"/>
        <w:tab w:val="left" w:pos="567"/>
        <w:tab w:val="left" w:pos="1134"/>
        <w:tab w:val="left" w:pos="1701"/>
        <w:tab w:val="left" w:pos="2268"/>
        <w:tab w:val="left" w:pos="2835"/>
      </w:tabs>
      <w:spacing w:before="200" w:after="160"/>
      <w:ind w:left="864" w:right="864"/>
      <w:jc w:val="center"/>
      <w:textAlignment w:val="auto"/>
    </w:pPr>
    <w:rPr>
      <w:rFonts w:eastAsiaTheme="minorEastAsia"/>
      <w:i/>
      <w:iCs/>
      <w:color w:val="404040" w:themeColor="text1" w:themeTint="BF"/>
    </w:rPr>
  </w:style>
  <w:style w:type="character" w:customStyle="1" w:styleId="QuoteChar">
    <w:name w:val="Quote Char"/>
    <w:basedOn w:val="DefaultParagraphFont"/>
    <w:link w:val="Quote"/>
    <w:uiPriority w:val="29"/>
    <w:rsid w:val="00232E78"/>
    <w:rPr>
      <w:rFonts w:ascii="Calibri" w:eastAsiaTheme="minorEastAsia" w:hAnsi="Calibri"/>
      <w:i/>
      <w:iCs/>
      <w:color w:val="404040" w:themeColor="text1" w:themeTint="BF"/>
      <w:sz w:val="24"/>
      <w:lang w:val="en-GB" w:eastAsia="en-US"/>
    </w:rPr>
  </w:style>
  <w:style w:type="character" w:customStyle="1" w:styleId="ResNoChar">
    <w:name w:val="Res_No Char"/>
    <w:basedOn w:val="DefaultParagraphFont"/>
    <w:link w:val="ResNo"/>
    <w:locked/>
    <w:rsid w:val="00232E78"/>
    <w:rPr>
      <w:rFonts w:ascii="Calibri" w:hAnsi="Calibri"/>
      <w:caps/>
      <w:sz w:val="28"/>
      <w:lang w:val="en-GB" w:eastAsia="en-US"/>
    </w:rPr>
  </w:style>
  <w:style w:type="character" w:customStyle="1" w:styleId="headingbChar">
    <w:name w:val="heading_b Char"/>
    <w:basedOn w:val="DefaultParagraphFont"/>
    <w:link w:val="headingb0"/>
    <w:uiPriority w:val="99"/>
    <w:locked/>
    <w:rsid w:val="00232E78"/>
    <w:rPr>
      <w:rFonts w:ascii="Times New Roman" w:hAnsi="Times New Roman"/>
      <w:b/>
      <w:sz w:val="24"/>
      <w:lang w:val="fr-FR" w:eastAsia="en-US"/>
    </w:rPr>
  </w:style>
  <w:style w:type="paragraph" w:customStyle="1" w:styleId="nlist">
    <w:name w:val="nlist"/>
    <w:basedOn w:val="Normal"/>
    <w:uiPriority w:val="99"/>
    <w:rsid w:val="00232E78"/>
    <w:pPr>
      <w:tabs>
        <w:tab w:val="clear" w:pos="794"/>
        <w:tab w:val="clear" w:pos="1191"/>
        <w:tab w:val="clear" w:pos="1588"/>
        <w:tab w:val="clear" w:pos="1985"/>
      </w:tabs>
      <w:overflowPunct/>
      <w:autoSpaceDE/>
      <w:autoSpaceDN/>
      <w:adjustRightInd/>
      <w:spacing w:before="100" w:after="100"/>
      <w:textAlignment w:val="auto"/>
    </w:pPr>
    <w:rPr>
      <w:rFonts w:ascii="Verdana" w:eastAsia="Times New Roman" w:hAnsi="Verdana"/>
      <w:sz w:val="18"/>
      <w:szCs w:val="18"/>
      <w:lang w:val="en-US"/>
    </w:rPr>
  </w:style>
  <w:style w:type="paragraph" w:customStyle="1" w:styleId="P2">
    <w:name w:val="P2"/>
    <w:basedOn w:val="Normal"/>
    <w:uiPriority w:val="99"/>
    <w:rsid w:val="00232E78"/>
    <w:pPr>
      <w:tabs>
        <w:tab w:val="clear" w:pos="794"/>
        <w:tab w:val="clear" w:pos="1191"/>
        <w:tab w:val="clear" w:pos="1588"/>
        <w:tab w:val="clear" w:pos="1985"/>
      </w:tabs>
      <w:spacing w:before="240"/>
      <w:ind w:left="1247"/>
      <w:jc w:val="both"/>
      <w:textAlignment w:val="auto"/>
    </w:pPr>
    <w:rPr>
      <w:rFonts w:ascii="Arial" w:eastAsia="Times New Roman" w:hAnsi="Arial"/>
      <w:sz w:val="22"/>
      <w:lang w:val="fr-FR" w:eastAsia="fr-FR"/>
    </w:rPr>
  </w:style>
  <w:style w:type="paragraph" w:customStyle="1" w:styleId="TableTitle0">
    <w:name w:val="Table_Title"/>
    <w:basedOn w:val="Normal"/>
    <w:next w:val="TableText0"/>
    <w:uiPriority w:val="99"/>
    <w:rsid w:val="00232E78"/>
    <w:pPr>
      <w:keepNext/>
      <w:keepLines/>
      <w:spacing w:before="0" w:after="120"/>
      <w:jc w:val="center"/>
      <w:textAlignment w:val="auto"/>
    </w:pPr>
    <w:rPr>
      <w:b/>
      <w:lang w:val="fr-FR"/>
    </w:rPr>
  </w:style>
  <w:style w:type="paragraph" w:customStyle="1" w:styleId="xl63">
    <w:name w:val="xl63"/>
    <w:basedOn w:val="Normal"/>
    <w:uiPriority w:val="99"/>
    <w:rsid w:val="00232E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l64">
    <w:name w:val="xl64"/>
    <w:basedOn w:val="Normal"/>
    <w:uiPriority w:val="99"/>
    <w:rsid w:val="00232E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plist">
    <w:name w:val="plist"/>
    <w:basedOn w:val="Normal"/>
    <w:uiPriority w:val="99"/>
    <w:rsid w:val="00232E78"/>
    <w:pPr>
      <w:tabs>
        <w:tab w:val="clear" w:pos="794"/>
        <w:tab w:val="clear" w:pos="1191"/>
        <w:tab w:val="clear" w:pos="1588"/>
        <w:tab w:val="clear" w:pos="1985"/>
      </w:tabs>
      <w:overflowPunct/>
      <w:autoSpaceDE/>
      <w:autoSpaceDN/>
      <w:adjustRightInd/>
      <w:spacing w:before="100" w:after="100"/>
      <w:textAlignment w:val="auto"/>
    </w:pPr>
    <w:rPr>
      <w:rFonts w:ascii="Verdana" w:eastAsia="Times New Roman" w:hAnsi="Verdana"/>
      <w:sz w:val="18"/>
      <w:szCs w:val="18"/>
      <w:lang w:val="en-US" w:eastAsia="zh-CN"/>
    </w:rPr>
  </w:style>
  <w:style w:type="paragraph" w:customStyle="1" w:styleId="Style7">
    <w:name w:val="Style7"/>
    <w:basedOn w:val="Normal"/>
    <w:uiPriority w:val="99"/>
    <w:rsid w:val="00232E78"/>
    <w:pPr>
      <w:widowControl w:val="0"/>
      <w:tabs>
        <w:tab w:val="clear" w:pos="794"/>
        <w:tab w:val="clear" w:pos="1191"/>
        <w:tab w:val="clear" w:pos="1588"/>
        <w:tab w:val="clear" w:pos="1985"/>
      </w:tabs>
      <w:kinsoku w:val="0"/>
      <w:overflowPunct/>
      <w:autoSpaceDE/>
      <w:autoSpaceDN/>
      <w:adjustRightInd/>
      <w:spacing w:before="0"/>
      <w:jc w:val="both"/>
      <w:textAlignment w:val="auto"/>
    </w:pPr>
    <w:rPr>
      <w:rFonts w:ascii="Times New Roman" w:eastAsia="Times New Roman" w:hAnsi="Times New Roman"/>
      <w:sz w:val="22"/>
      <w:szCs w:val="22"/>
      <w:lang w:val="fr-CH"/>
    </w:rPr>
  </w:style>
  <w:style w:type="paragraph" w:customStyle="1" w:styleId="call0">
    <w:name w:val="call"/>
    <w:basedOn w:val="Normal"/>
    <w:next w:val="Normal"/>
    <w:rsid w:val="00232E78"/>
    <w:pPr>
      <w:keepNext/>
      <w:keepLines/>
      <w:spacing w:before="160" w:line="0" w:lineRule="atLeast"/>
      <w:ind w:left="794"/>
      <w:textAlignment w:val="auto"/>
    </w:pPr>
    <w:rPr>
      <w:rFonts w:ascii="Times New Roman" w:eastAsia="STKaiti" w:hAnsi="Times New Roman"/>
      <w:lang w:val="fr-FR"/>
    </w:rPr>
  </w:style>
  <w:style w:type="paragraph" w:customStyle="1" w:styleId="xl94">
    <w:name w:val="xl94"/>
    <w:basedOn w:val="Normal"/>
    <w:rsid w:val="00232E7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5">
    <w:name w:val="xl95"/>
    <w:basedOn w:val="Normal"/>
    <w:rsid w:val="00232E78"/>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6">
    <w:name w:val="xl96"/>
    <w:basedOn w:val="Normal"/>
    <w:rsid w:val="00232E7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7">
    <w:name w:val="xl97"/>
    <w:basedOn w:val="Normal"/>
    <w:rsid w:val="00232E78"/>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8">
    <w:name w:val="xl98"/>
    <w:basedOn w:val="Normal"/>
    <w:rsid w:val="00232E78"/>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9">
    <w:name w:val="xl99"/>
    <w:basedOn w:val="Normal"/>
    <w:rsid w:val="00232E78"/>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0">
    <w:name w:val="xl100"/>
    <w:basedOn w:val="Normal"/>
    <w:rsid w:val="00232E7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sz w:val="16"/>
      <w:szCs w:val="16"/>
      <w:lang w:val="en-US" w:eastAsia="zh-CN"/>
    </w:rPr>
  </w:style>
  <w:style w:type="paragraph" w:customStyle="1" w:styleId="xl101">
    <w:name w:val="xl101"/>
    <w:basedOn w:val="Normal"/>
    <w:rsid w:val="00232E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2">
    <w:name w:val="xl102"/>
    <w:basedOn w:val="Normal"/>
    <w:rsid w:val="00232E78"/>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3">
    <w:name w:val="xl103"/>
    <w:basedOn w:val="Normal"/>
    <w:rsid w:val="00232E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FF0000"/>
      <w:sz w:val="16"/>
      <w:szCs w:val="16"/>
      <w:lang w:val="en-US" w:eastAsia="zh-CN"/>
    </w:rPr>
  </w:style>
  <w:style w:type="paragraph" w:customStyle="1" w:styleId="xl104">
    <w:name w:val="xl104"/>
    <w:basedOn w:val="Normal"/>
    <w:rsid w:val="00232E78"/>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b/>
      <w:bCs/>
      <w:sz w:val="16"/>
      <w:szCs w:val="16"/>
      <w:lang w:val="en-US" w:eastAsia="zh-CN"/>
    </w:rPr>
  </w:style>
  <w:style w:type="paragraph" w:customStyle="1" w:styleId="xl105">
    <w:name w:val="xl105"/>
    <w:basedOn w:val="Normal"/>
    <w:rsid w:val="00232E78"/>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b/>
      <w:bCs/>
      <w:sz w:val="16"/>
      <w:szCs w:val="16"/>
      <w:lang w:val="en-US" w:eastAsia="zh-CN"/>
    </w:rPr>
  </w:style>
  <w:style w:type="paragraph" w:customStyle="1" w:styleId="xl106">
    <w:name w:val="xl106"/>
    <w:basedOn w:val="Normal"/>
    <w:rsid w:val="00232E78"/>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b/>
      <w:bCs/>
      <w:sz w:val="16"/>
      <w:szCs w:val="16"/>
      <w:lang w:val="en-US" w:eastAsia="zh-CN"/>
    </w:rPr>
  </w:style>
  <w:style w:type="paragraph" w:customStyle="1" w:styleId="Committee">
    <w:name w:val="Committee"/>
    <w:basedOn w:val="Normal"/>
    <w:uiPriority w:val="99"/>
    <w:qFormat/>
    <w:rsid w:val="00232E78"/>
    <w:pPr>
      <w:textAlignment w:val="auto"/>
    </w:pPr>
    <w:rPr>
      <w:rFonts w:asciiTheme="minorHAnsi" w:eastAsia="Times New Roman" w:hAnsiTheme="minorHAnsi" w:cs="Times New Roman Bold"/>
      <w:b/>
      <w:caps/>
    </w:rPr>
  </w:style>
  <w:style w:type="paragraph" w:customStyle="1" w:styleId="CEOcontributionStart">
    <w:name w:val="CEO_contributionStart"/>
    <w:basedOn w:val="Normal"/>
    <w:uiPriority w:val="99"/>
    <w:rsid w:val="00232E78"/>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uiPriority w:val="99"/>
    <w:rsid w:val="00232E78"/>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paragraph" w:customStyle="1" w:styleId="Banner">
    <w:name w:val="Banner"/>
    <w:basedOn w:val="Normal"/>
    <w:uiPriority w:val="99"/>
    <w:rsid w:val="00232E78"/>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paragraph" w:customStyle="1" w:styleId="Normalaftertitle0">
    <w:name w:val="Normal_after_title"/>
    <w:basedOn w:val="Normal"/>
    <w:next w:val="Normal"/>
    <w:uiPriority w:val="99"/>
    <w:rsid w:val="00232E78"/>
    <w:pPr>
      <w:spacing w:before="360"/>
      <w:textAlignment w:val="auto"/>
    </w:pPr>
    <w:rPr>
      <w:rFonts w:ascii="Times New Roman" w:eastAsia="Times New Roman" w:hAnsi="Times New Roman"/>
    </w:rPr>
  </w:style>
  <w:style w:type="character" w:customStyle="1" w:styleId="TabletitleBRChar">
    <w:name w:val="Table_title_BR Char"/>
    <w:link w:val="TabletitleBR"/>
    <w:locked/>
    <w:rsid w:val="00232E78"/>
    <w:rPr>
      <w:rFonts w:ascii="Times New Roman" w:eastAsia="Times New Roman" w:hAnsi="Times New Roman"/>
      <w:b/>
      <w:sz w:val="24"/>
      <w:lang w:val="en-GB" w:eastAsia="en-US"/>
    </w:rPr>
  </w:style>
  <w:style w:type="paragraph" w:customStyle="1" w:styleId="TabletitleBR">
    <w:name w:val="Table_title_BR"/>
    <w:basedOn w:val="Normal"/>
    <w:next w:val="Tablehead"/>
    <w:link w:val="TabletitleBRChar"/>
    <w:rsid w:val="00232E78"/>
    <w:pPr>
      <w:keepNext/>
      <w:keepLines/>
      <w:spacing w:before="0" w:after="120"/>
      <w:jc w:val="center"/>
      <w:textAlignment w:val="auto"/>
    </w:pPr>
    <w:rPr>
      <w:rFonts w:ascii="Times New Roman" w:eastAsia="Times New Roman" w:hAnsi="Times New Roman"/>
      <w:b/>
    </w:rPr>
  </w:style>
  <w:style w:type="character" w:customStyle="1" w:styleId="AnnexNotitleChar">
    <w:name w:val="Annex_No &amp; title Char"/>
    <w:link w:val="AnnexNotitle"/>
    <w:locked/>
    <w:rsid w:val="00232E78"/>
    <w:rPr>
      <w:rFonts w:ascii="Times New Roman" w:eastAsia="Times New Roman" w:hAnsi="Times New Roman"/>
      <w:b/>
      <w:sz w:val="28"/>
      <w:lang w:val="en-GB" w:eastAsia="en-US"/>
    </w:rPr>
  </w:style>
  <w:style w:type="paragraph" w:customStyle="1" w:styleId="AnnexNotitle">
    <w:name w:val="Annex_No &amp; title"/>
    <w:basedOn w:val="Normal"/>
    <w:next w:val="Normalaftertitle0"/>
    <w:link w:val="AnnexNotitleChar"/>
    <w:rsid w:val="00232E78"/>
    <w:pPr>
      <w:keepNext/>
      <w:keepLines/>
      <w:spacing w:before="480"/>
      <w:jc w:val="center"/>
      <w:textAlignment w:val="auto"/>
    </w:pPr>
    <w:rPr>
      <w:rFonts w:ascii="Times New Roman" w:eastAsia="Times New Roman" w:hAnsi="Times New Roman"/>
      <w:b/>
      <w:sz w:val="28"/>
    </w:rPr>
  </w:style>
  <w:style w:type="character" w:customStyle="1" w:styleId="TableNoBRChar">
    <w:name w:val="Table_No_BR Char"/>
    <w:link w:val="TableNoBR"/>
    <w:locked/>
    <w:rsid w:val="00232E78"/>
    <w:rPr>
      <w:rFonts w:ascii="Times New Roman" w:eastAsia="Times New Roman" w:hAnsi="Times New Roman"/>
      <w:caps/>
      <w:sz w:val="24"/>
      <w:lang w:val="en-GB" w:eastAsia="en-US"/>
    </w:rPr>
  </w:style>
  <w:style w:type="paragraph" w:customStyle="1" w:styleId="TableNoBR">
    <w:name w:val="Table_No_BR"/>
    <w:basedOn w:val="Normal"/>
    <w:next w:val="TabletitleBR"/>
    <w:link w:val="TableNoBRChar"/>
    <w:rsid w:val="00232E78"/>
    <w:pPr>
      <w:keepNext/>
      <w:spacing w:before="560" w:after="120"/>
      <w:jc w:val="center"/>
      <w:textAlignment w:val="auto"/>
    </w:pPr>
    <w:rPr>
      <w:rFonts w:ascii="Times New Roman" w:eastAsia="Times New Roman" w:hAnsi="Times New Roman"/>
      <w:caps/>
    </w:rPr>
  </w:style>
  <w:style w:type="paragraph" w:customStyle="1" w:styleId="FigureNotitle">
    <w:name w:val="Figure_No &amp; title"/>
    <w:basedOn w:val="Normal"/>
    <w:next w:val="Normalaftertitle0"/>
    <w:uiPriority w:val="99"/>
    <w:rsid w:val="00232E78"/>
    <w:pPr>
      <w:keepLines/>
      <w:spacing w:before="240" w:after="120"/>
      <w:jc w:val="center"/>
      <w:textAlignment w:val="auto"/>
    </w:pPr>
    <w:rPr>
      <w:rFonts w:ascii="Times New Roman" w:eastAsia="Times New Roman" w:hAnsi="Times New Roman"/>
      <w:b/>
    </w:rPr>
  </w:style>
  <w:style w:type="paragraph" w:customStyle="1" w:styleId="AppendixNotitle">
    <w:name w:val="Appendix_No &amp; title"/>
    <w:basedOn w:val="AnnexNotitle"/>
    <w:next w:val="Normalaftertitle0"/>
    <w:uiPriority w:val="99"/>
    <w:rsid w:val="00232E78"/>
  </w:style>
  <w:style w:type="paragraph" w:customStyle="1" w:styleId="FooterQP">
    <w:name w:val="Footer_QP"/>
    <w:basedOn w:val="Normal"/>
    <w:uiPriority w:val="99"/>
    <w:rsid w:val="00232E78"/>
    <w:pPr>
      <w:tabs>
        <w:tab w:val="clear" w:pos="794"/>
        <w:tab w:val="clear" w:pos="1191"/>
        <w:tab w:val="clear" w:pos="1588"/>
        <w:tab w:val="clear" w:pos="1985"/>
        <w:tab w:val="left" w:pos="907"/>
        <w:tab w:val="right" w:pos="8789"/>
        <w:tab w:val="right" w:pos="9639"/>
      </w:tabs>
      <w:spacing w:before="0"/>
      <w:textAlignment w:val="auto"/>
    </w:pPr>
    <w:rPr>
      <w:rFonts w:ascii="Times New Roman" w:eastAsia="Times New Roman" w:hAnsi="Times New Roman"/>
      <w:b/>
      <w:sz w:val="22"/>
    </w:rPr>
  </w:style>
  <w:style w:type="paragraph" w:customStyle="1" w:styleId="ASN1">
    <w:name w:val="ASN.1"/>
    <w:basedOn w:val="Normal"/>
    <w:uiPriority w:val="99"/>
    <w:rsid w:val="00232E78"/>
    <w:pPr>
      <w:tabs>
        <w:tab w:val="left" w:pos="567"/>
        <w:tab w:val="left" w:pos="1134"/>
        <w:tab w:val="left" w:pos="1701"/>
        <w:tab w:val="left" w:pos="2268"/>
        <w:tab w:val="left" w:pos="2835"/>
        <w:tab w:val="left" w:pos="3402"/>
        <w:tab w:val="left" w:pos="3969"/>
        <w:tab w:val="left" w:pos="4536"/>
        <w:tab w:val="left" w:pos="5103"/>
        <w:tab w:val="left" w:pos="5670"/>
      </w:tabs>
      <w:spacing w:before="0"/>
      <w:textAlignment w:val="auto"/>
    </w:pPr>
    <w:rPr>
      <w:rFonts w:ascii="Courier New" w:eastAsia="Times New Roman" w:hAnsi="Courier New"/>
      <w:b/>
      <w:noProof/>
      <w:sz w:val="20"/>
    </w:rPr>
  </w:style>
  <w:style w:type="paragraph" w:customStyle="1" w:styleId="Formal">
    <w:name w:val="Formal"/>
    <w:basedOn w:val="ASN1"/>
    <w:uiPriority w:val="99"/>
    <w:rsid w:val="00232E78"/>
    <w:rPr>
      <w:b w:val="0"/>
    </w:rPr>
  </w:style>
  <w:style w:type="paragraph" w:customStyle="1" w:styleId="RecNoBR">
    <w:name w:val="Rec_No_BR"/>
    <w:basedOn w:val="Normal"/>
    <w:next w:val="Rectitle"/>
    <w:uiPriority w:val="99"/>
    <w:rsid w:val="00232E78"/>
    <w:pPr>
      <w:keepNext/>
      <w:keepLines/>
      <w:spacing w:before="480"/>
      <w:jc w:val="center"/>
      <w:textAlignment w:val="auto"/>
    </w:pPr>
    <w:rPr>
      <w:rFonts w:ascii="Times New Roman" w:eastAsia="Times New Roman" w:hAnsi="Times New Roman"/>
      <w:caps/>
      <w:sz w:val="28"/>
    </w:rPr>
  </w:style>
  <w:style w:type="paragraph" w:customStyle="1" w:styleId="QuestionNoBR">
    <w:name w:val="Question_No_BR"/>
    <w:basedOn w:val="RecNoBR"/>
    <w:next w:val="Questiontitle"/>
    <w:uiPriority w:val="99"/>
    <w:rsid w:val="00232E78"/>
  </w:style>
  <w:style w:type="paragraph" w:customStyle="1" w:styleId="RepNoBR">
    <w:name w:val="Rep_No_BR"/>
    <w:basedOn w:val="RecNoBR"/>
    <w:next w:val="Reptitle"/>
    <w:uiPriority w:val="99"/>
    <w:rsid w:val="00232E78"/>
  </w:style>
  <w:style w:type="paragraph" w:customStyle="1" w:styleId="ResNoBR">
    <w:name w:val="Res_No_BR"/>
    <w:basedOn w:val="RecNoBR"/>
    <w:next w:val="Restitle"/>
    <w:uiPriority w:val="99"/>
    <w:rsid w:val="00232E78"/>
  </w:style>
  <w:style w:type="paragraph" w:customStyle="1" w:styleId="Section1">
    <w:name w:val="Section_1"/>
    <w:basedOn w:val="Normal"/>
    <w:next w:val="Normal"/>
    <w:uiPriority w:val="99"/>
    <w:rsid w:val="00232E78"/>
    <w:pPr>
      <w:tabs>
        <w:tab w:val="clear" w:pos="794"/>
        <w:tab w:val="clear" w:pos="1191"/>
        <w:tab w:val="clear" w:pos="1588"/>
        <w:tab w:val="clear" w:pos="1985"/>
      </w:tabs>
      <w:spacing w:before="624"/>
      <w:jc w:val="center"/>
      <w:textAlignment w:val="auto"/>
    </w:pPr>
    <w:rPr>
      <w:rFonts w:ascii="Times New Roman" w:eastAsia="Times New Roman" w:hAnsi="Times New Roman"/>
      <w:b/>
    </w:rPr>
  </w:style>
  <w:style w:type="paragraph" w:customStyle="1" w:styleId="Section2">
    <w:name w:val="Section_2"/>
    <w:basedOn w:val="Normal"/>
    <w:next w:val="Normal"/>
    <w:uiPriority w:val="99"/>
    <w:rsid w:val="00232E78"/>
    <w:pPr>
      <w:tabs>
        <w:tab w:val="clear" w:pos="794"/>
        <w:tab w:val="clear" w:pos="1191"/>
        <w:tab w:val="clear" w:pos="1588"/>
        <w:tab w:val="clear" w:pos="1985"/>
      </w:tabs>
      <w:spacing w:before="240"/>
      <w:jc w:val="center"/>
      <w:textAlignment w:val="auto"/>
    </w:pPr>
    <w:rPr>
      <w:rFonts w:ascii="Times New Roman" w:eastAsia="Times New Roman" w:hAnsi="Times New Roman"/>
      <w:i/>
    </w:rPr>
  </w:style>
  <w:style w:type="paragraph" w:customStyle="1" w:styleId="TableNotitle">
    <w:name w:val="Table_No &amp; title"/>
    <w:basedOn w:val="Normal"/>
    <w:next w:val="Tablehead"/>
    <w:uiPriority w:val="99"/>
    <w:rsid w:val="00232E78"/>
    <w:pPr>
      <w:keepNext/>
      <w:keepLines/>
      <w:spacing w:before="360" w:after="120"/>
      <w:jc w:val="center"/>
      <w:textAlignment w:val="auto"/>
    </w:pPr>
    <w:rPr>
      <w:rFonts w:ascii="Times New Roman" w:eastAsia="Times New Roman" w:hAnsi="Times New Roman"/>
      <w:b/>
    </w:rPr>
  </w:style>
  <w:style w:type="paragraph" w:customStyle="1" w:styleId="FiguretitleBR">
    <w:name w:val="Figure_title_BR"/>
    <w:basedOn w:val="TabletitleBR"/>
    <w:next w:val="Figurewithouttitle"/>
    <w:uiPriority w:val="99"/>
    <w:rsid w:val="00232E78"/>
    <w:pPr>
      <w:keepNext w:val="0"/>
      <w:spacing w:after="480"/>
    </w:pPr>
  </w:style>
  <w:style w:type="paragraph" w:customStyle="1" w:styleId="FigureNoBR">
    <w:name w:val="Figure_No_BR"/>
    <w:basedOn w:val="Normal"/>
    <w:next w:val="FiguretitleBR"/>
    <w:uiPriority w:val="99"/>
    <w:rsid w:val="00232E78"/>
    <w:pPr>
      <w:keepNext/>
      <w:keepLines/>
      <w:spacing w:before="480" w:after="120"/>
      <w:jc w:val="center"/>
      <w:textAlignment w:val="auto"/>
    </w:pPr>
    <w:rPr>
      <w:rFonts w:ascii="Times New Roman" w:eastAsia="Times New Roman" w:hAnsi="Times New Roman"/>
      <w:caps/>
    </w:rPr>
  </w:style>
  <w:style w:type="paragraph" w:customStyle="1" w:styleId="H2">
    <w:name w:val="H2"/>
    <w:basedOn w:val="Normal"/>
    <w:next w:val="Normal"/>
    <w:uiPriority w:val="99"/>
    <w:rsid w:val="00232E78"/>
    <w:pPr>
      <w:keepNext/>
      <w:widowControl w:val="0"/>
      <w:tabs>
        <w:tab w:val="clear" w:pos="794"/>
        <w:tab w:val="clear" w:pos="1191"/>
        <w:tab w:val="clear" w:pos="1588"/>
        <w:tab w:val="clear" w:pos="1985"/>
      </w:tabs>
      <w:overflowPunct/>
      <w:autoSpaceDE/>
      <w:autoSpaceDN/>
      <w:adjustRightInd/>
      <w:snapToGrid w:val="0"/>
      <w:spacing w:before="100" w:after="100"/>
      <w:textAlignment w:val="auto"/>
      <w:outlineLvl w:val="2"/>
    </w:pPr>
    <w:rPr>
      <w:rFonts w:ascii="Times New Roman" w:eastAsia="Times New Roman" w:hAnsi="Times New Roman"/>
      <w:b/>
      <w:sz w:val="36"/>
      <w:lang w:val="en-US"/>
    </w:rPr>
  </w:style>
  <w:style w:type="paragraph" w:customStyle="1" w:styleId="Blockquote">
    <w:name w:val="Blockquote"/>
    <w:basedOn w:val="Normal"/>
    <w:uiPriority w:val="99"/>
    <w:rsid w:val="00232E78"/>
    <w:pPr>
      <w:widowControl w:val="0"/>
      <w:tabs>
        <w:tab w:val="clear" w:pos="794"/>
        <w:tab w:val="clear" w:pos="1191"/>
        <w:tab w:val="clear" w:pos="1588"/>
        <w:tab w:val="clear" w:pos="1985"/>
      </w:tabs>
      <w:overflowPunct/>
      <w:autoSpaceDE/>
      <w:autoSpaceDN/>
      <w:adjustRightInd/>
      <w:snapToGrid w:val="0"/>
      <w:spacing w:before="100" w:after="100"/>
      <w:ind w:left="360" w:right="360"/>
      <w:textAlignment w:val="auto"/>
    </w:pPr>
    <w:rPr>
      <w:rFonts w:ascii="Times New Roman" w:eastAsia="Times New Roman" w:hAnsi="Times New Roman"/>
      <w:lang w:val="en-US"/>
    </w:rPr>
  </w:style>
  <w:style w:type="paragraph" w:customStyle="1" w:styleId="H4">
    <w:name w:val="H4"/>
    <w:basedOn w:val="Normal"/>
    <w:next w:val="Normal"/>
    <w:uiPriority w:val="99"/>
    <w:rsid w:val="00232E78"/>
    <w:pPr>
      <w:keepNext/>
      <w:widowControl w:val="0"/>
      <w:tabs>
        <w:tab w:val="clear" w:pos="794"/>
        <w:tab w:val="clear" w:pos="1191"/>
        <w:tab w:val="clear" w:pos="1588"/>
        <w:tab w:val="clear" w:pos="1985"/>
      </w:tabs>
      <w:overflowPunct/>
      <w:autoSpaceDE/>
      <w:autoSpaceDN/>
      <w:adjustRightInd/>
      <w:snapToGrid w:val="0"/>
      <w:spacing w:before="100" w:after="100"/>
      <w:textAlignment w:val="auto"/>
      <w:outlineLvl w:val="4"/>
    </w:pPr>
    <w:rPr>
      <w:rFonts w:ascii="Times New Roman" w:eastAsia="Times New Roman" w:hAnsi="Times New Roman"/>
      <w:b/>
      <w:lang w:val="en-US"/>
    </w:rPr>
  </w:style>
  <w:style w:type="paragraph" w:customStyle="1" w:styleId="H3">
    <w:name w:val="H3"/>
    <w:basedOn w:val="Normal"/>
    <w:next w:val="Normal"/>
    <w:uiPriority w:val="99"/>
    <w:rsid w:val="00232E78"/>
    <w:pPr>
      <w:keepNext/>
      <w:widowControl w:val="0"/>
      <w:tabs>
        <w:tab w:val="clear" w:pos="794"/>
        <w:tab w:val="clear" w:pos="1191"/>
        <w:tab w:val="clear" w:pos="1588"/>
        <w:tab w:val="clear" w:pos="1985"/>
      </w:tabs>
      <w:overflowPunct/>
      <w:autoSpaceDE/>
      <w:autoSpaceDN/>
      <w:adjustRightInd/>
      <w:snapToGrid w:val="0"/>
      <w:spacing w:before="100" w:after="100"/>
      <w:textAlignment w:val="auto"/>
      <w:outlineLvl w:val="3"/>
    </w:pPr>
    <w:rPr>
      <w:rFonts w:ascii="Times New Roman" w:eastAsia="Times New Roman" w:hAnsi="Times New Roman"/>
      <w:b/>
      <w:sz w:val="28"/>
      <w:lang w:val="en-US"/>
    </w:rPr>
  </w:style>
  <w:style w:type="paragraph" w:customStyle="1" w:styleId="DefinitionList">
    <w:name w:val="Definition List"/>
    <w:basedOn w:val="Normal"/>
    <w:next w:val="DefinitionTerm"/>
    <w:uiPriority w:val="99"/>
    <w:rsid w:val="00232E78"/>
    <w:pPr>
      <w:widowControl w:val="0"/>
      <w:tabs>
        <w:tab w:val="clear" w:pos="794"/>
        <w:tab w:val="clear" w:pos="1191"/>
        <w:tab w:val="clear" w:pos="1588"/>
        <w:tab w:val="clear" w:pos="1985"/>
      </w:tabs>
      <w:overflowPunct/>
      <w:autoSpaceDE/>
      <w:autoSpaceDN/>
      <w:adjustRightInd/>
      <w:snapToGrid w:val="0"/>
      <w:spacing w:before="0"/>
      <w:ind w:left="360"/>
      <w:textAlignment w:val="auto"/>
    </w:pPr>
    <w:rPr>
      <w:rFonts w:ascii="Times New Roman" w:eastAsia="Times New Roman" w:hAnsi="Times New Roman"/>
      <w:lang w:val="en-US"/>
    </w:rPr>
  </w:style>
  <w:style w:type="paragraph" w:customStyle="1" w:styleId="DefinitionTerm">
    <w:name w:val="Definition Term"/>
    <w:basedOn w:val="Normal"/>
    <w:next w:val="DefinitionList"/>
    <w:uiPriority w:val="99"/>
    <w:rsid w:val="00232E78"/>
    <w:pPr>
      <w:widowControl w:val="0"/>
      <w:tabs>
        <w:tab w:val="clear" w:pos="794"/>
        <w:tab w:val="clear" w:pos="1191"/>
        <w:tab w:val="clear" w:pos="1588"/>
        <w:tab w:val="clear" w:pos="1985"/>
      </w:tabs>
      <w:overflowPunct/>
      <w:autoSpaceDE/>
      <w:autoSpaceDN/>
      <w:adjustRightInd/>
      <w:snapToGrid w:val="0"/>
      <w:spacing w:before="0"/>
      <w:textAlignment w:val="auto"/>
    </w:pPr>
    <w:rPr>
      <w:rFonts w:ascii="Times New Roman" w:eastAsia="Times New Roman" w:hAnsi="Times New Roman"/>
      <w:lang w:val="en-US"/>
    </w:rPr>
  </w:style>
  <w:style w:type="paragraph" w:customStyle="1" w:styleId="H1">
    <w:name w:val="H1"/>
    <w:basedOn w:val="Normal"/>
    <w:next w:val="Normal"/>
    <w:uiPriority w:val="99"/>
    <w:rsid w:val="00232E78"/>
    <w:pPr>
      <w:keepNext/>
      <w:widowControl w:val="0"/>
      <w:tabs>
        <w:tab w:val="clear" w:pos="794"/>
        <w:tab w:val="clear" w:pos="1191"/>
        <w:tab w:val="clear" w:pos="1588"/>
        <w:tab w:val="clear" w:pos="1985"/>
      </w:tabs>
      <w:overflowPunct/>
      <w:autoSpaceDE/>
      <w:autoSpaceDN/>
      <w:adjustRightInd/>
      <w:snapToGrid w:val="0"/>
      <w:spacing w:before="100" w:after="100"/>
      <w:textAlignment w:val="auto"/>
      <w:outlineLvl w:val="1"/>
    </w:pPr>
    <w:rPr>
      <w:rFonts w:ascii="Times New Roman" w:eastAsia="Times New Roman" w:hAnsi="Times New Roman"/>
      <w:b/>
      <w:kern w:val="36"/>
      <w:sz w:val="48"/>
      <w:lang w:val="en-US"/>
    </w:rPr>
  </w:style>
  <w:style w:type="paragraph" w:customStyle="1" w:styleId="H5">
    <w:name w:val="H5"/>
    <w:basedOn w:val="Normal"/>
    <w:next w:val="Normal"/>
    <w:uiPriority w:val="99"/>
    <w:rsid w:val="00232E78"/>
    <w:pPr>
      <w:keepNext/>
      <w:widowControl w:val="0"/>
      <w:tabs>
        <w:tab w:val="clear" w:pos="794"/>
        <w:tab w:val="clear" w:pos="1191"/>
        <w:tab w:val="clear" w:pos="1588"/>
        <w:tab w:val="clear" w:pos="1985"/>
      </w:tabs>
      <w:overflowPunct/>
      <w:autoSpaceDE/>
      <w:autoSpaceDN/>
      <w:adjustRightInd/>
      <w:snapToGrid w:val="0"/>
      <w:spacing w:before="100" w:after="100"/>
      <w:textAlignment w:val="auto"/>
      <w:outlineLvl w:val="5"/>
    </w:pPr>
    <w:rPr>
      <w:rFonts w:ascii="Times New Roman" w:eastAsia="Times New Roman" w:hAnsi="Times New Roman"/>
      <w:b/>
      <w:sz w:val="20"/>
      <w:lang w:val="en-US"/>
    </w:rPr>
  </w:style>
  <w:style w:type="paragraph" w:customStyle="1" w:styleId="H6">
    <w:name w:val="H6"/>
    <w:basedOn w:val="Normal"/>
    <w:next w:val="Normal"/>
    <w:uiPriority w:val="99"/>
    <w:rsid w:val="00232E78"/>
    <w:pPr>
      <w:keepNext/>
      <w:widowControl w:val="0"/>
      <w:tabs>
        <w:tab w:val="clear" w:pos="794"/>
        <w:tab w:val="clear" w:pos="1191"/>
        <w:tab w:val="clear" w:pos="1588"/>
        <w:tab w:val="clear" w:pos="1985"/>
      </w:tabs>
      <w:overflowPunct/>
      <w:autoSpaceDE/>
      <w:autoSpaceDN/>
      <w:adjustRightInd/>
      <w:snapToGrid w:val="0"/>
      <w:spacing w:before="100" w:after="100"/>
      <w:textAlignment w:val="auto"/>
      <w:outlineLvl w:val="6"/>
    </w:pPr>
    <w:rPr>
      <w:rFonts w:ascii="Times New Roman" w:eastAsia="Times New Roman" w:hAnsi="Times New Roman"/>
      <w:b/>
      <w:sz w:val="16"/>
      <w:lang w:val="en-US"/>
    </w:rPr>
  </w:style>
  <w:style w:type="paragraph" w:customStyle="1" w:styleId="Address">
    <w:name w:val="Address"/>
    <w:basedOn w:val="Normal"/>
    <w:next w:val="Normal"/>
    <w:uiPriority w:val="99"/>
    <w:rsid w:val="00232E78"/>
    <w:pPr>
      <w:widowControl w:val="0"/>
      <w:tabs>
        <w:tab w:val="clear" w:pos="794"/>
        <w:tab w:val="clear" w:pos="1191"/>
        <w:tab w:val="clear" w:pos="1588"/>
        <w:tab w:val="clear" w:pos="1985"/>
      </w:tabs>
      <w:overflowPunct/>
      <w:autoSpaceDE/>
      <w:autoSpaceDN/>
      <w:adjustRightInd/>
      <w:snapToGrid w:val="0"/>
      <w:spacing w:before="0"/>
      <w:textAlignment w:val="auto"/>
    </w:pPr>
    <w:rPr>
      <w:rFonts w:ascii="Times New Roman" w:eastAsia="Times New Roman" w:hAnsi="Times New Roman"/>
      <w:i/>
      <w:lang w:val="en-US"/>
    </w:rPr>
  </w:style>
  <w:style w:type="paragraph" w:customStyle="1" w:styleId="Preformatted">
    <w:name w:val="Preformatted"/>
    <w:basedOn w:val="Normal"/>
    <w:uiPriority w:val="99"/>
    <w:rsid w:val="00232E78"/>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napToGrid w:val="0"/>
      <w:spacing w:before="0"/>
      <w:textAlignment w:val="auto"/>
    </w:pPr>
    <w:rPr>
      <w:rFonts w:ascii="Courier New" w:eastAsia="Times New Roman" w:hAnsi="Courier New"/>
      <w:sz w:val="20"/>
      <w:lang w:val="en-US"/>
    </w:rPr>
  </w:style>
  <w:style w:type="paragraph" w:customStyle="1" w:styleId="HeadingA">
    <w:name w:val="Heading_A"/>
    <w:basedOn w:val="Headingb"/>
    <w:uiPriority w:val="99"/>
    <w:qFormat/>
    <w:rsid w:val="00232E78"/>
    <w:pPr>
      <w:spacing w:before="200"/>
      <w:ind w:left="794" w:hanging="794"/>
    </w:pPr>
    <w:rPr>
      <w:rFonts w:eastAsiaTheme="minorEastAsia"/>
      <w:sz w:val="26"/>
      <w:szCs w:val="26"/>
    </w:rPr>
  </w:style>
  <w:style w:type="paragraph" w:customStyle="1" w:styleId="xl29">
    <w:name w:val="xl29"/>
    <w:basedOn w:val="Normal"/>
    <w:uiPriority w:val="99"/>
    <w:rsid w:val="00232E78"/>
    <w:pPr>
      <w:pBdr>
        <w:top w:val="single" w:sz="4" w:space="0" w:color="auto"/>
        <w:bottom w:val="single" w:sz="8" w:space="0" w:color="auto"/>
      </w:pBdr>
      <w:spacing w:before="100" w:beforeAutospacing="1" w:after="100" w:afterAutospacing="1"/>
      <w:jc w:val="center"/>
      <w:textAlignment w:val="auto"/>
    </w:pPr>
    <w:rPr>
      <w:rFonts w:ascii="Times New Roman" w:eastAsia="Arial Unicode MS" w:hAnsi="Times New Roman"/>
      <w:b/>
      <w:bCs/>
      <w:sz w:val="22"/>
      <w:szCs w:val="22"/>
      <w:lang w:val="en-US"/>
    </w:rPr>
  </w:style>
  <w:style w:type="paragraph" w:customStyle="1" w:styleId="xl24">
    <w:name w:val="xl24"/>
    <w:basedOn w:val="Normal"/>
    <w:uiPriority w:val="99"/>
    <w:rsid w:val="00232E78"/>
    <w:pPr>
      <w:pBdr>
        <w:top w:val="single" w:sz="4" w:space="0" w:color="auto"/>
        <w:bottom w:val="double" w:sz="6" w:space="0" w:color="auto"/>
      </w:pBdr>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5">
    <w:name w:val="xl25"/>
    <w:basedOn w:val="Normal"/>
    <w:uiPriority w:val="99"/>
    <w:rsid w:val="00232E78"/>
    <w:pPr>
      <w:pBdr>
        <w:top w:val="single" w:sz="4" w:space="0" w:color="auto"/>
        <w:bottom w:val="double" w:sz="6" w:space="0" w:color="auto"/>
      </w:pBdr>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6">
    <w:name w:val="xl26"/>
    <w:basedOn w:val="Normal"/>
    <w:uiPriority w:val="99"/>
    <w:rsid w:val="00232E78"/>
    <w:pPr>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7">
    <w:name w:val="xl27"/>
    <w:basedOn w:val="Normal"/>
    <w:uiPriority w:val="99"/>
    <w:rsid w:val="00232E78"/>
    <w:pPr>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8">
    <w:name w:val="xl28"/>
    <w:basedOn w:val="Normal"/>
    <w:uiPriority w:val="99"/>
    <w:rsid w:val="00232E78"/>
    <w:pPr>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30">
    <w:name w:val="xl30"/>
    <w:basedOn w:val="Normal"/>
    <w:uiPriority w:val="99"/>
    <w:rsid w:val="00232E78"/>
    <w:pPr>
      <w:pBdr>
        <w:top w:val="single" w:sz="4" w:space="0" w:color="auto"/>
        <w:bottom w:val="single" w:sz="8" w:space="0" w:color="auto"/>
      </w:pBdr>
      <w:spacing w:before="100" w:beforeAutospacing="1" w:after="100" w:afterAutospacing="1"/>
      <w:jc w:val="both"/>
      <w:textAlignment w:val="auto"/>
    </w:pPr>
    <w:rPr>
      <w:rFonts w:ascii="Times New Roman" w:eastAsia="Arial Unicode MS" w:hAnsi="Times New Roman"/>
      <w:b/>
      <w:bCs/>
      <w:sz w:val="22"/>
      <w:szCs w:val="22"/>
      <w:lang w:val="en-US"/>
    </w:rPr>
  </w:style>
  <w:style w:type="paragraph" w:customStyle="1" w:styleId="xl31">
    <w:name w:val="xl31"/>
    <w:basedOn w:val="Normal"/>
    <w:uiPriority w:val="99"/>
    <w:rsid w:val="00232E78"/>
    <w:pPr>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39">
    <w:name w:val="xl39"/>
    <w:basedOn w:val="Normal"/>
    <w:uiPriority w:val="99"/>
    <w:rsid w:val="00232E78"/>
    <w:pPr>
      <w:pBdr>
        <w:top w:val="single" w:sz="4" w:space="0" w:color="auto"/>
      </w:pBd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40">
    <w:name w:val="xl40"/>
    <w:basedOn w:val="Normal"/>
    <w:uiPriority w:val="99"/>
    <w:rsid w:val="00232E78"/>
    <w:pPr>
      <w:pBdr>
        <w:top w:val="single" w:sz="4" w:space="0" w:color="auto"/>
      </w:pBdr>
      <w:shd w:val="clear" w:color="auto" w:fill="FFFFFF"/>
      <w:spacing w:before="100" w:beforeAutospacing="1" w:after="100" w:afterAutospacing="1"/>
      <w:jc w:val="center"/>
      <w:textAlignment w:val="auto"/>
    </w:pPr>
    <w:rPr>
      <w:rFonts w:ascii="Times New Roman" w:eastAsia="Arial Unicode MS" w:hAnsi="Times New Roman"/>
      <w:lang w:val="en-US"/>
    </w:rPr>
  </w:style>
  <w:style w:type="paragraph" w:customStyle="1" w:styleId="xl41">
    <w:name w:val="xl41"/>
    <w:basedOn w:val="Normal"/>
    <w:uiPriority w:val="99"/>
    <w:rsid w:val="00232E78"/>
    <w:pPr>
      <w:pBdr>
        <w:top w:val="single" w:sz="4" w:space="0" w:color="auto"/>
      </w:pBdr>
      <w:spacing w:before="100" w:beforeAutospacing="1" w:after="100" w:afterAutospacing="1"/>
      <w:jc w:val="right"/>
      <w:textAlignment w:val="auto"/>
    </w:pPr>
    <w:rPr>
      <w:rFonts w:ascii="Times New Roman" w:eastAsia="Arial Unicode MS" w:hAnsi="Times New Roman"/>
      <w:i/>
      <w:iCs/>
      <w:lang w:val="en-US"/>
    </w:rPr>
  </w:style>
  <w:style w:type="paragraph" w:customStyle="1" w:styleId="xl42">
    <w:name w:val="xl42"/>
    <w:basedOn w:val="Normal"/>
    <w:uiPriority w:val="99"/>
    <w:rsid w:val="00232E78"/>
    <w:pP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43">
    <w:name w:val="xl43"/>
    <w:basedOn w:val="Normal"/>
    <w:uiPriority w:val="99"/>
    <w:rsid w:val="00232E78"/>
    <w:pPr>
      <w:shd w:val="clear" w:color="auto" w:fill="FFFFFF"/>
      <w:spacing w:before="100" w:beforeAutospacing="1" w:after="100" w:afterAutospacing="1"/>
      <w:jc w:val="center"/>
      <w:textAlignment w:val="auto"/>
    </w:pPr>
    <w:rPr>
      <w:rFonts w:ascii="Times New Roman" w:eastAsia="Arial Unicode MS" w:hAnsi="Times New Roman"/>
      <w:lang w:val="en-US"/>
    </w:rPr>
  </w:style>
  <w:style w:type="paragraph" w:customStyle="1" w:styleId="xl44">
    <w:name w:val="xl44"/>
    <w:basedOn w:val="Normal"/>
    <w:uiPriority w:val="99"/>
    <w:rsid w:val="00232E78"/>
    <w:pP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45">
    <w:name w:val="xl45"/>
    <w:basedOn w:val="Normal"/>
    <w:uiPriority w:val="99"/>
    <w:rsid w:val="00232E78"/>
    <w:pPr>
      <w:shd w:val="clear" w:color="auto" w:fill="FFFFFF"/>
      <w:spacing w:before="100" w:beforeAutospacing="1" w:after="100" w:afterAutospacing="1"/>
      <w:jc w:val="both"/>
      <w:textAlignment w:val="auto"/>
    </w:pPr>
    <w:rPr>
      <w:rFonts w:ascii="Times New Roman" w:eastAsia="Arial Unicode MS" w:hAnsi="Times New Roman"/>
      <w:b/>
      <w:bCs/>
      <w:lang w:val="en-US"/>
    </w:rPr>
  </w:style>
  <w:style w:type="paragraph" w:customStyle="1" w:styleId="xl46">
    <w:name w:val="xl46"/>
    <w:basedOn w:val="Normal"/>
    <w:uiPriority w:val="99"/>
    <w:rsid w:val="00232E78"/>
    <w:pP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47">
    <w:name w:val="xl47"/>
    <w:basedOn w:val="Normal"/>
    <w:uiPriority w:val="99"/>
    <w:rsid w:val="00232E78"/>
    <w:pPr>
      <w:shd w:val="clear" w:color="auto" w:fill="FFFFFF"/>
      <w:spacing w:before="100" w:beforeAutospacing="1" w:after="100" w:afterAutospacing="1"/>
      <w:jc w:val="right"/>
      <w:textAlignment w:val="auto"/>
    </w:pPr>
    <w:rPr>
      <w:rFonts w:ascii="Times New Roman" w:eastAsia="Arial Unicode MS" w:hAnsi="Times New Roman"/>
      <w:lang w:val="en-US"/>
    </w:rPr>
  </w:style>
  <w:style w:type="paragraph" w:customStyle="1" w:styleId="xl48">
    <w:name w:val="xl48"/>
    <w:basedOn w:val="Normal"/>
    <w:uiPriority w:val="99"/>
    <w:rsid w:val="00232E78"/>
    <w:pPr>
      <w:pBdr>
        <w:top w:val="single" w:sz="4" w:space="0" w:color="auto"/>
        <w:bottom w:val="single" w:sz="4" w:space="0" w:color="auto"/>
      </w:pBdr>
      <w:shd w:val="clear" w:color="auto" w:fill="FFFFFF"/>
      <w:spacing w:before="100" w:beforeAutospacing="1" w:after="100" w:afterAutospacing="1"/>
      <w:jc w:val="right"/>
      <w:textAlignment w:val="auto"/>
    </w:pPr>
    <w:rPr>
      <w:rFonts w:ascii="Times New Roman" w:eastAsia="Arial Unicode MS" w:hAnsi="Times New Roman"/>
      <w:lang w:val="en-US"/>
    </w:rPr>
  </w:style>
  <w:style w:type="paragraph" w:customStyle="1" w:styleId="xl49">
    <w:name w:val="xl49"/>
    <w:basedOn w:val="Normal"/>
    <w:uiPriority w:val="99"/>
    <w:rsid w:val="00232E78"/>
    <w:pPr>
      <w:pBdr>
        <w:top w:val="single" w:sz="4" w:space="0" w:color="auto"/>
        <w:bottom w:val="single" w:sz="4" w:space="0" w:color="auto"/>
      </w:pBd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50">
    <w:name w:val="xl50"/>
    <w:basedOn w:val="Normal"/>
    <w:uiPriority w:val="99"/>
    <w:rsid w:val="00232E78"/>
    <w:pPr>
      <w:pBdr>
        <w:top w:val="single" w:sz="4" w:space="0" w:color="auto"/>
      </w:pBdr>
      <w:shd w:val="clear" w:color="auto" w:fill="FFFFFF"/>
      <w:spacing w:before="100" w:beforeAutospacing="1" w:after="100" w:afterAutospacing="1"/>
      <w:jc w:val="right"/>
      <w:textAlignment w:val="auto"/>
    </w:pPr>
    <w:rPr>
      <w:rFonts w:ascii="Times New Roman" w:eastAsia="Arial Unicode MS" w:hAnsi="Times New Roman"/>
      <w:lang w:val="en-US"/>
    </w:rPr>
  </w:style>
  <w:style w:type="paragraph" w:customStyle="1" w:styleId="xl51">
    <w:name w:val="xl51"/>
    <w:basedOn w:val="Normal"/>
    <w:uiPriority w:val="99"/>
    <w:rsid w:val="00232E78"/>
    <w:pPr>
      <w:pBdr>
        <w:top w:val="single" w:sz="4" w:space="0" w:color="auto"/>
      </w:pBd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52">
    <w:name w:val="xl52"/>
    <w:basedOn w:val="Normal"/>
    <w:uiPriority w:val="99"/>
    <w:rsid w:val="00232E78"/>
    <w:pPr>
      <w:shd w:val="clear" w:color="auto" w:fill="FFFFFF"/>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3">
    <w:name w:val="xl53"/>
    <w:basedOn w:val="Normal"/>
    <w:uiPriority w:val="99"/>
    <w:rsid w:val="00232E78"/>
    <w:pPr>
      <w:shd w:val="clear" w:color="auto" w:fill="FFFFFF"/>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4">
    <w:name w:val="xl54"/>
    <w:basedOn w:val="Normal"/>
    <w:uiPriority w:val="99"/>
    <w:rsid w:val="00232E78"/>
    <w:pPr>
      <w:pBdr>
        <w:top w:val="single" w:sz="4" w:space="0" w:color="auto"/>
      </w:pBdr>
      <w:shd w:val="clear" w:color="auto" w:fill="FFFFFF"/>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5">
    <w:name w:val="xl55"/>
    <w:basedOn w:val="Normal"/>
    <w:uiPriority w:val="99"/>
    <w:rsid w:val="00232E78"/>
    <w:pPr>
      <w:pBdr>
        <w:top w:val="single" w:sz="4" w:space="0" w:color="auto"/>
        <w:bottom w:val="single" w:sz="4" w:space="0" w:color="auto"/>
      </w:pBdr>
      <w:shd w:val="clear" w:color="auto" w:fill="FFFFFF"/>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6">
    <w:name w:val="xl56"/>
    <w:basedOn w:val="Normal"/>
    <w:uiPriority w:val="99"/>
    <w:rsid w:val="00232E78"/>
    <w:pPr>
      <w:pBdr>
        <w:top w:val="single" w:sz="4" w:space="0" w:color="auto"/>
        <w:bottom w:val="single" w:sz="4" w:space="0" w:color="auto"/>
      </w:pBd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57">
    <w:name w:val="xl57"/>
    <w:basedOn w:val="Normal"/>
    <w:uiPriority w:val="99"/>
    <w:rsid w:val="00232E78"/>
    <w:pPr>
      <w:shd w:val="clear" w:color="auto" w:fill="FFFFFF"/>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8">
    <w:name w:val="xl58"/>
    <w:basedOn w:val="Normal"/>
    <w:uiPriority w:val="99"/>
    <w:rsid w:val="00232E78"/>
    <w:pPr>
      <w:pBdr>
        <w:top w:val="single" w:sz="4" w:space="0" w:color="auto"/>
      </w:pBdr>
      <w:shd w:val="clear" w:color="auto" w:fill="FFFFFF"/>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9">
    <w:name w:val="xl59"/>
    <w:basedOn w:val="Normal"/>
    <w:uiPriority w:val="99"/>
    <w:rsid w:val="00232E78"/>
    <w:pPr>
      <w:pBdr>
        <w:top w:val="single" w:sz="4" w:space="0" w:color="auto"/>
        <w:bottom w:val="single" w:sz="4" w:space="0" w:color="auto"/>
      </w:pBdr>
      <w:shd w:val="clear" w:color="auto" w:fill="FFFFFF"/>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60">
    <w:name w:val="xl60"/>
    <w:basedOn w:val="Normal"/>
    <w:uiPriority w:val="99"/>
    <w:rsid w:val="00232E78"/>
    <w:pPr>
      <w:spacing w:before="100" w:beforeAutospacing="1" w:after="100" w:afterAutospacing="1"/>
      <w:jc w:val="center"/>
      <w:textAlignment w:val="auto"/>
    </w:pPr>
    <w:rPr>
      <w:rFonts w:ascii="Arial Unicode MS" w:eastAsia="Arial Unicode MS" w:hAnsi="Arial Unicode MS"/>
      <w:lang w:val="en-US"/>
    </w:rPr>
  </w:style>
  <w:style w:type="paragraph" w:customStyle="1" w:styleId="xl61">
    <w:name w:val="xl61"/>
    <w:basedOn w:val="Normal"/>
    <w:uiPriority w:val="99"/>
    <w:rsid w:val="00232E78"/>
    <w:pPr>
      <w:pBdr>
        <w:bottom w:val="single" w:sz="4" w:space="0" w:color="auto"/>
      </w:pBdr>
      <w:shd w:val="clear" w:color="auto" w:fill="FFFFFF"/>
      <w:spacing w:before="100" w:beforeAutospacing="1" w:after="100" w:afterAutospacing="1"/>
      <w:jc w:val="center"/>
      <w:textAlignment w:val="auto"/>
    </w:pPr>
    <w:rPr>
      <w:rFonts w:ascii="Times New Roman" w:eastAsia="Arial Unicode MS" w:hAnsi="Times New Roman"/>
      <w:lang w:val="en-US"/>
    </w:rPr>
  </w:style>
  <w:style w:type="paragraph" w:customStyle="1" w:styleId="xl62">
    <w:name w:val="xl62"/>
    <w:basedOn w:val="Normal"/>
    <w:uiPriority w:val="99"/>
    <w:rsid w:val="00232E78"/>
    <w:pPr>
      <w:pBdr>
        <w:bottom w:val="single" w:sz="4" w:space="0" w:color="auto"/>
      </w:pBd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Tabletext1">
    <w:name w:val="Table text"/>
    <w:uiPriority w:val="99"/>
    <w:rsid w:val="00232E78"/>
    <w:pPr>
      <w:spacing w:before="180"/>
      <w:jc w:val="both"/>
    </w:pPr>
    <w:rPr>
      <w:rFonts w:ascii="Calibri" w:eastAsiaTheme="minorEastAsia" w:hAnsi="Calibri"/>
      <w:szCs w:val="18"/>
      <w:lang w:val="en-GB"/>
    </w:rPr>
  </w:style>
  <w:style w:type="paragraph" w:customStyle="1" w:styleId="xl32">
    <w:name w:val="xl32"/>
    <w:basedOn w:val="Normal"/>
    <w:uiPriority w:val="99"/>
    <w:rsid w:val="00232E78"/>
    <w:pPr>
      <w:spacing w:before="100" w:beforeAutospacing="1" w:after="100" w:afterAutospacing="1"/>
      <w:textAlignment w:val="auto"/>
    </w:pPr>
    <w:rPr>
      <w:rFonts w:ascii="Times New Roman" w:eastAsia="Arial Unicode MS" w:hAnsi="Times New Roman"/>
      <w:szCs w:val="24"/>
      <w:lang w:val="en-US"/>
    </w:rPr>
  </w:style>
  <w:style w:type="paragraph" w:customStyle="1" w:styleId="xl107">
    <w:name w:val="xl107"/>
    <w:basedOn w:val="Normal"/>
    <w:rsid w:val="00232E78"/>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08">
    <w:name w:val="xl108"/>
    <w:basedOn w:val="Normal"/>
    <w:rsid w:val="00232E78"/>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09">
    <w:name w:val="xl109"/>
    <w:basedOn w:val="Normal"/>
    <w:rsid w:val="00232E78"/>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10">
    <w:name w:val="xl110"/>
    <w:basedOn w:val="Normal"/>
    <w:rsid w:val="00232E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1">
    <w:name w:val="xl111"/>
    <w:basedOn w:val="Normal"/>
    <w:rsid w:val="00232E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2">
    <w:name w:val="xl112"/>
    <w:basedOn w:val="Normal"/>
    <w:rsid w:val="00232E7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3">
    <w:name w:val="xl113"/>
    <w:basedOn w:val="Normal"/>
    <w:rsid w:val="00232E78"/>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4">
    <w:name w:val="xl114"/>
    <w:basedOn w:val="Normal"/>
    <w:rsid w:val="00232E78"/>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15">
    <w:name w:val="xl115"/>
    <w:basedOn w:val="Normal"/>
    <w:rsid w:val="00232E7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16">
    <w:name w:val="xl116"/>
    <w:basedOn w:val="Normal"/>
    <w:rsid w:val="00232E7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17">
    <w:name w:val="xl117"/>
    <w:basedOn w:val="Normal"/>
    <w:rsid w:val="00232E7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8">
    <w:name w:val="xl118"/>
    <w:basedOn w:val="Normal"/>
    <w:rsid w:val="00232E78"/>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9">
    <w:name w:val="xl119"/>
    <w:basedOn w:val="Normal"/>
    <w:rsid w:val="00232E7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20">
    <w:name w:val="xl120"/>
    <w:basedOn w:val="Normal"/>
    <w:rsid w:val="00232E7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21">
    <w:name w:val="xl121"/>
    <w:basedOn w:val="Normal"/>
    <w:rsid w:val="00232E78"/>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22">
    <w:name w:val="xl122"/>
    <w:basedOn w:val="Normal"/>
    <w:rsid w:val="00232E7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23">
    <w:name w:val="xl123"/>
    <w:basedOn w:val="Normal"/>
    <w:rsid w:val="00232E78"/>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24">
    <w:name w:val="xl124"/>
    <w:basedOn w:val="Normal"/>
    <w:rsid w:val="00232E78"/>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25">
    <w:name w:val="xl125"/>
    <w:basedOn w:val="Normal"/>
    <w:rsid w:val="00232E78"/>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26">
    <w:name w:val="xl126"/>
    <w:basedOn w:val="Normal"/>
    <w:rsid w:val="00232E78"/>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27">
    <w:name w:val="xl127"/>
    <w:basedOn w:val="Normal"/>
    <w:rsid w:val="00232E78"/>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28">
    <w:name w:val="xl128"/>
    <w:basedOn w:val="Normal"/>
    <w:rsid w:val="00232E78"/>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29">
    <w:name w:val="xl129"/>
    <w:basedOn w:val="Normal"/>
    <w:rsid w:val="00232E78"/>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0">
    <w:name w:val="xl130"/>
    <w:basedOn w:val="Normal"/>
    <w:rsid w:val="00232E7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1">
    <w:name w:val="xl131"/>
    <w:basedOn w:val="Normal"/>
    <w:rsid w:val="00232E78"/>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2">
    <w:name w:val="xl132"/>
    <w:basedOn w:val="Normal"/>
    <w:rsid w:val="00232E78"/>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3">
    <w:name w:val="xl133"/>
    <w:basedOn w:val="Normal"/>
    <w:rsid w:val="00232E7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4">
    <w:name w:val="xl134"/>
    <w:basedOn w:val="Normal"/>
    <w:rsid w:val="00232E78"/>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5">
    <w:name w:val="xl135"/>
    <w:basedOn w:val="Normal"/>
    <w:rsid w:val="00232E7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36">
    <w:name w:val="xl136"/>
    <w:basedOn w:val="Normal"/>
    <w:rsid w:val="00232E78"/>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7">
    <w:name w:val="xl137"/>
    <w:basedOn w:val="Normal"/>
    <w:rsid w:val="00232E78"/>
    <w:pPr>
      <w:pBdr>
        <w:top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38">
    <w:name w:val="xl138"/>
    <w:basedOn w:val="Normal"/>
    <w:rsid w:val="00232E78"/>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39">
    <w:name w:val="xl139"/>
    <w:basedOn w:val="Normal"/>
    <w:rsid w:val="00232E78"/>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40">
    <w:name w:val="xl140"/>
    <w:basedOn w:val="Normal"/>
    <w:rsid w:val="00232E78"/>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1">
    <w:name w:val="xl141"/>
    <w:basedOn w:val="Normal"/>
    <w:rsid w:val="00232E78"/>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2">
    <w:name w:val="xl142"/>
    <w:basedOn w:val="Normal"/>
    <w:rsid w:val="00232E78"/>
    <w:pPr>
      <w:pBdr>
        <w:top w:val="double" w:sz="6"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3">
    <w:name w:val="xl143"/>
    <w:basedOn w:val="Normal"/>
    <w:rsid w:val="00232E78"/>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4">
    <w:name w:val="xl144"/>
    <w:basedOn w:val="Normal"/>
    <w:rsid w:val="00232E7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5">
    <w:name w:val="xl145"/>
    <w:basedOn w:val="Normal"/>
    <w:rsid w:val="00232E7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6">
    <w:name w:val="xl146"/>
    <w:basedOn w:val="Normal"/>
    <w:rsid w:val="00232E78"/>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47">
    <w:name w:val="xl147"/>
    <w:basedOn w:val="Normal"/>
    <w:rsid w:val="00232E7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48">
    <w:name w:val="xl148"/>
    <w:basedOn w:val="Normal"/>
    <w:rsid w:val="00232E78"/>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9">
    <w:name w:val="xl149"/>
    <w:basedOn w:val="Normal"/>
    <w:rsid w:val="00232E78"/>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0">
    <w:name w:val="xl150"/>
    <w:basedOn w:val="Normal"/>
    <w:rsid w:val="00232E78"/>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1">
    <w:name w:val="xl151"/>
    <w:basedOn w:val="Normal"/>
    <w:rsid w:val="00232E78"/>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2">
    <w:name w:val="xl152"/>
    <w:basedOn w:val="Normal"/>
    <w:rsid w:val="00232E78"/>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3">
    <w:name w:val="xl153"/>
    <w:basedOn w:val="Normal"/>
    <w:rsid w:val="00232E78"/>
    <w:pPr>
      <w:pBdr>
        <w:top w:val="double" w:sz="6"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4">
    <w:name w:val="xl154"/>
    <w:basedOn w:val="Normal"/>
    <w:rsid w:val="00232E78"/>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5">
    <w:name w:val="xl155"/>
    <w:basedOn w:val="Normal"/>
    <w:rsid w:val="00232E78"/>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56">
    <w:name w:val="xl156"/>
    <w:basedOn w:val="Normal"/>
    <w:rsid w:val="00232E78"/>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57">
    <w:name w:val="xl157"/>
    <w:basedOn w:val="Normal"/>
    <w:rsid w:val="00232E78"/>
    <w:pPr>
      <w:pBdr>
        <w:top w:val="double" w:sz="6"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8">
    <w:name w:val="xl158"/>
    <w:basedOn w:val="Normal"/>
    <w:rsid w:val="00232E78"/>
    <w:pPr>
      <w:pBdr>
        <w:top w:val="single" w:sz="4" w:space="0" w:color="auto"/>
        <w:bottom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9">
    <w:name w:val="xl159"/>
    <w:basedOn w:val="Normal"/>
    <w:rsid w:val="00232E78"/>
    <w:pPr>
      <w:pBdr>
        <w:top w:val="single" w:sz="4" w:space="0" w:color="auto"/>
        <w:bottom w:val="double" w:sz="6"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0">
    <w:name w:val="xl160"/>
    <w:basedOn w:val="Normal"/>
    <w:rsid w:val="00232E78"/>
    <w:pPr>
      <w:pBdr>
        <w:top w:val="single" w:sz="4" w:space="0" w:color="auto"/>
        <w:left w:val="single" w:sz="4" w:space="0" w:color="auto"/>
        <w:bottom w:val="double" w:sz="6"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1">
    <w:name w:val="xl161"/>
    <w:basedOn w:val="Normal"/>
    <w:rsid w:val="00232E78"/>
    <w:pPr>
      <w:pBdr>
        <w:top w:val="single" w:sz="4" w:space="0" w:color="auto"/>
        <w:left w:val="single" w:sz="4" w:space="0" w:color="auto"/>
        <w:bottom w:val="double" w:sz="6"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2">
    <w:name w:val="xl162"/>
    <w:basedOn w:val="Normal"/>
    <w:rsid w:val="00232E78"/>
    <w:pPr>
      <w:pBdr>
        <w:top w:val="single" w:sz="4" w:space="0" w:color="auto"/>
        <w:left w:val="single" w:sz="4" w:space="0" w:color="auto"/>
        <w:bottom w:val="double" w:sz="6"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3">
    <w:name w:val="xl163"/>
    <w:basedOn w:val="Normal"/>
    <w:rsid w:val="00232E78"/>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4">
    <w:name w:val="xl164"/>
    <w:basedOn w:val="Normal"/>
    <w:rsid w:val="00232E78"/>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5">
    <w:name w:val="xl165"/>
    <w:basedOn w:val="Normal"/>
    <w:rsid w:val="00232E78"/>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6">
    <w:name w:val="xl166"/>
    <w:basedOn w:val="Normal"/>
    <w:rsid w:val="00232E78"/>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67">
    <w:name w:val="xl167"/>
    <w:basedOn w:val="Normal"/>
    <w:rsid w:val="00232E78"/>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8">
    <w:name w:val="xl168"/>
    <w:basedOn w:val="Normal"/>
    <w:rsid w:val="00232E78"/>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69">
    <w:name w:val="xl169"/>
    <w:basedOn w:val="Normal"/>
    <w:rsid w:val="00232E78"/>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0">
    <w:name w:val="xl170"/>
    <w:basedOn w:val="Normal"/>
    <w:rsid w:val="00232E78"/>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1">
    <w:name w:val="xl171"/>
    <w:basedOn w:val="Normal"/>
    <w:rsid w:val="00232E78"/>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2">
    <w:name w:val="xl172"/>
    <w:basedOn w:val="Normal"/>
    <w:rsid w:val="00232E78"/>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3">
    <w:name w:val="xl173"/>
    <w:basedOn w:val="Normal"/>
    <w:rsid w:val="00232E78"/>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4">
    <w:name w:val="xl174"/>
    <w:basedOn w:val="Normal"/>
    <w:rsid w:val="00232E78"/>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5">
    <w:name w:val="xl175"/>
    <w:basedOn w:val="Normal"/>
    <w:rsid w:val="00232E78"/>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6">
    <w:name w:val="xl176"/>
    <w:basedOn w:val="Normal"/>
    <w:rsid w:val="00232E78"/>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7">
    <w:name w:val="xl177"/>
    <w:basedOn w:val="Normal"/>
    <w:rsid w:val="00232E78"/>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8">
    <w:name w:val="xl178"/>
    <w:basedOn w:val="Normal"/>
    <w:rsid w:val="00232E78"/>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9">
    <w:name w:val="xl179"/>
    <w:basedOn w:val="Normal"/>
    <w:rsid w:val="00232E78"/>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0">
    <w:name w:val="xl180"/>
    <w:basedOn w:val="Normal"/>
    <w:rsid w:val="00232E78"/>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1">
    <w:name w:val="xl181"/>
    <w:basedOn w:val="Normal"/>
    <w:rsid w:val="00232E78"/>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2">
    <w:name w:val="xl182"/>
    <w:basedOn w:val="Normal"/>
    <w:rsid w:val="00232E7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3">
    <w:name w:val="xl183"/>
    <w:basedOn w:val="Normal"/>
    <w:rsid w:val="00232E7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4">
    <w:name w:val="xl184"/>
    <w:basedOn w:val="Normal"/>
    <w:rsid w:val="00232E7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5">
    <w:name w:val="xl185"/>
    <w:basedOn w:val="Normal"/>
    <w:rsid w:val="00232E78"/>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6">
    <w:name w:val="xl186"/>
    <w:basedOn w:val="Normal"/>
    <w:rsid w:val="00232E78"/>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7">
    <w:name w:val="xl187"/>
    <w:basedOn w:val="Normal"/>
    <w:rsid w:val="00232E78"/>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8">
    <w:name w:val="xl188"/>
    <w:basedOn w:val="Normal"/>
    <w:rsid w:val="00232E78"/>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9">
    <w:name w:val="xl189"/>
    <w:basedOn w:val="Normal"/>
    <w:rsid w:val="00232E78"/>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Cs w:val="24"/>
      <w:lang w:val="en-US" w:eastAsia="zh-CN"/>
    </w:rPr>
  </w:style>
  <w:style w:type="paragraph" w:customStyle="1" w:styleId="xl190">
    <w:name w:val="xl190"/>
    <w:basedOn w:val="Normal"/>
    <w:uiPriority w:val="99"/>
    <w:rsid w:val="00232E7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1">
    <w:name w:val="xl191"/>
    <w:basedOn w:val="Normal"/>
    <w:uiPriority w:val="99"/>
    <w:rsid w:val="00232E7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2">
    <w:name w:val="xl192"/>
    <w:basedOn w:val="Normal"/>
    <w:uiPriority w:val="99"/>
    <w:rsid w:val="00232E7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color w:val="000000"/>
      <w:sz w:val="20"/>
      <w:lang w:val="en-US" w:eastAsia="zh-CN"/>
    </w:rPr>
  </w:style>
  <w:style w:type="paragraph" w:customStyle="1" w:styleId="xl193">
    <w:name w:val="xl193"/>
    <w:basedOn w:val="Normal"/>
    <w:uiPriority w:val="99"/>
    <w:rsid w:val="00232E7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4">
    <w:name w:val="xl194"/>
    <w:basedOn w:val="Normal"/>
    <w:uiPriority w:val="99"/>
    <w:rsid w:val="00232E7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5">
    <w:name w:val="xl195"/>
    <w:basedOn w:val="Normal"/>
    <w:uiPriority w:val="99"/>
    <w:rsid w:val="00232E7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6">
    <w:name w:val="xl196"/>
    <w:basedOn w:val="Normal"/>
    <w:uiPriority w:val="99"/>
    <w:rsid w:val="00232E7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197">
    <w:name w:val="xl197"/>
    <w:basedOn w:val="Normal"/>
    <w:uiPriority w:val="99"/>
    <w:rsid w:val="00232E78"/>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8">
    <w:name w:val="xl198"/>
    <w:basedOn w:val="Normal"/>
    <w:uiPriority w:val="99"/>
    <w:rsid w:val="00232E78"/>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199">
    <w:name w:val="xl199"/>
    <w:basedOn w:val="Normal"/>
    <w:uiPriority w:val="99"/>
    <w:rsid w:val="00232E78"/>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0">
    <w:name w:val="xl200"/>
    <w:basedOn w:val="Normal"/>
    <w:uiPriority w:val="99"/>
    <w:rsid w:val="00232E78"/>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1">
    <w:name w:val="xl201"/>
    <w:basedOn w:val="Normal"/>
    <w:uiPriority w:val="99"/>
    <w:rsid w:val="00232E78"/>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02">
    <w:name w:val="xl202"/>
    <w:basedOn w:val="Normal"/>
    <w:uiPriority w:val="99"/>
    <w:rsid w:val="00232E7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3">
    <w:name w:val="xl203"/>
    <w:basedOn w:val="Normal"/>
    <w:uiPriority w:val="99"/>
    <w:rsid w:val="00232E78"/>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4">
    <w:name w:val="xl204"/>
    <w:basedOn w:val="Normal"/>
    <w:uiPriority w:val="99"/>
    <w:rsid w:val="00232E78"/>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5">
    <w:name w:val="xl205"/>
    <w:basedOn w:val="Normal"/>
    <w:uiPriority w:val="99"/>
    <w:rsid w:val="00232E7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6">
    <w:name w:val="xl206"/>
    <w:basedOn w:val="Normal"/>
    <w:uiPriority w:val="99"/>
    <w:rsid w:val="00232E78"/>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7">
    <w:name w:val="xl207"/>
    <w:basedOn w:val="Normal"/>
    <w:uiPriority w:val="99"/>
    <w:rsid w:val="00232E78"/>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08">
    <w:name w:val="xl208"/>
    <w:basedOn w:val="Normal"/>
    <w:uiPriority w:val="99"/>
    <w:rsid w:val="00232E7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9">
    <w:name w:val="xl209"/>
    <w:basedOn w:val="Normal"/>
    <w:uiPriority w:val="99"/>
    <w:rsid w:val="00232E7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210">
    <w:name w:val="xl210"/>
    <w:basedOn w:val="Normal"/>
    <w:uiPriority w:val="99"/>
    <w:rsid w:val="00232E78"/>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1">
    <w:name w:val="xl211"/>
    <w:basedOn w:val="Normal"/>
    <w:uiPriority w:val="99"/>
    <w:rsid w:val="00232E78"/>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2">
    <w:name w:val="xl212"/>
    <w:basedOn w:val="Normal"/>
    <w:uiPriority w:val="99"/>
    <w:rsid w:val="00232E78"/>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3">
    <w:name w:val="xl213"/>
    <w:basedOn w:val="Normal"/>
    <w:uiPriority w:val="99"/>
    <w:rsid w:val="00232E7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14">
    <w:name w:val="xl214"/>
    <w:basedOn w:val="Normal"/>
    <w:uiPriority w:val="99"/>
    <w:rsid w:val="00232E7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15">
    <w:name w:val="xl215"/>
    <w:basedOn w:val="Normal"/>
    <w:uiPriority w:val="99"/>
    <w:rsid w:val="00232E7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16">
    <w:name w:val="xl216"/>
    <w:basedOn w:val="Normal"/>
    <w:uiPriority w:val="99"/>
    <w:rsid w:val="00232E7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17">
    <w:name w:val="xl217"/>
    <w:basedOn w:val="Normal"/>
    <w:uiPriority w:val="99"/>
    <w:rsid w:val="00232E7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18">
    <w:name w:val="xl218"/>
    <w:basedOn w:val="Normal"/>
    <w:uiPriority w:val="99"/>
    <w:rsid w:val="00232E7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19">
    <w:name w:val="xl219"/>
    <w:basedOn w:val="Normal"/>
    <w:uiPriority w:val="99"/>
    <w:rsid w:val="00232E7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20">
    <w:name w:val="xl220"/>
    <w:basedOn w:val="Normal"/>
    <w:uiPriority w:val="99"/>
    <w:rsid w:val="00232E7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21">
    <w:name w:val="xl221"/>
    <w:basedOn w:val="Normal"/>
    <w:uiPriority w:val="99"/>
    <w:rsid w:val="00232E78"/>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22">
    <w:name w:val="xl222"/>
    <w:basedOn w:val="Normal"/>
    <w:uiPriority w:val="99"/>
    <w:rsid w:val="00232E78"/>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23">
    <w:name w:val="xl223"/>
    <w:basedOn w:val="Normal"/>
    <w:uiPriority w:val="99"/>
    <w:rsid w:val="00232E7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24">
    <w:name w:val="xl224"/>
    <w:basedOn w:val="Normal"/>
    <w:uiPriority w:val="99"/>
    <w:rsid w:val="00232E7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25">
    <w:name w:val="xl225"/>
    <w:basedOn w:val="Normal"/>
    <w:uiPriority w:val="99"/>
    <w:rsid w:val="00232E7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377">
    <w:name w:val="xl2377"/>
    <w:basedOn w:val="Normal"/>
    <w:uiPriority w:val="99"/>
    <w:rsid w:val="00232E7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78">
    <w:name w:val="xl2378"/>
    <w:basedOn w:val="Normal"/>
    <w:uiPriority w:val="99"/>
    <w:rsid w:val="00232E7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79">
    <w:name w:val="xl2379"/>
    <w:basedOn w:val="Normal"/>
    <w:uiPriority w:val="99"/>
    <w:rsid w:val="00232E78"/>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80">
    <w:name w:val="xl2380"/>
    <w:basedOn w:val="Normal"/>
    <w:uiPriority w:val="99"/>
    <w:rsid w:val="00232E7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1">
    <w:name w:val="xl2381"/>
    <w:basedOn w:val="Normal"/>
    <w:uiPriority w:val="99"/>
    <w:rsid w:val="00232E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2">
    <w:name w:val="xl2382"/>
    <w:basedOn w:val="Normal"/>
    <w:uiPriority w:val="99"/>
    <w:rsid w:val="00232E7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83">
    <w:name w:val="xl2383"/>
    <w:basedOn w:val="Normal"/>
    <w:uiPriority w:val="99"/>
    <w:rsid w:val="00232E7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84">
    <w:name w:val="xl2384"/>
    <w:basedOn w:val="Normal"/>
    <w:uiPriority w:val="99"/>
    <w:rsid w:val="00232E7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85">
    <w:name w:val="xl2385"/>
    <w:basedOn w:val="Normal"/>
    <w:uiPriority w:val="99"/>
    <w:rsid w:val="00232E7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86">
    <w:name w:val="xl2386"/>
    <w:basedOn w:val="Normal"/>
    <w:uiPriority w:val="99"/>
    <w:rsid w:val="00232E7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7">
    <w:name w:val="xl2387"/>
    <w:basedOn w:val="Normal"/>
    <w:uiPriority w:val="99"/>
    <w:rsid w:val="00232E7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8">
    <w:name w:val="xl2388"/>
    <w:basedOn w:val="Normal"/>
    <w:uiPriority w:val="99"/>
    <w:rsid w:val="00232E7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389">
    <w:name w:val="xl2389"/>
    <w:basedOn w:val="Normal"/>
    <w:uiPriority w:val="99"/>
    <w:rsid w:val="00232E7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90">
    <w:name w:val="xl2390"/>
    <w:basedOn w:val="Normal"/>
    <w:uiPriority w:val="99"/>
    <w:rsid w:val="00232E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91">
    <w:name w:val="xl2391"/>
    <w:basedOn w:val="Normal"/>
    <w:uiPriority w:val="99"/>
    <w:rsid w:val="00232E7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392">
    <w:name w:val="xl2392"/>
    <w:basedOn w:val="Normal"/>
    <w:uiPriority w:val="99"/>
    <w:rsid w:val="00232E78"/>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3">
    <w:name w:val="xl2393"/>
    <w:basedOn w:val="Normal"/>
    <w:uiPriority w:val="99"/>
    <w:rsid w:val="00232E7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4">
    <w:name w:val="xl2394"/>
    <w:basedOn w:val="Normal"/>
    <w:uiPriority w:val="99"/>
    <w:rsid w:val="00232E78"/>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5">
    <w:name w:val="xl2395"/>
    <w:basedOn w:val="Normal"/>
    <w:uiPriority w:val="99"/>
    <w:rsid w:val="00232E7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6">
    <w:name w:val="xl2396"/>
    <w:basedOn w:val="Normal"/>
    <w:uiPriority w:val="99"/>
    <w:rsid w:val="00232E78"/>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97">
    <w:name w:val="xl2397"/>
    <w:basedOn w:val="Normal"/>
    <w:uiPriority w:val="99"/>
    <w:rsid w:val="00232E7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98">
    <w:name w:val="xl2398"/>
    <w:basedOn w:val="Normal"/>
    <w:uiPriority w:val="99"/>
    <w:rsid w:val="00232E7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99">
    <w:name w:val="xl2399"/>
    <w:basedOn w:val="Normal"/>
    <w:uiPriority w:val="99"/>
    <w:rsid w:val="00232E78"/>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0">
    <w:name w:val="xl2400"/>
    <w:basedOn w:val="Normal"/>
    <w:uiPriority w:val="99"/>
    <w:rsid w:val="00232E78"/>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01">
    <w:name w:val="xl2401"/>
    <w:basedOn w:val="Normal"/>
    <w:uiPriority w:val="99"/>
    <w:rsid w:val="00232E78"/>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2">
    <w:name w:val="xl2402"/>
    <w:basedOn w:val="Normal"/>
    <w:uiPriority w:val="99"/>
    <w:rsid w:val="00232E7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3">
    <w:name w:val="xl2403"/>
    <w:basedOn w:val="Normal"/>
    <w:uiPriority w:val="99"/>
    <w:rsid w:val="00232E78"/>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4">
    <w:name w:val="xl2404"/>
    <w:basedOn w:val="Normal"/>
    <w:rsid w:val="00232E78"/>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5">
    <w:name w:val="xl2405"/>
    <w:basedOn w:val="Normal"/>
    <w:rsid w:val="00232E7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06">
    <w:name w:val="xl2406"/>
    <w:basedOn w:val="Normal"/>
    <w:rsid w:val="00232E78"/>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7">
    <w:name w:val="xl2407"/>
    <w:basedOn w:val="Normal"/>
    <w:rsid w:val="00232E78"/>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8">
    <w:name w:val="xl2408"/>
    <w:basedOn w:val="Normal"/>
    <w:rsid w:val="00232E78"/>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409">
    <w:name w:val="xl2409"/>
    <w:basedOn w:val="Normal"/>
    <w:rsid w:val="00232E78"/>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10">
    <w:name w:val="xl2410"/>
    <w:basedOn w:val="Normal"/>
    <w:rsid w:val="00232E78"/>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1">
    <w:name w:val="xl2411"/>
    <w:basedOn w:val="Normal"/>
    <w:rsid w:val="00232E78"/>
    <w:pPr>
      <w:pBdr>
        <w:top w:val="single" w:sz="4" w:space="0" w:color="auto"/>
        <w:left w:val="single" w:sz="4" w:space="0" w:color="auto"/>
        <w:bottom w:val="double" w:sz="6"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12">
    <w:name w:val="xl2412"/>
    <w:basedOn w:val="Normal"/>
    <w:rsid w:val="00232E78"/>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3">
    <w:name w:val="xl2413"/>
    <w:basedOn w:val="Normal"/>
    <w:rsid w:val="00232E78"/>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4">
    <w:name w:val="xl2414"/>
    <w:basedOn w:val="Normal"/>
    <w:rsid w:val="00232E78"/>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5">
    <w:name w:val="xl2415"/>
    <w:basedOn w:val="Normal"/>
    <w:rsid w:val="00232E78"/>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6">
    <w:name w:val="xl2416"/>
    <w:basedOn w:val="Normal"/>
    <w:rsid w:val="00232E78"/>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7">
    <w:name w:val="xl2417"/>
    <w:basedOn w:val="Normal"/>
    <w:rsid w:val="00232E7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418">
    <w:name w:val="xl2418"/>
    <w:basedOn w:val="Normal"/>
    <w:rsid w:val="00232E78"/>
    <w:pPr>
      <w:pBdr>
        <w:top w:val="single" w:sz="4" w:space="0" w:color="auto"/>
        <w:left w:val="single" w:sz="4" w:space="0" w:color="auto"/>
        <w:bottom w:val="double" w:sz="6" w:space="0" w:color="auto"/>
      </w:pBdr>
      <w:shd w:val="clear" w:color="auto" w:fill="80808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9">
    <w:name w:val="xl2419"/>
    <w:basedOn w:val="Normal"/>
    <w:rsid w:val="00232E78"/>
    <w:pPr>
      <w:pBdr>
        <w:top w:val="single" w:sz="4" w:space="0" w:color="auto"/>
        <w:left w:val="single" w:sz="4" w:space="0" w:color="auto"/>
        <w:bottom w:val="double" w:sz="6" w:space="0" w:color="auto"/>
        <w:right w:val="single" w:sz="4" w:space="0" w:color="auto"/>
      </w:pBdr>
      <w:shd w:val="clear" w:color="auto" w:fill="80808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20">
    <w:name w:val="xl2420"/>
    <w:basedOn w:val="Normal"/>
    <w:rsid w:val="00232E78"/>
    <w:pPr>
      <w:pBdr>
        <w:top w:val="single" w:sz="4" w:space="0" w:color="auto"/>
        <w:left w:val="single" w:sz="4" w:space="0" w:color="auto"/>
        <w:bottom w:val="double" w:sz="6" w:space="0" w:color="auto"/>
        <w:right w:val="single" w:sz="4" w:space="0" w:color="auto"/>
      </w:pBdr>
      <w:shd w:val="clear" w:color="auto" w:fill="80808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21">
    <w:name w:val="xl2421"/>
    <w:basedOn w:val="Normal"/>
    <w:rsid w:val="00232E7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2">
    <w:name w:val="xl2422"/>
    <w:basedOn w:val="Normal"/>
    <w:rsid w:val="00232E7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3">
    <w:name w:val="xl2423"/>
    <w:basedOn w:val="Normal"/>
    <w:rsid w:val="00232E7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4">
    <w:name w:val="xl2424"/>
    <w:basedOn w:val="Normal"/>
    <w:rsid w:val="00232E7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8"/>
      <w:szCs w:val="18"/>
      <w:lang w:eastAsia="zh-CN"/>
    </w:rPr>
  </w:style>
  <w:style w:type="paragraph" w:customStyle="1" w:styleId="xl2425">
    <w:name w:val="xl2425"/>
    <w:basedOn w:val="Normal"/>
    <w:rsid w:val="00232E7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6">
    <w:name w:val="xl2426"/>
    <w:basedOn w:val="Normal"/>
    <w:rsid w:val="00232E7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7">
    <w:name w:val="xl2427"/>
    <w:basedOn w:val="Normal"/>
    <w:rsid w:val="00232E78"/>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8"/>
      <w:szCs w:val="18"/>
      <w:lang w:eastAsia="zh-CN"/>
    </w:rPr>
  </w:style>
  <w:style w:type="paragraph" w:customStyle="1" w:styleId="xl2428">
    <w:name w:val="xl2428"/>
    <w:basedOn w:val="Normal"/>
    <w:rsid w:val="00232E7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29">
    <w:name w:val="xl2429"/>
    <w:basedOn w:val="Normal"/>
    <w:rsid w:val="00232E7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30">
    <w:name w:val="xl2430"/>
    <w:basedOn w:val="Normal"/>
    <w:rsid w:val="00232E7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8"/>
      <w:szCs w:val="18"/>
      <w:lang w:eastAsia="zh-CN"/>
    </w:rPr>
  </w:style>
  <w:style w:type="paragraph" w:customStyle="1" w:styleId="Pa0">
    <w:name w:val="Pa0"/>
    <w:basedOn w:val="Default"/>
    <w:next w:val="Default"/>
    <w:uiPriority w:val="99"/>
    <w:rsid w:val="00232E78"/>
    <w:pPr>
      <w:spacing w:line="191" w:lineRule="atLeast"/>
    </w:pPr>
    <w:rPr>
      <w:rFonts w:ascii="Calibri Light" w:hAnsi="Calibri Light" w:cs="Times New Roman"/>
      <w:color w:val="auto"/>
      <w:lang w:val="en-GB"/>
    </w:rPr>
  </w:style>
  <w:style w:type="paragraph" w:customStyle="1" w:styleId="xl2431">
    <w:name w:val="xl2431"/>
    <w:basedOn w:val="Normal"/>
    <w:rsid w:val="00232E7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32">
    <w:name w:val="xl2432"/>
    <w:basedOn w:val="Normal"/>
    <w:rsid w:val="00232E78"/>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3">
    <w:name w:val="xl2433"/>
    <w:basedOn w:val="Normal"/>
    <w:rsid w:val="00232E7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4">
    <w:name w:val="xl2434"/>
    <w:basedOn w:val="Normal"/>
    <w:rsid w:val="00232E78"/>
    <w:pPr>
      <w:pBdr>
        <w:top w:val="single" w:sz="4" w:space="0" w:color="auto"/>
        <w:left w:val="single" w:sz="4" w:space="0" w:color="auto"/>
        <w:bottom w:val="single" w:sz="4" w:space="0" w:color="auto"/>
        <w:right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35">
    <w:name w:val="xl2435"/>
    <w:basedOn w:val="Normal"/>
    <w:rsid w:val="00232E78"/>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36">
    <w:name w:val="xl2436"/>
    <w:basedOn w:val="Normal"/>
    <w:rsid w:val="00232E78"/>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7">
    <w:name w:val="xl2437"/>
    <w:basedOn w:val="Normal"/>
    <w:rsid w:val="00232E7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38">
    <w:name w:val="xl2438"/>
    <w:basedOn w:val="Normal"/>
    <w:rsid w:val="00232E78"/>
    <w:pPr>
      <w:pBdr>
        <w:top w:val="single" w:sz="4" w:space="0" w:color="auto"/>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9">
    <w:name w:val="xl2439"/>
    <w:basedOn w:val="Normal"/>
    <w:rsid w:val="00232E7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0">
    <w:name w:val="xl2440"/>
    <w:basedOn w:val="Normal"/>
    <w:rsid w:val="00232E7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1">
    <w:name w:val="xl2441"/>
    <w:basedOn w:val="Normal"/>
    <w:rsid w:val="00232E78"/>
    <w:pPr>
      <w:pBdr>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2">
    <w:name w:val="xl2442"/>
    <w:basedOn w:val="Normal"/>
    <w:rsid w:val="00232E7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3">
    <w:name w:val="xl2443"/>
    <w:basedOn w:val="Normal"/>
    <w:rsid w:val="00232E78"/>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4">
    <w:name w:val="xl2444"/>
    <w:basedOn w:val="Normal"/>
    <w:rsid w:val="00232E78"/>
    <w:pPr>
      <w:pBdr>
        <w:top w:val="single" w:sz="4" w:space="0" w:color="auto"/>
        <w:left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5">
    <w:name w:val="xl2445"/>
    <w:basedOn w:val="Normal"/>
    <w:rsid w:val="00232E78"/>
    <w:pPr>
      <w:pBdr>
        <w:top w:val="single" w:sz="4"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6">
    <w:name w:val="xl2446"/>
    <w:basedOn w:val="Normal"/>
    <w:rsid w:val="00232E7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47">
    <w:name w:val="xl2447"/>
    <w:basedOn w:val="Normal"/>
    <w:rsid w:val="00232E78"/>
    <w:pPr>
      <w:pBdr>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48">
    <w:name w:val="xl2448"/>
    <w:basedOn w:val="Normal"/>
    <w:rsid w:val="00232E78"/>
    <w:pPr>
      <w:pBdr>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49">
    <w:name w:val="xl2449"/>
    <w:basedOn w:val="Normal"/>
    <w:rsid w:val="00232E78"/>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50">
    <w:name w:val="xl2450"/>
    <w:basedOn w:val="Normal"/>
    <w:rsid w:val="00232E78"/>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51">
    <w:name w:val="xl2451"/>
    <w:basedOn w:val="Normal"/>
    <w:rsid w:val="00232E78"/>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52">
    <w:name w:val="xl2452"/>
    <w:basedOn w:val="Normal"/>
    <w:rsid w:val="00232E78"/>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53">
    <w:name w:val="xl2453"/>
    <w:basedOn w:val="Normal"/>
    <w:rsid w:val="00232E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54">
    <w:name w:val="xl2454"/>
    <w:basedOn w:val="Normal"/>
    <w:rsid w:val="00232E7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55">
    <w:name w:val="xl2455"/>
    <w:basedOn w:val="Normal"/>
    <w:rsid w:val="00232E78"/>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56">
    <w:name w:val="xl2456"/>
    <w:basedOn w:val="Normal"/>
    <w:rsid w:val="00232E7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57">
    <w:name w:val="xl2457"/>
    <w:basedOn w:val="Normal"/>
    <w:rsid w:val="00232E78"/>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58">
    <w:name w:val="xl2458"/>
    <w:basedOn w:val="Normal"/>
    <w:rsid w:val="00232E78"/>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59">
    <w:name w:val="xl2459"/>
    <w:basedOn w:val="Normal"/>
    <w:rsid w:val="00232E78"/>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60">
    <w:name w:val="xl2460"/>
    <w:basedOn w:val="Normal"/>
    <w:rsid w:val="00232E78"/>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1">
    <w:name w:val="xl2461"/>
    <w:basedOn w:val="Normal"/>
    <w:rsid w:val="00232E78"/>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62">
    <w:name w:val="xl2462"/>
    <w:basedOn w:val="Normal"/>
    <w:rsid w:val="00232E7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63">
    <w:name w:val="xl2463"/>
    <w:basedOn w:val="Normal"/>
    <w:rsid w:val="00232E78"/>
    <w:pPr>
      <w:pBdr>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64">
    <w:name w:val="xl2464"/>
    <w:basedOn w:val="Normal"/>
    <w:rsid w:val="00232E78"/>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65">
    <w:name w:val="xl2465"/>
    <w:basedOn w:val="Normal"/>
    <w:rsid w:val="00232E78"/>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6">
    <w:name w:val="xl2466"/>
    <w:basedOn w:val="Normal"/>
    <w:rsid w:val="00232E78"/>
    <w:pPr>
      <w:pBdr>
        <w:top w:val="single" w:sz="8"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67">
    <w:name w:val="xl2467"/>
    <w:basedOn w:val="Normal"/>
    <w:rsid w:val="00232E78"/>
    <w:pPr>
      <w:pBdr>
        <w:top w:val="single" w:sz="8"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68">
    <w:name w:val="xl2468"/>
    <w:basedOn w:val="Normal"/>
    <w:rsid w:val="00232E78"/>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9">
    <w:name w:val="xl2469"/>
    <w:basedOn w:val="Normal"/>
    <w:rsid w:val="00232E78"/>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0">
    <w:name w:val="xl2470"/>
    <w:basedOn w:val="Normal"/>
    <w:rsid w:val="00232E78"/>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71">
    <w:name w:val="xl2471"/>
    <w:basedOn w:val="Normal"/>
    <w:rsid w:val="00232E78"/>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72">
    <w:name w:val="xl2472"/>
    <w:basedOn w:val="Normal"/>
    <w:rsid w:val="00232E78"/>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3">
    <w:name w:val="xl2473"/>
    <w:basedOn w:val="Normal"/>
    <w:rsid w:val="00232E78"/>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74">
    <w:name w:val="xl2474"/>
    <w:basedOn w:val="Normal"/>
    <w:rsid w:val="00232E78"/>
    <w:pPr>
      <w:pBdr>
        <w:top w:val="single" w:sz="8"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75">
    <w:name w:val="xl2475"/>
    <w:basedOn w:val="Normal"/>
    <w:rsid w:val="00232E78"/>
    <w:pPr>
      <w:pBdr>
        <w:top w:val="double" w:sz="6" w:space="0" w:color="auto"/>
        <w:left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6">
    <w:name w:val="xl2476"/>
    <w:basedOn w:val="Normal"/>
    <w:rsid w:val="00232E78"/>
    <w:pPr>
      <w:pBdr>
        <w:top w:val="double" w:sz="6"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7">
    <w:name w:val="xl2477"/>
    <w:basedOn w:val="Normal"/>
    <w:rsid w:val="00232E78"/>
    <w:pPr>
      <w:pBdr>
        <w:top w:val="double" w:sz="6"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78">
    <w:name w:val="xl2478"/>
    <w:basedOn w:val="Normal"/>
    <w:rsid w:val="00232E78"/>
    <w:pPr>
      <w:pBdr>
        <w:top w:val="single" w:sz="4" w:space="0" w:color="auto"/>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79">
    <w:name w:val="xl2479"/>
    <w:basedOn w:val="Normal"/>
    <w:rsid w:val="00232E78"/>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80">
    <w:name w:val="xl2480"/>
    <w:basedOn w:val="Normal"/>
    <w:rsid w:val="00232E78"/>
    <w:pPr>
      <w:pBdr>
        <w:top w:val="single" w:sz="8"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81">
    <w:name w:val="xl2481"/>
    <w:basedOn w:val="Normal"/>
    <w:rsid w:val="00232E7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2">
    <w:name w:val="xl2482"/>
    <w:basedOn w:val="Normal"/>
    <w:rsid w:val="00232E78"/>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3">
    <w:name w:val="xl2483"/>
    <w:basedOn w:val="Normal"/>
    <w:rsid w:val="00232E78"/>
    <w:pPr>
      <w:pBdr>
        <w:left w:val="single" w:sz="8"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4">
    <w:name w:val="xl2484"/>
    <w:basedOn w:val="Normal"/>
    <w:rsid w:val="00232E78"/>
    <w:pPr>
      <w:pBdr>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5">
    <w:name w:val="xl2485"/>
    <w:basedOn w:val="Normal"/>
    <w:rsid w:val="00232E78"/>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6">
    <w:name w:val="xl2486"/>
    <w:basedOn w:val="Normal"/>
    <w:rsid w:val="00232E78"/>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7">
    <w:name w:val="xl2487"/>
    <w:basedOn w:val="Normal"/>
    <w:rsid w:val="00232E78"/>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8">
    <w:name w:val="xl2488"/>
    <w:basedOn w:val="Normal"/>
    <w:rsid w:val="00232E78"/>
    <w:pPr>
      <w:pBdr>
        <w:left w:val="single" w:sz="8"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9">
    <w:name w:val="xl2489"/>
    <w:basedOn w:val="Normal"/>
    <w:rsid w:val="00232E78"/>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90">
    <w:name w:val="xl2490"/>
    <w:basedOn w:val="Normal"/>
    <w:rsid w:val="00232E78"/>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91">
    <w:name w:val="xl2491"/>
    <w:basedOn w:val="Normal"/>
    <w:rsid w:val="00232E78"/>
    <w:pPr>
      <w:pBdr>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character" w:styleId="PlaceholderText">
    <w:name w:val="Placeholder Text"/>
    <w:basedOn w:val="DefaultParagraphFont"/>
    <w:uiPriority w:val="99"/>
    <w:semiHidden/>
    <w:rsid w:val="00232E78"/>
    <w:rPr>
      <w:color w:val="808080"/>
    </w:rPr>
  </w:style>
  <w:style w:type="character" w:customStyle="1" w:styleId="lang-en">
    <w:name w:val="lang-en"/>
    <w:basedOn w:val="DefaultParagraphFont"/>
    <w:rsid w:val="00232E78"/>
  </w:style>
  <w:style w:type="character" w:customStyle="1" w:styleId="shorttext">
    <w:name w:val="short_text"/>
    <w:basedOn w:val="DefaultParagraphFont"/>
    <w:rsid w:val="00232E78"/>
  </w:style>
  <w:style w:type="character" w:customStyle="1" w:styleId="labellist">
    <w:name w:val="label_list"/>
    <w:basedOn w:val="DefaultParagraphFont"/>
    <w:rsid w:val="00232E78"/>
  </w:style>
  <w:style w:type="character" w:customStyle="1" w:styleId="Appdef">
    <w:name w:val="App_def"/>
    <w:basedOn w:val="DefaultParagraphFont"/>
    <w:rsid w:val="00232E78"/>
    <w:rPr>
      <w:rFonts w:ascii="Times New Roman" w:hAnsi="Times New Roman" w:cs="Times New Roman" w:hint="default"/>
      <w:b/>
      <w:bCs w:val="0"/>
    </w:rPr>
  </w:style>
  <w:style w:type="character" w:customStyle="1" w:styleId="Appref">
    <w:name w:val="App_ref"/>
    <w:basedOn w:val="DefaultParagraphFont"/>
    <w:rsid w:val="00232E78"/>
  </w:style>
  <w:style w:type="character" w:customStyle="1" w:styleId="Artdef">
    <w:name w:val="Art_def"/>
    <w:basedOn w:val="DefaultParagraphFont"/>
    <w:rsid w:val="00232E78"/>
    <w:rPr>
      <w:rFonts w:ascii="Times New Roman" w:hAnsi="Times New Roman" w:cs="Times New Roman" w:hint="default"/>
      <w:b/>
      <w:bCs w:val="0"/>
    </w:rPr>
  </w:style>
  <w:style w:type="character" w:customStyle="1" w:styleId="Artref">
    <w:name w:val="Art_ref"/>
    <w:basedOn w:val="DefaultParagraphFont"/>
    <w:rsid w:val="00232E78"/>
  </w:style>
  <w:style w:type="character" w:customStyle="1" w:styleId="Recdef">
    <w:name w:val="Rec_def"/>
    <w:basedOn w:val="DefaultParagraphFont"/>
    <w:rsid w:val="00232E78"/>
    <w:rPr>
      <w:b/>
      <w:bCs w:val="0"/>
    </w:rPr>
  </w:style>
  <w:style w:type="character" w:customStyle="1" w:styleId="Resdef">
    <w:name w:val="Res_def"/>
    <w:basedOn w:val="DefaultParagraphFont"/>
    <w:rsid w:val="00232E78"/>
    <w:rPr>
      <w:rFonts w:ascii="Times New Roman" w:hAnsi="Times New Roman" w:cs="Times New Roman" w:hint="default"/>
      <w:b/>
      <w:bCs w:val="0"/>
    </w:rPr>
  </w:style>
  <w:style w:type="character" w:customStyle="1" w:styleId="Tablefreq">
    <w:name w:val="Table_freq"/>
    <w:basedOn w:val="DefaultParagraphFont"/>
    <w:rsid w:val="00232E78"/>
    <w:rPr>
      <w:b/>
      <w:bCs w:val="0"/>
      <w:color w:val="auto"/>
    </w:rPr>
  </w:style>
  <w:style w:type="character" w:customStyle="1" w:styleId="HTMLMarkup">
    <w:name w:val="HTML Markup"/>
    <w:rsid w:val="00232E78"/>
    <w:rPr>
      <w:vanish/>
      <w:webHidden w:val="0"/>
      <w:color w:val="FF0000"/>
      <w:specVanish w:val="0"/>
    </w:rPr>
  </w:style>
  <w:style w:type="character" w:customStyle="1" w:styleId="Definition">
    <w:name w:val="Definition"/>
    <w:rsid w:val="00232E78"/>
    <w:rPr>
      <w:i/>
      <w:iCs w:val="0"/>
    </w:rPr>
  </w:style>
  <w:style w:type="character" w:customStyle="1" w:styleId="CITE">
    <w:name w:val="CITE"/>
    <w:rsid w:val="00232E78"/>
    <w:rPr>
      <w:i/>
      <w:iCs w:val="0"/>
    </w:rPr>
  </w:style>
  <w:style w:type="character" w:customStyle="1" w:styleId="CODE">
    <w:name w:val="CODE"/>
    <w:rsid w:val="00232E78"/>
    <w:rPr>
      <w:rFonts w:ascii="Courier New" w:hAnsi="Courier New" w:cs="Courier New" w:hint="default"/>
      <w:sz w:val="20"/>
    </w:rPr>
  </w:style>
  <w:style w:type="character" w:customStyle="1" w:styleId="Keyboard">
    <w:name w:val="Keyboard"/>
    <w:rsid w:val="00232E78"/>
    <w:rPr>
      <w:rFonts w:ascii="Courier New" w:hAnsi="Courier New" w:cs="Courier New" w:hint="default"/>
      <w:b/>
      <w:bCs w:val="0"/>
      <w:sz w:val="20"/>
    </w:rPr>
  </w:style>
  <w:style w:type="character" w:customStyle="1" w:styleId="Sample">
    <w:name w:val="Sample"/>
    <w:rsid w:val="00232E78"/>
    <w:rPr>
      <w:rFonts w:ascii="Courier New" w:hAnsi="Courier New" w:cs="Courier New" w:hint="default"/>
    </w:rPr>
  </w:style>
  <w:style w:type="character" w:customStyle="1" w:styleId="Typewriter">
    <w:name w:val="Typewriter"/>
    <w:rsid w:val="00232E78"/>
    <w:rPr>
      <w:rFonts w:ascii="Courier New" w:hAnsi="Courier New" w:cs="Courier New" w:hint="default"/>
      <w:sz w:val="20"/>
    </w:rPr>
  </w:style>
  <w:style w:type="character" w:customStyle="1" w:styleId="Variable">
    <w:name w:val="Variable"/>
    <w:rsid w:val="00232E78"/>
    <w:rPr>
      <w:i/>
      <w:iCs w:val="0"/>
    </w:rPr>
  </w:style>
  <w:style w:type="character" w:customStyle="1" w:styleId="Comment">
    <w:name w:val="Comment"/>
    <w:rsid w:val="00232E78"/>
    <w:rPr>
      <w:vanish/>
      <w:webHidden w:val="0"/>
      <w:specVanish w:val="0"/>
    </w:rPr>
  </w:style>
  <w:style w:type="character" w:customStyle="1" w:styleId="TabletitleChar">
    <w:name w:val="Table_title Char"/>
    <w:basedOn w:val="DefaultParagraphFont"/>
    <w:link w:val="Tabletitle"/>
    <w:locked/>
    <w:rsid w:val="00232E78"/>
    <w:rPr>
      <w:rFonts w:ascii="Calibri" w:hAnsi="Calibri"/>
      <w:b/>
      <w:sz w:val="24"/>
      <w:lang w:val="en-GB" w:eastAsia="en-US"/>
    </w:rPr>
  </w:style>
  <w:style w:type="table" w:customStyle="1" w:styleId="GridTable1Light-Accent51">
    <w:name w:val="Grid Table 1 Light - Accent 51"/>
    <w:basedOn w:val="TableNormal"/>
    <w:uiPriority w:val="46"/>
    <w:rsid w:val="00232E78"/>
    <w:rPr>
      <w:rFonts w:asciiTheme="minorHAnsi" w:eastAsiaTheme="minorEastAsia" w:hAnsiTheme="minorHAnsi" w:cstheme="minorBidi"/>
      <w:sz w:val="22"/>
      <w:szCs w:val="22"/>
      <w:lang w:val="en-GB"/>
    </w:rPr>
    <w:tblPr>
      <w:tblStyleRowBandSize w:val="1"/>
      <w:tblStyleColBandSize w:val="1"/>
      <w:tblInd w:w="0" w:type="nil"/>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1Light-Accent51">
    <w:name w:val="List Table 1 Light - Accent 51"/>
    <w:basedOn w:val="TableNormal"/>
    <w:uiPriority w:val="46"/>
    <w:rsid w:val="00232E78"/>
    <w:rPr>
      <w:rFonts w:asciiTheme="minorHAnsi" w:eastAsiaTheme="minorEastAsia" w:hAnsiTheme="minorHAnsi" w:cstheme="minorBidi"/>
      <w:sz w:val="22"/>
      <w:szCs w:val="22"/>
      <w:lang w:val="en-GB"/>
    </w:rPr>
    <w:tblPr>
      <w:tblStyleRowBandSize w:val="1"/>
      <w:tblStyleColBandSize w:val="1"/>
      <w:tblInd w:w="0" w:type="nil"/>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DarkList1">
    <w:name w:val="Dark List1"/>
    <w:basedOn w:val="TableNormal"/>
    <w:uiPriority w:val="70"/>
    <w:rsid w:val="00232E78"/>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11">
    <w:name w:val="Dark List11"/>
    <w:basedOn w:val="TableNormal"/>
    <w:uiPriority w:val="70"/>
    <w:rsid w:val="00232E78"/>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TableGrid6">
    <w:name w:val="Table Grid6"/>
    <w:basedOn w:val="TableNormal"/>
    <w:uiPriority w:val="59"/>
    <w:rsid w:val="00232E78"/>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232E78"/>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232E78"/>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nexB4">
    <w:name w:val="AnnexB4"/>
    <w:basedOn w:val="TableNormal"/>
    <w:uiPriority w:val="99"/>
    <w:rsid w:val="00232E78"/>
    <w:rPr>
      <w:rFonts w:ascii="Calibri" w:eastAsiaTheme="minorEastAsia" w:hAnsi="Calibri"/>
      <w:sz w:val="10"/>
    </w:rPr>
    <w:tblPr>
      <w:tblInd w:w="0" w:type="nil"/>
      <w:tblBorders>
        <w:top w:val="single" w:sz="4" w:space="0" w:color="auto"/>
        <w:left w:val="single" w:sz="4" w:space="0" w:color="auto"/>
        <w:bottom w:val="single" w:sz="4" w:space="0" w:color="auto"/>
        <w:right w:val="single" w:sz="4" w:space="0" w:color="auto"/>
        <w:insideV w:val="single" w:sz="4" w:space="0" w:color="auto"/>
      </w:tblBorders>
    </w:tblPr>
  </w:style>
  <w:style w:type="numbering" w:customStyle="1" w:styleId="Style3">
    <w:name w:val="Style3"/>
    <w:uiPriority w:val="99"/>
    <w:rsid w:val="00232E78"/>
    <w:pPr>
      <w:numPr>
        <w:numId w:val="18"/>
      </w:numPr>
    </w:pPr>
  </w:style>
  <w:style w:type="numbering" w:customStyle="1" w:styleId="Style2">
    <w:name w:val="Style2"/>
    <w:uiPriority w:val="99"/>
    <w:rsid w:val="00232E78"/>
    <w:pPr>
      <w:numPr>
        <w:numId w:val="19"/>
      </w:numPr>
    </w:pPr>
  </w:style>
  <w:style w:type="paragraph" w:customStyle="1" w:styleId="xl2492">
    <w:name w:val="xl2492"/>
    <w:basedOn w:val="Normal"/>
    <w:rsid w:val="00232E78"/>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b/>
      <w:bCs/>
      <w:color w:val="000000"/>
      <w:sz w:val="16"/>
      <w:szCs w:val="16"/>
      <w:lang w:val="en-US" w:eastAsia="zh-CN"/>
    </w:rPr>
  </w:style>
  <w:style w:type="paragraph" w:customStyle="1" w:styleId="xl2493">
    <w:name w:val="xl2493"/>
    <w:basedOn w:val="Normal"/>
    <w:rsid w:val="00232E78"/>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000000"/>
      <w:sz w:val="16"/>
      <w:szCs w:val="16"/>
      <w:lang w:val="en-US" w:eastAsia="zh-CN"/>
    </w:rPr>
  </w:style>
  <w:style w:type="paragraph" w:customStyle="1" w:styleId="xl2494">
    <w:name w:val="xl2494"/>
    <w:basedOn w:val="Normal"/>
    <w:rsid w:val="00232E78"/>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color w:val="000000"/>
      <w:sz w:val="16"/>
      <w:szCs w:val="16"/>
      <w:lang w:val="en-US" w:eastAsia="zh-CN"/>
    </w:rPr>
  </w:style>
  <w:style w:type="paragraph" w:customStyle="1" w:styleId="xl2495">
    <w:name w:val="xl2495"/>
    <w:basedOn w:val="Normal"/>
    <w:rsid w:val="00232E78"/>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000000"/>
      <w:sz w:val="16"/>
      <w:szCs w:val="16"/>
      <w:lang w:val="en-US" w:eastAsia="zh-CN"/>
    </w:rPr>
  </w:style>
  <w:style w:type="paragraph" w:customStyle="1" w:styleId="xl2496">
    <w:name w:val="xl2496"/>
    <w:basedOn w:val="Normal"/>
    <w:rsid w:val="00232E7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C00000"/>
      <w:sz w:val="16"/>
      <w:szCs w:val="16"/>
      <w:lang w:val="en-US" w:eastAsia="zh-CN"/>
    </w:rPr>
  </w:style>
  <w:style w:type="paragraph" w:customStyle="1" w:styleId="xl2497">
    <w:name w:val="xl2497"/>
    <w:basedOn w:val="Normal"/>
    <w:rsid w:val="00232E7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C00000"/>
      <w:sz w:val="16"/>
      <w:szCs w:val="16"/>
      <w:lang w:val="en-US" w:eastAsia="zh-CN"/>
    </w:rPr>
  </w:style>
  <w:style w:type="paragraph" w:customStyle="1" w:styleId="xl2498">
    <w:name w:val="xl2498"/>
    <w:basedOn w:val="Normal"/>
    <w:rsid w:val="00232E78"/>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C00000"/>
      <w:sz w:val="16"/>
      <w:szCs w:val="16"/>
      <w:lang w:val="en-US" w:eastAsia="zh-CN"/>
    </w:rPr>
  </w:style>
  <w:style w:type="paragraph" w:customStyle="1" w:styleId="xl2499">
    <w:name w:val="xl2499"/>
    <w:basedOn w:val="Normal"/>
    <w:rsid w:val="00232E78"/>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C00000"/>
      <w:sz w:val="16"/>
      <w:szCs w:val="16"/>
      <w:lang w:val="en-US" w:eastAsia="zh-CN"/>
    </w:rPr>
  </w:style>
  <w:style w:type="paragraph" w:customStyle="1" w:styleId="xl2500">
    <w:name w:val="xl2500"/>
    <w:basedOn w:val="Normal"/>
    <w:rsid w:val="00232E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C00000"/>
      <w:sz w:val="16"/>
      <w:szCs w:val="16"/>
      <w:lang w:val="en-US" w:eastAsia="zh-CN"/>
    </w:rPr>
  </w:style>
  <w:style w:type="paragraph" w:customStyle="1" w:styleId="xl2501">
    <w:name w:val="xl2501"/>
    <w:basedOn w:val="Normal"/>
    <w:rsid w:val="00232E78"/>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000000"/>
      <w:sz w:val="16"/>
      <w:szCs w:val="16"/>
      <w:lang w:val="en-US" w:eastAsia="zh-CN"/>
    </w:rPr>
  </w:style>
  <w:style w:type="paragraph" w:customStyle="1" w:styleId="xl2502">
    <w:name w:val="xl2502"/>
    <w:basedOn w:val="Normal"/>
    <w:rsid w:val="00232E7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000000"/>
      <w:sz w:val="16"/>
      <w:szCs w:val="16"/>
      <w:lang w:val="en-US" w:eastAsia="zh-CN"/>
    </w:rPr>
  </w:style>
  <w:style w:type="paragraph" w:customStyle="1" w:styleId="xl2503">
    <w:name w:val="xl2503"/>
    <w:basedOn w:val="Normal"/>
    <w:rsid w:val="00232E7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000000"/>
      <w:sz w:val="16"/>
      <w:szCs w:val="16"/>
      <w:lang w:val="en-US" w:eastAsia="zh-CN"/>
    </w:rPr>
  </w:style>
  <w:style w:type="paragraph" w:customStyle="1" w:styleId="xl2504">
    <w:name w:val="xl2504"/>
    <w:basedOn w:val="Normal"/>
    <w:rsid w:val="00232E78"/>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000000"/>
      <w:sz w:val="16"/>
      <w:szCs w:val="16"/>
      <w:lang w:val="en-US" w:eastAsia="zh-CN"/>
    </w:rPr>
  </w:style>
  <w:style w:type="paragraph" w:customStyle="1" w:styleId="xl2505">
    <w:name w:val="xl2505"/>
    <w:basedOn w:val="Normal"/>
    <w:rsid w:val="00232E78"/>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C00000"/>
      <w:sz w:val="16"/>
      <w:szCs w:val="16"/>
      <w:lang w:val="en-US" w:eastAsia="zh-CN"/>
    </w:rPr>
  </w:style>
  <w:style w:type="paragraph" w:customStyle="1" w:styleId="xl2506">
    <w:name w:val="xl2506"/>
    <w:basedOn w:val="Normal"/>
    <w:rsid w:val="00232E7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C00000"/>
      <w:sz w:val="16"/>
      <w:szCs w:val="16"/>
      <w:lang w:val="en-US" w:eastAsia="zh-CN"/>
    </w:rPr>
  </w:style>
  <w:style w:type="paragraph" w:customStyle="1" w:styleId="xl2507">
    <w:name w:val="xl2507"/>
    <w:basedOn w:val="Normal"/>
    <w:rsid w:val="00232E78"/>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000000"/>
      <w:sz w:val="16"/>
      <w:szCs w:val="16"/>
      <w:lang w:val="en-US" w:eastAsia="zh-CN"/>
    </w:rPr>
  </w:style>
  <w:style w:type="paragraph" w:customStyle="1" w:styleId="xl2508">
    <w:name w:val="xl2508"/>
    <w:basedOn w:val="Normal"/>
    <w:rsid w:val="00232E7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000000"/>
      <w:sz w:val="16"/>
      <w:szCs w:val="16"/>
      <w:lang w:val="en-US" w:eastAsia="zh-CN"/>
    </w:rPr>
  </w:style>
  <w:style w:type="paragraph" w:customStyle="1" w:styleId="xl2509">
    <w:name w:val="xl2509"/>
    <w:basedOn w:val="Normal"/>
    <w:rsid w:val="00232E7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color w:val="000000"/>
      <w:sz w:val="16"/>
      <w:szCs w:val="16"/>
      <w:lang w:val="en-US" w:eastAsia="zh-CN"/>
    </w:rPr>
  </w:style>
  <w:style w:type="paragraph" w:customStyle="1" w:styleId="xl2510">
    <w:name w:val="xl2510"/>
    <w:basedOn w:val="Normal"/>
    <w:rsid w:val="00232E78"/>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000000"/>
      <w:sz w:val="16"/>
      <w:szCs w:val="16"/>
      <w:lang w:val="en-US" w:eastAsia="zh-CN"/>
    </w:rPr>
  </w:style>
  <w:style w:type="paragraph" w:customStyle="1" w:styleId="xl2511">
    <w:name w:val="xl2511"/>
    <w:basedOn w:val="Normal"/>
    <w:rsid w:val="00232E78"/>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color w:val="000000"/>
      <w:sz w:val="16"/>
      <w:szCs w:val="16"/>
      <w:lang w:val="en-US" w:eastAsia="zh-CN"/>
    </w:rPr>
  </w:style>
  <w:style w:type="paragraph" w:customStyle="1" w:styleId="xl2512">
    <w:name w:val="xl2512"/>
    <w:basedOn w:val="Normal"/>
    <w:rsid w:val="00232E7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color w:val="000000"/>
      <w:sz w:val="16"/>
      <w:szCs w:val="16"/>
      <w:lang w:val="en-US" w:eastAsia="zh-CN"/>
    </w:rPr>
  </w:style>
  <w:style w:type="paragraph" w:customStyle="1" w:styleId="xl2513">
    <w:name w:val="xl2513"/>
    <w:basedOn w:val="Normal"/>
    <w:rsid w:val="00232E78"/>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14">
    <w:name w:val="xl2514"/>
    <w:basedOn w:val="Normal"/>
    <w:rsid w:val="00232E78"/>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color w:val="000000"/>
      <w:sz w:val="16"/>
      <w:szCs w:val="16"/>
      <w:lang w:val="en-US" w:eastAsia="zh-CN"/>
    </w:rPr>
  </w:style>
  <w:style w:type="paragraph" w:customStyle="1" w:styleId="xl2515">
    <w:name w:val="xl2515"/>
    <w:basedOn w:val="Normal"/>
    <w:rsid w:val="00232E78"/>
    <w:pPr>
      <w:pBdr>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16">
    <w:name w:val="xl2516"/>
    <w:basedOn w:val="Normal"/>
    <w:rsid w:val="00232E78"/>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17">
    <w:name w:val="xl2517"/>
    <w:basedOn w:val="Normal"/>
    <w:rsid w:val="00232E78"/>
    <w:pPr>
      <w:pBdr>
        <w:top w:val="single" w:sz="4"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18">
    <w:name w:val="xl2518"/>
    <w:basedOn w:val="Normal"/>
    <w:rsid w:val="00232E78"/>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19">
    <w:name w:val="xl2519"/>
    <w:basedOn w:val="Normal"/>
    <w:rsid w:val="00232E78"/>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20">
    <w:name w:val="xl2520"/>
    <w:basedOn w:val="Normal"/>
    <w:rsid w:val="00232E78"/>
    <w:pPr>
      <w:pBdr>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b/>
      <w:bCs/>
      <w:color w:val="000000"/>
      <w:sz w:val="16"/>
      <w:szCs w:val="16"/>
      <w:lang w:val="en-US" w:eastAsia="zh-CN"/>
    </w:rPr>
  </w:style>
  <w:style w:type="paragraph" w:customStyle="1" w:styleId="xl2521">
    <w:name w:val="xl2521"/>
    <w:basedOn w:val="Normal"/>
    <w:rsid w:val="00232E7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b/>
      <w:bCs/>
      <w:color w:val="000000"/>
      <w:sz w:val="16"/>
      <w:szCs w:val="16"/>
      <w:lang w:val="en-US" w:eastAsia="zh-CN"/>
    </w:rPr>
  </w:style>
  <w:style w:type="paragraph" w:customStyle="1" w:styleId="xl2522">
    <w:name w:val="xl2522"/>
    <w:basedOn w:val="Normal"/>
    <w:rsid w:val="00232E78"/>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color w:val="000000"/>
      <w:sz w:val="16"/>
      <w:szCs w:val="16"/>
      <w:lang w:val="en-US" w:eastAsia="zh-CN"/>
    </w:rPr>
  </w:style>
  <w:style w:type="paragraph" w:customStyle="1" w:styleId="xl2523">
    <w:name w:val="xl2523"/>
    <w:basedOn w:val="Normal"/>
    <w:rsid w:val="00232E78"/>
    <w:pPr>
      <w:pBdr>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color w:val="000000"/>
      <w:sz w:val="16"/>
      <w:szCs w:val="16"/>
      <w:lang w:val="en-US" w:eastAsia="zh-CN"/>
    </w:rPr>
  </w:style>
  <w:style w:type="paragraph" w:customStyle="1" w:styleId="xl2524">
    <w:name w:val="xl2524"/>
    <w:basedOn w:val="Normal"/>
    <w:rsid w:val="00232E78"/>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numbering" w:customStyle="1" w:styleId="NoList11">
    <w:name w:val="No List11"/>
    <w:next w:val="NoList"/>
    <w:uiPriority w:val="99"/>
    <w:semiHidden/>
    <w:unhideWhenUsed/>
    <w:rsid w:val="00232E78"/>
  </w:style>
  <w:style w:type="table" w:customStyle="1" w:styleId="TableGrid8">
    <w:name w:val="Table Grid8"/>
    <w:basedOn w:val="TableNormal"/>
    <w:next w:val="TableGrid"/>
    <w:rsid w:val="00232E7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Text1">
    <w:name w:val="Endnote Text1"/>
    <w:basedOn w:val="Normal"/>
    <w:next w:val="EndnoteText"/>
    <w:uiPriority w:val="99"/>
    <w:semiHidden/>
    <w:unhideWhenUsed/>
    <w:rsid w:val="00232E78"/>
    <w:pPr>
      <w:jc w:val="both"/>
      <w:textAlignment w:val="auto"/>
    </w:pPr>
    <w:rPr>
      <w:rFonts w:ascii="Times New Roman" w:hAnsi="Times New Roman" w:cs="Arial"/>
      <w:sz w:val="22"/>
      <w:szCs w:val="22"/>
    </w:rPr>
  </w:style>
  <w:style w:type="paragraph" w:customStyle="1" w:styleId="BodyText1">
    <w:name w:val="Body Text1"/>
    <w:basedOn w:val="Normal"/>
    <w:next w:val="BodyText"/>
    <w:uiPriority w:val="99"/>
    <w:semiHidden/>
    <w:unhideWhenUsed/>
    <w:rsid w:val="00232E78"/>
    <w:pPr>
      <w:widowControl w:val="0"/>
      <w:tabs>
        <w:tab w:val="clear" w:pos="794"/>
        <w:tab w:val="clear" w:pos="1191"/>
        <w:tab w:val="clear" w:pos="1588"/>
        <w:tab w:val="clear" w:pos="1985"/>
      </w:tabs>
      <w:kinsoku w:val="0"/>
      <w:overflowPunct/>
      <w:autoSpaceDE/>
      <w:autoSpaceDN/>
      <w:adjustRightInd/>
      <w:spacing w:before="0" w:after="120"/>
      <w:textAlignment w:val="auto"/>
    </w:pPr>
    <w:rPr>
      <w:rFonts w:ascii="Times New Roman" w:hAnsi="Times New Roman" w:cs="Arial"/>
      <w:szCs w:val="24"/>
      <w:lang w:val="en-US" w:eastAsia="zh-CN"/>
    </w:rPr>
  </w:style>
  <w:style w:type="paragraph" w:customStyle="1" w:styleId="BodyTextIndent21">
    <w:name w:val="Body Text Indent 21"/>
    <w:basedOn w:val="Normal"/>
    <w:next w:val="BodyTextIndent2"/>
    <w:uiPriority w:val="99"/>
    <w:semiHidden/>
    <w:unhideWhenUsed/>
    <w:rsid w:val="00232E78"/>
    <w:pPr>
      <w:widowControl w:val="0"/>
      <w:tabs>
        <w:tab w:val="clear" w:pos="794"/>
        <w:tab w:val="clear" w:pos="1191"/>
        <w:tab w:val="clear" w:pos="1588"/>
        <w:tab w:val="clear" w:pos="1985"/>
      </w:tabs>
      <w:kinsoku w:val="0"/>
      <w:overflowPunct/>
      <w:autoSpaceDE/>
      <w:autoSpaceDN/>
      <w:adjustRightInd/>
      <w:spacing w:before="0" w:after="120" w:line="480" w:lineRule="auto"/>
      <w:ind w:left="283"/>
      <w:textAlignment w:val="auto"/>
    </w:pPr>
    <w:rPr>
      <w:rFonts w:ascii="Times New Roman" w:hAnsi="Times New Roman" w:cs="Arial"/>
      <w:szCs w:val="24"/>
      <w:lang w:val="en-US" w:eastAsia="zh-CN"/>
    </w:rPr>
  </w:style>
  <w:style w:type="paragraph" w:customStyle="1" w:styleId="Quote1">
    <w:name w:val="Quote1"/>
    <w:basedOn w:val="Normal"/>
    <w:next w:val="Normal"/>
    <w:uiPriority w:val="29"/>
    <w:qFormat/>
    <w:rsid w:val="00232E78"/>
    <w:pPr>
      <w:tabs>
        <w:tab w:val="clear" w:pos="794"/>
        <w:tab w:val="clear" w:pos="1191"/>
        <w:tab w:val="clear" w:pos="1588"/>
        <w:tab w:val="clear" w:pos="1985"/>
        <w:tab w:val="left" w:pos="567"/>
        <w:tab w:val="left" w:pos="1134"/>
        <w:tab w:val="left" w:pos="1701"/>
        <w:tab w:val="left" w:pos="2268"/>
        <w:tab w:val="left" w:pos="2835"/>
      </w:tabs>
      <w:spacing w:before="200" w:after="160"/>
      <w:ind w:left="864" w:right="864"/>
      <w:jc w:val="center"/>
      <w:textAlignment w:val="auto"/>
    </w:pPr>
    <w:rPr>
      <w:i/>
      <w:iCs/>
      <w:color w:val="404040"/>
    </w:rPr>
  </w:style>
  <w:style w:type="paragraph" w:customStyle="1" w:styleId="TOCHeading1">
    <w:name w:val="TOC Heading1"/>
    <w:basedOn w:val="Heading1"/>
    <w:next w:val="Normal"/>
    <w:uiPriority w:val="39"/>
    <w:semiHidden/>
    <w:unhideWhenUsed/>
    <w:qFormat/>
    <w:rsid w:val="00232E78"/>
    <w:pPr>
      <w:tabs>
        <w:tab w:val="clear" w:pos="794"/>
        <w:tab w:val="clear" w:pos="1191"/>
        <w:tab w:val="clear" w:pos="1588"/>
        <w:tab w:val="clear" w:pos="1985"/>
      </w:tabs>
      <w:overflowPunct/>
      <w:autoSpaceDE/>
      <w:autoSpaceDN/>
      <w:adjustRightInd/>
      <w:spacing w:line="276" w:lineRule="auto"/>
      <w:ind w:left="0" w:firstLine="0"/>
      <w:textAlignment w:val="auto"/>
      <w:outlineLvl w:val="9"/>
    </w:pPr>
    <w:rPr>
      <w:rFonts w:ascii="Cambria" w:hAnsi="Cambria"/>
      <w:bCs/>
      <w:color w:val="365F91"/>
      <w:szCs w:val="28"/>
      <w:lang w:val="en-US" w:eastAsia="ja-JP"/>
    </w:rPr>
  </w:style>
  <w:style w:type="table" w:customStyle="1" w:styleId="GridTable1Light-Accent511">
    <w:name w:val="Grid Table 1 Light - Accent 511"/>
    <w:basedOn w:val="TableNormal"/>
    <w:next w:val="GridTable1Light-Accent51"/>
    <w:uiPriority w:val="46"/>
    <w:rsid w:val="00232E78"/>
    <w:rPr>
      <w:rFonts w:ascii="Calibri" w:hAnsi="Calibri" w:cs="Arial"/>
      <w:sz w:val="22"/>
      <w:szCs w:val="22"/>
      <w:lang w:val="en-GB"/>
    </w:rPr>
    <w:tblPr>
      <w:tblStyleRowBandSize w:val="1"/>
      <w:tblStyleColBandSize w:val="1"/>
      <w:tblInd w:w="0" w:type="nil"/>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ListTable1Light-Accent511">
    <w:name w:val="List Table 1 Light - Accent 511"/>
    <w:basedOn w:val="TableNormal"/>
    <w:next w:val="ListTable1Light-Accent51"/>
    <w:uiPriority w:val="46"/>
    <w:rsid w:val="00232E78"/>
    <w:rPr>
      <w:rFonts w:ascii="Calibri" w:hAnsi="Calibri" w:cs="Arial"/>
      <w:sz w:val="22"/>
      <w:szCs w:val="22"/>
      <w:lang w:val="en-GB"/>
    </w:rPr>
    <w:tblPr>
      <w:tblStyleRowBandSize w:val="1"/>
      <w:tblStyleColBandSize w:val="1"/>
      <w:tblInd w:w="0" w:type="nil"/>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DarkList12">
    <w:name w:val="Dark List12"/>
    <w:basedOn w:val="TableNormal"/>
    <w:uiPriority w:val="70"/>
    <w:rsid w:val="00232E78"/>
    <w:rPr>
      <w:rFonts w:ascii="Calibri"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111">
    <w:name w:val="Dark List111"/>
    <w:basedOn w:val="TableNormal"/>
    <w:uiPriority w:val="70"/>
    <w:rsid w:val="00232E78"/>
    <w:rPr>
      <w:rFonts w:ascii="Calibri"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eGrid13">
    <w:name w:val="Table Grid13"/>
    <w:basedOn w:val="TableNormal"/>
    <w:rsid w:val="00232E78"/>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232E78"/>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59"/>
    <w:rsid w:val="00232E78"/>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59"/>
    <w:rsid w:val="00232E78"/>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59"/>
    <w:rsid w:val="00232E78"/>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nexB41">
    <w:name w:val="AnnexB41"/>
    <w:basedOn w:val="TableNormal"/>
    <w:uiPriority w:val="99"/>
    <w:rsid w:val="00232E78"/>
    <w:rPr>
      <w:rFonts w:ascii="Calibri" w:hAnsi="Calibri"/>
      <w:sz w:val="10"/>
    </w:rPr>
    <w:tblPr>
      <w:tblInd w:w="0" w:type="nil"/>
      <w:tblBorders>
        <w:top w:val="single" w:sz="4" w:space="0" w:color="auto"/>
        <w:left w:val="single" w:sz="4" w:space="0" w:color="auto"/>
        <w:bottom w:val="single" w:sz="4" w:space="0" w:color="auto"/>
        <w:right w:val="single" w:sz="4" w:space="0" w:color="auto"/>
        <w:insideV w:val="single" w:sz="4" w:space="0" w:color="auto"/>
      </w:tblBorders>
    </w:tblPr>
  </w:style>
  <w:style w:type="numbering" w:customStyle="1" w:styleId="Style11">
    <w:name w:val="Style11"/>
    <w:uiPriority w:val="99"/>
    <w:rsid w:val="00232E78"/>
  </w:style>
  <w:style w:type="numbering" w:customStyle="1" w:styleId="Style31">
    <w:name w:val="Style31"/>
    <w:uiPriority w:val="99"/>
    <w:rsid w:val="00232E78"/>
  </w:style>
  <w:style w:type="numbering" w:customStyle="1" w:styleId="Style21">
    <w:name w:val="Style21"/>
    <w:uiPriority w:val="99"/>
    <w:rsid w:val="00232E78"/>
  </w:style>
  <w:style w:type="character" w:customStyle="1" w:styleId="EndnoteTextChar1">
    <w:name w:val="Endnote Text Char1"/>
    <w:basedOn w:val="DefaultParagraphFont"/>
    <w:uiPriority w:val="99"/>
    <w:semiHidden/>
    <w:rsid w:val="00232E78"/>
    <w:rPr>
      <w:sz w:val="20"/>
      <w:szCs w:val="20"/>
    </w:rPr>
  </w:style>
  <w:style w:type="character" w:customStyle="1" w:styleId="BodyTextChar1">
    <w:name w:val="Body Text Char1"/>
    <w:basedOn w:val="DefaultParagraphFont"/>
    <w:uiPriority w:val="99"/>
    <w:semiHidden/>
    <w:rsid w:val="00232E78"/>
  </w:style>
  <w:style w:type="character" w:customStyle="1" w:styleId="BodyTextIndent2Char1">
    <w:name w:val="Body Text Indent 2 Char1"/>
    <w:basedOn w:val="DefaultParagraphFont"/>
    <w:uiPriority w:val="99"/>
    <w:semiHidden/>
    <w:rsid w:val="00232E78"/>
  </w:style>
  <w:style w:type="character" w:customStyle="1" w:styleId="QuoteChar1">
    <w:name w:val="Quote Char1"/>
    <w:basedOn w:val="DefaultParagraphFont"/>
    <w:uiPriority w:val="29"/>
    <w:rsid w:val="00232E78"/>
    <w:rPr>
      <w:i/>
      <w:iCs/>
      <w:color w:val="404040"/>
    </w:rPr>
  </w:style>
  <w:style w:type="table" w:customStyle="1" w:styleId="GridTable1Light-Accent52">
    <w:name w:val="Grid Table 1 Light - Accent 52"/>
    <w:basedOn w:val="TableNormal"/>
    <w:next w:val="GridTable1Light-Accent51"/>
    <w:uiPriority w:val="46"/>
    <w:rsid w:val="00232E78"/>
    <w:rPr>
      <w:rFonts w:ascii="Calibri" w:hAnsi="Calibri" w:cs="Arial"/>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1Light-Accent52">
    <w:name w:val="List Table 1 Light - Accent 52"/>
    <w:basedOn w:val="TableNormal"/>
    <w:next w:val="ListTable1Light-Accent51"/>
    <w:uiPriority w:val="46"/>
    <w:rsid w:val="00232E78"/>
    <w:rPr>
      <w:rFonts w:ascii="Calibri" w:hAnsi="Calibri" w:cs="Arial"/>
      <w:sz w:val="22"/>
      <w:szCs w:val="22"/>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1Light-Accent5">
    <w:name w:val="Grid Table 1 Light Accent 5"/>
    <w:basedOn w:val="TableNormal"/>
    <w:uiPriority w:val="46"/>
    <w:rsid w:val="00232E78"/>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ListTable1Light-Accent5">
    <w:name w:val="List Table 1 Light Accent 5"/>
    <w:basedOn w:val="TableNormal"/>
    <w:uiPriority w:val="46"/>
    <w:rsid w:val="00232E78"/>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9">
    <w:name w:val="Table Grid9"/>
    <w:basedOn w:val="TableNormal"/>
    <w:next w:val="TableGrid"/>
    <w:rsid w:val="00232E7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
    <w:name w:val="Grid Table 1 Light - Accent 512"/>
    <w:basedOn w:val="TableNormal"/>
    <w:uiPriority w:val="46"/>
    <w:rsid w:val="00232E78"/>
    <w:rPr>
      <w:rFonts w:ascii="Calibri" w:hAnsi="Calibri" w:cs="Arial"/>
      <w:sz w:val="22"/>
      <w:szCs w:val="22"/>
      <w:lang w:val="en-GB"/>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1Light-Accent512">
    <w:name w:val="List Table 1 Light - Accent 512"/>
    <w:basedOn w:val="TableNormal"/>
    <w:uiPriority w:val="46"/>
    <w:rsid w:val="00232E78"/>
    <w:rPr>
      <w:rFonts w:ascii="Calibri" w:hAnsi="Calibri" w:cs="Arial"/>
      <w:sz w:val="22"/>
      <w:szCs w:val="22"/>
      <w:lang w:val="en-GB"/>
    </w:rPr>
    <w:tblPr>
      <w:tblStyleRowBandSize w:val="1"/>
      <w:tblStyleColBandSize w:val="1"/>
      <w:tblInd w:w="0" w:type="nil"/>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DarkList13">
    <w:name w:val="Dark List13"/>
    <w:basedOn w:val="TableNormal"/>
    <w:uiPriority w:val="70"/>
    <w:rsid w:val="00232E78"/>
    <w:rPr>
      <w:rFonts w:ascii="Calibri"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112">
    <w:name w:val="Dark List112"/>
    <w:basedOn w:val="TableNormal"/>
    <w:uiPriority w:val="70"/>
    <w:rsid w:val="00232E78"/>
    <w:rPr>
      <w:rFonts w:ascii="Calibri"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eGrid14">
    <w:name w:val="Table Grid14"/>
    <w:basedOn w:val="TableNormal"/>
    <w:rsid w:val="00232E78"/>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232E78"/>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59"/>
    <w:rsid w:val="00232E78"/>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59"/>
    <w:rsid w:val="00232E78"/>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uiPriority w:val="59"/>
    <w:rsid w:val="00232E78"/>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nexB42">
    <w:name w:val="AnnexB42"/>
    <w:basedOn w:val="TableNormal"/>
    <w:uiPriority w:val="99"/>
    <w:rsid w:val="00232E78"/>
    <w:rPr>
      <w:rFonts w:ascii="Calibri" w:hAnsi="Calibri"/>
      <w:sz w:val="10"/>
    </w:rPr>
    <w:tblPr>
      <w:tblInd w:w="0" w:type="nil"/>
      <w:tblBorders>
        <w:top w:val="single" w:sz="4" w:space="0" w:color="auto"/>
        <w:left w:val="single" w:sz="4" w:space="0" w:color="auto"/>
        <w:bottom w:val="single" w:sz="4" w:space="0" w:color="auto"/>
        <w:right w:val="single" w:sz="4" w:space="0" w:color="auto"/>
        <w:insideV w:val="single" w:sz="4" w:space="0" w:color="auto"/>
      </w:tblBorders>
    </w:tblPr>
  </w:style>
  <w:style w:type="numbering" w:customStyle="1" w:styleId="Style12">
    <w:name w:val="Style12"/>
    <w:uiPriority w:val="99"/>
    <w:rsid w:val="00232E78"/>
  </w:style>
  <w:style w:type="numbering" w:customStyle="1" w:styleId="Style32">
    <w:name w:val="Style32"/>
    <w:uiPriority w:val="99"/>
    <w:rsid w:val="00232E78"/>
  </w:style>
  <w:style w:type="numbering" w:customStyle="1" w:styleId="Style22">
    <w:name w:val="Style22"/>
    <w:uiPriority w:val="99"/>
    <w:rsid w:val="00232E78"/>
  </w:style>
  <w:style w:type="numbering" w:customStyle="1" w:styleId="NoList12">
    <w:name w:val="No List12"/>
    <w:next w:val="NoList"/>
    <w:uiPriority w:val="99"/>
    <w:semiHidden/>
    <w:unhideWhenUsed/>
    <w:rsid w:val="00232E78"/>
  </w:style>
  <w:style w:type="numbering" w:customStyle="1" w:styleId="NoList111">
    <w:name w:val="No List111"/>
    <w:next w:val="NoList"/>
    <w:uiPriority w:val="99"/>
    <w:semiHidden/>
    <w:unhideWhenUsed/>
    <w:rsid w:val="00232E78"/>
  </w:style>
  <w:style w:type="table" w:customStyle="1" w:styleId="TableGrid81">
    <w:name w:val="Table Grid81"/>
    <w:basedOn w:val="TableNormal"/>
    <w:next w:val="TableGrid"/>
    <w:rsid w:val="00232E7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leNormal"/>
    <w:next w:val="GridTable1Light-Accent51"/>
    <w:uiPriority w:val="46"/>
    <w:rsid w:val="00232E78"/>
    <w:rPr>
      <w:rFonts w:ascii="Calibri" w:hAnsi="Calibri" w:cs="Arial"/>
      <w:sz w:val="22"/>
      <w:szCs w:val="22"/>
      <w:lang w:val="en-GB"/>
    </w:rPr>
    <w:tblPr>
      <w:tblStyleRowBandSize w:val="1"/>
      <w:tblStyleColBandSize w:val="1"/>
      <w:tblInd w:w="0" w:type="nil"/>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ListTable1Light-Accent5111">
    <w:name w:val="List Table 1 Light - Accent 5111"/>
    <w:basedOn w:val="TableNormal"/>
    <w:next w:val="ListTable1Light-Accent51"/>
    <w:uiPriority w:val="46"/>
    <w:rsid w:val="00232E78"/>
    <w:rPr>
      <w:rFonts w:ascii="Calibri" w:hAnsi="Calibri" w:cs="Arial"/>
      <w:sz w:val="22"/>
      <w:szCs w:val="22"/>
      <w:lang w:val="en-GB"/>
    </w:rPr>
    <w:tblPr>
      <w:tblStyleRowBandSize w:val="1"/>
      <w:tblStyleColBandSize w:val="1"/>
      <w:tblInd w:w="0" w:type="nil"/>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DarkList121">
    <w:name w:val="Dark List121"/>
    <w:basedOn w:val="TableNormal"/>
    <w:uiPriority w:val="70"/>
    <w:rsid w:val="00232E78"/>
    <w:rPr>
      <w:rFonts w:ascii="Calibri"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1111">
    <w:name w:val="Dark List1111"/>
    <w:basedOn w:val="TableNormal"/>
    <w:uiPriority w:val="70"/>
    <w:rsid w:val="00232E78"/>
    <w:rPr>
      <w:rFonts w:ascii="Calibri"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eGrid131">
    <w:name w:val="Table Grid131"/>
    <w:basedOn w:val="TableNormal"/>
    <w:rsid w:val="00232E78"/>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232E78"/>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uiPriority w:val="59"/>
    <w:rsid w:val="00232E78"/>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59"/>
    <w:rsid w:val="00232E78"/>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uiPriority w:val="59"/>
    <w:rsid w:val="00232E78"/>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rsid w:val="00232E78"/>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nexB411">
    <w:name w:val="AnnexB411"/>
    <w:basedOn w:val="TableNormal"/>
    <w:uiPriority w:val="99"/>
    <w:rsid w:val="00232E78"/>
    <w:rPr>
      <w:rFonts w:ascii="Calibri" w:hAnsi="Calibri"/>
      <w:sz w:val="10"/>
    </w:rPr>
    <w:tblPr>
      <w:tblInd w:w="0" w:type="nil"/>
      <w:tblBorders>
        <w:top w:val="single" w:sz="4" w:space="0" w:color="auto"/>
        <w:left w:val="single" w:sz="4" w:space="0" w:color="auto"/>
        <w:bottom w:val="single" w:sz="4" w:space="0" w:color="auto"/>
        <w:right w:val="single" w:sz="4" w:space="0" w:color="auto"/>
        <w:insideV w:val="single" w:sz="4" w:space="0" w:color="auto"/>
      </w:tblBorders>
    </w:tblPr>
  </w:style>
  <w:style w:type="numbering" w:customStyle="1" w:styleId="Style111">
    <w:name w:val="Style111"/>
    <w:uiPriority w:val="99"/>
    <w:rsid w:val="00232E78"/>
  </w:style>
  <w:style w:type="numbering" w:customStyle="1" w:styleId="Style311">
    <w:name w:val="Style311"/>
    <w:uiPriority w:val="99"/>
    <w:rsid w:val="00232E78"/>
  </w:style>
  <w:style w:type="numbering" w:customStyle="1" w:styleId="Style211">
    <w:name w:val="Style211"/>
    <w:uiPriority w:val="99"/>
    <w:rsid w:val="00232E78"/>
  </w:style>
  <w:style w:type="table" w:customStyle="1" w:styleId="GridTable1Light-Accent521">
    <w:name w:val="Grid Table 1 Light - Accent 521"/>
    <w:basedOn w:val="TableNormal"/>
    <w:next w:val="GridTable1Light-Accent51"/>
    <w:uiPriority w:val="46"/>
    <w:rsid w:val="00232E78"/>
    <w:rPr>
      <w:rFonts w:ascii="Calibri" w:hAnsi="Calibri" w:cs="Arial"/>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1Light-Accent521">
    <w:name w:val="List Table 1 Light - Accent 521"/>
    <w:basedOn w:val="TableNormal"/>
    <w:next w:val="ListTable1Light-Accent51"/>
    <w:uiPriority w:val="46"/>
    <w:rsid w:val="00232E78"/>
    <w:rPr>
      <w:rFonts w:ascii="Calibri" w:hAnsi="Calibri" w:cs="Arial"/>
      <w:sz w:val="22"/>
      <w:szCs w:val="22"/>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3">
    <w:name w:val="Grid Table 1 Light - Accent 53"/>
    <w:basedOn w:val="TableNormal"/>
    <w:next w:val="GridTable1Light-Accent5"/>
    <w:uiPriority w:val="46"/>
    <w:rsid w:val="00232E78"/>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1Light-Accent53">
    <w:name w:val="List Table 1 Light - Accent 53"/>
    <w:basedOn w:val="TableNormal"/>
    <w:next w:val="ListTable1Light-Accent5"/>
    <w:uiPriority w:val="46"/>
    <w:rsid w:val="00232E78"/>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st1">
    <w:name w:val="st1"/>
    <w:basedOn w:val="DefaultParagraphFont"/>
    <w:rsid w:val="00232E78"/>
  </w:style>
  <w:style w:type="paragraph" w:styleId="HTMLPreformatted">
    <w:name w:val="HTML Preformatted"/>
    <w:basedOn w:val="Normal"/>
    <w:link w:val="HTMLPreformattedChar"/>
    <w:uiPriority w:val="99"/>
    <w:unhideWhenUsed/>
    <w:rsid w:val="00232E78"/>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rsid w:val="00232E78"/>
    <w:rPr>
      <w:rFonts w:ascii="Courier New" w:eastAsia="Times New Roman" w:hAnsi="Courier New" w:cs="Courier New"/>
      <w:lang w:val="en-GB"/>
    </w:rPr>
  </w:style>
  <w:style w:type="numbering" w:customStyle="1" w:styleId="NoList3">
    <w:name w:val="No List3"/>
    <w:next w:val="NoList"/>
    <w:uiPriority w:val="99"/>
    <w:semiHidden/>
    <w:unhideWhenUsed/>
    <w:rsid w:val="00232E78"/>
  </w:style>
  <w:style w:type="table" w:customStyle="1" w:styleId="TableGrid10">
    <w:name w:val="Table Grid10"/>
    <w:basedOn w:val="TableNormal"/>
    <w:next w:val="TableGrid"/>
    <w:rsid w:val="00232E78"/>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32E78"/>
  </w:style>
  <w:style w:type="numbering" w:customStyle="1" w:styleId="NoList21">
    <w:name w:val="No List21"/>
    <w:next w:val="NoList"/>
    <w:uiPriority w:val="99"/>
    <w:semiHidden/>
    <w:unhideWhenUsed/>
    <w:rsid w:val="00232E78"/>
  </w:style>
  <w:style w:type="paragraph" w:customStyle="1" w:styleId="enu">
    <w:name w:val="enu"/>
    <w:basedOn w:val="Normal"/>
    <w:rsid w:val="00232E78"/>
    <w:rPr>
      <w:lang w:eastAsia="zh-CN"/>
    </w:rPr>
  </w:style>
  <w:style w:type="character" w:customStyle="1" w:styleId="bri">
    <w:name w:val="bri"/>
    <w:basedOn w:val="DefaultParagraphFont"/>
    <w:rsid w:val="00232E78"/>
  </w:style>
  <w:style w:type="paragraph" w:customStyle="1" w:styleId="headingb1">
    <w:name w:val="heading b"/>
    <w:basedOn w:val="Normal"/>
    <w:rsid w:val="00232E78"/>
    <w:rPr>
      <w:rFonts w:ascii="STKaiti" w:eastAsia="STKaiti" w:hAnsi="STKaiti"/>
      <w:b/>
      <w:bCs/>
      <w:lang w:eastAsia="zh-CN"/>
    </w:rPr>
  </w:style>
  <w:style w:type="character" w:styleId="UnresolvedMention">
    <w:name w:val="Unresolved Mention"/>
    <w:basedOn w:val="DefaultParagraphFont"/>
    <w:uiPriority w:val="99"/>
    <w:semiHidden/>
    <w:unhideWhenUsed/>
    <w:rsid w:val="00232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56618661">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600018324">
      <w:bodyDiv w:val="1"/>
      <w:marLeft w:val="0"/>
      <w:marRight w:val="0"/>
      <w:marTop w:val="0"/>
      <w:marBottom w:val="0"/>
      <w:divBdr>
        <w:top w:val="none" w:sz="0" w:space="0" w:color="auto"/>
        <w:left w:val="none" w:sz="0" w:space="0" w:color="auto"/>
        <w:bottom w:val="none" w:sz="0" w:space="0" w:color="auto"/>
        <w:right w:val="none" w:sz="0" w:space="0" w:color="auto"/>
      </w:divBdr>
    </w:div>
    <w:div w:id="1789814827">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zh/ITU-T/Pages/default.aspx" TargetMode="External"/><Relationship Id="rId117" Type="http://schemas.openxmlformats.org/officeDocument/2006/relationships/hyperlink" Target="http://www.itu.int/md/S24-CL-C-0040/en" TargetMode="External"/><Relationship Id="rId21" Type="http://schemas.openxmlformats.org/officeDocument/2006/relationships/image" Target="media/image12.emf"/><Relationship Id="rId42" Type="http://schemas.openxmlformats.org/officeDocument/2006/relationships/image" Target="media/image22.emf"/><Relationship Id="rId47" Type="http://schemas.openxmlformats.org/officeDocument/2006/relationships/hyperlink" Target="https://www.itu.int/md/S23-CL-INF-0004/en" TargetMode="External"/><Relationship Id="rId63" Type="http://schemas.openxmlformats.org/officeDocument/2006/relationships/hyperlink" Target="http://www.unjspf.org" TargetMode="External"/><Relationship Id="rId68" Type="http://schemas.openxmlformats.org/officeDocument/2006/relationships/hyperlink" Target="https://www.itu.int/md/S23-CL-INF-0012/en" TargetMode="External"/><Relationship Id="rId84" Type="http://schemas.openxmlformats.org/officeDocument/2006/relationships/image" Target="media/image54.emf"/><Relationship Id="rId89" Type="http://schemas.openxmlformats.org/officeDocument/2006/relationships/image" Target="media/image59.emf"/><Relationship Id="rId112" Type="http://schemas.openxmlformats.org/officeDocument/2006/relationships/image" Target="media/image82.emf"/><Relationship Id="rId16" Type="http://schemas.openxmlformats.org/officeDocument/2006/relationships/image" Target="media/image7.emf"/><Relationship Id="rId107" Type="http://schemas.openxmlformats.org/officeDocument/2006/relationships/image" Target="media/image77.emf"/><Relationship Id="rId11" Type="http://schemas.openxmlformats.org/officeDocument/2006/relationships/image" Target="media/image3.emf"/><Relationship Id="rId32" Type="http://schemas.openxmlformats.org/officeDocument/2006/relationships/hyperlink" Target="https://www.itu.int/online/mm/scripts/gensel11?lang=zh&amp;_memb=U" TargetMode="External"/><Relationship Id="rId37" Type="http://schemas.openxmlformats.org/officeDocument/2006/relationships/image" Target="media/image17.emf"/><Relationship Id="rId53" Type="http://schemas.openxmlformats.org/officeDocument/2006/relationships/image" Target="media/image32.emf"/><Relationship Id="rId58" Type="http://schemas.openxmlformats.org/officeDocument/2006/relationships/image" Target="media/image37.emf"/><Relationship Id="rId74" Type="http://schemas.openxmlformats.org/officeDocument/2006/relationships/image" Target="media/image50.emf"/><Relationship Id="rId79" Type="http://schemas.openxmlformats.org/officeDocument/2006/relationships/image" Target="media/image52.emf"/><Relationship Id="rId102" Type="http://schemas.openxmlformats.org/officeDocument/2006/relationships/image" Target="media/image72.emf"/><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60.emf"/><Relationship Id="rId95" Type="http://schemas.openxmlformats.org/officeDocument/2006/relationships/image" Target="media/image65.emf"/><Relationship Id="rId22" Type="http://schemas.openxmlformats.org/officeDocument/2006/relationships/image" Target="media/image13.emf"/><Relationship Id="rId27" Type="http://schemas.openxmlformats.org/officeDocument/2006/relationships/hyperlink" Target="https://www.itu.int/zh/ITU-D/Pages/default.aspx" TargetMode="External"/><Relationship Id="rId43" Type="http://schemas.openxmlformats.org/officeDocument/2006/relationships/image" Target="media/image23.emf"/><Relationship Id="rId48" Type="http://schemas.openxmlformats.org/officeDocument/2006/relationships/image" Target="media/image27.emf"/><Relationship Id="rId64" Type="http://schemas.openxmlformats.org/officeDocument/2006/relationships/image" Target="media/image41.emf"/><Relationship Id="rId69" Type="http://schemas.openxmlformats.org/officeDocument/2006/relationships/image" Target="media/image45.emf"/><Relationship Id="rId113" Type="http://schemas.openxmlformats.org/officeDocument/2006/relationships/image" Target="media/image83.emf"/><Relationship Id="rId118" Type="http://schemas.openxmlformats.org/officeDocument/2006/relationships/hyperlink" Target="https://www.itu.int/md/S22-CL-C-0042/en" TargetMode="External"/><Relationship Id="rId80" Type="http://schemas.openxmlformats.org/officeDocument/2006/relationships/image" Target="media/image53.emf"/><Relationship Id="rId85" Type="http://schemas.openxmlformats.org/officeDocument/2006/relationships/image" Target="media/image55.emf"/><Relationship Id="rId12" Type="http://schemas.openxmlformats.org/officeDocument/2006/relationships/image" Target="media/image4.png"/><Relationship Id="rId17" Type="http://schemas.openxmlformats.org/officeDocument/2006/relationships/image" Target="media/image8.jpeg"/><Relationship Id="rId33" Type="http://schemas.openxmlformats.org/officeDocument/2006/relationships/hyperlink" Target="https://www.itu.int/zh/council/Pages/members.aspx" TargetMode="External"/><Relationship Id="rId38" Type="http://schemas.openxmlformats.org/officeDocument/2006/relationships/image" Target="media/image18.emf"/><Relationship Id="rId59" Type="http://schemas.openxmlformats.org/officeDocument/2006/relationships/image" Target="media/image38.emf"/><Relationship Id="rId103" Type="http://schemas.openxmlformats.org/officeDocument/2006/relationships/image" Target="media/image73.emf"/><Relationship Id="rId108" Type="http://schemas.openxmlformats.org/officeDocument/2006/relationships/image" Target="media/image78.emf"/><Relationship Id="rId124" Type="http://schemas.openxmlformats.org/officeDocument/2006/relationships/theme" Target="theme/theme1.xml"/><Relationship Id="rId54" Type="http://schemas.openxmlformats.org/officeDocument/2006/relationships/image" Target="media/image33.emf"/><Relationship Id="rId70" Type="http://schemas.openxmlformats.org/officeDocument/2006/relationships/image" Target="media/image46.emf"/><Relationship Id="rId75" Type="http://schemas.openxmlformats.org/officeDocument/2006/relationships/header" Target="header1.xml"/><Relationship Id="rId91" Type="http://schemas.openxmlformats.org/officeDocument/2006/relationships/image" Target="media/image61.emf"/><Relationship Id="rId96" Type="http://schemas.openxmlformats.org/officeDocument/2006/relationships/image" Target="media/image66.e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4.emf"/><Relationship Id="rId28" Type="http://schemas.openxmlformats.org/officeDocument/2006/relationships/hyperlink" Target="http://www.itu.int/itu-wsis/implementation/" TargetMode="External"/><Relationship Id="rId49" Type="http://schemas.openxmlformats.org/officeDocument/2006/relationships/image" Target="media/image28.emf"/><Relationship Id="rId114" Type="http://schemas.openxmlformats.org/officeDocument/2006/relationships/hyperlink" Target="https://www.itu.int/en/council/Documents/basic-texts/Convention-C.pdf" TargetMode="External"/><Relationship Id="rId119" Type="http://schemas.openxmlformats.org/officeDocument/2006/relationships/header" Target="header4.xml"/><Relationship Id="rId44" Type="http://schemas.openxmlformats.org/officeDocument/2006/relationships/image" Target="media/image24.emf"/><Relationship Id="rId60" Type="http://schemas.openxmlformats.org/officeDocument/2006/relationships/image" Target="media/image39.emf"/><Relationship Id="rId65" Type="http://schemas.openxmlformats.org/officeDocument/2006/relationships/image" Target="media/image42.emf"/><Relationship Id="rId81" Type="http://schemas.openxmlformats.org/officeDocument/2006/relationships/footer" Target="footer3.xml"/><Relationship Id="rId86" Type="http://schemas.openxmlformats.org/officeDocument/2006/relationships/image" Target="media/image56.emf"/><Relationship Id="rId4" Type="http://schemas.openxmlformats.org/officeDocument/2006/relationships/settings" Target="settings.xml"/><Relationship Id="rId9" Type="http://schemas.openxmlformats.org/officeDocument/2006/relationships/image" Target="media/image1.emf"/><Relationship Id="rId13" Type="http://schemas.openxmlformats.org/officeDocument/2006/relationships/hyperlink" Target="https://www.itu.int/md/S23-CL-INF-0012/en" TargetMode="External"/><Relationship Id="rId18" Type="http://schemas.openxmlformats.org/officeDocument/2006/relationships/image" Target="media/image9.png"/><Relationship Id="rId39" Type="http://schemas.openxmlformats.org/officeDocument/2006/relationships/image" Target="media/image19.png"/><Relationship Id="rId109" Type="http://schemas.openxmlformats.org/officeDocument/2006/relationships/image" Target="media/image79.emf"/><Relationship Id="rId34" Type="http://schemas.openxmlformats.org/officeDocument/2006/relationships/hyperlink" Target="https://www.itu.int/zh/ITU-R/conferences/RRB/Pages/default.aspx" TargetMode="External"/><Relationship Id="rId50" Type="http://schemas.openxmlformats.org/officeDocument/2006/relationships/image" Target="media/image29.emf"/><Relationship Id="rId55" Type="http://schemas.openxmlformats.org/officeDocument/2006/relationships/image" Target="media/image34.emf"/><Relationship Id="rId76" Type="http://schemas.openxmlformats.org/officeDocument/2006/relationships/footer" Target="footer1.xml"/><Relationship Id="rId97" Type="http://schemas.openxmlformats.org/officeDocument/2006/relationships/image" Target="media/image67.emf"/><Relationship Id="rId104" Type="http://schemas.openxmlformats.org/officeDocument/2006/relationships/image" Target="media/image74.emf"/><Relationship Id="rId120"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image" Target="media/image47.emf"/><Relationship Id="rId92" Type="http://schemas.openxmlformats.org/officeDocument/2006/relationships/image" Target="media/image62.emf"/><Relationship Id="rId2" Type="http://schemas.openxmlformats.org/officeDocument/2006/relationships/numbering" Target="numbering.xml"/><Relationship Id="rId29" Type="http://schemas.openxmlformats.org/officeDocument/2006/relationships/hyperlink" Target="https://www.itu.int/online/mm/scripts/gensel8?lang=?lang=zh" TargetMode="External"/><Relationship Id="rId24" Type="http://schemas.openxmlformats.org/officeDocument/2006/relationships/image" Target="media/image15.emf"/><Relationship Id="rId40" Type="http://schemas.openxmlformats.org/officeDocument/2006/relationships/image" Target="media/image20.emf"/><Relationship Id="rId45" Type="http://schemas.openxmlformats.org/officeDocument/2006/relationships/image" Target="media/image25.emf"/><Relationship Id="rId66" Type="http://schemas.openxmlformats.org/officeDocument/2006/relationships/image" Target="media/image43.emf"/><Relationship Id="rId87" Type="http://schemas.openxmlformats.org/officeDocument/2006/relationships/image" Target="media/image57.emf"/><Relationship Id="rId110" Type="http://schemas.openxmlformats.org/officeDocument/2006/relationships/image" Target="media/image80.emf"/><Relationship Id="rId115" Type="http://schemas.openxmlformats.org/officeDocument/2006/relationships/hyperlink" Target="https://www.itu.int/en/council/Documents/Financial-Regulations/S-GEN-REG_RGTFIN-2018-PDF-C.pdf" TargetMode="External"/><Relationship Id="rId61" Type="http://schemas.openxmlformats.org/officeDocument/2006/relationships/image" Target="media/image40.emf"/><Relationship Id="rId82" Type="http://schemas.openxmlformats.org/officeDocument/2006/relationships/header" Target="header3.xml"/><Relationship Id="rId19" Type="http://schemas.openxmlformats.org/officeDocument/2006/relationships/image" Target="media/image10.png"/><Relationship Id="rId14" Type="http://schemas.openxmlformats.org/officeDocument/2006/relationships/image" Target="media/image5.emf"/><Relationship Id="rId30" Type="http://schemas.openxmlformats.org/officeDocument/2006/relationships/hyperlink" Target="https://www.itu.int/online/mm/scripts/gensel11?lang=zh&amp;_memb=S" TargetMode="External"/><Relationship Id="rId35" Type="http://schemas.openxmlformats.org/officeDocument/2006/relationships/image" Target="media/image16.emf"/><Relationship Id="rId56" Type="http://schemas.openxmlformats.org/officeDocument/2006/relationships/image" Target="media/image35.emf"/><Relationship Id="rId77" Type="http://schemas.openxmlformats.org/officeDocument/2006/relationships/header" Target="header2.xml"/><Relationship Id="rId100" Type="http://schemas.openxmlformats.org/officeDocument/2006/relationships/image" Target="media/image70.emf"/><Relationship Id="rId105" Type="http://schemas.openxmlformats.org/officeDocument/2006/relationships/image" Target="media/image75.emf"/><Relationship Id="rId8" Type="http://schemas.openxmlformats.org/officeDocument/2006/relationships/hyperlink" Target="https://www.itu.int/en/council/Documents/Financial-Regulations/S-GEN-REG_RGTFIN-2018-PDF-C.pdf" TargetMode="External"/><Relationship Id="rId51" Type="http://schemas.openxmlformats.org/officeDocument/2006/relationships/image" Target="media/image30.emf"/><Relationship Id="rId72" Type="http://schemas.openxmlformats.org/officeDocument/2006/relationships/image" Target="media/image48.emf"/><Relationship Id="rId93" Type="http://schemas.openxmlformats.org/officeDocument/2006/relationships/image" Target="media/image63.emf"/><Relationship Id="rId98" Type="http://schemas.openxmlformats.org/officeDocument/2006/relationships/image" Target="media/image68.emf"/><Relationship Id="rId121" Type="http://schemas.openxmlformats.org/officeDocument/2006/relationships/header" Target="header5.xml"/><Relationship Id="rId3" Type="http://schemas.openxmlformats.org/officeDocument/2006/relationships/styles" Target="styles.xml"/><Relationship Id="rId25" Type="http://schemas.openxmlformats.org/officeDocument/2006/relationships/hyperlink" Target="https://www.itu.int/zh/ITU-R/Pages/default.aspx" TargetMode="External"/><Relationship Id="rId46" Type="http://schemas.openxmlformats.org/officeDocument/2006/relationships/image" Target="media/image26.emf"/><Relationship Id="rId67" Type="http://schemas.openxmlformats.org/officeDocument/2006/relationships/image" Target="media/image44.emf"/><Relationship Id="rId116" Type="http://schemas.openxmlformats.org/officeDocument/2006/relationships/hyperlink" Target="http://www.itu.int/md/S24-CL-C-0041/en" TargetMode="External"/><Relationship Id="rId20" Type="http://schemas.openxmlformats.org/officeDocument/2006/relationships/image" Target="media/image11.emf"/><Relationship Id="rId41" Type="http://schemas.openxmlformats.org/officeDocument/2006/relationships/image" Target="media/image21.emf"/><Relationship Id="rId62" Type="http://schemas.openxmlformats.org/officeDocument/2006/relationships/hyperlink" Target="https://www.itu.int/md/S22-CL-C-0046/en" TargetMode="External"/><Relationship Id="rId83" Type="http://schemas.openxmlformats.org/officeDocument/2006/relationships/footer" Target="footer4.xml"/><Relationship Id="rId88" Type="http://schemas.openxmlformats.org/officeDocument/2006/relationships/image" Target="media/image58.emf"/><Relationship Id="rId111" Type="http://schemas.openxmlformats.org/officeDocument/2006/relationships/image" Target="media/image81.emf"/><Relationship Id="rId15" Type="http://schemas.openxmlformats.org/officeDocument/2006/relationships/image" Target="media/image6.png"/><Relationship Id="rId36" Type="http://schemas.openxmlformats.org/officeDocument/2006/relationships/hyperlink" Target="https://www.itu.int/md/S16-CL-C-0124/en" TargetMode="External"/><Relationship Id="rId57" Type="http://schemas.openxmlformats.org/officeDocument/2006/relationships/image" Target="media/image36.emf"/><Relationship Id="rId106" Type="http://schemas.openxmlformats.org/officeDocument/2006/relationships/image" Target="media/image76.emf"/><Relationship Id="rId10" Type="http://schemas.openxmlformats.org/officeDocument/2006/relationships/image" Target="media/image2.emf"/><Relationship Id="rId31" Type="http://schemas.openxmlformats.org/officeDocument/2006/relationships/hyperlink" Target="https://www.itu.int/online/mm/scripts/gensel11?lang=zh&amp;_memb=A" TargetMode="External"/><Relationship Id="rId52" Type="http://schemas.openxmlformats.org/officeDocument/2006/relationships/image" Target="media/image31.emf"/><Relationship Id="rId73" Type="http://schemas.openxmlformats.org/officeDocument/2006/relationships/image" Target="media/image49.emf"/><Relationship Id="rId78" Type="http://schemas.openxmlformats.org/officeDocument/2006/relationships/footer" Target="footer2.xml"/><Relationship Id="rId94" Type="http://schemas.openxmlformats.org/officeDocument/2006/relationships/image" Target="media/image64.emf"/><Relationship Id="rId99" Type="http://schemas.openxmlformats.org/officeDocument/2006/relationships/image" Target="media/image69.emf"/><Relationship Id="rId101" Type="http://schemas.openxmlformats.org/officeDocument/2006/relationships/image" Target="media/image71.emf"/><Relationship Id="rId1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5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72</Pages>
  <Words>38594</Words>
  <Characters>9420</Characters>
  <Application>Microsoft Office Word</Application>
  <DocSecurity>0</DocSecurity>
  <Lines>78</Lines>
  <Paragraphs>95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47919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Kong, Hongli</dc:creator>
  <cp:keywords>C2024, C24 Council-24</cp:keywords>
  <dc:description/>
  <cp:lastModifiedBy>Brouard, Ricarda</cp:lastModifiedBy>
  <cp:revision>3</cp:revision>
  <cp:lastPrinted>2015-02-24T13:23:00Z</cp:lastPrinted>
  <dcterms:created xsi:type="dcterms:W3CDTF">2024-05-01T09:12:00Z</dcterms:created>
  <dcterms:modified xsi:type="dcterms:W3CDTF">2024-05-01T09:27:00Z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