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horzAnchor="page" w:tblpX="1821" w:tblpY="2314"/>
        <w:tblW w:w="9214" w:type="dxa"/>
        <w:tblLayout w:type="fixed"/>
        <w:tblLook w:val="0000" w:firstRow="0" w:lastRow="0" w:firstColumn="0" w:lastColumn="0" w:noHBand="0" w:noVBand="0"/>
      </w:tblPr>
      <w:tblGrid>
        <w:gridCol w:w="3969"/>
        <w:gridCol w:w="5245"/>
      </w:tblGrid>
      <w:tr w:rsidR="00D72F49" w:rsidRPr="00E52A4A" w14:paraId="2592CC74" w14:textId="77777777" w:rsidTr="00D72F49">
        <w:trPr>
          <w:cantSplit/>
          <w:trHeight w:val="23"/>
        </w:trPr>
        <w:tc>
          <w:tcPr>
            <w:tcW w:w="3969" w:type="dxa"/>
            <w:vMerge w:val="restart"/>
            <w:tcMar>
              <w:left w:w="0" w:type="dxa"/>
            </w:tcMar>
          </w:tcPr>
          <w:p w14:paraId="27E56DEB" w14:textId="091FF1E9" w:rsidR="00D72F49" w:rsidRPr="00E52A4A" w:rsidRDefault="00D72F49" w:rsidP="00BA6385">
            <w:pPr>
              <w:tabs>
                <w:tab w:val="left" w:pos="851"/>
              </w:tabs>
              <w:spacing w:before="0"/>
              <w:rPr>
                <w:b/>
              </w:rPr>
            </w:pPr>
            <w:r w:rsidRPr="00E52A4A">
              <w:rPr>
                <w:b/>
              </w:rPr>
              <w:t>Point de l</w:t>
            </w:r>
            <w:r w:rsidR="0066772A" w:rsidRPr="00E52A4A">
              <w:rPr>
                <w:b/>
              </w:rPr>
              <w:t>'</w:t>
            </w:r>
            <w:r w:rsidRPr="00E52A4A">
              <w:rPr>
                <w:b/>
              </w:rPr>
              <w:t>ordre du jour:</w:t>
            </w:r>
            <w:r w:rsidR="00110A69" w:rsidRPr="00E52A4A">
              <w:rPr>
                <w:b/>
              </w:rPr>
              <w:t xml:space="preserve"> ADM 2</w:t>
            </w:r>
          </w:p>
        </w:tc>
        <w:tc>
          <w:tcPr>
            <w:tcW w:w="5245" w:type="dxa"/>
          </w:tcPr>
          <w:p w14:paraId="27B6A98A" w14:textId="32220C84" w:rsidR="00D72F49" w:rsidRPr="00E52A4A" w:rsidRDefault="00D72F49" w:rsidP="00BA6385">
            <w:pPr>
              <w:tabs>
                <w:tab w:val="left" w:pos="851"/>
              </w:tabs>
              <w:spacing w:before="0"/>
              <w:jc w:val="right"/>
              <w:rPr>
                <w:b/>
              </w:rPr>
            </w:pPr>
            <w:r w:rsidRPr="00E52A4A">
              <w:rPr>
                <w:b/>
              </w:rPr>
              <w:t>Document C2</w:t>
            </w:r>
            <w:r w:rsidR="0073275D" w:rsidRPr="00E52A4A">
              <w:rPr>
                <w:b/>
              </w:rPr>
              <w:t>4</w:t>
            </w:r>
            <w:r w:rsidRPr="00E52A4A">
              <w:rPr>
                <w:b/>
              </w:rPr>
              <w:t>/</w:t>
            </w:r>
            <w:r w:rsidR="00110A69" w:rsidRPr="00E52A4A">
              <w:rPr>
                <w:b/>
              </w:rPr>
              <w:t>40</w:t>
            </w:r>
            <w:r w:rsidRPr="00E52A4A">
              <w:rPr>
                <w:b/>
              </w:rPr>
              <w:t>-F</w:t>
            </w:r>
          </w:p>
        </w:tc>
      </w:tr>
      <w:tr w:rsidR="00D72F49" w:rsidRPr="00E52A4A" w14:paraId="41096C77" w14:textId="77777777" w:rsidTr="00D72F49">
        <w:trPr>
          <w:cantSplit/>
        </w:trPr>
        <w:tc>
          <w:tcPr>
            <w:tcW w:w="3969" w:type="dxa"/>
            <w:vMerge/>
          </w:tcPr>
          <w:p w14:paraId="0BBA5643" w14:textId="77777777" w:rsidR="00D72F49" w:rsidRPr="00E52A4A" w:rsidRDefault="00D72F49" w:rsidP="00BA6385">
            <w:pPr>
              <w:tabs>
                <w:tab w:val="left" w:pos="851"/>
              </w:tabs>
              <w:rPr>
                <w:b/>
              </w:rPr>
            </w:pPr>
          </w:p>
        </w:tc>
        <w:tc>
          <w:tcPr>
            <w:tcW w:w="5245" w:type="dxa"/>
          </w:tcPr>
          <w:p w14:paraId="068BECD5" w14:textId="79FE0041" w:rsidR="00D72F49" w:rsidRPr="00E52A4A" w:rsidRDefault="00110A69" w:rsidP="00BA6385">
            <w:pPr>
              <w:tabs>
                <w:tab w:val="left" w:pos="851"/>
              </w:tabs>
              <w:spacing w:before="0"/>
              <w:jc w:val="right"/>
              <w:rPr>
                <w:b/>
              </w:rPr>
            </w:pPr>
            <w:r w:rsidRPr="00E52A4A">
              <w:rPr>
                <w:b/>
              </w:rPr>
              <w:t>21 février</w:t>
            </w:r>
            <w:r w:rsidR="00D72F49" w:rsidRPr="00E52A4A">
              <w:rPr>
                <w:b/>
              </w:rPr>
              <w:t xml:space="preserve"> 202</w:t>
            </w:r>
            <w:r w:rsidR="0073275D" w:rsidRPr="00E52A4A">
              <w:rPr>
                <w:b/>
              </w:rPr>
              <w:t>4</w:t>
            </w:r>
          </w:p>
        </w:tc>
      </w:tr>
      <w:tr w:rsidR="00D72F49" w:rsidRPr="00E52A4A" w14:paraId="17E5B988" w14:textId="77777777" w:rsidTr="00D72F49">
        <w:trPr>
          <w:cantSplit/>
          <w:trHeight w:val="23"/>
        </w:trPr>
        <w:tc>
          <w:tcPr>
            <w:tcW w:w="3969" w:type="dxa"/>
            <w:vMerge/>
          </w:tcPr>
          <w:p w14:paraId="2192D6D7" w14:textId="77777777" w:rsidR="00D72F49" w:rsidRPr="00E52A4A" w:rsidRDefault="00D72F49" w:rsidP="00BA6385">
            <w:pPr>
              <w:tabs>
                <w:tab w:val="left" w:pos="851"/>
              </w:tabs>
              <w:rPr>
                <w:b/>
              </w:rPr>
            </w:pPr>
          </w:p>
        </w:tc>
        <w:tc>
          <w:tcPr>
            <w:tcW w:w="5245" w:type="dxa"/>
          </w:tcPr>
          <w:p w14:paraId="1948C622" w14:textId="77777777" w:rsidR="00D72F49" w:rsidRPr="00E52A4A" w:rsidRDefault="00D72F49" w:rsidP="00BA6385">
            <w:pPr>
              <w:tabs>
                <w:tab w:val="left" w:pos="851"/>
              </w:tabs>
              <w:spacing w:before="0"/>
              <w:jc w:val="right"/>
              <w:rPr>
                <w:b/>
              </w:rPr>
            </w:pPr>
            <w:r w:rsidRPr="00E52A4A">
              <w:rPr>
                <w:b/>
              </w:rPr>
              <w:t>Original: anglais</w:t>
            </w:r>
          </w:p>
        </w:tc>
      </w:tr>
      <w:tr w:rsidR="00D72F49" w:rsidRPr="00E52A4A" w14:paraId="53623BEE" w14:textId="77777777" w:rsidTr="00D72F49">
        <w:trPr>
          <w:cantSplit/>
          <w:trHeight w:val="23"/>
        </w:trPr>
        <w:tc>
          <w:tcPr>
            <w:tcW w:w="3969" w:type="dxa"/>
          </w:tcPr>
          <w:p w14:paraId="630B4C34" w14:textId="77777777" w:rsidR="00D72F49" w:rsidRPr="00E52A4A" w:rsidRDefault="00D72F49" w:rsidP="00BA6385">
            <w:pPr>
              <w:tabs>
                <w:tab w:val="left" w:pos="851"/>
              </w:tabs>
              <w:rPr>
                <w:b/>
              </w:rPr>
            </w:pPr>
          </w:p>
        </w:tc>
        <w:tc>
          <w:tcPr>
            <w:tcW w:w="5245" w:type="dxa"/>
          </w:tcPr>
          <w:p w14:paraId="437750C4" w14:textId="77777777" w:rsidR="00D72F49" w:rsidRPr="00E52A4A" w:rsidRDefault="00D72F49" w:rsidP="00BA6385">
            <w:pPr>
              <w:tabs>
                <w:tab w:val="left" w:pos="851"/>
              </w:tabs>
              <w:spacing w:before="0"/>
              <w:jc w:val="right"/>
              <w:rPr>
                <w:b/>
              </w:rPr>
            </w:pPr>
          </w:p>
        </w:tc>
      </w:tr>
      <w:tr w:rsidR="00D72F49" w:rsidRPr="00E52A4A" w14:paraId="31FFA2A5" w14:textId="77777777" w:rsidTr="00D72F49">
        <w:trPr>
          <w:cantSplit/>
        </w:trPr>
        <w:tc>
          <w:tcPr>
            <w:tcW w:w="9214" w:type="dxa"/>
            <w:gridSpan w:val="2"/>
            <w:tcMar>
              <w:left w:w="0" w:type="dxa"/>
            </w:tcMar>
          </w:tcPr>
          <w:p w14:paraId="7AA1F34C" w14:textId="3E7729BE" w:rsidR="00D72F49" w:rsidRPr="00E52A4A" w:rsidRDefault="00D72F49" w:rsidP="00BA6385">
            <w:pPr>
              <w:pStyle w:val="Source"/>
              <w:jc w:val="left"/>
              <w:rPr>
                <w:sz w:val="34"/>
                <w:szCs w:val="34"/>
              </w:rPr>
            </w:pPr>
            <w:r w:rsidRPr="00E52A4A">
              <w:rPr>
                <w:rFonts w:cstheme="minorHAnsi"/>
                <w:color w:val="000000"/>
                <w:sz w:val="34"/>
                <w:szCs w:val="34"/>
              </w:rPr>
              <w:t xml:space="preserve">Rapport </w:t>
            </w:r>
            <w:r w:rsidR="00E95647" w:rsidRPr="00E52A4A">
              <w:rPr>
                <w:rFonts w:cstheme="minorHAnsi"/>
                <w:color w:val="000000"/>
                <w:sz w:val="34"/>
                <w:szCs w:val="34"/>
              </w:rPr>
              <w:t xml:space="preserve">de la </w:t>
            </w:r>
            <w:r w:rsidRPr="00E52A4A">
              <w:rPr>
                <w:rFonts w:cstheme="minorHAnsi"/>
                <w:color w:val="000000"/>
                <w:sz w:val="34"/>
                <w:szCs w:val="34"/>
              </w:rPr>
              <w:t>Secrétaire général</w:t>
            </w:r>
            <w:r w:rsidR="00E95647" w:rsidRPr="00E52A4A">
              <w:rPr>
                <w:rFonts w:cstheme="minorHAnsi"/>
                <w:color w:val="000000"/>
                <w:sz w:val="34"/>
                <w:szCs w:val="34"/>
              </w:rPr>
              <w:t>e</w:t>
            </w:r>
          </w:p>
        </w:tc>
      </w:tr>
      <w:tr w:rsidR="00D72F49" w:rsidRPr="00E52A4A" w14:paraId="65E7E3D8" w14:textId="77777777" w:rsidTr="00D72F49">
        <w:trPr>
          <w:cantSplit/>
        </w:trPr>
        <w:tc>
          <w:tcPr>
            <w:tcW w:w="9214" w:type="dxa"/>
            <w:gridSpan w:val="2"/>
            <w:tcMar>
              <w:left w:w="0" w:type="dxa"/>
            </w:tcMar>
          </w:tcPr>
          <w:p w14:paraId="370F6D7B" w14:textId="1A549BA0" w:rsidR="00D72F49" w:rsidRPr="00E52A4A" w:rsidRDefault="00983E89" w:rsidP="00BA6385">
            <w:pPr>
              <w:pStyle w:val="Subtitle"/>
              <w:framePr w:hSpace="0" w:wrap="auto" w:hAnchor="text" w:xAlign="left" w:yAlign="inline"/>
              <w:rPr>
                <w:lang w:val="fr-FR"/>
              </w:rPr>
            </w:pPr>
            <w:bookmarkStart w:id="0" w:name="_Hlk165450084"/>
            <w:r w:rsidRPr="00E52A4A">
              <w:rPr>
                <w:color w:val="000000"/>
                <w:lang w:val="fr-FR"/>
              </w:rPr>
              <w:t>RAPPORT DE GESTION FINANCI</w:t>
            </w:r>
            <w:r w:rsidR="00191AC7" w:rsidRPr="00E52A4A">
              <w:rPr>
                <w:color w:val="000000"/>
                <w:lang w:val="fr-FR"/>
              </w:rPr>
              <w:t>È</w:t>
            </w:r>
            <w:r w:rsidRPr="00E52A4A">
              <w:rPr>
                <w:color w:val="000000"/>
                <w:lang w:val="fr-FR"/>
              </w:rPr>
              <w:t>RE POUR L</w:t>
            </w:r>
            <w:r w:rsidR="0066772A" w:rsidRPr="00E52A4A">
              <w:rPr>
                <w:color w:val="000000"/>
                <w:lang w:val="fr-FR"/>
              </w:rPr>
              <w:t>'</w:t>
            </w:r>
            <w:r w:rsidRPr="00E52A4A">
              <w:rPr>
                <w:color w:val="000000"/>
                <w:lang w:val="fr-FR"/>
              </w:rPr>
              <w:t>EXERCICE FINANCIER</w:t>
            </w:r>
            <w:r w:rsidR="00191AC7" w:rsidRPr="00E52A4A">
              <w:rPr>
                <w:color w:val="000000"/>
                <w:lang w:val="fr-FR"/>
              </w:rPr>
              <w:t> </w:t>
            </w:r>
            <w:r w:rsidRPr="00E52A4A">
              <w:rPr>
                <w:color w:val="000000"/>
                <w:lang w:val="fr-FR"/>
              </w:rPr>
              <w:t>2022</w:t>
            </w:r>
            <w:bookmarkEnd w:id="0"/>
          </w:p>
        </w:tc>
      </w:tr>
      <w:tr w:rsidR="00D72F49" w:rsidRPr="00E52A4A" w14:paraId="2C09D976" w14:textId="77777777" w:rsidTr="00D72F49">
        <w:trPr>
          <w:cantSplit/>
        </w:trPr>
        <w:tc>
          <w:tcPr>
            <w:tcW w:w="9214" w:type="dxa"/>
            <w:gridSpan w:val="2"/>
            <w:tcBorders>
              <w:top w:val="single" w:sz="4" w:space="0" w:color="auto"/>
              <w:bottom w:val="single" w:sz="4" w:space="0" w:color="auto"/>
            </w:tcBorders>
            <w:tcMar>
              <w:left w:w="0" w:type="dxa"/>
            </w:tcMar>
          </w:tcPr>
          <w:p w14:paraId="0C1CBF59" w14:textId="4F1930CB" w:rsidR="00D72F49" w:rsidRPr="00E52A4A" w:rsidRDefault="00F37FE5" w:rsidP="00BA6385">
            <w:pPr>
              <w:spacing w:before="160"/>
              <w:rPr>
                <w:b/>
                <w:bCs/>
                <w:sz w:val="26"/>
                <w:szCs w:val="26"/>
              </w:rPr>
            </w:pPr>
            <w:r w:rsidRPr="00E52A4A">
              <w:rPr>
                <w:b/>
                <w:bCs/>
                <w:sz w:val="26"/>
                <w:szCs w:val="26"/>
              </w:rPr>
              <w:t>Objet</w:t>
            </w:r>
          </w:p>
          <w:p w14:paraId="4F7156F0" w14:textId="5FE08F68" w:rsidR="00983E89" w:rsidRPr="00E52A4A" w:rsidRDefault="00983E89" w:rsidP="00BA6385">
            <w:r w:rsidRPr="00E52A4A">
              <w:t>Aux termes du numéro 101 de la Convention de l</w:t>
            </w:r>
            <w:r w:rsidR="0066772A" w:rsidRPr="00E52A4A">
              <w:t>'</w:t>
            </w:r>
            <w:r w:rsidRPr="00E52A4A">
              <w:t>Union internationale des télécommunications et de l</w:t>
            </w:r>
            <w:r w:rsidR="0066772A" w:rsidRPr="00E52A4A">
              <w:t>'</w:t>
            </w:r>
            <w:r w:rsidRPr="00E52A4A">
              <w:t>Article 30 du Règlement financier de l</w:t>
            </w:r>
            <w:r w:rsidR="0066772A" w:rsidRPr="00E52A4A">
              <w:t>'</w:t>
            </w:r>
            <w:r w:rsidRPr="00E52A4A">
              <w:t>Union, le Secrétaire général est prié de soumettre chaque année au Conseil un rapport de gestion financière.</w:t>
            </w:r>
          </w:p>
          <w:p w14:paraId="4A210549" w14:textId="70320FC8" w:rsidR="00983E89" w:rsidRPr="00E52A4A" w:rsidRDefault="00983E89" w:rsidP="00BA6385">
            <w:r w:rsidRPr="00E52A4A">
              <w:t>Le rapport de gestion financière pour l</w:t>
            </w:r>
            <w:r w:rsidR="0066772A" w:rsidRPr="00E52A4A">
              <w:t>'</w:t>
            </w:r>
            <w:r w:rsidRPr="00E52A4A">
              <w:t>exercice financier 2022 présente:</w:t>
            </w:r>
          </w:p>
          <w:p w14:paraId="3A91D3CB" w14:textId="46BA79AA" w:rsidR="00110A69" w:rsidRPr="00E52A4A" w:rsidRDefault="00983E89" w:rsidP="00191AC7">
            <w:pPr>
              <w:pStyle w:val="enumlev1"/>
            </w:pPr>
            <w:r w:rsidRPr="00E52A4A">
              <w:t>•</w:t>
            </w:r>
            <w:r w:rsidRPr="00E52A4A">
              <w:tab/>
              <w:t>les comptes vérifiés de l</w:t>
            </w:r>
            <w:r w:rsidR="0066772A" w:rsidRPr="00E52A4A">
              <w:t>'</w:t>
            </w:r>
            <w:r w:rsidRPr="00E52A4A">
              <w:t>exercice financier 2022 du budget de l</w:t>
            </w:r>
            <w:r w:rsidR="0066772A" w:rsidRPr="00E52A4A">
              <w:t>'</w:t>
            </w:r>
            <w:r w:rsidRPr="00E52A4A">
              <w:t>Union</w:t>
            </w:r>
            <w:r w:rsidR="00191AC7" w:rsidRPr="00E52A4A">
              <w:t>.</w:t>
            </w:r>
          </w:p>
          <w:p w14:paraId="0B950982" w14:textId="77777777" w:rsidR="00D72F49" w:rsidRPr="00E52A4A" w:rsidRDefault="00D72F49" w:rsidP="00BA6385">
            <w:pPr>
              <w:spacing w:before="160"/>
              <w:rPr>
                <w:b/>
                <w:bCs/>
                <w:sz w:val="26"/>
                <w:szCs w:val="26"/>
              </w:rPr>
            </w:pPr>
            <w:r w:rsidRPr="00E52A4A">
              <w:rPr>
                <w:b/>
                <w:bCs/>
                <w:sz w:val="26"/>
                <w:szCs w:val="26"/>
              </w:rPr>
              <w:t>Suite à donner par le Conseil</w:t>
            </w:r>
          </w:p>
          <w:p w14:paraId="0F3499CA" w14:textId="23C3BFE2" w:rsidR="00983E89" w:rsidRPr="00E52A4A" w:rsidRDefault="00983E89" w:rsidP="00BA6385">
            <w:r w:rsidRPr="00E52A4A">
              <w:t>Le rapport de gestion financière sur les comptes vérifiés ainsi que le projet de Résolution figurant à l</w:t>
            </w:r>
            <w:r w:rsidR="0066772A" w:rsidRPr="00E52A4A">
              <w:t>'</w:t>
            </w:r>
            <w:r w:rsidRPr="00E52A4A">
              <w:t xml:space="preserve">Annexe A sont soumis au Conseil pour </w:t>
            </w:r>
            <w:r w:rsidRPr="00E52A4A">
              <w:rPr>
                <w:b/>
                <w:bCs/>
              </w:rPr>
              <w:t>examen</w:t>
            </w:r>
            <w:r w:rsidRPr="00E52A4A">
              <w:t xml:space="preserve"> et </w:t>
            </w:r>
            <w:r w:rsidRPr="00E52A4A">
              <w:rPr>
                <w:b/>
                <w:bCs/>
              </w:rPr>
              <w:t>approbation</w:t>
            </w:r>
            <w:r w:rsidRPr="00E52A4A">
              <w:t>.</w:t>
            </w:r>
          </w:p>
          <w:p w14:paraId="6F9A6B88" w14:textId="6FDC6680" w:rsidR="00D72F49" w:rsidRPr="00E52A4A" w:rsidRDefault="00983E89" w:rsidP="00BA6385">
            <w:r w:rsidRPr="00E52A4A">
              <w:t>Une fois examiné et approuvé par le Conseil, le rapport sera communiqué aux États</w:t>
            </w:r>
            <w:r w:rsidR="00191AC7" w:rsidRPr="00E52A4A">
              <w:t> </w:t>
            </w:r>
            <w:r w:rsidRPr="00E52A4A">
              <w:t>Membres et aux Membres de Secteur.</w:t>
            </w:r>
          </w:p>
          <w:p w14:paraId="2E44E753" w14:textId="77777777" w:rsidR="00D72F49" w:rsidRPr="00E52A4A" w:rsidRDefault="00D72F49" w:rsidP="00BA6385">
            <w:pPr>
              <w:spacing w:before="160"/>
              <w:rPr>
                <w:caps/>
                <w:sz w:val="22"/>
              </w:rPr>
            </w:pPr>
            <w:r w:rsidRPr="00E52A4A">
              <w:rPr>
                <w:sz w:val="22"/>
              </w:rPr>
              <w:t>__________________</w:t>
            </w:r>
          </w:p>
          <w:p w14:paraId="246B160C" w14:textId="77777777" w:rsidR="00D72F49" w:rsidRPr="00E52A4A" w:rsidRDefault="00D72F49" w:rsidP="00BA6385">
            <w:pPr>
              <w:spacing w:before="160"/>
              <w:rPr>
                <w:b/>
                <w:bCs/>
                <w:sz w:val="26"/>
                <w:szCs w:val="26"/>
              </w:rPr>
            </w:pPr>
            <w:r w:rsidRPr="00E52A4A">
              <w:rPr>
                <w:b/>
                <w:bCs/>
                <w:sz w:val="26"/>
                <w:szCs w:val="26"/>
              </w:rPr>
              <w:t>Références</w:t>
            </w:r>
          </w:p>
          <w:p w14:paraId="3B399B5C" w14:textId="0343EA05" w:rsidR="00D72F49" w:rsidRPr="00E52A4A" w:rsidRDefault="00983E89" w:rsidP="00BA6385">
            <w:pPr>
              <w:spacing w:after="160"/>
              <w:rPr>
                <w:i/>
                <w:iCs/>
              </w:rPr>
            </w:pPr>
            <w:r w:rsidRPr="00E52A4A">
              <w:rPr>
                <w:i/>
                <w:iCs/>
              </w:rPr>
              <w:t xml:space="preserve">Numéro </w:t>
            </w:r>
            <w:hyperlink r:id="rId8" w:history="1">
              <w:r w:rsidRPr="00E52A4A">
                <w:rPr>
                  <w:rStyle w:val="Hyperlink"/>
                  <w:i/>
                  <w:iCs/>
                </w:rPr>
                <w:t>101</w:t>
              </w:r>
            </w:hyperlink>
            <w:r w:rsidRPr="00E52A4A">
              <w:rPr>
                <w:i/>
                <w:iCs/>
              </w:rPr>
              <w:t xml:space="preserve"> de la Convention</w:t>
            </w:r>
            <w:r w:rsidRPr="00E52A4A">
              <w:rPr>
                <w:i/>
                <w:iCs/>
              </w:rPr>
              <w:br/>
            </w:r>
            <w:hyperlink r:id="rId9" w:history="1">
              <w:r w:rsidRPr="00E52A4A">
                <w:rPr>
                  <w:rStyle w:val="Hyperlink"/>
                  <w:i/>
                  <w:iCs/>
                </w:rPr>
                <w:t>Article 30</w:t>
              </w:r>
            </w:hyperlink>
            <w:r w:rsidR="00191AC7" w:rsidRPr="00E52A4A">
              <w:rPr>
                <w:i/>
                <w:iCs/>
              </w:rPr>
              <w:t xml:space="preserve"> </w:t>
            </w:r>
            <w:r w:rsidRPr="00E52A4A">
              <w:rPr>
                <w:i/>
                <w:iCs/>
              </w:rPr>
              <w:t>du Règlement financier de l</w:t>
            </w:r>
            <w:r w:rsidR="0066772A" w:rsidRPr="00E52A4A">
              <w:rPr>
                <w:i/>
                <w:iCs/>
              </w:rPr>
              <w:t>'</w:t>
            </w:r>
            <w:r w:rsidRPr="00E52A4A">
              <w:rPr>
                <w:i/>
                <w:iCs/>
              </w:rPr>
              <w:t>Union</w:t>
            </w:r>
          </w:p>
        </w:tc>
      </w:tr>
    </w:tbl>
    <w:p w14:paraId="10E850D2" w14:textId="4800DAFB" w:rsidR="00A51849" w:rsidRPr="00E52A4A" w:rsidRDefault="00110A69" w:rsidP="00191AC7">
      <w:pPr>
        <w:spacing w:before="2280"/>
        <w:rPr>
          <w:b/>
          <w:bCs/>
          <w:i/>
          <w:iCs/>
        </w:rPr>
      </w:pPr>
      <w:r w:rsidRPr="00E52A4A">
        <w:rPr>
          <w:b/>
          <w:bCs/>
          <w:i/>
          <w:iCs/>
        </w:rPr>
        <w:t>Annexe</w:t>
      </w:r>
      <w:r w:rsidRPr="00E52A4A">
        <w:rPr>
          <w:b/>
          <w:bCs/>
        </w:rPr>
        <w:t>:</w:t>
      </w:r>
      <w:r w:rsidRPr="00E52A4A">
        <w:rPr>
          <w:b/>
          <w:bCs/>
          <w:i/>
          <w:iCs/>
        </w:rPr>
        <w:tab/>
        <w:t>1</w:t>
      </w:r>
    </w:p>
    <w:p w14:paraId="3B7150AC" w14:textId="77777777" w:rsidR="00A51849" w:rsidRPr="00E52A4A" w:rsidRDefault="00A51849" w:rsidP="00BA6385">
      <w:pPr>
        <w:tabs>
          <w:tab w:val="clear" w:pos="567"/>
          <w:tab w:val="clear" w:pos="1134"/>
          <w:tab w:val="clear" w:pos="1701"/>
          <w:tab w:val="clear" w:pos="2268"/>
          <w:tab w:val="clear" w:pos="2835"/>
        </w:tabs>
        <w:overflowPunct/>
        <w:autoSpaceDE/>
        <w:autoSpaceDN/>
        <w:adjustRightInd/>
        <w:spacing w:before="0"/>
        <w:textAlignment w:val="auto"/>
      </w:pPr>
      <w:r w:rsidRPr="00E52A4A">
        <w:br w:type="page"/>
      </w:r>
    </w:p>
    <w:p w14:paraId="49A0BBAE" w14:textId="67776086" w:rsidR="006A11AE" w:rsidRPr="00E52A4A" w:rsidRDefault="00321D59" w:rsidP="00D718E7">
      <w:pPr>
        <w:pStyle w:val="Title3"/>
        <w:rPr>
          <w:b/>
          <w:bCs/>
        </w:rPr>
      </w:pPr>
      <w:r w:rsidRPr="00E52A4A">
        <w:rPr>
          <w:b/>
          <w:bCs/>
        </w:rPr>
        <w:lastRenderedPageBreak/>
        <w:t>Rapport de gestion financière</w:t>
      </w:r>
    </w:p>
    <w:p w14:paraId="0B46208A" w14:textId="0574FC38" w:rsidR="00110A69" w:rsidRPr="00E52A4A" w:rsidRDefault="00110A69" w:rsidP="00D718E7">
      <w:pPr>
        <w:spacing w:before="240"/>
        <w:jc w:val="center"/>
      </w:pPr>
      <w:r w:rsidRPr="00E52A4A">
        <w:t>TABLE DES MATIÈRES</w:t>
      </w:r>
    </w:p>
    <w:p w14:paraId="32CC60A5" w14:textId="31E90A29" w:rsidR="00DF0F11" w:rsidRPr="00E52A4A" w:rsidRDefault="00DF0F11">
      <w:pPr>
        <w:pStyle w:val="TOC1"/>
        <w:rPr>
          <w:rFonts w:asciiTheme="minorHAnsi" w:eastAsiaTheme="minorEastAsia" w:hAnsiTheme="minorHAnsi" w:cstheme="minorBidi"/>
          <w:noProof/>
          <w:kern w:val="2"/>
          <w:sz w:val="22"/>
          <w:szCs w:val="22"/>
          <w:lang w:eastAsia="fr-FR"/>
          <w14:ligatures w14:val="standardContextual"/>
        </w:rPr>
      </w:pPr>
      <w:r w:rsidRPr="00E52A4A">
        <w:fldChar w:fldCharType="begin"/>
      </w:r>
      <w:r w:rsidRPr="00E52A4A">
        <w:instrText xml:space="preserve"> TOC \h \z \t "Heading 1;1;Annex_No;1;Res_No;1;Title 4;1" </w:instrText>
      </w:r>
      <w:r w:rsidRPr="00E52A4A">
        <w:fldChar w:fldCharType="separate"/>
      </w:r>
      <w:hyperlink w:anchor="_Toc162331702" w:history="1">
        <w:r w:rsidRPr="00E52A4A">
          <w:rPr>
            <w:rStyle w:val="Hyperlink"/>
            <w:noProof/>
          </w:rPr>
          <w:t>Analyse des états financiers</w:t>
        </w:r>
        <w:r w:rsidRPr="00E52A4A">
          <w:rPr>
            <w:noProof/>
            <w:webHidden/>
          </w:rPr>
          <w:tab/>
        </w:r>
        <w:r w:rsidRPr="00E52A4A">
          <w:rPr>
            <w:noProof/>
            <w:webHidden/>
          </w:rPr>
          <w:tab/>
        </w:r>
        <w:r w:rsidRPr="00E52A4A">
          <w:rPr>
            <w:noProof/>
            <w:webHidden/>
          </w:rPr>
          <w:fldChar w:fldCharType="begin"/>
        </w:r>
        <w:r w:rsidRPr="00E52A4A">
          <w:rPr>
            <w:noProof/>
            <w:webHidden/>
          </w:rPr>
          <w:instrText xml:space="preserve"> PAGEREF _Toc162331702 \h </w:instrText>
        </w:r>
        <w:r w:rsidRPr="00E52A4A">
          <w:rPr>
            <w:noProof/>
            <w:webHidden/>
          </w:rPr>
        </w:r>
        <w:r w:rsidRPr="00E52A4A">
          <w:rPr>
            <w:noProof/>
            <w:webHidden/>
          </w:rPr>
          <w:fldChar w:fldCharType="separate"/>
        </w:r>
        <w:r w:rsidR="00E52A4A">
          <w:rPr>
            <w:noProof/>
            <w:webHidden/>
          </w:rPr>
          <w:t>4</w:t>
        </w:r>
        <w:r w:rsidRPr="00E52A4A">
          <w:rPr>
            <w:noProof/>
            <w:webHidden/>
          </w:rPr>
          <w:fldChar w:fldCharType="end"/>
        </w:r>
      </w:hyperlink>
    </w:p>
    <w:p w14:paraId="65A467CA" w14:textId="04403FB3" w:rsidR="00DF0F11" w:rsidRPr="00E52A4A" w:rsidRDefault="003065A0">
      <w:pPr>
        <w:pStyle w:val="TOC1"/>
        <w:rPr>
          <w:rFonts w:asciiTheme="minorHAnsi" w:eastAsiaTheme="minorEastAsia" w:hAnsiTheme="minorHAnsi" w:cstheme="minorBidi"/>
          <w:noProof/>
          <w:kern w:val="2"/>
          <w:sz w:val="22"/>
          <w:szCs w:val="22"/>
          <w:lang w:eastAsia="fr-FR"/>
          <w14:ligatures w14:val="standardContextual"/>
        </w:rPr>
      </w:pPr>
      <w:hyperlink w:anchor="_Toc162331703" w:history="1">
        <w:r w:rsidR="00DF0F11" w:rsidRPr="00E52A4A">
          <w:rPr>
            <w:rStyle w:val="Hyperlink"/>
            <w:noProof/>
          </w:rPr>
          <w:t>Déclaration sur le contrôle interne pour 2022</w:t>
        </w:r>
        <w:r w:rsidR="00DF0F11" w:rsidRPr="00E52A4A">
          <w:rPr>
            <w:noProof/>
            <w:webHidden/>
          </w:rPr>
          <w:tab/>
        </w:r>
        <w:r w:rsidR="00DF0F11" w:rsidRPr="00E52A4A">
          <w:rPr>
            <w:noProof/>
            <w:webHidden/>
          </w:rPr>
          <w:tab/>
        </w:r>
        <w:r w:rsidR="00DF0F11" w:rsidRPr="00E52A4A">
          <w:rPr>
            <w:noProof/>
            <w:webHidden/>
          </w:rPr>
          <w:fldChar w:fldCharType="begin"/>
        </w:r>
        <w:r w:rsidR="00DF0F11" w:rsidRPr="00E52A4A">
          <w:rPr>
            <w:noProof/>
            <w:webHidden/>
          </w:rPr>
          <w:instrText xml:space="preserve"> PAGEREF _Toc162331703 \h </w:instrText>
        </w:r>
        <w:r w:rsidR="00DF0F11" w:rsidRPr="00E52A4A">
          <w:rPr>
            <w:noProof/>
            <w:webHidden/>
          </w:rPr>
        </w:r>
        <w:r w:rsidR="00DF0F11" w:rsidRPr="00E52A4A">
          <w:rPr>
            <w:noProof/>
            <w:webHidden/>
          </w:rPr>
          <w:fldChar w:fldCharType="separate"/>
        </w:r>
        <w:r w:rsidR="00E52A4A">
          <w:rPr>
            <w:noProof/>
            <w:webHidden/>
          </w:rPr>
          <w:t>13</w:t>
        </w:r>
        <w:r w:rsidR="00DF0F11" w:rsidRPr="00E52A4A">
          <w:rPr>
            <w:noProof/>
            <w:webHidden/>
          </w:rPr>
          <w:fldChar w:fldCharType="end"/>
        </w:r>
      </w:hyperlink>
    </w:p>
    <w:p w14:paraId="6F2EA605" w14:textId="1AC79D62" w:rsidR="00DF0F11" w:rsidRPr="00E52A4A" w:rsidRDefault="003065A0">
      <w:pPr>
        <w:pStyle w:val="TOC1"/>
        <w:rPr>
          <w:rFonts w:asciiTheme="minorHAnsi" w:eastAsiaTheme="minorEastAsia" w:hAnsiTheme="minorHAnsi" w:cstheme="minorBidi"/>
          <w:noProof/>
          <w:kern w:val="2"/>
          <w:sz w:val="22"/>
          <w:szCs w:val="22"/>
          <w:lang w:eastAsia="fr-FR"/>
          <w14:ligatures w14:val="standardContextual"/>
        </w:rPr>
      </w:pPr>
      <w:hyperlink w:anchor="_Toc162331704" w:history="1">
        <w:r w:rsidR="00DF0F11" w:rsidRPr="00E52A4A">
          <w:rPr>
            <w:rStyle w:val="Hyperlink"/>
            <w:noProof/>
          </w:rPr>
          <w:t>Rapport du Vérificateur extérieur à l'Union internationale des télécommunications</w:t>
        </w:r>
        <w:r w:rsidR="00DF0F11" w:rsidRPr="00E52A4A">
          <w:rPr>
            <w:noProof/>
            <w:webHidden/>
          </w:rPr>
          <w:tab/>
        </w:r>
        <w:r w:rsidR="00DF0F11" w:rsidRPr="00E52A4A">
          <w:rPr>
            <w:noProof/>
            <w:webHidden/>
          </w:rPr>
          <w:tab/>
        </w:r>
        <w:r w:rsidR="00DF0F11" w:rsidRPr="00E52A4A">
          <w:rPr>
            <w:noProof/>
            <w:webHidden/>
          </w:rPr>
          <w:fldChar w:fldCharType="begin"/>
        </w:r>
        <w:r w:rsidR="00DF0F11" w:rsidRPr="00E52A4A">
          <w:rPr>
            <w:noProof/>
            <w:webHidden/>
          </w:rPr>
          <w:instrText xml:space="preserve"> PAGEREF _Toc162331704 \h </w:instrText>
        </w:r>
        <w:r w:rsidR="00DF0F11" w:rsidRPr="00E52A4A">
          <w:rPr>
            <w:noProof/>
            <w:webHidden/>
          </w:rPr>
        </w:r>
        <w:r w:rsidR="00DF0F11" w:rsidRPr="00E52A4A">
          <w:rPr>
            <w:noProof/>
            <w:webHidden/>
          </w:rPr>
          <w:fldChar w:fldCharType="separate"/>
        </w:r>
        <w:r w:rsidR="00E52A4A">
          <w:rPr>
            <w:noProof/>
            <w:webHidden/>
          </w:rPr>
          <w:t>20</w:t>
        </w:r>
        <w:r w:rsidR="00DF0F11" w:rsidRPr="00E52A4A">
          <w:rPr>
            <w:noProof/>
            <w:webHidden/>
          </w:rPr>
          <w:fldChar w:fldCharType="end"/>
        </w:r>
      </w:hyperlink>
    </w:p>
    <w:p w14:paraId="6BA3EE66" w14:textId="1203D724" w:rsidR="00DF0F11" w:rsidRPr="00E52A4A" w:rsidRDefault="003065A0">
      <w:pPr>
        <w:pStyle w:val="TOC1"/>
        <w:rPr>
          <w:rFonts w:asciiTheme="minorHAnsi" w:eastAsiaTheme="minorEastAsia" w:hAnsiTheme="minorHAnsi" w:cstheme="minorBidi"/>
          <w:noProof/>
          <w:kern w:val="2"/>
          <w:sz w:val="22"/>
          <w:szCs w:val="22"/>
          <w:lang w:eastAsia="fr-FR"/>
          <w14:ligatures w14:val="standardContextual"/>
        </w:rPr>
      </w:pPr>
      <w:hyperlink w:anchor="_Toc162331705" w:history="1">
        <w:r w:rsidR="00DF0F11" w:rsidRPr="00E52A4A">
          <w:rPr>
            <w:rStyle w:val="Hyperlink"/>
            <w:noProof/>
          </w:rPr>
          <w:t>États financiers</w:t>
        </w:r>
        <w:r w:rsidR="00DF0F11" w:rsidRPr="00E52A4A">
          <w:rPr>
            <w:noProof/>
            <w:webHidden/>
          </w:rPr>
          <w:tab/>
        </w:r>
        <w:r w:rsidR="00DF0F11" w:rsidRPr="00E52A4A">
          <w:rPr>
            <w:noProof/>
            <w:webHidden/>
          </w:rPr>
          <w:tab/>
        </w:r>
        <w:r w:rsidR="00DF0F11" w:rsidRPr="00E52A4A">
          <w:rPr>
            <w:noProof/>
            <w:webHidden/>
          </w:rPr>
          <w:fldChar w:fldCharType="begin"/>
        </w:r>
        <w:r w:rsidR="00DF0F11" w:rsidRPr="00E52A4A">
          <w:rPr>
            <w:noProof/>
            <w:webHidden/>
          </w:rPr>
          <w:instrText xml:space="preserve"> PAGEREF _Toc162331705 \h </w:instrText>
        </w:r>
        <w:r w:rsidR="00DF0F11" w:rsidRPr="00E52A4A">
          <w:rPr>
            <w:noProof/>
            <w:webHidden/>
          </w:rPr>
        </w:r>
        <w:r w:rsidR="00DF0F11" w:rsidRPr="00E52A4A">
          <w:rPr>
            <w:noProof/>
            <w:webHidden/>
          </w:rPr>
          <w:fldChar w:fldCharType="separate"/>
        </w:r>
        <w:r w:rsidR="00E52A4A">
          <w:rPr>
            <w:noProof/>
            <w:webHidden/>
          </w:rPr>
          <w:t>24</w:t>
        </w:r>
        <w:r w:rsidR="00DF0F11" w:rsidRPr="00E52A4A">
          <w:rPr>
            <w:noProof/>
            <w:webHidden/>
          </w:rPr>
          <w:fldChar w:fldCharType="end"/>
        </w:r>
      </w:hyperlink>
    </w:p>
    <w:p w14:paraId="0AFD9E24" w14:textId="1B33825E" w:rsidR="00DF0F11" w:rsidRPr="00E52A4A" w:rsidRDefault="003065A0">
      <w:pPr>
        <w:pStyle w:val="TOC1"/>
        <w:rPr>
          <w:rFonts w:asciiTheme="minorHAnsi" w:eastAsiaTheme="minorEastAsia" w:hAnsiTheme="minorHAnsi" w:cstheme="minorBidi"/>
          <w:noProof/>
          <w:kern w:val="2"/>
          <w:sz w:val="22"/>
          <w:szCs w:val="22"/>
          <w:lang w:eastAsia="fr-FR"/>
          <w14:ligatures w14:val="standardContextual"/>
        </w:rPr>
      </w:pPr>
      <w:hyperlink w:anchor="_Toc162331706" w:history="1">
        <w:r w:rsidR="00DF0F11" w:rsidRPr="00E52A4A">
          <w:rPr>
            <w:rStyle w:val="Hyperlink"/>
            <w:noProof/>
          </w:rPr>
          <w:t>État I: État de la situation financière</w:t>
        </w:r>
      </w:hyperlink>
    </w:p>
    <w:p w14:paraId="3EA891E3" w14:textId="43E3F4CF" w:rsidR="00DF0F11" w:rsidRPr="00E52A4A" w:rsidRDefault="003065A0">
      <w:pPr>
        <w:pStyle w:val="TOC1"/>
        <w:rPr>
          <w:rFonts w:asciiTheme="minorHAnsi" w:eastAsiaTheme="minorEastAsia" w:hAnsiTheme="minorHAnsi" w:cstheme="minorBidi"/>
          <w:noProof/>
          <w:kern w:val="2"/>
          <w:sz w:val="22"/>
          <w:szCs w:val="22"/>
          <w:lang w:eastAsia="fr-FR"/>
          <w14:ligatures w14:val="standardContextual"/>
        </w:rPr>
      </w:pPr>
      <w:hyperlink w:anchor="_Toc162331707" w:history="1">
        <w:r w:rsidR="00DF0F11" w:rsidRPr="00E52A4A">
          <w:rPr>
            <w:rStyle w:val="Hyperlink"/>
            <w:noProof/>
          </w:rPr>
          <w:t>État II: État de la performance financière</w:t>
        </w:r>
      </w:hyperlink>
    </w:p>
    <w:p w14:paraId="63F17DE4" w14:textId="207F04B2" w:rsidR="00DF0F11" w:rsidRPr="00E52A4A" w:rsidRDefault="003065A0">
      <w:pPr>
        <w:pStyle w:val="TOC1"/>
        <w:rPr>
          <w:rFonts w:asciiTheme="minorHAnsi" w:eastAsiaTheme="minorEastAsia" w:hAnsiTheme="minorHAnsi" w:cstheme="minorBidi"/>
          <w:noProof/>
          <w:kern w:val="2"/>
          <w:sz w:val="22"/>
          <w:szCs w:val="22"/>
          <w:lang w:eastAsia="fr-FR"/>
          <w14:ligatures w14:val="standardContextual"/>
        </w:rPr>
      </w:pPr>
      <w:hyperlink w:anchor="_Toc162331708" w:history="1">
        <w:r w:rsidR="00DF0F11" w:rsidRPr="00E52A4A">
          <w:rPr>
            <w:rStyle w:val="Hyperlink"/>
            <w:noProof/>
          </w:rPr>
          <w:t>État III: État des variations de l'actif net</w:t>
        </w:r>
      </w:hyperlink>
    </w:p>
    <w:p w14:paraId="42777828" w14:textId="79252164" w:rsidR="00DF0F11" w:rsidRPr="00E52A4A" w:rsidRDefault="003065A0">
      <w:pPr>
        <w:pStyle w:val="TOC1"/>
        <w:rPr>
          <w:rFonts w:asciiTheme="minorHAnsi" w:eastAsiaTheme="minorEastAsia" w:hAnsiTheme="minorHAnsi" w:cstheme="minorBidi"/>
          <w:noProof/>
          <w:kern w:val="2"/>
          <w:sz w:val="22"/>
          <w:szCs w:val="22"/>
          <w:lang w:eastAsia="fr-FR"/>
          <w14:ligatures w14:val="standardContextual"/>
        </w:rPr>
      </w:pPr>
      <w:hyperlink w:anchor="_Toc162331709" w:history="1">
        <w:r w:rsidR="00DF0F11" w:rsidRPr="00E52A4A">
          <w:rPr>
            <w:rStyle w:val="Hyperlink"/>
            <w:noProof/>
          </w:rPr>
          <w:t>État IV: État des flux de trésorerie</w:t>
        </w:r>
      </w:hyperlink>
    </w:p>
    <w:p w14:paraId="7C4978AF" w14:textId="221D0979" w:rsidR="00DF0F11" w:rsidRPr="00E52A4A" w:rsidRDefault="003065A0">
      <w:pPr>
        <w:pStyle w:val="TOC1"/>
        <w:rPr>
          <w:rFonts w:asciiTheme="minorHAnsi" w:eastAsiaTheme="minorEastAsia" w:hAnsiTheme="minorHAnsi" w:cstheme="minorBidi"/>
          <w:noProof/>
          <w:kern w:val="2"/>
          <w:sz w:val="22"/>
          <w:szCs w:val="22"/>
          <w:lang w:eastAsia="fr-FR"/>
          <w14:ligatures w14:val="standardContextual"/>
        </w:rPr>
      </w:pPr>
      <w:hyperlink w:anchor="_Toc162331710" w:history="1">
        <w:r w:rsidR="00DF0F11" w:rsidRPr="00E52A4A">
          <w:rPr>
            <w:rStyle w:val="Hyperlink"/>
            <w:noProof/>
          </w:rPr>
          <w:t>État V: État de la comparaison des montants budgétés et des montants effectifs</w:t>
        </w:r>
      </w:hyperlink>
    </w:p>
    <w:p w14:paraId="29A7CFD5" w14:textId="6114E1BE" w:rsidR="00DF0F11" w:rsidRPr="00E52A4A" w:rsidRDefault="003065A0">
      <w:pPr>
        <w:pStyle w:val="TOC1"/>
        <w:rPr>
          <w:rFonts w:asciiTheme="minorHAnsi" w:eastAsiaTheme="minorEastAsia" w:hAnsiTheme="minorHAnsi" w:cstheme="minorBidi"/>
          <w:noProof/>
          <w:kern w:val="2"/>
          <w:sz w:val="22"/>
          <w:szCs w:val="22"/>
          <w:lang w:eastAsia="fr-FR"/>
          <w14:ligatures w14:val="standardContextual"/>
        </w:rPr>
      </w:pPr>
      <w:hyperlink w:anchor="_Toc162331711" w:history="1">
        <w:r w:rsidR="00DF0F11" w:rsidRPr="00E52A4A">
          <w:rPr>
            <w:rStyle w:val="Hyperlink"/>
            <w:noProof/>
          </w:rPr>
          <w:t>Notes relatives aux états financiers</w:t>
        </w:r>
      </w:hyperlink>
    </w:p>
    <w:p w14:paraId="25DCD467" w14:textId="05C40C16" w:rsidR="00DF0F11" w:rsidRPr="00E52A4A" w:rsidRDefault="003065A0">
      <w:pPr>
        <w:pStyle w:val="TOC1"/>
        <w:rPr>
          <w:rFonts w:asciiTheme="minorHAnsi" w:eastAsiaTheme="minorEastAsia" w:hAnsiTheme="minorHAnsi" w:cstheme="minorBidi"/>
          <w:noProof/>
          <w:kern w:val="2"/>
          <w:sz w:val="22"/>
          <w:szCs w:val="22"/>
          <w:lang w:eastAsia="fr-FR"/>
          <w14:ligatures w14:val="standardContextual"/>
        </w:rPr>
      </w:pPr>
      <w:hyperlink w:anchor="_Toc162331712" w:history="1">
        <w:r w:rsidR="00DF0F11" w:rsidRPr="00E52A4A">
          <w:rPr>
            <w:rStyle w:val="Hyperlink"/>
            <w:noProof/>
          </w:rPr>
          <w:t>Note 1</w:t>
        </w:r>
        <w:r w:rsidR="00DF0F11" w:rsidRPr="00E52A4A">
          <w:rPr>
            <w:rFonts w:asciiTheme="minorHAnsi" w:eastAsiaTheme="minorEastAsia" w:hAnsiTheme="minorHAnsi" w:cstheme="minorBidi"/>
            <w:noProof/>
            <w:kern w:val="2"/>
            <w:sz w:val="22"/>
            <w:szCs w:val="22"/>
            <w:lang w:eastAsia="fr-FR"/>
            <w14:ligatures w14:val="standardContextual"/>
          </w:rPr>
          <w:tab/>
        </w:r>
        <w:r w:rsidR="00DF0F11" w:rsidRPr="00E52A4A">
          <w:rPr>
            <w:rStyle w:val="Hyperlink"/>
            <w:noProof/>
          </w:rPr>
          <w:t>Objectifs de l'Union</w:t>
        </w:r>
        <w:r w:rsidR="00DF0F11" w:rsidRPr="00E52A4A">
          <w:rPr>
            <w:noProof/>
            <w:webHidden/>
          </w:rPr>
          <w:tab/>
        </w:r>
        <w:r w:rsidR="00DF0F11" w:rsidRPr="00E52A4A">
          <w:rPr>
            <w:noProof/>
            <w:webHidden/>
          </w:rPr>
          <w:tab/>
        </w:r>
        <w:r w:rsidR="00DF0F11" w:rsidRPr="00E52A4A">
          <w:rPr>
            <w:noProof/>
            <w:webHidden/>
          </w:rPr>
          <w:fldChar w:fldCharType="begin"/>
        </w:r>
        <w:r w:rsidR="00DF0F11" w:rsidRPr="00E52A4A">
          <w:rPr>
            <w:noProof/>
            <w:webHidden/>
          </w:rPr>
          <w:instrText xml:space="preserve"> PAGEREF _Toc162331712 \h </w:instrText>
        </w:r>
        <w:r w:rsidR="00DF0F11" w:rsidRPr="00E52A4A">
          <w:rPr>
            <w:noProof/>
            <w:webHidden/>
          </w:rPr>
        </w:r>
        <w:r w:rsidR="00DF0F11" w:rsidRPr="00E52A4A">
          <w:rPr>
            <w:noProof/>
            <w:webHidden/>
          </w:rPr>
          <w:fldChar w:fldCharType="separate"/>
        </w:r>
        <w:r w:rsidR="00E52A4A">
          <w:rPr>
            <w:noProof/>
            <w:webHidden/>
          </w:rPr>
          <w:t>29</w:t>
        </w:r>
        <w:r w:rsidR="00DF0F11" w:rsidRPr="00E52A4A">
          <w:rPr>
            <w:noProof/>
            <w:webHidden/>
          </w:rPr>
          <w:fldChar w:fldCharType="end"/>
        </w:r>
      </w:hyperlink>
    </w:p>
    <w:p w14:paraId="23CD4BD6" w14:textId="08E50D02" w:rsidR="00DF0F11" w:rsidRPr="00E52A4A" w:rsidRDefault="003065A0">
      <w:pPr>
        <w:pStyle w:val="TOC1"/>
        <w:rPr>
          <w:rFonts w:asciiTheme="minorHAnsi" w:eastAsiaTheme="minorEastAsia" w:hAnsiTheme="minorHAnsi" w:cstheme="minorBidi"/>
          <w:noProof/>
          <w:kern w:val="2"/>
          <w:sz w:val="22"/>
          <w:szCs w:val="22"/>
          <w:lang w:eastAsia="fr-FR"/>
          <w14:ligatures w14:val="standardContextual"/>
        </w:rPr>
      </w:pPr>
      <w:hyperlink w:anchor="_Toc162331713" w:history="1">
        <w:r w:rsidR="00DF0F11" w:rsidRPr="00E52A4A">
          <w:rPr>
            <w:rStyle w:val="Hyperlink"/>
            <w:noProof/>
          </w:rPr>
          <w:t>Note 2</w:t>
        </w:r>
        <w:r w:rsidR="00DF0F11" w:rsidRPr="00E52A4A">
          <w:rPr>
            <w:rFonts w:asciiTheme="minorHAnsi" w:eastAsiaTheme="minorEastAsia" w:hAnsiTheme="minorHAnsi" w:cstheme="minorBidi"/>
            <w:noProof/>
            <w:kern w:val="2"/>
            <w:sz w:val="22"/>
            <w:szCs w:val="22"/>
            <w:lang w:eastAsia="fr-FR"/>
            <w14:ligatures w14:val="standardContextual"/>
          </w:rPr>
          <w:tab/>
        </w:r>
        <w:r w:rsidR="00DF0F11" w:rsidRPr="00E52A4A">
          <w:rPr>
            <w:rStyle w:val="Hyperlink"/>
            <w:noProof/>
          </w:rPr>
          <w:t>Fondements de la préparation et de la présentation</w:t>
        </w:r>
        <w:r w:rsidR="00DF0F11" w:rsidRPr="00E52A4A">
          <w:rPr>
            <w:noProof/>
            <w:webHidden/>
          </w:rPr>
          <w:tab/>
        </w:r>
        <w:r w:rsidR="00DF0F11" w:rsidRPr="00E52A4A">
          <w:rPr>
            <w:noProof/>
            <w:webHidden/>
          </w:rPr>
          <w:tab/>
        </w:r>
        <w:r w:rsidR="00DF0F11" w:rsidRPr="00E52A4A">
          <w:rPr>
            <w:noProof/>
            <w:webHidden/>
          </w:rPr>
          <w:fldChar w:fldCharType="begin"/>
        </w:r>
        <w:r w:rsidR="00DF0F11" w:rsidRPr="00E52A4A">
          <w:rPr>
            <w:noProof/>
            <w:webHidden/>
          </w:rPr>
          <w:instrText xml:space="preserve"> PAGEREF _Toc162331713 \h </w:instrText>
        </w:r>
        <w:r w:rsidR="00DF0F11" w:rsidRPr="00E52A4A">
          <w:rPr>
            <w:noProof/>
            <w:webHidden/>
          </w:rPr>
        </w:r>
        <w:r w:rsidR="00DF0F11" w:rsidRPr="00E52A4A">
          <w:rPr>
            <w:noProof/>
            <w:webHidden/>
          </w:rPr>
          <w:fldChar w:fldCharType="separate"/>
        </w:r>
        <w:r w:rsidR="00E52A4A">
          <w:rPr>
            <w:noProof/>
            <w:webHidden/>
          </w:rPr>
          <w:t>31</w:t>
        </w:r>
        <w:r w:rsidR="00DF0F11" w:rsidRPr="00E52A4A">
          <w:rPr>
            <w:noProof/>
            <w:webHidden/>
          </w:rPr>
          <w:fldChar w:fldCharType="end"/>
        </w:r>
      </w:hyperlink>
    </w:p>
    <w:p w14:paraId="15E3111C" w14:textId="2809BCDF" w:rsidR="00DF0F11" w:rsidRPr="00E52A4A" w:rsidRDefault="003065A0">
      <w:pPr>
        <w:pStyle w:val="TOC1"/>
        <w:rPr>
          <w:rFonts w:asciiTheme="minorHAnsi" w:eastAsiaTheme="minorEastAsia" w:hAnsiTheme="minorHAnsi" w:cstheme="minorBidi"/>
          <w:noProof/>
          <w:kern w:val="2"/>
          <w:sz w:val="22"/>
          <w:szCs w:val="22"/>
          <w:lang w:eastAsia="fr-FR"/>
          <w14:ligatures w14:val="standardContextual"/>
        </w:rPr>
      </w:pPr>
      <w:hyperlink w:anchor="_Toc162331714" w:history="1">
        <w:r w:rsidR="00DF0F11" w:rsidRPr="00E52A4A">
          <w:rPr>
            <w:rStyle w:val="Hyperlink"/>
            <w:noProof/>
          </w:rPr>
          <w:t>Note 3</w:t>
        </w:r>
        <w:r w:rsidR="00DF0F11" w:rsidRPr="00E52A4A">
          <w:rPr>
            <w:rFonts w:asciiTheme="minorHAnsi" w:eastAsiaTheme="minorEastAsia" w:hAnsiTheme="minorHAnsi" w:cstheme="minorBidi"/>
            <w:noProof/>
            <w:kern w:val="2"/>
            <w:sz w:val="22"/>
            <w:szCs w:val="22"/>
            <w:lang w:eastAsia="fr-FR"/>
            <w14:ligatures w14:val="standardContextual"/>
          </w:rPr>
          <w:tab/>
        </w:r>
        <w:r w:rsidR="00DF0F11" w:rsidRPr="00E52A4A">
          <w:rPr>
            <w:rStyle w:val="Hyperlink"/>
            <w:noProof/>
          </w:rPr>
          <w:t>Principales méthodes comptables</w:t>
        </w:r>
        <w:r w:rsidR="00DF0F11" w:rsidRPr="00E52A4A">
          <w:rPr>
            <w:noProof/>
            <w:webHidden/>
          </w:rPr>
          <w:tab/>
        </w:r>
        <w:r w:rsidR="00DF0F11" w:rsidRPr="00E52A4A">
          <w:rPr>
            <w:noProof/>
            <w:webHidden/>
          </w:rPr>
          <w:tab/>
        </w:r>
        <w:r w:rsidR="00DF0F11" w:rsidRPr="00E52A4A">
          <w:rPr>
            <w:noProof/>
            <w:webHidden/>
          </w:rPr>
          <w:fldChar w:fldCharType="begin"/>
        </w:r>
        <w:r w:rsidR="00DF0F11" w:rsidRPr="00E52A4A">
          <w:rPr>
            <w:noProof/>
            <w:webHidden/>
          </w:rPr>
          <w:instrText xml:space="preserve"> PAGEREF _Toc162331714 \h </w:instrText>
        </w:r>
        <w:r w:rsidR="00DF0F11" w:rsidRPr="00E52A4A">
          <w:rPr>
            <w:noProof/>
            <w:webHidden/>
          </w:rPr>
        </w:r>
        <w:r w:rsidR="00DF0F11" w:rsidRPr="00E52A4A">
          <w:rPr>
            <w:noProof/>
            <w:webHidden/>
          </w:rPr>
          <w:fldChar w:fldCharType="separate"/>
        </w:r>
        <w:r w:rsidR="00E52A4A">
          <w:rPr>
            <w:noProof/>
            <w:webHidden/>
          </w:rPr>
          <w:t>33</w:t>
        </w:r>
        <w:r w:rsidR="00DF0F11" w:rsidRPr="00E52A4A">
          <w:rPr>
            <w:noProof/>
            <w:webHidden/>
          </w:rPr>
          <w:fldChar w:fldCharType="end"/>
        </w:r>
      </w:hyperlink>
    </w:p>
    <w:p w14:paraId="431413C6" w14:textId="3B5F9A0F" w:rsidR="00DF0F11" w:rsidRPr="00E52A4A" w:rsidRDefault="003065A0">
      <w:pPr>
        <w:pStyle w:val="TOC1"/>
        <w:rPr>
          <w:rFonts w:asciiTheme="minorHAnsi" w:eastAsiaTheme="minorEastAsia" w:hAnsiTheme="minorHAnsi" w:cstheme="minorBidi"/>
          <w:noProof/>
          <w:kern w:val="2"/>
          <w:sz w:val="22"/>
          <w:szCs w:val="22"/>
          <w:lang w:eastAsia="fr-FR"/>
          <w14:ligatures w14:val="standardContextual"/>
        </w:rPr>
      </w:pPr>
      <w:hyperlink w:anchor="_Toc162331715" w:history="1">
        <w:r w:rsidR="00DF0F11" w:rsidRPr="00E52A4A">
          <w:rPr>
            <w:rStyle w:val="Hyperlink"/>
            <w:noProof/>
          </w:rPr>
          <w:t>Note 4</w:t>
        </w:r>
        <w:r w:rsidR="00DF0F11" w:rsidRPr="00E52A4A">
          <w:rPr>
            <w:rFonts w:asciiTheme="minorHAnsi" w:eastAsiaTheme="minorEastAsia" w:hAnsiTheme="minorHAnsi" w:cstheme="minorBidi"/>
            <w:noProof/>
            <w:kern w:val="2"/>
            <w:sz w:val="22"/>
            <w:szCs w:val="22"/>
            <w:lang w:eastAsia="fr-FR"/>
            <w14:ligatures w14:val="standardContextual"/>
          </w:rPr>
          <w:tab/>
        </w:r>
        <w:r w:rsidR="00DF0F11" w:rsidRPr="00E52A4A">
          <w:rPr>
            <w:rStyle w:val="Hyperlink"/>
            <w:noProof/>
          </w:rPr>
          <w:t>Gestion de l'actif net</w:t>
        </w:r>
        <w:r w:rsidR="00DF0F11" w:rsidRPr="00E52A4A">
          <w:rPr>
            <w:noProof/>
            <w:webHidden/>
          </w:rPr>
          <w:tab/>
        </w:r>
        <w:r w:rsidR="00DF0F11" w:rsidRPr="00E52A4A">
          <w:rPr>
            <w:noProof/>
            <w:webHidden/>
          </w:rPr>
          <w:tab/>
        </w:r>
        <w:r w:rsidR="00DF0F11" w:rsidRPr="00E52A4A">
          <w:rPr>
            <w:noProof/>
            <w:webHidden/>
          </w:rPr>
          <w:fldChar w:fldCharType="begin"/>
        </w:r>
        <w:r w:rsidR="00DF0F11" w:rsidRPr="00E52A4A">
          <w:rPr>
            <w:noProof/>
            <w:webHidden/>
          </w:rPr>
          <w:instrText xml:space="preserve"> PAGEREF _Toc162331715 \h </w:instrText>
        </w:r>
        <w:r w:rsidR="00DF0F11" w:rsidRPr="00E52A4A">
          <w:rPr>
            <w:noProof/>
            <w:webHidden/>
          </w:rPr>
        </w:r>
        <w:r w:rsidR="00DF0F11" w:rsidRPr="00E52A4A">
          <w:rPr>
            <w:noProof/>
            <w:webHidden/>
          </w:rPr>
          <w:fldChar w:fldCharType="separate"/>
        </w:r>
        <w:r w:rsidR="00E52A4A">
          <w:rPr>
            <w:noProof/>
            <w:webHidden/>
          </w:rPr>
          <w:t>47</w:t>
        </w:r>
        <w:r w:rsidR="00DF0F11" w:rsidRPr="00E52A4A">
          <w:rPr>
            <w:noProof/>
            <w:webHidden/>
          </w:rPr>
          <w:fldChar w:fldCharType="end"/>
        </w:r>
      </w:hyperlink>
    </w:p>
    <w:p w14:paraId="74475A09" w14:textId="45BB6B2D" w:rsidR="00DF0F11" w:rsidRPr="00E52A4A" w:rsidRDefault="003065A0">
      <w:pPr>
        <w:pStyle w:val="TOC1"/>
        <w:rPr>
          <w:rFonts w:asciiTheme="minorHAnsi" w:eastAsiaTheme="minorEastAsia" w:hAnsiTheme="minorHAnsi" w:cstheme="minorBidi"/>
          <w:noProof/>
          <w:kern w:val="2"/>
          <w:sz w:val="22"/>
          <w:szCs w:val="22"/>
          <w:lang w:eastAsia="fr-FR"/>
          <w14:ligatures w14:val="standardContextual"/>
        </w:rPr>
      </w:pPr>
      <w:hyperlink w:anchor="_Toc162331716" w:history="1">
        <w:r w:rsidR="00DF0F11" w:rsidRPr="00E52A4A">
          <w:rPr>
            <w:rStyle w:val="Hyperlink"/>
            <w:noProof/>
          </w:rPr>
          <w:t>Note 5</w:t>
        </w:r>
        <w:r w:rsidR="00DF0F11" w:rsidRPr="00E52A4A">
          <w:rPr>
            <w:rFonts w:asciiTheme="minorHAnsi" w:eastAsiaTheme="minorEastAsia" w:hAnsiTheme="minorHAnsi" w:cstheme="minorBidi"/>
            <w:noProof/>
            <w:kern w:val="2"/>
            <w:sz w:val="22"/>
            <w:szCs w:val="22"/>
            <w:lang w:eastAsia="fr-FR"/>
            <w14:ligatures w14:val="standardContextual"/>
          </w:rPr>
          <w:tab/>
        </w:r>
        <w:r w:rsidR="00DF0F11" w:rsidRPr="00E52A4A">
          <w:rPr>
            <w:rStyle w:val="Hyperlink"/>
            <w:noProof/>
          </w:rPr>
          <w:t>Gestion des risques financiers</w:t>
        </w:r>
        <w:r w:rsidR="00DF0F11" w:rsidRPr="00E52A4A">
          <w:rPr>
            <w:noProof/>
            <w:webHidden/>
          </w:rPr>
          <w:tab/>
        </w:r>
        <w:r w:rsidR="00DF0F11" w:rsidRPr="00E52A4A">
          <w:rPr>
            <w:noProof/>
            <w:webHidden/>
          </w:rPr>
          <w:tab/>
        </w:r>
        <w:r w:rsidR="00DF0F11" w:rsidRPr="00E52A4A">
          <w:rPr>
            <w:noProof/>
            <w:webHidden/>
          </w:rPr>
          <w:fldChar w:fldCharType="begin"/>
        </w:r>
        <w:r w:rsidR="00DF0F11" w:rsidRPr="00E52A4A">
          <w:rPr>
            <w:noProof/>
            <w:webHidden/>
          </w:rPr>
          <w:instrText xml:space="preserve"> PAGEREF _Toc162331716 \h </w:instrText>
        </w:r>
        <w:r w:rsidR="00DF0F11" w:rsidRPr="00E52A4A">
          <w:rPr>
            <w:noProof/>
            <w:webHidden/>
          </w:rPr>
        </w:r>
        <w:r w:rsidR="00DF0F11" w:rsidRPr="00E52A4A">
          <w:rPr>
            <w:noProof/>
            <w:webHidden/>
          </w:rPr>
          <w:fldChar w:fldCharType="separate"/>
        </w:r>
        <w:r w:rsidR="00E52A4A">
          <w:rPr>
            <w:noProof/>
            <w:webHidden/>
          </w:rPr>
          <w:t>48</w:t>
        </w:r>
        <w:r w:rsidR="00DF0F11" w:rsidRPr="00E52A4A">
          <w:rPr>
            <w:noProof/>
            <w:webHidden/>
          </w:rPr>
          <w:fldChar w:fldCharType="end"/>
        </w:r>
      </w:hyperlink>
    </w:p>
    <w:p w14:paraId="7055F391" w14:textId="4CE27E5E" w:rsidR="00DF0F11" w:rsidRPr="00E52A4A" w:rsidRDefault="003065A0">
      <w:pPr>
        <w:pStyle w:val="TOC1"/>
        <w:rPr>
          <w:rFonts w:asciiTheme="minorHAnsi" w:eastAsiaTheme="minorEastAsia" w:hAnsiTheme="minorHAnsi" w:cstheme="minorBidi"/>
          <w:noProof/>
          <w:kern w:val="2"/>
          <w:sz w:val="22"/>
          <w:szCs w:val="22"/>
          <w:lang w:eastAsia="fr-FR"/>
          <w14:ligatures w14:val="standardContextual"/>
        </w:rPr>
      </w:pPr>
      <w:hyperlink w:anchor="_Toc162331717" w:history="1">
        <w:r w:rsidR="00DF0F11" w:rsidRPr="00E52A4A">
          <w:rPr>
            <w:rStyle w:val="Hyperlink"/>
            <w:noProof/>
          </w:rPr>
          <w:t>Note 6</w:t>
        </w:r>
        <w:r w:rsidR="00DF0F11" w:rsidRPr="00E52A4A">
          <w:rPr>
            <w:rFonts w:asciiTheme="minorHAnsi" w:eastAsiaTheme="minorEastAsia" w:hAnsiTheme="minorHAnsi" w:cstheme="minorBidi"/>
            <w:noProof/>
            <w:kern w:val="2"/>
            <w:sz w:val="22"/>
            <w:szCs w:val="22"/>
            <w:lang w:eastAsia="fr-FR"/>
            <w14:ligatures w14:val="standardContextual"/>
          </w:rPr>
          <w:tab/>
        </w:r>
        <w:r w:rsidR="00DF0F11" w:rsidRPr="00E52A4A">
          <w:rPr>
            <w:rStyle w:val="Hyperlink"/>
            <w:noProof/>
          </w:rPr>
          <w:t>Jugement et estimations comptables</w:t>
        </w:r>
        <w:r w:rsidR="00DF0F11" w:rsidRPr="00E52A4A">
          <w:rPr>
            <w:noProof/>
            <w:webHidden/>
          </w:rPr>
          <w:tab/>
        </w:r>
        <w:r w:rsidR="00DF0F11" w:rsidRPr="00E52A4A">
          <w:rPr>
            <w:noProof/>
            <w:webHidden/>
          </w:rPr>
          <w:tab/>
        </w:r>
        <w:r w:rsidR="00DF0F11" w:rsidRPr="00E52A4A">
          <w:rPr>
            <w:noProof/>
            <w:webHidden/>
          </w:rPr>
          <w:fldChar w:fldCharType="begin"/>
        </w:r>
        <w:r w:rsidR="00DF0F11" w:rsidRPr="00E52A4A">
          <w:rPr>
            <w:noProof/>
            <w:webHidden/>
          </w:rPr>
          <w:instrText xml:space="preserve"> PAGEREF _Toc162331717 \h </w:instrText>
        </w:r>
        <w:r w:rsidR="00DF0F11" w:rsidRPr="00E52A4A">
          <w:rPr>
            <w:noProof/>
            <w:webHidden/>
          </w:rPr>
        </w:r>
        <w:r w:rsidR="00DF0F11" w:rsidRPr="00E52A4A">
          <w:rPr>
            <w:noProof/>
            <w:webHidden/>
          </w:rPr>
          <w:fldChar w:fldCharType="separate"/>
        </w:r>
        <w:r w:rsidR="00E52A4A">
          <w:rPr>
            <w:noProof/>
            <w:webHidden/>
          </w:rPr>
          <w:t>52</w:t>
        </w:r>
        <w:r w:rsidR="00DF0F11" w:rsidRPr="00E52A4A">
          <w:rPr>
            <w:noProof/>
            <w:webHidden/>
          </w:rPr>
          <w:fldChar w:fldCharType="end"/>
        </w:r>
      </w:hyperlink>
    </w:p>
    <w:p w14:paraId="2C6DFBE3" w14:textId="0B7B6F23" w:rsidR="00DF0F11" w:rsidRPr="00E52A4A" w:rsidRDefault="003065A0">
      <w:pPr>
        <w:pStyle w:val="TOC1"/>
        <w:rPr>
          <w:rFonts w:asciiTheme="minorHAnsi" w:eastAsiaTheme="minorEastAsia" w:hAnsiTheme="minorHAnsi" w:cstheme="minorBidi"/>
          <w:noProof/>
          <w:kern w:val="2"/>
          <w:sz w:val="22"/>
          <w:szCs w:val="22"/>
          <w:lang w:eastAsia="fr-FR"/>
          <w14:ligatures w14:val="standardContextual"/>
        </w:rPr>
      </w:pPr>
      <w:hyperlink w:anchor="_Toc162331718" w:history="1">
        <w:r w:rsidR="00DF0F11" w:rsidRPr="00E52A4A">
          <w:rPr>
            <w:rStyle w:val="Hyperlink"/>
            <w:noProof/>
          </w:rPr>
          <w:t>Note 7</w:t>
        </w:r>
        <w:r w:rsidR="00DF0F11" w:rsidRPr="00E52A4A">
          <w:rPr>
            <w:rFonts w:asciiTheme="minorHAnsi" w:eastAsiaTheme="minorEastAsia" w:hAnsiTheme="minorHAnsi" w:cstheme="minorBidi"/>
            <w:noProof/>
            <w:kern w:val="2"/>
            <w:sz w:val="22"/>
            <w:szCs w:val="22"/>
            <w:lang w:eastAsia="fr-FR"/>
            <w14:ligatures w14:val="standardContextual"/>
          </w:rPr>
          <w:tab/>
        </w:r>
        <w:r w:rsidR="00DF0F11" w:rsidRPr="00E52A4A">
          <w:rPr>
            <w:rStyle w:val="Hyperlink"/>
            <w:noProof/>
          </w:rPr>
          <w:t>Trésorerie et équivalents de trésorerie</w:t>
        </w:r>
        <w:r w:rsidR="00DF0F11" w:rsidRPr="00E52A4A">
          <w:rPr>
            <w:noProof/>
            <w:webHidden/>
          </w:rPr>
          <w:tab/>
        </w:r>
        <w:r w:rsidR="00DF0F11" w:rsidRPr="00E52A4A">
          <w:rPr>
            <w:noProof/>
            <w:webHidden/>
          </w:rPr>
          <w:tab/>
        </w:r>
        <w:r w:rsidR="00DF0F11" w:rsidRPr="00E52A4A">
          <w:rPr>
            <w:noProof/>
            <w:webHidden/>
          </w:rPr>
          <w:fldChar w:fldCharType="begin"/>
        </w:r>
        <w:r w:rsidR="00DF0F11" w:rsidRPr="00E52A4A">
          <w:rPr>
            <w:noProof/>
            <w:webHidden/>
          </w:rPr>
          <w:instrText xml:space="preserve"> PAGEREF _Toc162331718 \h </w:instrText>
        </w:r>
        <w:r w:rsidR="00DF0F11" w:rsidRPr="00E52A4A">
          <w:rPr>
            <w:noProof/>
            <w:webHidden/>
          </w:rPr>
        </w:r>
        <w:r w:rsidR="00DF0F11" w:rsidRPr="00E52A4A">
          <w:rPr>
            <w:noProof/>
            <w:webHidden/>
          </w:rPr>
          <w:fldChar w:fldCharType="separate"/>
        </w:r>
        <w:r w:rsidR="00E52A4A">
          <w:rPr>
            <w:noProof/>
            <w:webHidden/>
          </w:rPr>
          <w:t>52</w:t>
        </w:r>
        <w:r w:rsidR="00DF0F11" w:rsidRPr="00E52A4A">
          <w:rPr>
            <w:noProof/>
            <w:webHidden/>
          </w:rPr>
          <w:fldChar w:fldCharType="end"/>
        </w:r>
      </w:hyperlink>
    </w:p>
    <w:p w14:paraId="1264F0D6" w14:textId="0F5406A2" w:rsidR="00DF0F11" w:rsidRPr="00E52A4A" w:rsidRDefault="003065A0">
      <w:pPr>
        <w:pStyle w:val="TOC1"/>
        <w:rPr>
          <w:rFonts w:asciiTheme="minorHAnsi" w:eastAsiaTheme="minorEastAsia" w:hAnsiTheme="minorHAnsi" w:cstheme="minorBidi"/>
          <w:noProof/>
          <w:kern w:val="2"/>
          <w:sz w:val="22"/>
          <w:szCs w:val="22"/>
          <w:lang w:eastAsia="fr-FR"/>
          <w14:ligatures w14:val="standardContextual"/>
        </w:rPr>
      </w:pPr>
      <w:hyperlink w:anchor="_Toc162331719" w:history="1">
        <w:r w:rsidR="00DF0F11" w:rsidRPr="00E52A4A">
          <w:rPr>
            <w:rStyle w:val="Hyperlink"/>
            <w:noProof/>
          </w:rPr>
          <w:t>Note 8</w:t>
        </w:r>
        <w:r w:rsidR="00DF0F11" w:rsidRPr="00E52A4A">
          <w:rPr>
            <w:rFonts w:asciiTheme="minorHAnsi" w:eastAsiaTheme="minorEastAsia" w:hAnsiTheme="minorHAnsi" w:cstheme="minorBidi"/>
            <w:noProof/>
            <w:kern w:val="2"/>
            <w:sz w:val="22"/>
            <w:szCs w:val="22"/>
            <w:lang w:eastAsia="fr-FR"/>
            <w14:ligatures w14:val="standardContextual"/>
          </w:rPr>
          <w:tab/>
        </w:r>
        <w:r w:rsidR="00DF0F11" w:rsidRPr="00E52A4A">
          <w:rPr>
            <w:rStyle w:val="Hyperlink"/>
            <w:noProof/>
          </w:rPr>
          <w:t>Placements</w:t>
        </w:r>
        <w:r w:rsidR="00DF0F11" w:rsidRPr="00E52A4A">
          <w:rPr>
            <w:noProof/>
            <w:webHidden/>
          </w:rPr>
          <w:tab/>
        </w:r>
        <w:r w:rsidR="00DF0F11" w:rsidRPr="00E52A4A">
          <w:rPr>
            <w:noProof/>
            <w:webHidden/>
          </w:rPr>
          <w:tab/>
        </w:r>
        <w:r w:rsidR="00DF0F11" w:rsidRPr="00E52A4A">
          <w:rPr>
            <w:noProof/>
            <w:webHidden/>
          </w:rPr>
          <w:fldChar w:fldCharType="begin"/>
        </w:r>
        <w:r w:rsidR="00DF0F11" w:rsidRPr="00E52A4A">
          <w:rPr>
            <w:noProof/>
            <w:webHidden/>
          </w:rPr>
          <w:instrText xml:space="preserve"> PAGEREF _Toc162331719 \h </w:instrText>
        </w:r>
        <w:r w:rsidR="00DF0F11" w:rsidRPr="00E52A4A">
          <w:rPr>
            <w:noProof/>
            <w:webHidden/>
          </w:rPr>
        </w:r>
        <w:r w:rsidR="00DF0F11" w:rsidRPr="00E52A4A">
          <w:rPr>
            <w:noProof/>
            <w:webHidden/>
          </w:rPr>
          <w:fldChar w:fldCharType="separate"/>
        </w:r>
        <w:r w:rsidR="00E52A4A">
          <w:rPr>
            <w:noProof/>
            <w:webHidden/>
          </w:rPr>
          <w:t>53</w:t>
        </w:r>
        <w:r w:rsidR="00DF0F11" w:rsidRPr="00E52A4A">
          <w:rPr>
            <w:noProof/>
            <w:webHidden/>
          </w:rPr>
          <w:fldChar w:fldCharType="end"/>
        </w:r>
      </w:hyperlink>
    </w:p>
    <w:p w14:paraId="4577EC27" w14:textId="00896A80" w:rsidR="00DF0F11" w:rsidRPr="00E52A4A" w:rsidRDefault="003065A0">
      <w:pPr>
        <w:pStyle w:val="TOC1"/>
        <w:rPr>
          <w:rFonts w:asciiTheme="minorHAnsi" w:eastAsiaTheme="minorEastAsia" w:hAnsiTheme="minorHAnsi" w:cstheme="minorBidi"/>
          <w:noProof/>
          <w:kern w:val="2"/>
          <w:sz w:val="22"/>
          <w:szCs w:val="22"/>
          <w:lang w:eastAsia="fr-FR"/>
          <w14:ligatures w14:val="standardContextual"/>
        </w:rPr>
      </w:pPr>
      <w:hyperlink w:anchor="_Toc162331720" w:history="1">
        <w:r w:rsidR="00DF0F11" w:rsidRPr="00E52A4A">
          <w:rPr>
            <w:rStyle w:val="Hyperlink"/>
            <w:noProof/>
          </w:rPr>
          <w:t>Note 9</w:t>
        </w:r>
        <w:r w:rsidR="00DF0F11" w:rsidRPr="00E52A4A">
          <w:rPr>
            <w:rFonts w:asciiTheme="minorHAnsi" w:eastAsiaTheme="minorEastAsia" w:hAnsiTheme="minorHAnsi" w:cstheme="minorBidi"/>
            <w:noProof/>
            <w:kern w:val="2"/>
            <w:sz w:val="22"/>
            <w:szCs w:val="22"/>
            <w:lang w:eastAsia="fr-FR"/>
            <w14:ligatures w14:val="standardContextual"/>
          </w:rPr>
          <w:tab/>
        </w:r>
        <w:r w:rsidR="00DF0F11" w:rsidRPr="00E52A4A">
          <w:rPr>
            <w:rStyle w:val="Hyperlink"/>
            <w:noProof/>
          </w:rPr>
          <w:t>Créances</w:t>
        </w:r>
        <w:r w:rsidR="00DF0F11" w:rsidRPr="00E52A4A">
          <w:rPr>
            <w:noProof/>
            <w:webHidden/>
          </w:rPr>
          <w:tab/>
        </w:r>
        <w:r w:rsidR="00DF0F11" w:rsidRPr="00E52A4A">
          <w:rPr>
            <w:noProof/>
            <w:webHidden/>
          </w:rPr>
          <w:tab/>
        </w:r>
        <w:r w:rsidR="00DF0F11" w:rsidRPr="00E52A4A">
          <w:rPr>
            <w:noProof/>
            <w:webHidden/>
          </w:rPr>
          <w:fldChar w:fldCharType="begin"/>
        </w:r>
        <w:r w:rsidR="00DF0F11" w:rsidRPr="00E52A4A">
          <w:rPr>
            <w:noProof/>
            <w:webHidden/>
          </w:rPr>
          <w:instrText xml:space="preserve"> PAGEREF _Toc162331720 \h </w:instrText>
        </w:r>
        <w:r w:rsidR="00DF0F11" w:rsidRPr="00E52A4A">
          <w:rPr>
            <w:noProof/>
            <w:webHidden/>
          </w:rPr>
        </w:r>
        <w:r w:rsidR="00DF0F11" w:rsidRPr="00E52A4A">
          <w:rPr>
            <w:noProof/>
            <w:webHidden/>
          </w:rPr>
          <w:fldChar w:fldCharType="separate"/>
        </w:r>
        <w:r w:rsidR="00E52A4A">
          <w:rPr>
            <w:noProof/>
            <w:webHidden/>
          </w:rPr>
          <w:t>54</w:t>
        </w:r>
        <w:r w:rsidR="00DF0F11" w:rsidRPr="00E52A4A">
          <w:rPr>
            <w:noProof/>
            <w:webHidden/>
          </w:rPr>
          <w:fldChar w:fldCharType="end"/>
        </w:r>
      </w:hyperlink>
    </w:p>
    <w:p w14:paraId="24AB66AA" w14:textId="27D46E2A" w:rsidR="00DF0F11" w:rsidRPr="00E52A4A" w:rsidRDefault="003065A0">
      <w:pPr>
        <w:pStyle w:val="TOC1"/>
        <w:rPr>
          <w:rFonts w:asciiTheme="minorHAnsi" w:eastAsiaTheme="minorEastAsia" w:hAnsiTheme="minorHAnsi" w:cstheme="minorBidi"/>
          <w:noProof/>
          <w:kern w:val="2"/>
          <w:sz w:val="22"/>
          <w:szCs w:val="22"/>
          <w:lang w:eastAsia="fr-FR"/>
          <w14:ligatures w14:val="standardContextual"/>
        </w:rPr>
      </w:pPr>
      <w:hyperlink w:anchor="_Toc162331721" w:history="1">
        <w:r w:rsidR="00DF0F11" w:rsidRPr="00E52A4A">
          <w:rPr>
            <w:rStyle w:val="Hyperlink"/>
            <w:noProof/>
          </w:rPr>
          <w:t>Note 10</w:t>
        </w:r>
        <w:r w:rsidR="00DF0F11" w:rsidRPr="00E52A4A">
          <w:rPr>
            <w:rFonts w:asciiTheme="minorHAnsi" w:eastAsiaTheme="minorEastAsia" w:hAnsiTheme="minorHAnsi" w:cstheme="minorBidi"/>
            <w:noProof/>
            <w:kern w:val="2"/>
            <w:sz w:val="22"/>
            <w:szCs w:val="22"/>
            <w:lang w:eastAsia="fr-FR"/>
            <w14:ligatures w14:val="standardContextual"/>
          </w:rPr>
          <w:tab/>
        </w:r>
        <w:r w:rsidR="00DF0F11" w:rsidRPr="00E52A4A">
          <w:rPr>
            <w:rStyle w:val="Hyperlink"/>
            <w:noProof/>
          </w:rPr>
          <w:t>Stocks</w:t>
        </w:r>
        <w:r w:rsidR="00DF0F11" w:rsidRPr="00E52A4A">
          <w:rPr>
            <w:noProof/>
            <w:webHidden/>
          </w:rPr>
          <w:tab/>
        </w:r>
        <w:r w:rsidR="00DF0F11" w:rsidRPr="00E52A4A">
          <w:rPr>
            <w:noProof/>
            <w:webHidden/>
          </w:rPr>
          <w:tab/>
        </w:r>
        <w:r w:rsidR="00DF0F11" w:rsidRPr="00E52A4A">
          <w:rPr>
            <w:noProof/>
            <w:webHidden/>
          </w:rPr>
          <w:fldChar w:fldCharType="begin"/>
        </w:r>
        <w:r w:rsidR="00DF0F11" w:rsidRPr="00E52A4A">
          <w:rPr>
            <w:noProof/>
            <w:webHidden/>
          </w:rPr>
          <w:instrText xml:space="preserve"> PAGEREF _Toc162331721 \h </w:instrText>
        </w:r>
        <w:r w:rsidR="00DF0F11" w:rsidRPr="00E52A4A">
          <w:rPr>
            <w:noProof/>
            <w:webHidden/>
          </w:rPr>
        </w:r>
        <w:r w:rsidR="00DF0F11" w:rsidRPr="00E52A4A">
          <w:rPr>
            <w:noProof/>
            <w:webHidden/>
          </w:rPr>
          <w:fldChar w:fldCharType="separate"/>
        </w:r>
        <w:r w:rsidR="00E52A4A">
          <w:rPr>
            <w:noProof/>
            <w:webHidden/>
          </w:rPr>
          <w:t>55</w:t>
        </w:r>
        <w:r w:rsidR="00DF0F11" w:rsidRPr="00E52A4A">
          <w:rPr>
            <w:noProof/>
            <w:webHidden/>
          </w:rPr>
          <w:fldChar w:fldCharType="end"/>
        </w:r>
      </w:hyperlink>
    </w:p>
    <w:p w14:paraId="5E8E6112" w14:textId="74E6B6CD" w:rsidR="00DF0F11" w:rsidRPr="00E52A4A" w:rsidRDefault="003065A0">
      <w:pPr>
        <w:pStyle w:val="TOC1"/>
        <w:rPr>
          <w:rFonts w:asciiTheme="minorHAnsi" w:eastAsiaTheme="minorEastAsia" w:hAnsiTheme="minorHAnsi" w:cstheme="minorBidi"/>
          <w:noProof/>
          <w:kern w:val="2"/>
          <w:sz w:val="22"/>
          <w:szCs w:val="22"/>
          <w:lang w:eastAsia="fr-FR"/>
          <w14:ligatures w14:val="standardContextual"/>
        </w:rPr>
      </w:pPr>
      <w:hyperlink w:anchor="_Toc162331722" w:history="1">
        <w:r w:rsidR="00DF0F11" w:rsidRPr="00E52A4A">
          <w:rPr>
            <w:rStyle w:val="Hyperlink"/>
            <w:noProof/>
          </w:rPr>
          <w:t>Note 11</w:t>
        </w:r>
        <w:r w:rsidR="00DF0F11" w:rsidRPr="00E52A4A">
          <w:rPr>
            <w:rFonts w:asciiTheme="minorHAnsi" w:eastAsiaTheme="minorEastAsia" w:hAnsiTheme="minorHAnsi" w:cstheme="minorBidi"/>
            <w:noProof/>
            <w:kern w:val="2"/>
            <w:sz w:val="22"/>
            <w:szCs w:val="22"/>
            <w:lang w:eastAsia="fr-FR"/>
            <w14:ligatures w14:val="standardContextual"/>
          </w:rPr>
          <w:tab/>
        </w:r>
        <w:r w:rsidR="00DF0F11" w:rsidRPr="00E52A4A">
          <w:rPr>
            <w:rStyle w:val="Hyperlink"/>
            <w:noProof/>
          </w:rPr>
          <w:t>Autres créances</w:t>
        </w:r>
        <w:r w:rsidR="00DF0F11" w:rsidRPr="00E52A4A">
          <w:rPr>
            <w:noProof/>
            <w:webHidden/>
          </w:rPr>
          <w:tab/>
        </w:r>
        <w:r w:rsidR="00DF0F11" w:rsidRPr="00E52A4A">
          <w:rPr>
            <w:noProof/>
            <w:webHidden/>
          </w:rPr>
          <w:tab/>
        </w:r>
        <w:r w:rsidR="00DF0F11" w:rsidRPr="00E52A4A">
          <w:rPr>
            <w:noProof/>
            <w:webHidden/>
          </w:rPr>
          <w:fldChar w:fldCharType="begin"/>
        </w:r>
        <w:r w:rsidR="00DF0F11" w:rsidRPr="00E52A4A">
          <w:rPr>
            <w:noProof/>
            <w:webHidden/>
          </w:rPr>
          <w:instrText xml:space="preserve"> PAGEREF _Toc162331722 \h </w:instrText>
        </w:r>
        <w:r w:rsidR="00DF0F11" w:rsidRPr="00E52A4A">
          <w:rPr>
            <w:noProof/>
            <w:webHidden/>
          </w:rPr>
        </w:r>
        <w:r w:rsidR="00DF0F11" w:rsidRPr="00E52A4A">
          <w:rPr>
            <w:noProof/>
            <w:webHidden/>
          </w:rPr>
          <w:fldChar w:fldCharType="separate"/>
        </w:r>
        <w:r w:rsidR="00E52A4A">
          <w:rPr>
            <w:noProof/>
            <w:webHidden/>
          </w:rPr>
          <w:t>55</w:t>
        </w:r>
        <w:r w:rsidR="00DF0F11" w:rsidRPr="00E52A4A">
          <w:rPr>
            <w:noProof/>
            <w:webHidden/>
          </w:rPr>
          <w:fldChar w:fldCharType="end"/>
        </w:r>
      </w:hyperlink>
    </w:p>
    <w:p w14:paraId="172EDD29" w14:textId="5B143826" w:rsidR="00DF0F11" w:rsidRPr="00E52A4A" w:rsidRDefault="003065A0">
      <w:pPr>
        <w:pStyle w:val="TOC1"/>
        <w:rPr>
          <w:rFonts w:asciiTheme="minorHAnsi" w:eastAsiaTheme="minorEastAsia" w:hAnsiTheme="minorHAnsi" w:cstheme="minorBidi"/>
          <w:noProof/>
          <w:kern w:val="2"/>
          <w:sz w:val="22"/>
          <w:szCs w:val="22"/>
          <w:lang w:eastAsia="fr-FR"/>
          <w14:ligatures w14:val="standardContextual"/>
        </w:rPr>
      </w:pPr>
      <w:hyperlink w:anchor="_Toc162331723" w:history="1">
        <w:r w:rsidR="00DF0F11" w:rsidRPr="00E52A4A">
          <w:rPr>
            <w:rStyle w:val="Hyperlink"/>
            <w:noProof/>
          </w:rPr>
          <w:t>Note 12</w:t>
        </w:r>
        <w:r w:rsidR="00DF0F11" w:rsidRPr="00E52A4A">
          <w:rPr>
            <w:rFonts w:asciiTheme="minorHAnsi" w:eastAsiaTheme="minorEastAsia" w:hAnsiTheme="minorHAnsi" w:cstheme="minorBidi"/>
            <w:noProof/>
            <w:kern w:val="2"/>
            <w:sz w:val="22"/>
            <w:szCs w:val="22"/>
            <w:lang w:eastAsia="fr-FR"/>
            <w14:ligatures w14:val="standardContextual"/>
          </w:rPr>
          <w:tab/>
        </w:r>
        <w:r w:rsidR="00DF0F11" w:rsidRPr="00E52A4A">
          <w:rPr>
            <w:rStyle w:val="Hyperlink"/>
            <w:noProof/>
          </w:rPr>
          <w:t>Immobilisations corporelles</w:t>
        </w:r>
        <w:r w:rsidR="00DF0F11" w:rsidRPr="00E52A4A">
          <w:rPr>
            <w:noProof/>
            <w:webHidden/>
          </w:rPr>
          <w:tab/>
        </w:r>
        <w:r w:rsidR="00DF0F11" w:rsidRPr="00E52A4A">
          <w:rPr>
            <w:noProof/>
            <w:webHidden/>
          </w:rPr>
          <w:tab/>
        </w:r>
        <w:r w:rsidR="00DF0F11" w:rsidRPr="00E52A4A">
          <w:rPr>
            <w:noProof/>
            <w:webHidden/>
          </w:rPr>
          <w:fldChar w:fldCharType="begin"/>
        </w:r>
        <w:r w:rsidR="00DF0F11" w:rsidRPr="00E52A4A">
          <w:rPr>
            <w:noProof/>
            <w:webHidden/>
          </w:rPr>
          <w:instrText xml:space="preserve"> PAGEREF _Toc162331723 \h </w:instrText>
        </w:r>
        <w:r w:rsidR="00DF0F11" w:rsidRPr="00E52A4A">
          <w:rPr>
            <w:noProof/>
            <w:webHidden/>
          </w:rPr>
        </w:r>
        <w:r w:rsidR="00DF0F11" w:rsidRPr="00E52A4A">
          <w:rPr>
            <w:noProof/>
            <w:webHidden/>
          </w:rPr>
          <w:fldChar w:fldCharType="separate"/>
        </w:r>
        <w:r w:rsidR="00E52A4A">
          <w:rPr>
            <w:noProof/>
            <w:webHidden/>
          </w:rPr>
          <w:t>55</w:t>
        </w:r>
        <w:r w:rsidR="00DF0F11" w:rsidRPr="00E52A4A">
          <w:rPr>
            <w:noProof/>
            <w:webHidden/>
          </w:rPr>
          <w:fldChar w:fldCharType="end"/>
        </w:r>
      </w:hyperlink>
    </w:p>
    <w:p w14:paraId="7BE73DC4" w14:textId="6C14C795" w:rsidR="00DF0F11" w:rsidRPr="00E52A4A" w:rsidRDefault="003065A0">
      <w:pPr>
        <w:pStyle w:val="TOC1"/>
        <w:rPr>
          <w:rFonts w:asciiTheme="minorHAnsi" w:eastAsiaTheme="minorEastAsia" w:hAnsiTheme="minorHAnsi" w:cstheme="minorBidi"/>
          <w:noProof/>
          <w:kern w:val="2"/>
          <w:sz w:val="22"/>
          <w:szCs w:val="22"/>
          <w:lang w:eastAsia="fr-FR"/>
          <w14:ligatures w14:val="standardContextual"/>
        </w:rPr>
      </w:pPr>
      <w:hyperlink w:anchor="_Toc162331724" w:history="1">
        <w:r w:rsidR="00DF0F11" w:rsidRPr="00E52A4A">
          <w:rPr>
            <w:rStyle w:val="Hyperlink"/>
            <w:noProof/>
          </w:rPr>
          <w:t>Note 13</w:t>
        </w:r>
        <w:r w:rsidR="00DF0F11" w:rsidRPr="00E52A4A">
          <w:rPr>
            <w:rFonts w:asciiTheme="minorHAnsi" w:eastAsiaTheme="minorEastAsia" w:hAnsiTheme="minorHAnsi" w:cstheme="minorBidi"/>
            <w:noProof/>
            <w:kern w:val="2"/>
            <w:sz w:val="22"/>
            <w:szCs w:val="22"/>
            <w:lang w:eastAsia="fr-FR"/>
            <w14:ligatures w14:val="standardContextual"/>
          </w:rPr>
          <w:tab/>
        </w:r>
        <w:r w:rsidR="00DF0F11" w:rsidRPr="00E52A4A">
          <w:rPr>
            <w:rStyle w:val="Hyperlink"/>
            <w:noProof/>
          </w:rPr>
          <w:t>Immobilisations incorporelles</w:t>
        </w:r>
        <w:r w:rsidR="00DF0F11" w:rsidRPr="00E52A4A">
          <w:rPr>
            <w:noProof/>
            <w:webHidden/>
          </w:rPr>
          <w:tab/>
        </w:r>
        <w:r w:rsidR="00DF0F11" w:rsidRPr="00E52A4A">
          <w:rPr>
            <w:noProof/>
            <w:webHidden/>
          </w:rPr>
          <w:tab/>
        </w:r>
        <w:r w:rsidR="00DF0F11" w:rsidRPr="00E52A4A">
          <w:rPr>
            <w:noProof/>
            <w:webHidden/>
          </w:rPr>
          <w:fldChar w:fldCharType="begin"/>
        </w:r>
        <w:r w:rsidR="00DF0F11" w:rsidRPr="00E52A4A">
          <w:rPr>
            <w:noProof/>
            <w:webHidden/>
          </w:rPr>
          <w:instrText xml:space="preserve"> PAGEREF _Toc162331724 \h </w:instrText>
        </w:r>
        <w:r w:rsidR="00DF0F11" w:rsidRPr="00E52A4A">
          <w:rPr>
            <w:noProof/>
            <w:webHidden/>
          </w:rPr>
        </w:r>
        <w:r w:rsidR="00DF0F11" w:rsidRPr="00E52A4A">
          <w:rPr>
            <w:noProof/>
            <w:webHidden/>
          </w:rPr>
          <w:fldChar w:fldCharType="separate"/>
        </w:r>
        <w:r w:rsidR="00E52A4A">
          <w:rPr>
            <w:noProof/>
            <w:webHidden/>
          </w:rPr>
          <w:t>56</w:t>
        </w:r>
        <w:r w:rsidR="00DF0F11" w:rsidRPr="00E52A4A">
          <w:rPr>
            <w:noProof/>
            <w:webHidden/>
          </w:rPr>
          <w:fldChar w:fldCharType="end"/>
        </w:r>
      </w:hyperlink>
    </w:p>
    <w:p w14:paraId="71397A2B" w14:textId="5EF91059" w:rsidR="00DF0F11" w:rsidRPr="00E52A4A" w:rsidRDefault="003065A0">
      <w:pPr>
        <w:pStyle w:val="TOC1"/>
        <w:rPr>
          <w:rFonts w:asciiTheme="minorHAnsi" w:eastAsiaTheme="minorEastAsia" w:hAnsiTheme="minorHAnsi" w:cstheme="minorBidi"/>
          <w:noProof/>
          <w:kern w:val="2"/>
          <w:sz w:val="22"/>
          <w:szCs w:val="22"/>
          <w:lang w:eastAsia="fr-FR"/>
          <w14:ligatures w14:val="standardContextual"/>
        </w:rPr>
      </w:pPr>
      <w:hyperlink w:anchor="_Toc162331725" w:history="1">
        <w:r w:rsidR="00DF0F11" w:rsidRPr="00E52A4A">
          <w:rPr>
            <w:rStyle w:val="Hyperlink"/>
            <w:noProof/>
          </w:rPr>
          <w:t>Note 14</w:t>
        </w:r>
        <w:r w:rsidR="00DF0F11" w:rsidRPr="00E52A4A">
          <w:rPr>
            <w:rFonts w:asciiTheme="minorHAnsi" w:eastAsiaTheme="minorEastAsia" w:hAnsiTheme="minorHAnsi" w:cstheme="minorBidi"/>
            <w:noProof/>
            <w:kern w:val="2"/>
            <w:sz w:val="22"/>
            <w:szCs w:val="22"/>
            <w:lang w:eastAsia="fr-FR"/>
            <w14:ligatures w14:val="standardContextual"/>
          </w:rPr>
          <w:tab/>
        </w:r>
        <w:r w:rsidR="00DF0F11" w:rsidRPr="00E52A4A">
          <w:rPr>
            <w:rStyle w:val="Hyperlink"/>
            <w:noProof/>
          </w:rPr>
          <w:t>Biens en construction</w:t>
        </w:r>
        <w:r w:rsidR="00DF0F11" w:rsidRPr="00E52A4A">
          <w:rPr>
            <w:noProof/>
            <w:webHidden/>
          </w:rPr>
          <w:tab/>
        </w:r>
        <w:r w:rsidR="00DF0F11" w:rsidRPr="00E52A4A">
          <w:rPr>
            <w:noProof/>
            <w:webHidden/>
          </w:rPr>
          <w:tab/>
        </w:r>
        <w:r w:rsidR="00DF0F11" w:rsidRPr="00E52A4A">
          <w:rPr>
            <w:noProof/>
            <w:webHidden/>
          </w:rPr>
          <w:fldChar w:fldCharType="begin"/>
        </w:r>
        <w:r w:rsidR="00DF0F11" w:rsidRPr="00E52A4A">
          <w:rPr>
            <w:noProof/>
            <w:webHidden/>
          </w:rPr>
          <w:instrText xml:space="preserve"> PAGEREF _Toc162331725 \h </w:instrText>
        </w:r>
        <w:r w:rsidR="00DF0F11" w:rsidRPr="00E52A4A">
          <w:rPr>
            <w:noProof/>
            <w:webHidden/>
          </w:rPr>
        </w:r>
        <w:r w:rsidR="00DF0F11" w:rsidRPr="00E52A4A">
          <w:rPr>
            <w:noProof/>
            <w:webHidden/>
          </w:rPr>
          <w:fldChar w:fldCharType="separate"/>
        </w:r>
        <w:r w:rsidR="00E52A4A">
          <w:rPr>
            <w:noProof/>
            <w:webHidden/>
          </w:rPr>
          <w:t>57</w:t>
        </w:r>
        <w:r w:rsidR="00DF0F11" w:rsidRPr="00E52A4A">
          <w:rPr>
            <w:noProof/>
            <w:webHidden/>
          </w:rPr>
          <w:fldChar w:fldCharType="end"/>
        </w:r>
      </w:hyperlink>
    </w:p>
    <w:p w14:paraId="4510A81A" w14:textId="3DC033DB" w:rsidR="00DF0F11" w:rsidRPr="00E52A4A" w:rsidRDefault="003065A0">
      <w:pPr>
        <w:pStyle w:val="TOC1"/>
        <w:rPr>
          <w:rFonts w:asciiTheme="minorHAnsi" w:eastAsiaTheme="minorEastAsia" w:hAnsiTheme="minorHAnsi" w:cstheme="minorBidi"/>
          <w:noProof/>
          <w:kern w:val="2"/>
          <w:sz w:val="22"/>
          <w:szCs w:val="22"/>
          <w:lang w:eastAsia="fr-FR"/>
          <w14:ligatures w14:val="standardContextual"/>
        </w:rPr>
      </w:pPr>
      <w:hyperlink w:anchor="_Toc162331726" w:history="1">
        <w:r w:rsidR="00DF0F11" w:rsidRPr="00E52A4A">
          <w:rPr>
            <w:rStyle w:val="Hyperlink"/>
            <w:noProof/>
          </w:rPr>
          <w:t>Note 15</w:t>
        </w:r>
        <w:r w:rsidR="00DF0F11" w:rsidRPr="00E52A4A">
          <w:rPr>
            <w:rFonts w:asciiTheme="minorHAnsi" w:eastAsiaTheme="minorEastAsia" w:hAnsiTheme="minorHAnsi" w:cstheme="minorBidi"/>
            <w:noProof/>
            <w:kern w:val="2"/>
            <w:sz w:val="22"/>
            <w:szCs w:val="22"/>
            <w:lang w:eastAsia="fr-FR"/>
            <w14:ligatures w14:val="standardContextual"/>
          </w:rPr>
          <w:tab/>
        </w:r>
        <w:r w:rsidR="00DF0F11" w:rsidRPr="00E52A4A">
          <w:rPr>
            <w:rStyle w:val="Hyperlink"/>
            <w:noProof/>
          </w:rPr>
          <w:t>Fournisseurs et autres créanciers</w:t>
        </w:r>
        <w:r w:rsidR="00DF0F11" w:rsidRPr="00E52A4A">
          <w:rPr>
            <w:noProof/>
            <w:webHidden/>
          </w:rPr>
          <w:tab/>
        </w:r>
        <w:r w:rsidR="00DF0F11" w:rsidRPr="00E52A4A">
          <w:rPr>
            <w:noProof/>
            <w:webHidden/>
          </w:rPr>
          <w:tab/>
        </w:r>
        <w:r w:rsidR="00DF0F11" w:rsidRPr="00E52A4A">
          <w:rPr>
            <w:noProof/>
            <w:webHidden/>
          </w:rPr>
          <w:fldChar w:fldCharType="begin"/>
        </w:r>
        <w:r w:rsidR="00DF0F11" w:rsidRPr="00E52A4A">
          <w:rPr>
            <w:noProof/>
            <w:webHidden/>
          </w:rPr>
          <w:instrText xml:space="preserve"> PAGEREF _Toc162331726 \h </w:instrText>
        </w:r>
        <w:r w:rsidR="00DF0F11" w:rsidRPr="00E52A4A">
          <w:rPr>
            <w:noProof/>
            <w:webHidden/>
          </w:rPr>
        </w:r>
        <w:r w:rsidR="00DF0F11" w:rsidRPr="00E52A4A">
          <w:rPr>
            <w:noProof/>
            <w:webHidden/>
          </w:rPr>
          <w:fldChar w:fldCharType="separate"/>
        </w:r>
        <w:r w:rsidR="00E52A4A">
          <w:rPr>
            <w:noProof/>
            <w:webHidden/>
          </w:rPr>
          <w:t>58</w:t>
        </w:r>
        <w:r w:rsidR="00DF0F11" w:rsidRPr="00E52A4A">
          <w:rPr>
            <w:noProof/>
            <w:webHidden/>
          </w:rPr>
          <w:fldChar w:fldCharType="end"/>
        </w:r>
      </w:hyperlink>
    </w:p>
    <w:p w14:paraId="2B0DB740" w14:textId="325EF0D0" w:rsidR="00DF0F11" w:rsidRPr="00E52A4A" w:rsidRDefault="003065A0">
      <w:pPr>
        <w:pStyle w:val="TOC1"/>
        <w:rPr>
          <w:rFonts w:asciiTheme="minorHAnsi" w:eastAsiaTheme="minorEastAsia" w:hAnsiTheme="minorHAnsi" w:cstheme="minorBidi"/>
          <w:noProof/>
          <w:kern w:val="2"/>
          <w:sz w:val="22"/>
          <w:szCs w:val="22"/>
          <w:lang w:eastAsia="fr-FR"/>
          <w14:ligatures w14:val="standardContextual"/>
        </w:rPr>
      </w:pPr>
      <w:hyperlink w:anchor="_Toc162331727" w:history="1">
        <w:r w:rsidR="00DF0F11" w:rsidRPr="00E52A4A">
          <w:rPr>
            <w:rStyle w:val="Hyperlink"/>
            <w:noProof/>
          </w:rPr>
          <w:t>Note 16</w:t>
        </w:r>
        <w:r w:rsidR="00DF0F11" w:rsidRPr="00E52A4A">
          <w:rPr>
            <w:rFonts w:asciiTheme="minorHAnsi" w:eastAsiaTheme="minorEastAsia" w:hAnsiTheme="minorHAnsi" w:cstheme="minorBidi"/>
            <w:noProof/>
            <w:kern w:val="2"/>
            <w:sz w:val="22"/>
            <w:szCs w:val="22"/>
            <w:lang w:eastAsia="fr-FR"/>
            <w14:ligatures w14:val="standardContextual"/>
          </w:rPr>
          <w:tab/>
        </w:r>
        <w:r w:rsidR="00DF0F11" w:rsidRPr="00E52A4A">
          <w:rPr>
            <w:rStyle w:val="Hyperlink"/>
            <w:noProof/>
          </w:rPr>
          <w:t>Contributions reçues d'avance et produits différés</w:t>
        </w:r>
        <w:r w:rsidR="00DF0F11" w:rsidRPr="00E52A4A">
          <w:rPr>
            <w:noProof/>
            <w:webHidden/>
          </w:rPr>
          <w:tab/>
        </w:r>
        <w:r w:rsidR="00DF0F11" w:rsidRPr="00E52A4A">
          <w:rPr>
            <w:noProof/>
            <w:webHidden/>
          </w:rPr>
          <w:tab/>
        </w:r>
        <w:r w:rsidR="00DF0F11" w:rsidRPr="00E52A4A">
          <w:rPr>
            <w:noProof/>
            <w:webHidden/>
          </w:rPr>
          <w:fldChar w:fldCharType="begin"/>
        </w:r>
        <w:r w:rsidR="00DF0F11" w:rsidRPr="00E52A4A">
          <w:rPr>
            <w:noProof/>
            <w:webHidden/>
          </w:rPr>
          <w:instrText xml:space="preserve"> PAGEREF _Toc162331727 \h </w:instrText>
        </w:r>
        <w:r w:rsidR="00DF0F11" w:rsidRPr="00E52A4A">
          <w:rPr>
            <w:noProof/>
            <w:webHidden/>
          </w:rPr>
        </w:r>
        <w:r w:rsidR="00DF0F11" w:rsidRPr="00E52A4A">
          <w:rPr>
            <w:noProof/>
            <w:webHidden/>
          </w:rPr>
          <w:fldChar w:fldCharType="separate"/>
        </w:r>
        <w:r w:rsidR="00E52A4A">
          <w:rPr>
            <w:noProof/>
            <w:webHidden/>
          </w:rPr>
          <w:t>58</w:t>
        </w:r>
        <w:r w:rsidR="00DF0F11" w:rsidRPr="00E52A4A">
          <w:rPr>
            <w:noProof/>
            <w:webHidden/>
          </w:rPr>
          <w:fldChar w:fldCharType="end"/>
        </w:r>
      </w:hyperlink>
    </w:p>
    <w:p w14:paraId="483BE8DE" w14:textId="336226D2" w:rsidR="00DF0F11" w:rsidRPr="00E52A4A" w:rsidRDefault="003065A0">
      <w:pPr>
        <w:pStyle w:val="TOC1"/>
        <w:rPr>
          <w:rFonts w:asciiTheme="minorHAnsi" w:eastAsiaTheme="minorEastAsia" w:hAnsiTheme="minorHAnsi" w:cstheme="minorBidi"/>
          <w:noProof/>
          <w:kern w:val="2"/>
          <w:sz w:val="22"/>
          <w:szCs w:val="22"/>
          <w:lang w:eastAsia="fr-FR"/>
          <w14:ligatures w14:val="standardContextual"/>
        </w:rPr>
      </w:pPr>
      <w:hyperlink w:anchor="_Toc162331728" w:history="1">
        <w:r w:rsidR="00DF0F11" w:rsidRPr="00E52A4A">
          <w:rPr>
            <w:rStyle w:val="Hyperlink"/>
            <w:noProof/>
          </w:rPr>
          <w:t>Note 17</w:t>
        </w:r>
        <w:r w:rsidR="00DF0F11" w:rsidRPr="00E52A4A">
          <w:rPr>
            <w:rFonts w:asciiTheme="minorHAnsi" w:eastAsiaTheme="minorEastAsia" w:hAnsiTheme="minorHAnsi" w:cstheme="minorBidi"/>
            <w:noProof/>
            <w:kern w:val="2"/>
            <w:sz w:val="22"/>
            <w:szCs w:val="22"/>
            <w:lang w:eastAsia="fr-FR"/>
            <w14:ligatures w14:val="standardContextual"/>
          </w:rPr>
          <w:tab/>
        </w:r>
        <w:r w:rsidR="00DF0F11" w:rsidRPr="00E52A4A">
          <w:rPr>
            <w:rStyle w:val="Hyperlink"/>
            <w:noProof/>
          </w:rPr>
          <w:t>Emprunts et autres dettes financières</w:t>
        </w:r>
        <w:r w:rsidR="00DF0F11" w:rsidRPr="00E52A4A">
          <w:rPr>
            <w:noProof/>
            <w:webHidden/>
          </w:rPr>
          <w:tab/>
        </w:r>
        <w:r w:rsidR="00DF0F11" w:rsidRPr="00E52A4A">
          <w:rPr>
            <w:noProof/>
            <w:webHidden/>
          </w:rPr>
          <w:tab/>
        </w:r>
        <w:r w:rsidR="00DF0F11" w:rsidRPr="00E52A4A">
          <w:rPr>
            <w:noProof/>
            <w:webHidden/>
          </w:rPr>
          <w:fldChar w:fldCharType="begin"/>
        </w:r>
        <w:r w:rsidR="00DF0F11" w:rsidRPr="00E52A4A">
          <w:rPr>
            <w:noProof/>
            <w:webHidden/>
          </w:rPr>
          <w:instrText xml:space="preserve"> PAGEREF _Toc162331728 \h </w:instrText>
        </w:r>
        <w:r w:rsidR="00DF0F11" w:rsidRPr="00E52A4A">
          <w:rPr>
            <w:noProof/>
            <w:webHidden/>
          </w:rPr>
        </w:r>
        <w:r w:rsidR="00DF0F11" w:rsidRPr="00E52A4A">
          <w:rPr>
            <w:noProof/>
            <w:webHidden/>
          </w:rPr>
          <w:fldChar w:fldCharType="separate"/>
        </w:r>
        <w:r w:rsidR="00E52A4A">
          <w:rPr>
            <w:noProof/>
            <w:webHidden/>
          </w:rPr>
          <w:t>59</w:t>
        </w:r>
        <w:r w:rsidR="00DF0F11" w:rsidRPr="00E52A4A">
          <w:rPr>
            <w:noProof/>
            <w:webHidden/>
          </w:rPr>
          <w:fldChar w:fldCharType="end"/>
        </w:r>
      </w:hyperlink>
    </w:p>
    <w:p w14:paraId="3D616597" w14:textId="339584C5" w:rsidR="00DF0F11" w:rsidRPr="00E52A4A" w:rsidRDefault="003065A0">
      <w:pPr>
        <w:pStyle w:val="TOC1"/>
        <w:rPr>
          <w:rFonts w:asciiTheme="minorHAnsi" w:eastAsiaTheme="minorEastAsia" w:hAnsiTheme="minorHAnsi" w:cstheme="minorBidi"/>
          <w:noProof/>
          <w:kern w:val="2"/>
          <w:sz w:val="22"/>
          <w:szCs w:val="22"/>
          <w:lang w:eastAsia="fr-FR"/>
          <w14:ligatures w14:val="standardContextual"/>
        </w:rPr>
      </w:pPr>
      <w:hyperlink w:anchor="_Toc162331729" w:history="1">
        <w:r w:rsidR="00DF0F11" w:rsidRPr="00E52A4A">
          <w:rPr>
            <w:rStyle w:val="Hyperlink"/>
            <w:noProof/>
          </w:rPr>
          <w:t>Note 18</w:t>
        </w:r>
        <w:r w:rsidR="00DF0F11" w:rsidRPr="00E52A4A">
          <w:rPr>
            <w:rFonts w:asciiTheme="minorHAnsi" w:eastAsiaTheme="minorEastAsia" w:hAnsiTheme="minorHAnsi" w:cstheme="minorBidi"/>
            <w:noProof/>
            <w:kern w:val="2"/>
            <w:sz w:val="22"/>
            <w:szCs w:val="22"/>
            <w:lang w:eastAsia="fr-FR"/>
            <w14:ligatures w14:val="standardContextual"/>
          </w:rPr>
          <w:tab/>
        </w:r>
        <w:r w:rsidR="00DF0F11" w:rsidRPr="00E52A4A">
          <w:rPr>
            <w:rStyle w:val="Hyperlink"/>
            <w:noProof/>
          </w:rPr>
          <w:t>Avantages du personnel</w:t>
        </w:r>
        <w:r w:rsidR="00DF0F11" w:rsidRPr="00E52A4A">
          <w:rPr>
            <w:noProof/>
            <w:webHidden/>
          </w:rPr>
          <w:tab/>
        </w:r>
        <w:r w:rsidR="00DF0F11" w:rsidRPr="00E52A4A">
          <w:rPr>
            <w:noProof/>
            <w:webHidden/>
          </w:rPr>
          <w:tab/>
        </w:r>
        <w:r w:rsidR="00DF0F11" w:rsidRPr="00E52A4A">
          <w:rPr>
            <w:noProof/>
            <w:webHidden/>
          </w:rPr>
          <w:fldChar w:fldCharType="begin"/>
        </w:r>
        <w:r w:rsidR="00DF0F11" w:rsidRPr="00E52A4A">
          <w:rPr>
            <w:noProof/>
            <w:webHidden/>
          </w:rPr>
          <w:instrText xml:space="preserve"> PAGEREF _Toc162331729 \h </w:instrText>
        </w:r>
        <w:r w:rsidR="00DF0F11" w:rsidRPr="00E52A4A">
          <w:rPr>
            <w:noProof/>
            <w:webHidden/>
          </w:rPr>
        </w:r>
        <w:r w:rsidR="00DF0F11" w:rsidRPr="00E52A4A">
          <w:rPr>
            <w:noProof/>
            <w:webHidden/>
          </w:rPr>
          <w:fldChar w:fldCharType="separate"/>
        </w:r>
        <w:r w:rsidR="00E52A4A">
          <w:rPr>
            <w:noProof/>
            <w:webHidden/>
          </w:rPr>
          <w:t>60</w:t>
        </w:r>
        <w:r w:rsidR="00DF0F11" w:rsidRPr="00E52A4A">
          <w:rPr>
            <w:noProof/>
            <w:webHidden/>
          </w:rPr>
          <w:fldChar w:fldCharType="end"/>
        </w:r>
      </w:hyperlink>
    </w:p>
    <w:p w14:paraId="5C831CA2" w14:textId="1F827057" w:rsidR="00DF0F11" w:rsidRPr="00E52A4A" w:rsidRDefault="003065A0">
      <w:pPr>
        <w:pStyle w:val="TOC1"/>
        <w:rPr>
          <w:rFonts w:asciiTheme="minorHAnsi" w:eastAsiaTheme="minorEastAsia" w:hAnsiTheme="minorHAnsi" w:cstheme="minorBidi"/>
          <w:noProof/>
          <w:kern w:val="2"/>
          <w:sz w:val="22"/>
          <w:szCs w:val="22"/>
          <w:lang w:eastAsia="fr-FR"/>
          <w14:ligatures w14:val="standardContextual"/>
        </w:rPr>
      </w:pPr>
      <w:hyperlink w:anchor="_Toc162331730" w:history="1">
        <w:r w:rsidR="00DF0F11" w:rsidRPr="00E52A4A">
          <w:rPr>
            <w:rStyle w:val="Hyperlink"/>
            <w:noProof/>
          </w:rPr>
          <w:t>Note 19</w:t>
        </w:r>
        <w:r w:rsidR="00DF0F11" w:rsidRPr="00E52A4A">
          <w:rPr>
            <w:rFonts w:asciiTheme="minorHAnsi" w:eastAsiaTheme="minorEastAsia" w:hAnsiTheme="minorHAnsi" w:cstheme="minorBidi"/>
            <w:noProof/>
            <w:kern w:val="2"/>
            <w:sz w:val="22"/>
            <w:szCs w:val="22"/>
            <w:lang w:eastAsia="fr-FR"/>
            <w14:ligatures w14:val="standardContextual"/>
          </w:rPr>
          <w:tab/>
        </w:r>
        <w:r w:rsidR="00DF0F11" w:rsidRPr="00E52A4A">
          <w:rPr>
            <w:rStyle w:val="Hyperlink"/>
            <w:noProof/>
          </w:rPr>
          <w:t>Provision</w:t>
        </w:r>
        <w:r w:rsidR="00DF0F11" w:rsidRPr="00E52A4A">
          <w:rPr>
            <w:noProof/>
            <w:webHidden/>
          </w:rPr>
          <w:tab/>
        </w:r>
        <w:r w:rsidR="00DF0F11" w:rsidRPr="00E52A4A">
          <w:rPr>
            <w:noProof/>
            <w:webHidden/>
          </w:rPr>
          <w:tab/>
        </w:r>
        <w:r w:rsidR="00DF0F11" w:rsidRPr="00E52A4A">
          <w:rPr>
            <w:noProof/>
            <w:webHidden/>
          </w:rPr>
          <w:fldChar w:fldCharType="begin"/>
        </w:r>
        <w:r w:rsidR="00DF0F11" w:rsidRPr="00E52A4A">
          <w:rPr>
            <w:noProof/>
            <w:webHidden/>
          </w:rPr>
          <w:instrText xml:space="preserve"> PAGEREF _Toc162331730 \h </w:instrText>
        </w:r>
        <w:r w:rsidR="00DF0F11" w:rsidRPr="00E52A4A">
          <w:rPr>
            <w:noProof/>
            <w:webHidden/>
          </w:rPr>
        </w:r>
        <w:r w:rsidR="00DF0F11" w:rsidRPr="00E52A4A">
          <w:rPr>
            <w:noProof/>
            <w:webHidden/>
          </w:rPr>
          <w:fldChar w:fldCharType="separate"/>
        </w:r>
        <w:r w:rsidR="00E52A4A">
          <w:rPr>
            <w:noProof/>
            <w:webHidden/>
          </w:rPr>
          <w:t>66</w:t>
        </w:r>
        <w:r w:rsidR="00DF0F11" w:rsidRPr="00E52A4A">
          <w:rPr>
            <w:noProof/>
            <w:webHidden/>
          </w:rPr>
          <w:fldChar w:fldCharType="end"/>
        </w:r>
      </w:hyperlink>
    </w:p>
    <w:p w14:paraId="2CEE5755" w14:textId="60550781" w:rsidR="00DF0F11" w:rsidRPr="00E52A4A" w:rsidRDefault="003065A0">
      <w:pPr>
        <w:pStyle w:val="TOC1"/>
        <w:rPr>
          <w:rFonts w:asciiTheme="minorHAnsi" w:eastAsiaTheme="minorEastAsia" w:hAnsiTheme="minorHAnsi" w:cstheme="minorBidi"/>
          <w:noProof/>
          <w:kern w:val="2"/>
          <w:sz w:val="22"/>
          <w:szCs w:val="22"/>
          <w:lang w:eastAsia="fr-FR"/>
          <w14:ligatures w14:val="standardContextual"/>
        </w:rPr>
      </w:pPr>
      <w:hyperlink w:anchor="_Toc162331731" w:history="1">
        <w:r w:rsidR="00DF0F11" w:rsidRPr="00E52A4A">
          <w:rPr>
            <w:rStyle w:val="Hyperlink"/>
            <w:noProof/>
          </w:rPr>
          <w:t>Note 20</w:t>
        </w:r>
        <w:r w:rsidR="00DF0F11" w:rsidRPr="00E52A4A">
          <w:rPr>
            <w:rFonts w:asciiTheme="minorHAnsi" w:eastAsiaTheme="minorEastAsia" w:hAnsiTheme="minorHAnsi" w:cstheme="minorBidi"/>
            <w:noProof/>
            <w:kern w:val="2"/>
            <w:sz w:val="22"/>
            <w:szCs w:val="22"/>
            <w:lang w:eastAsia="fr-FR"/>
            <w14:ligatures w14:val="standardContextual"/>
          </w:rPr>
          <w:tab/>
        </w:r>
        <w:r w:rsidR="00DF0F11" w:rsidRPr="00E52A4A">
          <w:rPr>
            <w:rStyle w:val="Hyperlink"/>
            <w:noProof/>
          </w:rPr>
          <w:t>Autres dettes</w:t>
        </w:r>
        <w:r w:rsidR="00DF0F11" w:rsidRPr="00E52A4A">
          <w:rPr>
            <w:noProof/>
            <w:webHidden/>
          </w:rPr>
          <w:tab/>
        </w:r>
        <w:r w:rsidR="00DF0F11" w:rsidRPr="00E52A4A">
          <w:rPr>
            <w:noProof/>
            <w:webHidden/>
          </w:rPr>
          <w:tab/>
        </w:r>
        <w:r w:rsidR="00DF0F11" w:rsidRPr="00E52A4A">
          <w:rPr>
            <w:noProof/>
            <w:webHidden/>
          </w:rPr>
          <w:fldChar w:fldCharType="begin"/>
        </w:r>
        <w:r w:rsidR="00DF0F11" w:rsidRPr="00E52A4A">
          <w:rPr>
            <w:noProof/>
            <w:webHidden/>
          </w:rPr>
          <w:instrText xml:space="preserve"> PAGEREF _Toc162331731 \h </w:instrText>
        </w:r>
        <w:r w:rsidR="00DF0F11" w:rsidRPr="00E52A4A">
          <w:rPr>
            <w:noProof/>
            <w:webHidden/>
          </w:rPr>
        </w:r>
        <w:r w:rsidR="00DF0F11" w:rsidRPr="00E52A4A">
          <w:rPr>
            <w:noProof/>
            <w:webHidden/>
          </w:rPr>
          <w:fldChar w:fldCharType="separate"/>
        </w:r>
        <w:r w:rsidR="00E52A4A">
          <w:rPr>
            <w:noProof/>
            <w:webHidden/>
          </w:rPr>
          <w:t>67</w:t>
        </w:r>
        <w:r w:rsidR="00DF0F11" w:rsidRPr="00E52A4A">
          <w:rPr>
            <w:noProof/>
            <w:webHidden/>
          </w:rPr>
          <w:fldChar w:fldCharType="end"/>
        </w:r>
      </w:hyperlink>
    </w:p>
    <w:p w14:paraId="4E99219C" w14:textId="628812CC" w:rsidR="00DF0F11" w:rsidRPr="00E52A4A" w:rsidRDefault="003065A0">
      <w:pPr>
        <w:pStyle w:val="TOC1"/>
        <w:rPr>
          <w:rFonts w:asciiTheme="minorHAnsi" w:eastAsiaTheme="minorEastAsia" w:hAnsiTheme="minorHAnsi" w:cstheme="minorBidi"/>
          <w:noProof/>
          <w:kern w:val="2"/>
          <w:sz w:val="22"/>
          <w:szCs w:val="22"/>
          <w:lang w:eastAsia="fr-FR"/>
          <w14:ligatures w14:val="standardContextual"/>
        </w:rPr>
      </w:pPr>
      <w:hyperlink w:anchor="_Toc162331732" w:history="1">
        <w:r w:rsidR="00DF0F11" w:rsidRPr="00E52A4A">
          <w:rPr>
            <w:rStyle w:val="Hyperlink"/>
            <w:noProof/>
          </w:rPr>
          <w:t>Note 21</w:t>
        </w:r>
        <w:r w:rsidR="00DF0F11" w:rsidRPr="00E52A4A">
          <w:rPr>
            <w:rFonts w:asciiTheme="minorHAnsi" w:eastAsiaTheme="minorEastAsia" w:hAnsiTheme="minorHAnsi" w:cstheme="minorBidi"/>
            <w:noProof/>
            <w:kern w:val="2"/>
            <w:sz w:val="22"/>
            <w:szCs w:val="22"/>
            <w:lang w:eastAsia="fr-FR"/>
            <w14:ligatures w14:val="standardContextual"/>
          </w:rPr>
          <w:tab/>
        </w:r>
        <w:r w:rsidR="00DF0F11" w:rsidRPr="00E52A4A">
          <w:rPr>
            <w:rStyle w:val="Hyperlink"/>
            <w:noProof/>
          </w:rPr>
          <w:t>Fonds extrabudgétaires</w:t>
        </w:r>
        <w:r w:rsidR="00DF0F11" w:rsidRPr="00E52A4A">
          <w:rPr>
            <w:noProof/>
            <w:webHidden/>
          </w:rPr>
          <w:tab/>
        </w:r>
        <w:r w:rsidR="00DF0F11" w:rsidRPr="00E52A4A">
          <w:rPr>
            <w:noProof/>
            <w:webHidden/>
          </w:rPr>
          <w:tab/>
        </w:r>
        <w:r w:rsidR="00DF0F11" w:rsidRPr="00E52A4A">
          <w:rPr>
            <w:noProof/>
            <w:webHidden/>
          </w:rPr>
          <w:fldChar w:fldCharType="begin"/>
        </w:r>
        <w:r w:rsidR="00DF0F11" w:rsidRPr="00E52A4A">
          <w:rPr>
            <w:noProof/>
            <w:webHidden/>
          </w:rPr>
          <w:instrText xml:space="preserve"> PAGEREF _Toc162331732 \h </w:instrText>
        </w:r>
        <w:r w:rsidR="00DF0F11" w:rsidRPr="00E52A4A">
          <w:rPr>
            <w:noProof/>
            <w:webHidden/>
          </w:rPr>
        </w:r>
        <w:r w:rsidR="00DF0F11" w:rsidRPr="00E52A4A">
          <w:rPr>
            <w:noProof/>
            <w:webHidden/>
          </w:rPr>
          <w:fldChar w:fldCharType="separate"/>
        </w:r>
        <w:r w:rsidR="00E52A4A">
          <w:rPr>
            <w:noProof/>
            <w:webHidden/>
          </w:rPr>
          <w:t>67</w:t>
        </w:r>
        <w:r w:rsidR="00DF0F11" w:rsidRPr="00E52A4A">
          <w:rPr>
            <w:noProof/>
            <w:webHidden/>
          </w:rPr>
          <w:fldChar w:fldCharType="end"/>
        </w:r>
      </w:hyperlink>
    </w:p>
    <w:p w14:paraId="63AB2D52" w14:textId="2E382316" w:rsidR="00DF0F11" w:rsidRPr="00E52A4A" w:rsidRDefault="003065A0">
      <w:pPr>
        <w:pStyle w:val="TOC1"/>
        <w:rPr>
          <w:rFonts w:asciiTheme="minorHAnsi" w:eastAsiaTheme="minorEastAsia" w:hAnsiTheme="minorHAnsi" w:cstheme="minorBidi"/>
          <w:noProof/>
          <w:kern w:val="2"/>
          <w:sz w:val="22"/>
          <w:szCs w:val="22"/>
          <w:lang w:eastAsia="fr-FR"/>
          <w14:ligatures w14:val="standardContextual"/>
        </w:rPr>
      </w:pPr>
      <w:hyperlink w:anchor="_Toc162331733" w:history="1">
        <w:r w:rsidR="00DF0F11" w:rsidRPr="00E52A4A">
          <w:rPr>
            <w:rStyle w:val="Hyperlink"/>
            <w:noProof/>
          </w:rPr>
          <w:t>Note 22</w:t>
        </w:r>
        <w:r w:rsidR="00DF0F11" w:rsidRPr="00E52A4A">
          <w:rPr>
            <w:rFonts w:asciiTheme="minorHAnsi" w:eastAsiaTheme="minorEastAsia" w:hAnsiTheme="minorHAnsi" w:cstheme="minorBidi"/>
            <w:noProof/>
            <w:kern w:val="2"/>
            <w:sz w:val="22"/>
            <w:szCs w:val="22"/>
            <w:lang w:eastAsia="fr-FR"/>
            <w14:ligatures w14:val="standardContextual"/>
          </w:rPr>
          <w:tab/>
        </w:r>
        <w:r w:rsidR="00DF0F11" w:rsidRPr="00E52A4A">
          <w:rPr>
            <w:rStyle w:val="Hyperlink"/>
            <w:noProof/>
          </w:rPr>
          <w:t>Produits</w:t>
        </w:r>
        <w:r w:rsidR="00DF0F11" w:rsidRPr="00E52A4A">
          <w:rPr>
            <w:noProof/>
            <w:webHidden/>
          </w:rPr>
          <w:tab/>
        </w:r>
        <w:r w:rsidR="00DF0F11" w:rsidRPr="00E52A4A">
          <w:rPr>
            <w:noProof/>
            <w:webHidden/>
          </w:rPr>
          <w:tab/>
        </w:r>
        <w:r w:rsidR="00DF0F11" w:rsidRPr="00E52A4A">
          <w:rPr>
            <w:noProof/>
            <w:webHidden/>
          </w:rPr>
          <w:fldChar w:fldCharType="begin"/>
        </w:r>
        <w:r w:rsidR="00DF0F11" w:rsidRPr="00E52A4A">
          <w:rPr>
            <w:noProof/>
            <w:webHidden/>
          </w:rPr>
          <w:instrText xml:space="preserve"> PAGEREF _Toc162331733 \h </w:instrText>
        </w:r>
        <w:r w:rsidR="00DF0F11" w:rsidRPr="00E52A4A">
          <w:rPr>
            <w:noProof/>
            <w:webHidden/>
          </w:rPr>
        </w:r>
        <w:r w:rsidR="00DF0F11" w:rsidRPr="00E52A4A">
          <w:rPr>
            <w:noProof/>
            <w:webHidden/>
          </w:rPr>
          <w:fldChar w:fldCharType="separate"/>
        </w:r>
        <w:r w:rsidR="00E52A4A">
          <w:rPr>
            <w:noProof/>
            <w:webHidden/>
          </w:rPr>
          <w:t>68</w:t>
        </w:r>
        <w:r w:rsidR="00DF0F11" w:rsidRPr="00E52A4A">
          <w:rPr>
            <w:noProof/>
            <w:webHidden/>
          </w:rPr>
          <w:fldChar w:fldCharType="end"/>
        </w:r>
      </w:hyperlink>
    </w:p>
    <w:p w14:paraId="38F67FDA" w14:textId="2B9889E7" w:rsidR="00DF0F11" w:rsidRPr="00E52A4A" w:rsidRDefault="003065A0">
      <w:pPr>
        <w:pStyle w:val="TOC1"/>
        <w:rPr>
          <w:rFonts w:asciiTheme="minorHAnsi" w:eastAsiaTheme="minorEastAsia" w:hAnsiTheme="minorHAnsi" w:cstheme="minorBidi"/>
          <w:noProof/>
          <w:kern w:val="2"/>
          <w:sz w:val="22"/>
          <w:szCs w:val="22"/>
          <w:lang w:eastAsia="fr-FR"/>
          <w14:ligatures w14:val="standardContextual"/>
        </w:rPr>
      </w:pPr>
      <w:hyperlink w:anchor="_Toc162331734" w:history="1">
        <w:r w:rsidR="00DF0F11" w:rsidRPr="00E52A4A">
          <w:rPr>
            <w:rStyle w:val="Hyperlink"/>
            <w:noProof/>
          </w:rPr>
          <w:t>Note 23</w:t>
        </w:r>
        <w:r w:rsidR="00DF0F11" w:rsidRPr="00E52A4A">
          <w:rPr>
            <w:rFonts w:asciiTheme="minorHAnsi" w:eastAsiaTheme="minorEastAsia" w:hAnsiTheme="minorHAnsi" w:cstheme="minorBidi"/>
            <w:noProof/>
            <w:kern w:val="2"/>
            <w:sz w:val="22"/>
            <w:szCs w:val="22"/>
            <w:lang w:eastAsia="fr-FR"/>
            <w14:ligatures w14:val="standardContextual"/>
          </w:rPr>
          <w:tab/>
        </w:r>
        <w:r w:rsidR="00DF0F11" w:rsidRPr="00E52A4A">
          <w:rPr>
            <w:rStyle w:val="Hyperlink"/>
            <w:noProof/>
          </w:rPr>
          <w:t>Charges</w:t>
        </w:r>
        <w:r w:rsidR="00DF0F11" w:rsidRPr="00E52A4A">
          <w:rPr>
            <w:noProof/>
            <w:webHidden/>
          </w:rPr>
          <w:tab/>
        </w:r>
        <w:r w:rsidR="00DF0F11" w:rsidRPr="00E52A4A">
          <w:rPr>
            <w:noProof/>
            <w:webHidden/>
          </w:rPr>
          <w:tab/>
        </w:r>
        <w:r w:rsidR="00DF0F11" w:rsidRPr="00E52A4A">
          <w:rPr>
            <w:noProof/>
            <w:webHidden/>
          </w:rPr>
          <w:fldChar w:fldCharType="begin"/>
        </w:r>
        <w:r w:rsidR="00DF0F11" w:rsidRPr="00E52A4A">
          <w:rPr>
            <w:noProof/>
            <w:webHidden/>
          </w:rPr>
          <w:instrText xml:space="preserve"> PAGEREF _Toc162331734 \h </w:instrText>
        </w:r>
        <w:r w:rsidR="00DF0F11" w:rsidRPr="00E52A4A">
          <w:rPr>
            <w:noProof/>
            <w:webHidden/>
          </w:rPr>
        </w:r>
        <w:r w:rsidR="00DF0F11" w:rsidRPr="00E52A4A">
          <w:rPr>
            <w:noProof/>
            <w:webHidden/>
          </w:rPr>
          <w:fldChar w:fldCharType="separate"/>
        </w:r>
        <w:r w:rsidR="00E52A4A">
          <w:rPr>
            <w:noProof/>
            <w:webHidden/>
          </w:rPr>
          <w:t>70</w:t>
        </w:r>
        <w:r w:rsidR="00DF0F11" w:rsidRPr="00E52A4A">
          <w:rPr>
            <w:noProof/>
            <w:webHidden/>
          </w:rPr>
          <w:fldChar w:fldCharType="end"/>
        </w:r>
      </w:hyperlink>
    </w:p>
    <w:p w14:paraId="63939899" w14:textId="11CD6043" w:rsidR="00DF0F11" w:rsidRPr="00E52A4A" w:rsidRDefault="003065A0">
      <w:pPr>
        <w:pStyle w:val="TOC1"/>
        <w:rPr>
          <w:rFonts w:asciiTheme="minorHAnsi" w:eastAsiaTheme="minorEastAsia" w:hAnsiTheme="minorHAnsi" w:cstheme="minorBidi"/>
          <w:noProof/>
          <w:kern w:val="2"/>
          <w:sz w:val="22"/>
          <w:szCs w:val="22"/>
          <w:lang w:eastAsia="fr-FR"/>
          <w14:ligatures w14:val="standardContextual"/>
        </w:rPr>
      </w:pPr>
      <w:hyperlink w:anchor="_Toc162331735" w:history="1">
        <w:r w:rsidR="00DF0F11" w:rsidRPr="00E52A4A">
          <w:rPr>
            <w:rStyle w:val="Hyperlink"/>
            <w:noProof/>
          </w:rPr>
          <w:t>Note 24</w:t>
        </w:r>
        <w:r w:rsidR="00DF0F11" w:rsidRPr="00E52A4A">
          <w:rPr>
            <w:rFonts w:asciiTheme="minorHAnsi" w:eastAsiaTheme="minorEastAsia" w:hAnsiTheme="minorHAnsi" w:cstheme="minorBidi"/>
            <w:noProof/>
            <w:kern w:val="2"/>
            <w:sz w:val="22"/>
            <w:szCs w:val="22"/>
            <w:lang w:eastAsia="fr-FR"/>
            <w14:ligatures w14:val="standardContextual"/>
          </w:rPr>
          <w:tab/>
        </w:r>
        <w:r w:rsidR="00DF0F11" w:rsidRPr="00E52A4A">
          <w:rPr>
            <w:rStyle w:val="Hyperlink"/>
            <w:noProof/>
          </w:rPr>
          <w:t>Informations sectorielles – État de la performance financière 2022</w:t>
        </w:r>
        <w:r w:rsidR="00DF0F11" w:rsidRPr="00E52A4A">
          <w:rPr>
            <w:noProof/>
            <w:webHidden/>
          </w:rPr>
          <w:tab/>
        </w:r>
        <w:r w:rsidR="00DF0F11" w:rsidRPr="00E52A4A">
          <w:rPr>
            <w:noProof/>
            <w:webHidden/>
          </w:rPr>
          <w:tab/>
        </w:r>
        <w:r w:rsidR="00DF0F11" w:rsidRPr="00E52A4A">
          <w:rPr>
            <w:noProof/>
            <w:webHidden/>
          </w:rPr>
          <w:fldChar w:fldCharType="begin"/>
        </w:r>
        <w:r w:rsidR="00DF0F11" w:rsidRPr="00E52A4A">
          <w:rPr>
            <w:noProof/>
            <w:webHidden/>
          </w:rPr>
          <w:instrText xml:space="preserve"> PAGEREF _Toc162331735 \h </w:instrText>
        </w:r>
        <w:r w:rsidR="00DF0F11" w:rsidRPr="00E52A4A">
          <w:rPr>
            <w:noProof/>
            <w:webHidden/>
          </w:rPr>
        </w:r>
        <w:r w:rsidR="00DF0F11" w:rsidRPr="00E52A4A">
          <w:rPr>
            <w:noProof/>
            <w:webHidden/>
          </w:rPr>
          <w:fldChar w:fldCharType="separate"/>
        </w:r>
        <w:r w:rsidR="00E52A4A">
          <w:rPr>
            <w:noProof/>
            <w:webHidden/>
          </w:rPr>
          <w:t>72</w:t>
        </w:r>
        <w:r w:rsidR="00DF0F11" w:rsidRPr="00E52A4A">
          <w:rPr>
            <w:noProof/>
            <w:webHidden/>
          </w:rPr>
          <w:fldChar w:fldCharType="end"/>
        </w:r>
      </w:hyperlink>
    </w:p>
    <w:p w14:paraId="30520D95" w14:textId="0C526FF7" w:rsidR="00DF0F11" w:rsidRPr="00E52A4A" w:rsidRDefault="003065A0">
      <w:pPr>
        <w:pStyle w:val="TOC1"/>
        <w:rPr>
          <w:rFonts w:asciiTheme="minorHAnsi" w:eastAsiaTheme="minorEastAsia" w:hAnsiTheme="minorHAnsi" w:cstheme="minorBidi"/>
          <w:noProof/>
          <w:kern w:val="2"/>
          <w:sz w:val="22"/>
          <w:szCs w:val="22"/>
          <w:lang w:eastAsia="fr-FR"/>
          <w14:ligatures w14:val="standardContextual"/>
        </w:rPr>
      </w:pPr>
      <w:hyperlink w:anchor="_Toc162331736" w:history="1">
        <w:r w:rsidR="00DF0F11" w:rsidRPr="00E52A4A">
          <w:rPr>
            <w:rStyle w:val="Hyperlink"/>
            <w:noProof/>
          </w:rPr>
          <w:t>Note 25</w:t>
        </w:r>
        <w:r w:rsidR="00DF0F11" w:rsidRPr="00E52A4A">
          <w:rPr>
            <w:rFonts w:asciiTheme="minorHAnsi" w:eastAsiaTheme="minorEastAsia" w:hAnsiTheme="minorHAnsi" w:cstheme="minorBidi"/>
            <w:noProof/>
            <w:kern w:val="2"/>
            <w:sz w:val="22"/>
            <w:szCs w:val="22"/>
            <w:lang w:eastAsia="fr-FR"/>
            <w14:ligatures w14:val="standardContextual"/>
          </w:rPr>
          <w:tab/>
        </w:r>
        <w:r w:rsidR="00DF0F11" w:rsidRPr="00E52A4A">
          <w:rPr>
            <w:rStyle w:val="Hyperlink"/>
            <w:noProof/>
          </w:rPr>
          <w:t>Rapprochement entre les montants budgétés et les montants effectifs</w:t>
        </w:r>
        <w:r w:rsidR="00DF0F11" w:rsidRPr="00E52A4A">
          <w:rPr>
            <w:noProof/>
            <w:webHidden/>
          </w:rPr>
          <w:tab/>
        </w:r>
        <w:r w:rsidR="00DF0F11" w:rsidRPr="00E52A4A">
          <w:rPr>
            <w:noProof/>
            <w:webHidden/>
          </w:rPr>
          <w:tab/>
        </w:r>
        <w:r w:rsidR="00DF0F11" w:rsidRPr="00E52A4A">
          <w:rPr>
            <w:noProof/>
            <w:webHidden/>
          </w:rPr>
          <w:fldChar w:fldCharType="begin"/>
        </w:r>
        <w:r w:rsidR="00DF0F11" w:rsidRPr="00E52A4A">
          <w:rPr>
            <w:noProof/>
            <w:webHidden/>
          </w:rPr>
          <w:instrText xml:space="preserve"> PAGEREF _Toc162331736 \h </w:instrText>
        </w:r>
        <w:r w:rsidR="00DF0F11" w:rsidRPr="00E52A4A">
          <w:rPr>
            <w:noProof/>
            <w:webHidden/>
          </w:rPr>
        </w:r>
        <w:r w:rsidR="00DF0F11" w:rsidRPr="00E52A4A">
          <w:rPr>
            <w:noProof/>
            <w:webHidden/>
          </w:rPr>
          <w:fldChar w:fldCharType="separate"/>
        </w:r>
        <w:r w:rsidR="00E52A4A">
          <w:rPr>
            <w:noProof/>
            <w:webHidden/>
          </w:rPr>
          <w:t>74</w:t>
        </w:r>
        <w:r w:rsidR="00DF0F11" w:rsidRPr="00E52A4A">
          <w:rPr>
            <w:noProof/>
            <w:webHidden/>
          </w:rPr>
          <w:fldChar w:fldCharType="end"/>
        </w:r>
      </w:hyperlink>
    </w:p>
    <w:p w14:paraId="56DFEB76" w14:textId="35B87369" w:rsidR="00DF0F11" w:rsidRPr="00E52A4A" w:rsidRDefault="003065A0">
      <w:pPr>
        <w:pStyle w:val="TOC1"/>
        <w:rPr>
          <w:rFonts w:asciiTheme="minorHAnsi" w:eastAsiaTheme="minorEastAsia" w:hAnsiTheme="minorHAnsi" w:cstheme="minorBidi"/>
          <w:noProof/>
          <w:kern w:val="2"/>
          <w:sz w:val="22"/>
          <w:szCs w:val="22"/>
          <w:lang w:eastAsia="fr-FR"/>
          <w14:ligatures w14:val="standardContextual"/>
        </w:rPr>
      </w:pPr>
      <w:hyperlink w:anchor="_Toc162331737" w:history="1">
        <w:r w:rsidR="00DF0F11" w:rsidRPr="00E52A4A">
          <w:rPr>
            <w:rStyle w:val="Hyperlink"/>
            <w:noProof/>
          </w:rPr>
          <w:t>Note 26</w:t>
        </w:r>
        <w:r w:rsidR="00DF0F11" w:rsidRPr="00E52A4A">
          <w:rPr>
            <w:rFonts w:asciiTheme="minorHAnsi" w:eastAsiaTheme="minorEastAsia" w:hAnsiTheme="minorHAnsi" w:cstheme="minorBidi"/>
            <w:noProof/>
            <w:kern w:val="2"/>
            <w:sz w:val="22"/>
            <w:szCs w:val="22"/>
            <w:lang w:eastAsia="fr-FR"/>
            <w14:ligatures w14:val="standardContextual"/>
          </w:rPr>
          <w:tab/>
        </w:r>
        <w:r w:rsidR="00DF0F11" w:rsidRPr="00E52A4A">
          <w:rPr>
            <w:rStyle w:val="Hyperlink"/>
            <w:noProof/>
          </w:rPr>
          <w:t>Informations relatives aux parties liées</w:t>
        </w:r>
        <w:r w:rsidR="00DF0F11" w:rsidRPr="00E52A4A">
          <w:rPr>
            <w:noProof/>
            <w:webHidden/>
          </w:rPr>
          <w:tab/>
        </w:r>
        <w:r w:rsidR="00DF0F11" w:rsidRPr="00E52A4A">
          <w:rPr>
            <w:noProof/>
            <w:webHidden/>
          </w:rPr>
          <w:tab/>
        </w:r>
        <w:r w:rsidR="00DF0F11" w:rsidRPr="00E52A4A">
          <w:rPr>
            <w:noProof/>
            <w:webHidden/>
          </w:rPr>
          <w:fldChar w:fldCharType="begin"/>
        </w:r>
        <w:r w:rsidR="00DF0F11" w:rsidRPr="00E52A4A">
          <w:rPr>
            <w:noProof/>
            <w:webHidden/>
          </w:rPr>
          <w:instrText xml:space="preserve"> PAGEREF _Toc162331737 \h </w:instrText>
        </w:r>
        <w:r w:rsidR="00DF0F11" w:rsidRPr="00E52A4A">
          <w:rPr>
            <w:noProof/>
            <w:webHidden/>
          </w:rPr>
        </w:r>
        <w:r w:rsidR="00DF0F11" w:rsidRPr="00E52A4A">
          <w:rPr>
            <w:noProof/>
            <w:webHidden/>
          </w:rPr>
          <w:fldChar w:fldCharType="separate"/>
        </w:r>
        <w:r w:rsidR="00E52A4A">
          <w:rPr>
            <w:noProof/>
            <w:webHidden/>
          </w:rPr>
          <w:t>76</w:t>
        </w:r>
        <w:r w:rsidR="00DF0F11" w:rsidRPr="00E52A4A">
          <w:rPr>
            <w:noProof/>
            <w:webHidden/>
          </w:rPr>
          <w:fldChar w:fldCharType="end"/>
        </w:r>
      </w:hyperlink>
    </w:p>
    <w:p w14:paraId="67590201" w14:textId="5A88BFED" w:rsidR="00DF0F11" w:rsidRPr="00E52A4A" w:rsidRDefault="003065A0">
      <w:pPr>
        <w:pStyle w:val="TOC1"/>
        <w:rPr>
          <w:rFonts w:asciiTheme="minorHAnsi" w:eastAsiaTheme="minorEastAsia" w:hAnsiTheme="minorHAnsi" w:cstheme="minorBidi"/>
          <w:noProof/>
          <w:kern w:val="2"/>
          <w:sz w:val="22"/>
          <w:szCs w:val="22"/>
          <w:lang w:eastAsia="fr-FR"/>
          <w14:ligatures w14:val="standardContextual"/>
        </w:rPr>
      </w:pPr>
      <w:hyperlink w:anchor="_Toc162331738" w:history="1">
        <w:r w:rsidR="00DF0F11" w:rsidRPr="00E52A4A">
          <w:rPr>
            <w:rStyle w:val="Hyperlink"/>
            <w:noProof/>
          </w:rPr>
          <w:t>Note 27</w:t>
        </w:r>
        <w:r w:rsidR="00DF0F11" w:rsidRPr="00E52A4A">
          <w:rPr>
            <w:rFonts w:asciiTheme="minorHAnsi" w:eastAsiaTheme="minorEastAsia" w:hAnsiTheme="minorHAnsi" w:cstheme="minorBidi"/>
            <w:noProof/>
            <w:kern w:val="2"/>
            <w:sz w:val="22"/>
            <w:szCs w:val="22"/>
            <w:lang w:eastAsia="fr-FR"/>
            <w14:ligatures w14:val="standardContextual"/>
          </w:rPr>
          <w:tab/>
        </w:r>
        <w:r w:rsidR="00DF0F11" w:rsidRPr="00E52A4A">
          <w:rPr>
            <w:rStyle w:val="Hyperlink"/>
            <w:noProof/>
          </w:rPr>
          <w:t>Engagements futurs</w:t>
        </w:r>
        <w:r w:rsidR="00DF0F11" w:rsidRPr="00E52A4A">
          <w:rPr>
            <w:noProof/>
            <w:webHidden/>
          </w:rPr>
          <w:tab/>
        </w:r>
        <w:r w:rsidR="00DF0F11" w:rsidRPr="00E52A4A">
          <w:rPr>
            <w:noProof/>
            <w:webHidden/>
          </w:rPr>
          <w:tab/>
        </w:r>
        <w:r w:rsidR="00DF0F11" w:rsidRPr="00E52A4A">
          <w:rPr>
            <w:noProof/>
            <w:webHidden/>
          </w:rPr>
          <w:fldChar w:fldCharType="begin"/>
        </w:r>
        <w:r w:rsidR="00DF0F11" w:rsidRPr="00E52A4A">
          <w:rPr>
            <w:noProof/>
            <w:webHidden/>
          </w:rPr>
          <w:instrText xml:space="preserve"> PAGEREF _Toc162331738 \h </w:instrText>
        </w:r>
        <w:r w:rsidR="00DF0F11" w:rsidRPr="00E52A4A">
          <w:rPr>
            <w:noProof/>
            <w:webHidden/>
          </w:rPr>
        </w:r>
        <w:r w:rsidR="00DF0F11" w:rsidRPr="00E52A4A">
          <w:rPr>
            <w:noProof/>
            <w:webHidden/>
          </w:rPr>
          <w:fldChar w:fldCharType="separate"/>
        </w:r>
        <w:r w:rsidR="00E52A4A">
          <w:rPr>
            <w:noProof/>
            <w:webHidden/>
          </w:rPr>
          <w:t>77</w:t>
        </w:r>
        <w:r w:rsidR="00DF0F11" w:rsidRPr="00E52A4A">
          <w:rPr>
            <w:noProof/>
            <w:webHidden/>
          </w:rPr>
          <w:fldChar w:fldCharType="end"/>
        </w:r>
      </w:hyperlink>
    </w:p>
    <w:p w14:paraId="5CAECF08" w14:textId="34731CF0" w:rsidR="00DF0F11" w:rsidRPr="00E52A4A" w:rsidRDefault="003065A0">
      <w:pPr>
        <w:pStyle w:val="TOC1"/>
        <w:rPr>
          <w:rFonts w:asciiTheme="minorHAnsi" w:eastAsiaTheme="minorEastAsia" w:hAnsiTheme="minorHAnsi" w:cstheme="minorBidi"/>
          <w:noProof/>
          <w:kern w:val="2"/>
          <w:sz w:val="22"/>
          <w:szCs w:val="22"/>
          <w:lang w:eastAsia="fr-FR"/>
          <w14:ligatures w14:val="standardContextual"/>
        </w:rPr>
      </w:pPr>
      <w:hyperlink w:anchor="_Toc162331739" w:history="1">
        <w:r w:rsidR="00DF0F11" w:rsidRPr="00E52A4A">
          <w:rPr>
            <w:rStyle w:val="Hyperlink"/>
            <w:noProof/>
          </w:rPr>
          <w:t>Note 28</w:t>
        </w:r>
        <w:r w:rsidR="00DF0F11" w:rsidRPr="00E52A4A">
          <w:rPr>
            <w:rFonts w:asciiTheme="minorHAnsi" w:eastAsiaTheme="minorEastAsia" w:hAnsiTheme="minorHAnsi" w:cstheme="minorBidi"/>
            <w:noProof/>
            <w:kern w:val="2"/>
            <w:sz w:val="22"/>
            <w:szCs w:val="22"/>
            <w:lang w:eastAsia="fr-FR"/>
            <w14:ligatures w14:val="standardContextual"/>
          </w:rPr>
          <w:tab/>
        </w:r>
        <w:r w:rsidR="00DF0F11" w:rsidRPr="00E52A4A">
          <w:rPr>
            <w:rStyle w:val="Hyperlink"/>
            <w:noProof/>
          </w:rPr>
          <w:t>Paiements versés à titre gracieux</w:t>
        </w:r>
        <w:r w:rsidR="00DF0F11" w:rsidRPr="00E52A4A">
          <w:rPr>
            <w:noProof/>
            <w:webHidden/>
          </w:rPr>
          <w:tab/>
        </w:r>
        <w:r w:rsidR="00DF0F11" w:rsidRPr="00E52A4A">
          <w:rPr>
            <w:noProof/>
            <w:webHidden/>
          </w:rPr>
          <w:tab/>
        </w:r>
        <w:r w:rsidR="00DF0F11" w:rsidRPr="00E52A4A">
          <w:rPr>
            <w:noProof/>
            <w:webHidden/>
          </w:rPr>
          <w:fldChar w:fldCharType="begin"/>
        </w:r>
        <w:r w:rsidR="00DF0F11" w:rsidRPr="00E52A4A">
          <w:rPr>
            <w:noProof/>
            <w:webHidden/>
          </w:rPr>
          <w:instrText xml:space="preserve"> PAGEREF _Toc162331739 \h </w:instrText>
        </w:r>
        <w:r w:rsidR="00DF0F11" w:rsidRPr="00E52A4A">
          <w:rPr>
            <w:noProof/>
            <w:webHidden/>
          </w:rPr>
        </w:r>
        <w:r w:rsidR="00DF0F11" w:rsidRPr="00E52A4A">
          <w:rPr>
            <w:noProof/>
            <w:webHidden/>
          </w:rPr>
          <w:fldChar w:fldCharType="separate"/>
        </w:r>
        <w:r w:rsidR="00E52A4A">
          <w:rPr>
            <w:noProof/>
            <w:webHidden/>
          </w:rPr>
          <w:t>77</w:t>
        </w:r>
        <w:r w:rsidR="00DF0F11" w:rsidRPr="00E52A4A">
          <w:rPr>
            <w:noProof/>
            <w:webHidden/>
          </w:rPr>
          <w:fldChar w:fldCharType="end"/>
        </w:r>
      </w:hyperlink>
    </w:p>
    <w:p w14:paraId="39494A9C" w14:textId="46812260" w:rsidR="00DF0F11" w:rsidRPr="00E52A4A" w:rsidRDefault="003065A0">
      <w:pPr>
        <w:pStyle w:val="TOC1"/>
        <w:rPr>
          <w:rFonts w:asciiTheme="minorHAnsi" w:eastAsiaTheme="minorEastAsia" w:hAnsiTheme="minorHAnsi" w:cstheme="minorBidi"/>
          <w:noProof/>
          <w:kern w:val="2"/>
          <w:sz w:val="22"/>
          <w:szCs w:val="22"/>
          <w:lang w:eastAsia="fr-FR"/>
          <w14:ligatures w14:val="standardContextual"/>
        </w:rPr>
      </w:pPr>
      <w:hyperlink w:anchor="_Toc162331740" w:history="1">
        <w:r w:rsidR="00DF0F11" w:rsidRPr="00E52A4A">
          <w:rPr>
            <w:rStyle w:val="Hyperlink"/>
            <w:noProof/>
          </w:rPr>
          <w:t>Note 29</w:t>
        </w:r>
        <w:r w:rsidR="00DF0F11" w:rsidRPr="00E52A4A">
          <w:rPr>
            <w:rFonts w:asciiTheme="minorHAnsi" w:eastAsiaTheme="minorEastAsia" w:hAnsiTheme="minorHAnsi" w:cstheme="minorBidi"/>
            <w:noProof/>
            <w:kern w:val="2"/>
            <w:sz w:val="22"/>
            <w:szCs w:val="22"/>
            <w:lang w:eastAsia="fr-FR"/>
            <w14:ligatures w14:val="standardContextual"/>
          </w:rPr>
          <w:tab/>
        </w:r>
        <w:r w:rsidR="00DF0F11" w:rsidRPr="00E52A4A">
          <w:rPr>
            <w:rStyle w:val="Hyperlink"/>
            <w:noProof/>
          </w:rPr>
          <w:t>Événements postérieurs à la date du bilan</w:t>
        </w:r>
        <w:r w:rsidR="00DF0F11" w:rsidRPr="00E52A4A">
          <w:rPr>
            <w:noProof/>
            <w:webHidden/>
          </w:rPr>
          <w:tab/>
        </w:r>
        <w:r w:rsidR="00DF0F11" w:rsidRPr="00E52A4A">
          <w:rPr>
            <w:noProof/>
            <w:webHidden/>
          </w:rPr>
          <w:tab/>
        </w:r>
        <w:r w:rsidR="00DF0F11" w:rsidRPr="00E52A4A">
          <w:rPr>
            <w:noProof/>
            <w:webHidden/>
          </w:rPr>
          <w:fldChar w:fldCharType="begin"/>
        </w:r>
        <w:r w:rsidR="00DF0F11" w:rsidRPr="00E52A4A">
          <w:rPr>
            <w:noProof/>
            <w:webHidden/>
          </w:rPr>
          <w:instrText xml:space="preserve"> PAGEREF _Toc162331740 \h </w:instrText>
        </w:r>
        <w:r w:rsidR="00DF0F11" w:rsidRPr="00E52A4A">
          <w:rPr>
            <w:noProof/>
            <w:webHidden/>
          </w:rPr>
        </w:r>
        <w:r w:rsidR="00DF0F11" w:rsidRPr="00E52A4A">
          <w:rPr>
            <w:noProof/>
            <w:webHidden/>
          </w:rPr>
          <w:fldChar w:fldCharType="separate"/>
        </w:r>
        <w:r w:rsidR="00E52A4A">
          <w:rPr>
            <w:noProof/>
            <w:webHidden/>
          </w:rPr>
          <w:t>78</w:t>
        </w:r>
        <w:r w:rsidR="00DF0F11" w:rsidRPr="00E52A4A">
          <w:rPr>
            <w:noProof/>
            <w:webHidden/>
          </w:rPr>
          <w:fldChar w:fldCharType="end"/>
        </w:r>
      </w:hyperlink>
    </w:p>
    <w:p w14:paraId="4BC0214E" w14:textId="0BD7DA29" w:rsidR="00DF0F11" w:rsidRPr="00E52A4A" w:rsidRDefault="003065A0">
      <w:pPr>
        <w:pStyle w:val="TOC1"/>
        <w:rPr>
          <w:rFonts w:asciiTheme="minorHAnsi" w:eastAsiaTheme="minorEastAsia" w:hAnsiTheme="minorHAnsi" w:cstheme="minorBidi"/>
          <w:noProof/>
          <w:kern w:val="2"/>
          <w:sz w:val="22"/>
          <w:szCs w:val="22"/>
          <w:lang w:eastAsia="fr-FR"/>
          <w14:ligatures w14:val="standardContextual"/>
        </w:rPr>
      </w:pPr>
      <w:hyperlink w:anchor="_Toc162331741" w:history="1">
        <w:r w:rsidR="00DF0F11" w:rsidRPr="00E52A4A">
          <w:rPr>
            <w:rStyle w:val="Hyperlink"/>
            <w:noProof/>
          </w:rPr>
          <w:t>Note 30</w:t>
        </w:r>
        <w:r w:rsidR="00DF0F11" w:rsidRPr="00E52A4A">
          <w:rPr>
            <w:rFonts w:asciiTheme="minorHAnsi" w:eastAsiaTheme="minorEastAsia" w:hAnsiTheme="minorHAnsi" w:cstheme="minorBidi"/>
            <w:noProof/>
            <w:kern w:val="2"/>
            <w:sz w:val="22"/>
            <w:szCs w:val="22"/>
            <w:lang w:eastAsia="fr-FR"/>
            <w14:ligatures w14:val="standardContextual"/>
          </w:rPr>
          <w:tab/>
        </w:r>
        <w:r w:rsidR="00DF0F11" w:rsidRPr="00E52A4A">
          <w:rPr>
            <w:rStyle w:val="Hyperlink"/>
            <w:noProof/>
          </w:rPr>
          <w:t>Changements d'estimations comptables et erreurs</w:t>
        </w:r>
        <w:r w:rsidR="00DF0F11" w:rsidRPr="00E52A4A">
          <w:rPr>
            <w:noProof/>
            <w:webHidden/>
          </w:rPr>
          <w:tab/>
        </w:r>
        <w:r w:rsidR="00DF0F11" w:rsidRPr="00E52A4A">
          <w:rPr>
            <w:noProof/>
            <w:webHidden/>
          </w:rPr>
          <w:tab/>
        </w:r>
        <w:r w:rsidR="00DF0F11" w:rsidRPr="00E52A4A">
          <w:rPr>
            <w:noProof/>
            <w:webHidden/>
          </w:rPr>
          <w:fldChar w:fldCharType="begin"/>
        </w:r>
        <w:r w:rsidR="00DF0F11" w:rsidRPr="00E52A4A">
          <w:rPr>
            <w:noProof/>
            <w:webHidden/>
          </w:rPr>
          <w:instrText xml:space="preserve"> PAGEREF _Toc162331741 \h </w:instrText>
        </w:r>
        <w:r w:rsidR="00DF0F11" w:rsidRPr="00E52A4A">
          <w:rPr>
            <w:noProof/>
            <w:webHidden/>
          </w:rPr>
        </w:r>
        <w:r w:rsidR="00DF0F11" w:rsidRPr="00E52A4A">
          <w:rPr>
            <w:noProof/>
            <w:webHidden/>
          </w:rPr>
          <w:fldChar w:fldCharType="separate"/>
        </w:r>
        <w:r w:rsidR="00E52A4A">
          <w:rPr>
            <w:noProof/>
            <w:webHidden/>
          </w:rPr>
          <w:t>78</w:t>
        </w:r>
        <w:r w:rsidR="00DF0F11" w:rsidRPr="00E52A4A">
          <w:rPr>
            <w:noProof/>
            <w:webHidden/>
          </w:rPr>
          <w:fldChar w:fldCharType="end"/>
        </w:r>
      </w:hyperlink>
    </w:p>
    <w:p w14:paraId="0B0F1FBC" w14:textId="0AEB7623" w:rsidR="00DF0F11" w:rsidRPr="00E52A4A" w:rsidRDefault="003065A0" w:rsidP="00DF0F11">
      <w:pPr>
        <w:pStyle w:val="TOC1"/>
        <w:rPr>
          <w:rFonts w:asciiTheme="minorHAnsi" w:eastAsiaTheme="minorEastAsia" w:hAnsiTheme="minorHAnsi" w:cstheme="minorBidi"/>
          <w:noProof/>
          <w:kern w:val="2"/>
          <w:sz w:val="22"/>
          <w:szCs w:val="22"/>
          <w:lang w:eastAsia="fr-FR"/>
          <w14:ligatures w14:val="standardContextual"/>
        </w:rPr>
      </w:pPr>
      <w:hyperlink w:anchor="_Toc162331742" w:history="1">
        <w:r w:rsidR="00DF0F11" w:rsidRPr="00E52A4A">
          <w:rPr>
            <w:rStyle w:val="Hyperlink"/>
            <w:noProof/>
          </w:rPr>
          <w:t>ANNEXE A – Projet de Résolution</w:t>
        </w:r>
        <w:r w:rsidR="00DF0F11" w:rsidRPr="00E52A4A">
          <w:rPr>
            <w:noProof/>
            <w:webHidden/>
          </w:rPr>
          <w:tab/>
        </w:r>
        <w:r w:rsidR="00DF0F11" w:rsidRPr="00E52A4A">
          <w:rPr>
            <w:noProof/>
            <w:webHidden/>
          </w:rPr>
          <w:tab/>
        </w:r>
        <w:r w:rsidR="00DF0F11" w:rsidRPr="00E52A4A">
          <w:rPr>
            <w:noProof/>
            <w:webHidden/>
          </w:rPr>
          <w:fldChar w:fldCharType="begin"/>
        </w:r>
        <w:r w:rsidR="00DF0F11" w:rsidRPr="00E52A4A">
          <w:rPr>
            <w:noProof/>
            <w:webHidden/>
          </w:rPr>
          <w:instrText xml:space="preserve"> PAGEREF _Toc162331742 \h </w:instrText>
        </w:r>
        <w:r w:rsidR="00DF0F11" w:rsidRPr="00E52A4A">
          <w:rPr>
            <w:noProof/>
            <w:webHidden/>
          </w:rPr>
        </w:r>
        <w:r w:rsidR="00DF0F11" w:rsidRPr="00E52A4A">
          <w:rPr>
            <w:noProof/>
            <w:webHidden/>
          </w:rPr>
          <w:fldChar w:fldCharType="separate"/>
        </w:r>
        <w:r w:rsidR="00E52A4A">
          <w:rPr>
            <w:noProof/>
            <w:webHidden/>
          </w:rPr>
          <w:t>89</w:t>
        </w:r>
        <w:r w:rsidR="00DF0F11" w:rsidRPr="00E52A4A">
          <w:rPr>
            <w:noProof/>
            <w:webHidden/>
          </w:rPr>
          <w:fldChar w:fldCharType="end"/>
        </w:r>
      </w:hyperlink>
    </w:p>
    <w:p w14:paraId="3E64BE1E" w14:textId="68BACB44" w:rsidR="00110A69" w:rsidRPr="00E52A4A" w:rsidRDefault="00DF0F11" w:rsidP="00BA6385">
      <w:pPr>
        <w:pStyle w:val="Reasons"/>
      </w:pPr>
      <w:r w:rsidRPr="00E52A4A">
        <w:fldChar w:fldCharType="end"/>
      </w:r>
      <w:r w:rsidR="00110A69" w:rsidRPr="00E52A4A">
        <w:br w:type="page"/>
      </w:r>
    </w:p>
    <w:p w14:paraId="00D1F393" w14:textId="53E2DCF8" w:rsidR="00110A69" w:rsidRPr="00E52A4A" w:rsidRDefault="00BA6385" w:rsidP="0066772A">
      <w:pPr>
        <w:pStyle w:val="Heading1"/>
      </w:pPr>
      <w:bookmarkStart w:id="1" w:name="_Toc162331492"/>
      <w:bookmarkStart w:id="2" w:name="_Toc162331702"/>
      <w:r w:rsidRPr="00E52A4A">
        <w:lastRenderedPageBreak/>
        <w:t>Analyse des états financiers</w:t>
      </w:r>
      <w:bookmarkEnd w:id="1"/>
      <w:bookmarkEnd w:id="2"/>
    </w:p>
    <w:p w14:paraId="71BCAF87" w14:textId="70F06348" w:rsidR="00110A69" w:rsidRPr="00E52A4A" w:rsidRDefault="00110A69" w:rsidP="0066772A">
      <w:pPr>
        <w:spacing w:before="360"/>
        <w:rPr>
          <w:b/>
          <w:bCs/>
          <w:sz w:val="28"/>
          <w:szCs w:val="22"/>
        </w:rPr>
      </w:pPr>
      <w:r w:rsidRPr="00E52A4A">
        <w:rPr>
          <w:b/>
          <w:bCs/>
          <w:sz w:val="28"/>
          <w:szCs w:val="22"/>
        </w:rPr>
        <w:t>Introduction</w:t>
      </w:r>
    </w:p>
    <w:p w14:paraId="511DC807" w14:textId="1A1594C8" w:rsidR="00110A69" w:rsidRPr="00E52A4A" w:rsidRDefault="00D94192" w:rsidP="00BA6385">
      <w:r w:rsidRPr="00E52A4A">
        <w:t>1</w:t>
      </w:r>
      <w:r w:rsidRPr="00E52A4A">
        <w:tab/>
      </w:r>
      <w:r w:rsidR="00983E89" w:rsidRPr="00E52A4A">
        <w:t xml:space="preserve">Les états financiers et le </w:t>
      </w:r>
      <w:r w:rsidR="00BA6385" w:rsidRPr="00E52A4A">
        <w:t>r</w:t>
      </w:r>
      <w:r w:rsidR="00983E89" w:rsidRPr="00E52A4A">
        <w:t>apport de gestion financière pour l</w:t>
      </w:r>
      <w:r w:rsidR="0066772A" w:rsidRPr="00E52A4A">
        <w:t>'</w:t>
      </w:r>
      <w:r w:rsidR="00983E89" w:rsidRPr="00E52A4A">
        <w:t>exercice clos le</w:t>
      </w:r>
      <w:r w:rsidR="0066772A" w:rsidRPr="00E52A4A">
        <w:t> </w:t>
      </w:r>
      <w:r w:rsidR="00983E89" w:rsidRPr="00E52A4A">
        <w:t>31</w:t>
      </w:r>
      <w:r w:rsidR="0066772A" w:rsidRPr="00E52A4A">
        <w:t> </w:t>
      </w:r>
      <w:r w:rsidR="00983E89" w:rsidRPr="00E52A4A">
        <w:t>décembre 2022 sont soumis conformément à l</w:t>
      </w:r>
      <w:r w:rsidR="0066772A" w:rsidRPr="00E52A4A">
        <w:t>'</w:t>
      </w:r>
      <w:r w:rsidR="00983E89" w:rsidRPr="00E52A4A">
        <w:t>Article 30 du Règlement financier de l</w:t>
      </w:r>
      <w:r w:rsidR="0066772A" w:rsidRPr="00E52A4A">
        <w:t>'</w:t>
      </w:r>
      <w:r w:rsidR="00983E89" w:rsidRPr="00E52A4A">
        <w:t>Union</w:t>
      </w:r>
      <w:r w:rsidR="00BA6385" w:rsidRPr="00E52A4A">
        <w:t xml:space="preserve"> (é</w:t>
      </w:r>
      <w:r w:rsidR="00983E89" w:rsidRPr="00E52A4A">
        <w:t>dition 2018</w:t>
      </w:r>
      <w:r w:rsidR="00BA6385" w:rsidRPr="00E52A4A">
        <w:t>)</w:t>
      </w:r>
      <w:r w:rsidR="00194063" w:rsidRPr="00E52A4A">
        <w:t>.</w:t>
      </w:r>
    </w:p>
    <w:p w14:paraId="74FCA27D" w14:textId="1F31C0DC" w:rsidR="00D94192" w:rsidRPr="00E52A4A" w:rsidRDefault="00D94192" w:rsidP="00BA6385">
      <w:r w:rsidRPr="00E52A4A">
        <w:t>2</w:t>
      </w:r>
      <w:r w:rsidRPr="00E52A4A">
        <w:tab/>
      </w:r>
      <w:r w:rsidR="00983E89" w:rsidRPr="00E52A4A">
        <w:t xml:space="preserve">Les états financiers sont établis conformément aux normes comptables internationales pour le secteur public (IPSAS) et </w:t>
      </w:r>
      <w:r w:rsidR="00BA6385" w:rsidRPr="00E52A4A">
        <w:t>portent sur</w:t>
      </w:r>
      <w:r w:rsidR="00983E89" w:rsidRPr="00E52A4A">
        <w:t xml:space="preserve"> toutes les </w:t>
      </w:r>
      <w:r w:rsidR="00BA6385" w:rsidRPr="00E52A4A">
        <w:t>activités</w:t>
      </w:r>
      <w:r w:rsidR="00983E89" w:rsidRPr="00E52A4A">
        <w:t xml:space="preserve"> de l</w:t>
      </w:r>
      <w:r w:rsidR="0066772A" w:rsidRPr="00E52A4A">
        <w:t>'</w:t>
      </w:r>
      <w:r w:rsidR="00983E89" w:rsidRPr="00E52A4A">
        <w:t xml:space="preserve">Organisation, y compris celles financées par le budget ordinaire, les </w:t>
      </w:r>
      <w:r w:rsidR="00BA6385" w:rsidRPr="00E52A4A">
        <w:t xml:space="preserve">ressources </w:t>
      </w:r>
      <w:r w:rsidR="00983E89" w:rsidRPr="00E52A4A">
        <w:t xml:space="preserve">extrabudgétaires, les </w:t>
      </w:r>
      <w:r w:rsidR="00BA6385" w:rsidRPr="00E52A4A">
        <w:t>produits d</w:t>
      </w:r>
      <w:r w:rsidR="0066772A" w:rsidRPr="00E52A4A">
        <w:t>'</w:t>
      </w:r>
      <w:r w:rsidR="00BA6385" w:rsidRPr="00E52A4A">
        <w:t>exploitation</w:t>
      </w:r>
      <w:r w:rsidR="00983E89" w:rsidRPr="00E52A4A">
        <w:t xml:space="preserve"> et </w:t>
      </w:r>
      <w:r w:rsidR="00BA6385" w:rsidRPr="00E52A4A">
        <w:t xml:space="preserve">les produits </w:t>
      </w:r>
      <w:r w:rsidR="00983E89" w:rsidRPr="00E52A4A">
        <w:t>financi</w:t>
      </w:r>
      <w:r w:rsidR="00BA6385" w:rsidRPr="00E52A4A">
        <w:t>ers</w:t>
      </w:r>
      <w:r w:rsidR="00983E89" w:rsidRPr="00E52A4A">
        <w:t>.</w:t>
      </w:r>
    </w:p>
    <w:p w14:paraId="4BA1BE6C" w14:textId="3EB08E04" w:rsidR="00D94192" w:rsidRPr="00E52A4A" w:rsidRDefault="00D94192" w:rsidP="00BA6385">
      <w:pPr>
        <w:pStyle w:val="enumlev1"/>
      </w:pPr>
      <w:r w:rsidRPr="00E52A4A">
        <w:t>a)</w:t>
      </w:r>
      <w:r w:rsidRPr="00E52A4A">
        <w:tab/>
      </w:r>
      <w:r w:rsidR="00BA6385" w:rsidRPr="00E52A4A">
        <w:t xml:space="preserve">Le </w:t>
      </w:r>
      <w:r w:rsidR="00983E89" w:rsidRPr="00E52A4A">
        <w:t>Règlement financier définit un exercice biennal</w:t>
      </w:r>
      <w:r w:rsidR="00BA6385" w:rsidRPr="00E52A4A">
        <w:t>. T</w:t>
      </w:r>
      <w:r w:rsidR="00983E89" w:rsidRPr="00E52A4A">
        <w:t xml:space="preserve">outefois, conformément aux normes IPSAS, des états financiers </w:t>
      </w:r>
      <w:r w:rsidR="00223839" w:rsidRPr="00E52A4A">
        <w:t xml:space="preserve">doivent être présentés </w:t>
      </w:r>
      <w:r w:rsidR="00F171A4" w:rsidRPr="00E52A4A">
        <w:t>chaque année</w:t>
      </w:r>
      <w:r w:rsidR="00983E89" w:rsidRPr="00E52A4A">
        <w:t>. Le budget biennal de l</w:t>
      </w:r>
      <w:r w:rsidR="0066772A" w:rsidRPr="00E52A4A">
        <w:t>'</w:t>
      </w:r>
      <w:r w:rsidR="00983E89" w:rsidRPr="00E52A4A">
        <w:t>UIT est établi selon un modèle de budget axé sur les résultats et couvre notamment:</w:t>
      </w:r>
    </w:p>
    <w:p w14:paraId="29318C3C" w14:textId="23A601A8" w:rsidR="00D94192" w:rsidRPr="00E52A4A" w:rsidRDefault="00D94192" w:rsidP="00BA6385">
      <w:pPr>
        <w:pStyle w:val="enumlev2"/>
      </w:pPr>
      <w:r w:rsidRPr="00E52A4A">
        <w:t>i)</w:t>
      </w:r>
      <w:r w:rsidRPr="00E52A4A">
        <w:tab/>
      </w:r>
      <w:r w:rsidR="00983E89" w:rsidRPr="00E52A4A">
        <w:t>le budget ordinaire</w:t>
      </w:r>
      <w:r w:rsidR="00BA6385" w:rsidRPr="00E52A4A">
        <w:t>, c</w:t>
      </w:r>
      <w:r w:rsidR="0066772A" w:rsidRPr="00E52A4A">
        <w:t>'</w:t>
      </w:r>
      <w:r w:rsidR="00BA6385" w:rsidRPr="00E52A4A">
        <w:t>est-à-dire</w:t>
      </w:r>
      <w:r w:rsidR="00983E89" w:rsidRPr="00E52A4A">
        <w:t xml:space="preserve"> les contributions des </w:t>
      </w:r>
      <w:r w:rsidR="0066772A" w:rsidRPr="00E52A4A">
        <w:t>États</w:t>
      </w:r>
      <w:r w:rsidR="00983E89" w:rsidRPr="00E52A4A">
        <w:t xml:space="preserve"> Membres ainsi que celles des Membres de Secteur et des Associés;</w:t>
      </w:r>
    </w:p>
    <w:p w14:paraId="532C83B3" w14:textId="33B48FCA" w:rsidR="00D94192" w:rsidRPr="00E52A4A" w:rsidRDefault="00D94192" w:rsidP="00BA6385">
      <w:pPr>
        <w:pStyle w:val="enumlev2"/>
      </w:pPr>
      <w:r w:rsidRPr="00E52A4A">
        <w:t>ii)</w:t>
      </w:r>
      <w:r w:rsidRPr="00E52A4A">
        <w:tab/>
      </w:r>
      <w:r w:rsidR="00BA6385" w:rsidRPr="00E52A4A">
        <w:t xml:space="preserve">les produits tirés du </w:t>
      </w:r>
      <w:r w:rsidR="00983E89" w:rsidRPr="00E52A4A">
        <w:t xml:space="preserve">recouvrement des coûts (publications, </w:t>
      </w:r>
      <w:r w:rsidR="00223839" w:rsidRPr="00E52A4A">
        <w:t>traitement d</w:t>
      </w:r>
      <w:r w:rsidR="00983E89" w:rsidRPr="00E52A4A">
        <w:t xml:space="preserve">es </w:t>
      </w:r>
      <w:r w:rsidR="00BA6385" w:rsidRPr="00E52A4A">
        <w:t>fiche</w:t>
      </w:r>
      <w:r w:rsidR="00F171A4" w:rsidRPr="00E52A4A">
        <w:t>s</w:t>
      </w:r>
      <w:r w:rsidR="00BA6385" w:rsidRPr="00E52A4A">
        <w:t xml:space="preserve"> de </w:t>
      </w:r>
      <w:r w:rsidR="00983E89" w:rsidRPr="00E52A4A">
        <w:t>notification</w:t>
      </w:r>
      <w:r w:rsidR="00BA6385" w:rsidRPr="00E52A4A">
        <w:t xml:space="preserve"> </w:t>
      </w:r>
      <w:r w:rsidR="00983E89" w:rsidRPr="00E52A4A">
        <w:t xml:space="preserve">des réseaux à satellite, intérêts </w:t>
      </w:r>
      <w:r w:rsidR="00BA6385" w:rsidRPr="00E52A4A">
        <w:t xml:space="preserve">créditeurs </w:t>
      </w:r>
      <w:r w:rsidR="00983E89" w:rsidRPr="00E52A4A">
        <w:t xml:space="preserve">et autres activités </w:t>
      </w:r>
      <w:r w:rsidR="00746DD8" w:rsidRPr="00E52A4A">
        <w:t>génératrices</w:t>
      </w:r>
      <w:r w:rsidR="00983E89" w:rsidRPr="00E52A4A">
        <w:t xml:space="preserve"> de </w:t>
      </w:r>
      <w:r w:rsidR="00F171A4" w:rsidRPr="00E52A4A">
        <w:t>produits</w:t>
      </w:r>
      <w:r w:rsidR="00983E89" w:rsidRPr="00E52A4A">
        <w:t>)</w:t>
      </w:r>
      <w:r w:rsidR="00746DD8" w:rsidRPr="00E52A4A">
        <w:t xml:space="preserve"> ainsi que</w:t>
      </w:r>
      <w:r w:rsidR="00983E89" w:rsidRPr="00E52A4A">
        <w:t xml:space="preserve">, si nécessaire, </w:t>
      </w:r>
      <w:r w:rsidR="00746DD8" w:rsidRPr="00E52A4A">
        <w:t xml:space="preserve">les </w:t>
      </w:r>
      <w:r w:rsidR="00983E89" w:rsidRPr="00E52A4A">
        <w:t>prélèvements sur le Fonds de réserve.</w:t>
      </w:r>
    </w:p>
    <w:p w14:paraId="1259F346" w14:textId="16D630AD" w:rsidR="00D94192" w:rsidRPr="00E52A4A" w:rsidRDefault="00D94192" w:rsidP="00BA6385">
      <w:pPr>
        <w:pStyle w:val="enumlev1"/>
      </w:pPr>
      <w:r w:rsidRPr="00E52A4A">
        <w:t>b)</w:t>
      </w:r>
      <w:r w:rsidRPr="00E52A4A">
        <w:tab/>
      </w:r>
      <w:r w:rsidR="00223839" w:rsidRPr="00E52A4A">
        <w:t>Aucun</w:t>
      </w:r>
      <w:r w:rsidR="00746DD8" w:rsidRPr="00E52A4A">
        <w:t xml:space="preserve"> autre produit</w:t>
      </w:r>
      <w:r w:rsidR="00983E89" w:rsidRPr="00E52A4A">
        <w:t xml:space="preserve">, y compris les fonds extrabudgétaires, </w:t>
      </w:r>
      <w:r w:rsidR="00223839" w:rsidRPr="00E52A4A">
        <w:t>n</w:t>
      </w:r>
      <w:r w:rsidR="0066772A" w:rsidRPr="00E52A4A">
        <w:t>'</w:t>
      </w:r>
      <w:r w:rsidR="00223839" w:rsidRPr="00E52A4A">
        <w:t>est</w:t>
      </w:r>
      <w:r w:rsidR="00983E89" w:rsidRPr="00E52A4A">
        <w:t xml:space="preserve"> comptabilisé dans le budget de l</w:t>
      </w:r>
      <w:r w:rsidR="0066772A" w:rsidRPr="00E52A4A">
        <w:t>'</w:t>
      </w:r>
      <w:r w:rsidR="00983E89" w:rsidRPr="00E52A4A">
        <w:t>Union.</w:t>
      </w:r>
    </w:p>
    <w:p w14:paraId="748A4373" w14:textId="56BED20C" w:rsidR="00D94192" w:rsidRPr="00E52A4A" w:rsidRDefault="00D94192" w:rsidP="00BA6385">
      <w:r w:rsidRPr="00E52A4A">
        <w:t>3</w:t>
      </w:r>
      <w:r w:rsidRPr="00E52A4A">
        <w:tab/>
      </w:r>
      <w:r w:rsidR="00983E89" w:rsidRPr="00E52A4A">
        <w:t>La présentation des états financiers selon les normes IPSAS n</w:t>
      </w:r>
      <w:r w:rsidR="0066772A" w:rsidRPr="00E52A4A">
        <w:t>'</w:t>
      </w:r>
      <w:r w:rsidR="00983E89" w:rsidRPr="00E52A4A">
        <w:t>a pas d</w:t>
      </w:r>
      <w:r w:rsidR="0066772A" w:rsidRPr="00E52A4A">
        <w:t>'</w:t>
      </w:r>
      <w:r w:rsidR="00983E89" w:rsidRPr="00E52A4A">
        <w:t>incidence sur l</w:t>
      </w:r>
      <w:r w:rsidR="0066772A" w:rsidRPr="00E52A4A">
        <w:t>'</w:t>
      </w:r>
      <w:r w:rsidR="00983E89" w:rsidRPr="00E52A4A">
        <w:t>élaboration ou la présentation du budget axé sur les résultats de l</w:t>
      </w:r>
      <w:r w:rsidR="0066772A" w:rsidRPr="00E52A4A">
        <w:t>'</w:t>
      </w:r>
      <w:r w:rsidR="00983E89" w:rsidRPr="00E52A4A">
        <w:t>UIT, qui continue d</w:t>
      </w:r>
      <w:r w:rsidR="0066772A" w:rsidRPr="00E52A4A">
        <w:t>'</w:t>
      </w:r>
      <w:r w:rsidR="00983E89" w:rsidRPr="00E52A4A">
        <w:t>être présenté sur la base d</w:t>
      </w:r>
      <w:r w:rsidR="0066772A" w:rsidRPr="00E52A4A">
        <w:t>'</w:t>
      </w:r>
      <w:r w:rsidR="00983E89" w:rsidRPr="00E52A4A">
        <w:t xml:space="preserve">une comptabilité de caisse modifiée. Les </w:t>
      </w:r>
      <w:r w:rsidR="00746DD8" w:rsidRPr="00E52A4A">
        <w:t>fondements</w:t>
      </w:r>
      <w:r w:rsidR="00983E89" w:rsidRPr="00E52A4A">
        <w:t xml:space="preserve"> </w:t>
      </w:r>
      <w:r w:rsidR="00746DD8" w:rsidRPr="00E52A4A">
        <w:t xml:space="preserve">sur lesquels reposent le </w:t>
      </w:r>
      <w:r w:rsidR="00983E89" w:rsidRPr="00E52A4A">
        <w:t>budget et les états financiers étant différen</w:t>
      </w:r>
      <w:r w:rsidR="00746DD8" w:rsidRPr="00E52A4A">
        <w:t>t</w:t>
      </w:r>
      <w:r w:rsidR="00983E89" w:rsidRPr="00E52A4A">
        <w:t>s, un rapprochement entre le budget et l</w:t>
      </w:r>
      <w:r w:rsidR="0066772A" w:rsidRPr="00E52A4A">
        <w:t>'</w:t>
      </w:r>
      <w:r w:rsidR="00983E89" w:rsidRPr="00E52A4A">
        <w:t>état de la performance financière</w:t>
      </w:r>
      <w:r w:rsidR="00746DD8" w:rsidRPr="00E52A4A">
        <w:t xml:space="preserve"> conformément aux normes</w:t>
      </w:r>
      <w:r w:rsidR="00983E89" w:rsidRPr="00E52A4A">
        <w:t xml:space="preserve"> IPSAS est présenté </w:t>
      </w:r>
      <w:r w:rsidR="00746DD8" w:rsidRPr="00E52A4A">
        <w:t xml:space="preserve">dans la </w:t>
      </w:r>
      <w:r w:rsidR="005163B4" w:rsidRPr="00E52A4A">
        <w:t>P</w:t>
      </w:r>
      <w:r w:rsidR="00746DD8" w:rsidRPr="00E52A4A">
        <w:t>artie V</w:t>
      </w:r>
      <w:r w:rsidR="00983E89" w:rsidRPr="00E52A4A">
        <w:t xml:space="preserve"> (</w:t>
      </w:r>
      <w:r w:rsidR="0066772A" w:rsidRPr="00E52A4A">
        <w:t>État</w:t>
      </w:r>
      <w:r w:rsidR="00983E89" w:rsidRPr="00E52A4A">
        <w:t xml:space="preserve"> </w:t>
      </w:r>
      <w:r w:rsidR="00746DD8" w:rsidRPr="00E52A4A">
        <w:t>de la comparaison des montants budg</w:t>
      </w:r>
      <w:r w:rsidR="00223839" w:rsidRPr="00E52A4A">
        <w:t>é</w:t>
      </w:r>
      <w:r w:rsidR="00746DD8" w:rsidRPr="00E52A4A">
        <w:t>tés et des montants effectifs</w:t>
      </w:r>
      <w:r w:rsidR="00983E89" w:rsidRPr="00E52A4A">
        <w:t>)</w:t>
      </w:r>
      <w:r w:rsidR="00F04037" w:rsidRPr="00E52A4A">
        <w:t xml:space="preserve">, dans </w:t>
      </w:r>
      <w:r w:rsidR="00983E89" w:rsidRPr="00E52A4A">
        <w:t xml:space="preserve">la </w:t>
      </w:r>
      <w:r w:rsidR="005163B4" w:rsidRPr="00E52A4A">
        <w:t>N</w:t>
      </w:r>
      <w:r w:rsidR="00983E89" w:rsidRPr="00E52A4A">
        <w:t>ote 25 relative aux états financiers.</w:t>
      </w:r>
    </w:p>
    <w:p w14:paraId="26AC4EA8" w14:textId="577B663F" w:rsidR="00D94192" w:rsidRPr="00E52A4A" w:rsidRDefault="00D94192" w:rsidP="00826739">
      <w:pPr>
        <w:spacing w:before="360"/>
        <w:rPr>
          <w:b/>
          <w:bCs/>
          <w:sz w:val="28"/>
          <w:szCs w:val="22"/>
        </w:rPr>
      </w:pPr>
      <w:r w:rsidRPr="00E52A4A">
        <w:rPr>
          <w:b/>
          <w:bCs/>
          <w:sz w:val="28"/>
          <w:szCs w:val="22"/>
        </w:rPr>
        <w:t>Éléments essentiels du rapport de gestion financière</w:t>
      </w:r>
      <w:r w:rsidR="00746DD8" w:rsidRPr="00E52A4A">
        <w:rPr>
          <w:b/>
          <w:bCs/>
          <w:sz w:val="28"/>
          <w:szCs w:val="22"/>
        </w:rPr>
        <w:t xml:space="preserve"> pour 2022</w:t>
      </w:r>
    </w:p>
    <w:p w14:paraId="4B2D3752" w14:textId="65DEAE9A" w:rsidR="00D94192" w:rsidRPr="00E52A4A" w:rsidRDefault="00D94192" w:rsidP="00BA6385">
      <w:r w:rsidRPr="00E52A4A">
        <w:t>4</w:t>
      </w:r>
      <w:r w:rsidRPr="00E52A4A">
        <w:tab/>
        <w:t>La comptabilité de l</w:t>
      </w:r>
      <w:r w:rsidR="0066772A" w:rsidRPr="00E52A4A">
        <w:t>'</w:t>
      </w:r>
      <w:r w:rsidRPr="00E52A4A">
        <w:t xml:space="preserve">Union est tenue en francs suisses. Les états financiers présentés tiennent compte des </w:t>
      </w:r>
      <w:r w:rsidR="00F04037" w:rsidRPr="00E52A4A">
        <w:t xml:space="preserve">fonds </w:t>
      </w:r>
      <w:r w:rsidRPr="00E52A4A">
        <w:t>extrabudgétaires de l</w:t>
      </w:r>
      <w:r w:rsidR="0066772A" w:rsidRPr="00E52A4A">
        <w:t>'</w:t>
      </w:r>
      <w:r w:rsidRPr="00E52A4A">
        <w:t>Union.</w:t>
      </w:r>
    </w:p>
    <w:p w14:paraId="5CC2823B" w14:textId="04F136CF" w:rsidR="00D94192" w:rsidRPr="00E52A4A" w:rsidRDefault="00D94192" w:rsidP="00BA6385">
      <w:r w:rsidRPr="00E52A4A">
        <w:t>5</w:t>
      </w:r>
      <w:r w:rsidRPr="00E52A4A">
        <w:tab/>
        <w:t>Le Tableau 1 ci-après récapitule la situation financière de l</w:t>
      </w:r>
      <w:r w:rsidR="0066772A" w:rsidRPr="00E52A4A">
        <w:t>'</w:t>
      </w:r>
      <w:r w:rsidRPr="00E52A4A">
        <w:t>UIT en 2022, par rapport à 2021.</w:t>
      </w:r>
    </w:p>
    <w:p w14:paraId="18AAFFAF" w14:textId="4E63F921" w:rsidR="00D94192" w:rsidRPr="00E52A4A" w:rsidRDefault="00D94192" w:rsidP="00BA6385">
      <w:pPr>
        <w:pStyle w:val="Tabletitle"/>
      </w:pPr>
      <w:r w:rsidRPr="00E52A4A">
        <w:lastRenderedPageBreak/>
        <w:t>Tableau 1</w:t>
      </w:r>
      <w:r w:rsidR="005163B4" w:rsidRPr="00E52A4A">
        <w:t xml:space="preserve"> –</w:t>
      </w:r>
      <w:r w:rsidRPr="00E52A4A">
        <w:t xml:space="preserve"> </w:t>
      </w:r>
      <w:r w:rsidR="00746DD8" w:rsidRPr="00E52A4A">
        <w:t xml:space="preserve">Situation financière pour </w:t>
      </w:r>
      <w:r w:rsidR="00F04037" w:rsidRPr="00E52A4A">
        <w:t xml:space="preserve">les exercices </w:t>
      </w:r>
      <w:r w:rsidR="00746DD8" w:rsidRPr="00E52A4A">
        <w:t>2022 et 2021</w:t>
      </w:r>
    </w:p>
    <w:p w14:paraId="050E3D9B" w14:textId="58C9E3EE" w:rsidR="00D94192" w:rsidRPr="00E52A4A" w:rsidRDefault="00B959D2" w:rsidP="00BA6385">
      <w:pPr>
        <w:pStyle w:val="Figure"/>
      </w:pPr>
      <w:r w:rsidRPr="00E52A4A">
        <w:rPr>
          <w:noProof/>
        </w:rPr>
        <w:drawing>
          <wp:inline distT="0" distB="0" distL="0" distR="0" wp14:anchorId="7B73687E" wp14:editId="0B4B09F6">
            <wp:extent cx="5200015" cy="164592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0015" cy="1645920"/>
                    </a:xfrm>
                    <a:prstGeom prst="rect">
                      <a:avLst/>
                    </a:prstGeom>
                    <a:noFill/>
                    <a:ln>
                      <a:noFill/>
                    </a:ln>
                  </pic:spPr>
                </pic:pic>
              </a:graphicData>
            </a:graphic>
          </wp:inline>
        </w:drawing>
      </w:r>
    </w:p>
    <w:p w14:paraId="774B7163" w14:textId="313088C9" w:rsidR="00D94192" w:rsidRPr="00E52A4A" w:rsidRDefault="00D94192" w:rsidP="00B959D2">
      <w:pPr>
        <w:spacing w:before="240"/>
      </w:pPr>
      <w:r w:rsidRPr="00E52A4A">
        <w:t>6</w:t>
      </w:r>
      <w:r w:rsidRPr="00E52A4A">
        <w:tab/>
      </w:r>
      <w:r w:rsidR="00EF5311" w:rsidRPr="00E52A4A">
        <w:t>Comme indiqué dans le Tableau 1 ci-dessus, on constate une diminution de</w:t>
      </w:r>
      <w:r w:rsidR="00B959D2" w:rsidRPr="00E52A4A">
        <w:t> </w:t>
      </w:r>
      <w:r w:rsidR="00EF5311" w:rsidRPr="00E52A4A">
        <w:t>5,2</w:t>
      </w:r>
      <w:r w:rsidR="00B959D2" w:rsidRPr="00E52A4A">
        <w:t> </w:t>
      </w:r>
      <w:r w:rsidR="00EF5311" w:rsidRPr="00E52A4A">
        <w:t xml:space="preserve">millions CHF du niveau global des produits en 2022 par rapport à 2021. </w:t>
      </w:r>
      <w:r w:rsidR="00F04037" w:rsidRPr="00E52A4A">
        <w:t xml:space="preserve">Cette diminution </w:t>
      </w:r>
      <w:r w:rsidR="00EF5311" w:rsidRPr="00E52A4A">
        <w:t>est due à une baisse des produits tirés du recouvrement des coûts et des produits financiers d</w:t>
      </w:r>
      <w:r w:rsidR="0066772A" w:rsidRPr="00E52A4A">
        <w:t>'</w:t>
      </w:r>
      <w:r w:rsidR="00EF5311" w:rsidRPr="00E52A4A">
        <w:t>un montant de 11 millions CHF, compensée par une augmentation des contributions mises en recouvrement et des contributions extrabudgétaires (5,8</w:t>
      </w:r>
      <w:r w:rsidR="00B959D2" w:rsidRPr="00E52A4A">
        <w:t> </w:t>
      </w:r>
      <w:r w:rsidR="00EF5311" w:rsidRPr="00E52A4A">
        <w:t>millions</w:t>
      </w:r>
      <w:r w:rsidR="00B959D2" w:rsidRPr="00E52A4A">
        <w:t> </w:t>
      </w:r>
      <w:r w:rsidR="00EF5311" w:rsidRPr="00E52A4A">
        <w:t>CHF). Les charges pour 2022 ont également augmenté de 5,9 millions CHF</w:t>
      </w:r>
      <w:r w:rsidR="003B01C1" w:rsidRPr="00E52A4A">
        <w:t xml:space="preserve"> par rapport à</w:t>
      </w:r>
      <w:r w:rsidR="00717CB4" w:rsidRPr="00E52A4A">
        <w:t xml:space="preserve"> </w:t>
      </w:r>
      <w:r w:rsidR="003B01C1" w:rsidRPr="00E52A4A">
        <w:t>2021</w:t>
      </w:r>
      <w:r w:rsidR="00EF5311" w:rsidRPr="00E52A4A">
        <w:t>, principalement en raison de l</w:t>
      </w:r>
      <w:r w:rsidR="0066772A" w:rsidRPr="00E52A4A">
        <w:t>'</w:t>
      </w:r>
      <w:r w:rsidR="00EF5311" w:rsidRPr="00E52A4A">
        <w:t xml:space="preserve">augmentation des </w:t>
      </w:r>
      <w:r w:rsidR="003B01C1" w:rsidRPr="00E52A4A">
        <w:t>frais</w:t>
      </w:r>
      <w:r w:rsidR="00EF5311" w:rsidRPr="00E52A4A">
        <w:t xml:space="preserve"> de mission, des </w:t>
      </w:r>
      <w:r w:rsidR="00F04037" w:rsidRPr="00E52A4A">
        <w:t xml:space="preserve">charges </w:t>
      </w:r>
      <w:r w:rsidR="00EF5311" w:rsidRPr="00E52A4A">
        <w:t>de personnel et d</w:t>
      </w:r>
      <w:r w:rsidR="0066772A" w:rsidRPr="00E52A4A">
        <w:t>'</w:t>
      </w:r>
      <w:r w:rsidR="00EF5311" w:rsidRPr="00E52A4A">
        <w:t xml:space="preserve">autres </w:t>
      </w:r>
      <w:r w:rsidR="003B01C1" w:rsidRPr="00E52A4A">
        <w:t>charges d</w:t>
      </w:r>
      <w:r w:rsidR="0066772A" w:rsidRPr="00E52A4A">
        <w:t>'</w:t>
      </w:r>
      <w:r w:rsidR="003B01C1" w:rsidRPr="00E52A4A">
        <w:t>exploitation</w:t>
      </w:r>
      <w:r w:rsidR="00EF5311" w:rsidRPr="00E52A4A">
        <w:t>. Les sections suivantes présentent une analyse plus approfondie des produits et des charges.</w:t>
      </w:r>
    </w:p>
    <w:p w14:paraId="3C6D35BC" w14:textId="2DDADD4D" w:rsidR="00D94192" w:rsidRPr="00E52A4A" w:rsidRDefault="00D94192" w:rsidP="00BA6385">
      <w:r w:rsidRPr="00E52A4A">
        <w:t>7</w:t>
      </w:r>
      <w:r w:rsidRPr="00E52A4A">
        <w:tab/>
      </w:r>
      <w:r w:rsidR="00EF5311" w:rsidRPr="00E52A4A">
        <w:t>Les actifs de l</w:t>
      </w:r>
      <w:r w:rsidR="0066772A" w:rsidRPr="00E52A4A">
        <w:t>'</w:t>
      </w:r>
      <w:r w:rsidR="00EF5311" w:rsidRPr="00E52A4A">
        <w:t xml:space="preserve">Organisation ont diminué de 19,7 millions CHF, essentiellement en raison de la diminution de la trésorerie et des équivalents de trésorerie, des placements et des créances. Le passif a diminué de 217,4 millions CHF, en raison de la baisse de la valeur du Fonds </w:t>
      </w:r>
      <w:r w:rsidR="003B01C1" w:rsidRPr="00E52A4A">
        <w:t>de l</w:t>
      </w:r>
      <w:r w:rsidR="0066772A" w:rsidRPr="00E52A4A">
        <w:t>'</w:t>
      </w:r>
      <w:r w:rsidR="00EF5311" w:rsidRPr="00E52A4A">
        <w:t>Assurance maladie après l</w:t>
      </w:r>
      <w:r w:rsidR="003B01C1" w:rsidRPr="00E52A4A">
        <w:t>a cessation de service (ASHI</w:t>
      </w:r>
      <w:r w:rsidR="00EF5311" w:rsidRPr="00E52A4A">
        <w:t>)</w:t>
      </w:r>
      <w:r w:rsidR="003B01C1" w:rsidRPr="00E52A4A">
        <w:t xml:space="preserve"> </w:t>
      </w:r>
      <w:r w:rsidR="00EF5311" w:rsidRPr="00E52A4A">
        <w:t xml:space="preserve">résultant </w:t>
      </w:r>
      <w:r w:rsidR="003B01C1" w:rsidRPr="00E52A4A">
        <w:t>de</w:t>
      </w:r>
      <w:r w:rsidR="00EF5311" w:rsidRPr="00E52A4A">
        <w:t xml:space="preserve"> modifications des taux d</w:t>
      </w:r>
      <w:r w:rsidR="0066772A" w:rsidRPr="00E52A4A">
        <w:t>'</w:t>
      </w:r>
      <w:r w:rsidR="00EF5311" w:rsidRPr="00E52A4A">
        <w:t>actualisation.</w:t>
      </w:r>
    </w:p>
    <w:p w14:paraId="7B40E70F" w14:textId="284A6CC3" w:rsidR="00D94192" w:rsidRPr="00E52A4A" w:rsidRDefault="00D94192" w:rsidP="00BA6385">
      <w:r w:rsidRPr="00E52A4A">
        <w:t>8</w:t>
      </w:r>
      <w:r w:rsidRPr="00E52A4A">
        <w:tab/>
      </w:r>
      <w:r w:rsidR="00EF5311" w:rsidRPr="00E52A4A">
        <w:t xml:space="preserve">Le déficit de 24,4 millions CHF indiqué ci-dessus </w:t>
      </w:r>
      <w:r w:rsidR="003B01C1" w:rsidRPr="00E52A4A">
        <w:t>est dû au fait que le</w:t>
      </w:r>
      <w:r w:rsidR="00EF5311" w:rsidRPr="00E52A4A">
        <w:t xml:space="preserve"> montant total des charges </w:t>
      </w:r>
      <w:r w:rsidR="003B01C1" w:rsidRPr="00E52A4A">
        <w:t xml:space="preserve">dépasse </w:t>
      </w:r>
      <w:r w:rsidR="00EF5311" w:rsidRPr="00E52A4A">
        <w:t>le</w:t>
      </w:r>
      <w:r w:rsidR="003B01C1" w:rsidRPr="00E52A4A">
        <w:t xml:space="preserve"> montant des </w:t>
      </w:r>
      <w:r w:rsidR="00EF5311" w:rsidRPr="00E52A4A">
        <w:t>produits en 2022</w:t>
      </w:r>
      <w:r w:rsidR="003B01C1" w:rsidRPr="00E52A4A">
        <w:t>,</w:t>
      </w:r>
      <w:r w:rsidR="00EF5311" w:rsidRPr="00E52A4A">
        <w:t xml:space="preserve"> </w:t>
      </w:r>
      <w:r w:rsidR="00F04037" w:rsidRPr="00E52A4A">
        <w:t>pour</w:t>
      </w:r>
      <w:r w:rsidR="00EF5311" w:rsidRPr="00E52A4A">
        <w:t xml:space="preserve"> l</w:t>
      </w:r>
      <w:r w:rsidR="0066772A" w:rsidRPr="00E52A4A">
        <w:t>'</w:t>
      </w:r>
      <w:r w:rsidR="00EF5311" w:rsidRPr="00E52A4A">
        <w:t>ensemble de l</w:t>
      </w:r>
      <w:r w:rsidR="0066772A" w:rsidRPr="00E52A4A">
        <w:t>'</w:t>
      </w:r>
      <w:r w:rsidR="00EF5311" w:rsidRPr="00E52A4A">
        <w:t>Organisation. Toutefois, le déficit par rapport à l</w:t>
      </w:r>
      <w:r w:rsidR="0066772A" w:rsidRPr="00E52A4A">
        <w:t>'</w:t>
      </w:r>
      <w:r w:rsidR="00EF5311" w:rsidRPr="00E52A4A">
        <w:t xml:space="preserve">exécution du budget est de 4,8 millions CHF, ce qui est </w:t>
      </w:r>
      <w:r w:rsidR="003B01C1" w:rsidRPr="00E52A4A">
        <w:t>présenté de manière détaillée</w:t>
      </w:r>
      <w:r w:rsidR="00EF5311" w:rsidRPr="00E52A4A">
        <w:t xml:space="preserve"> dans l</w:t>
      </w:r>
      <w:r w:rsidR="0066772A" w:rsidRPr="00E52A4A">
        <w:t>'</w:t>
      </w:r>
      <w:r w:rsidR="005163B4" w:rsidRPr="00E52A4A">
        <w:t>É</w:t>
      </w:r>
      <w:r w:rsidR="00EF5311" w:rsidRPr="00E52A4A">
        <w:t xml:space="preserve">tat V et dans la </w:t>
      </w:r>
      <w:r w:rsidR="005163B4" w:rsidRPr="00E52A4A">
        <w:t>N</w:t>
      </w:r>
      <w:r w:rsidR="00EF5311" w:rsidRPr="00E52A4A">
        <w:t>ote 25</w:t>
      </w:r>
      <w:r w:rsidR="003B01C1" w:rsidRPr="00E52A4A">
        <w:t xml:space="preserve"> relative aux</w:t>
      </w:r>
      <w:r w:rsidR="00EF5311" w:rsidRPr="00E52A4A">
        <w:t xml:space="preserve"> états financiers. Le</w:t>
      </w:r>
      <w:r w:rsidR="00717CB4" w:rsidRPr="00E52A4A">
        <w:t> </w:t>
      </w:r>
      <w:r w:rsidR="00EF5311" w:rsidRPr="00E52A4A">
        <w:t xml:space="preserve">Tableau 2 ci-après </w:t>
      </w:r>
      <w:r w:rsidR="003B01C1" w:rsidRPr="00E52A4A">
        <w:t>rend compte du</w:t>
      </w:r>
      <w:r w:rsidR="00EF5311" w:rsidRPr="00E52A4A">
        <w:t xml:space="preserve"> financement du déficit budgétaire </w:t>
      </w:r>
      <w:r w:rsidR="003B01C1" w:rsidRPr="00E52A4A">
        <w:t>à partir du Fonds de</w:t>
      </w:r>
      <w:r w:rsidR="00EF5311" w:rsidRPr="00E52A4A">
        <w:t xml:space="preserve"> réserve et </w:t>
      </w:r>
      <w:r w:rsidR="003B01C1" w:rsidRPr="00E52A4A">
        <w:t>d</w:t>
      </w:r>
      <w:r w:rsidR="00EF5311" w:rsidRPr="00E52A4A">
        <w:t xml:space="preserve">es économies réalisées </w:t>
      </w:r>
      <w:r w:rsidR="003B01C1" w:rsidRPr="00E52A4A">
        <w:t>sur les fonds des</w:t>
      </w:r>
      <w:r w:rsidR="00EF5311" w:rsidRPr="00E52A4A">
        <w:t xml:space="preserve"> années précédentes. Au</w:t>
      </w:r>
      <w:r w:rsidR="00717CB4" w:rsidRPr="00E52A4A">
        <w:t> </w:t>
      </w:r>
      <w:r w:rsidR="00EF5311" w:rsidRPr="00E52A4A">
        <w:t>31</w:t>
      </w:r>
      <w:r w:rsidR="00717CB4" w:rsidRPr="00E52A4A">
        <w:t> </w:t>
      </w:r>
      <w:r w:rsidR="00EF5311" w:rsidRPr="00E52A4A">
        <w:t>décembre</w:t>
      </w:r>
      <w:r w:rsidR="00717CB4" w:rsidRPr="00E52A4A">
        <w:t> </w:t>
      </w:r>
      <w:r w:rsidR="00EF5311" w:rsidRPr="00E52A4A">
        <w:t>2022, le solde du Fonds de réserve s</w:t>
      </w:r>
      <w:r w:rsidR="0066772A" w:rsidRPr="00E52A4A">
        <w:t>'</w:t>
      </w:r>
      <w:r w:rsidR="00EF5311" w:rsidRPr="00E52A4A">
        <w:t>élevait à 28,4 millions CHF.</w:t>
      </w:r>
    </w:p>
    <w:p w14:paraId="75793051" w14:textId="0BEA5E4B" w:rsidR="00D94192" w:rsidRPr="00E52A4A" w:rsidRDefault="00D94192" w:rsidP="00BA6385">
      <w:pPr>
        <w:pStyle w:val="Tabletitle"/>
      </w:pPr>
      <w:r w:rsidRPr="00E52A4A">
        <w:lastRenderedPageBreak/>
        <w:t>Tableau 2</w:t>
      </w:r>
      <w:r w:rsidR="005163B4" w:rsidRPr="00E52A4A">
        <w:t xml:space="preserve"> –</w:t>
      </w:r>
      <w:r w:rsidRPr="00E52A4A">
        <w:t xml:space="preserve"> </w:t>
      </w:r>
      <w:r w:rsidR="003B01C1" w:rsidRPr="00E52A4A">
        <w:t>Financement du budget pour 2022</w:t>
      </w:r>
    </w:p>
    <w:p w14:paraId="041D6918" w14:textId="60AAABF3" w:rsidR="00D94192" w:rsidRPr="00E52A4A" w:rsidRDefault="009A7E39" w:rsidP="00BA6385">
      <w:pPr>
        <w:pStyle w:val="Figure"/>
      </w:pPr>
      <w:r w:rsidRPr="00E52A4A">
        <w:rPr>
          <w:noProof/>
        </w:rPr>
        <w:drawing>
          <wp:inline distT="0" distB="0" distL="0" distR="0" wp14:anchorId="51E95FD0" wp14:editId="661221E1">
            <wp:extent cx="4612005" cy="35941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2005" cy="3594100"/>
                    </a:xfrm>
                    <a:prstGeom prst="rect">
                      <a:avLst/>
                    </a:prstGeom>
                    <a:noFill/>
                    <a:ln>
                      <a:noFill/>
                    </a:ln>
                  </pic:spPr>
                </pic:pic>
              </a:graphicData>
            </a:graphic>
          </wp:inline>
        </w:drawing>
      </w:r>
    </w:p>
    <w:p w14:paraId="6C20BF88" w14:textId="0FDE1D9D" w:rsidR="00876EE1" w:rsidRPr="00E52A4A" w:rsidRDefault="00677EBD" w:rsidP="00826739">
      <w:pPr>
        <w:spacing w:before="360"/>
        <w:rPr>
          <w:b/>
          <w:bCs/>
          <w:sz w:val="28"/>
          <w:szCs w:val="22"/>
        </w:rPr>
      </w:pPr>
      <w:r w:rsidRPr="00E52A4A">
        <w:rPr>
          <w:b/>
          <w:bCs/>
          <w:sz w:val="28"/>
          <w:szCs w:val="22"/>
        </w:rPr>
        <w:t>Performance financière</w:t>
      </w:r>
    </w:p>
    <w:p w14:paraId="7B610913" w14:textId="73BC4209" w:rsidR="00876EE1" w:rsidRPr="00E52A4A" w:rsidRDefault="00677EBD" w:rsidP="00173449">
      <w:pPr>
        <w:pStyle w:val="Headingb"/>
      </w:pPr>
      <w:r w:rsidRPr="00E52A4A">
        <w:t>Produits</w:t>
      </w:r>
    </w:p>
    <w:p w14:paraId="03A1665A" w14:textId="08E36EA8" w:rsidR="00876EE1" w:rsidRPr="00E52A4A" w:rsidRDefault="00876EE1" w:rsidP="00BA6385">
      <w:r w:rsidRPr="00E52A4A">
        <w:t>9</w:t>
      </w:r>
      <w:r w:rsidRPr="00E52A4A">
        <w:tab/>
      </w:r>
      <w:r w:rsidR="00677EBD" w:rsidRPr="00E52A4A">
        <w:t xml:space="preserve">En 2022, les </w:t>
      </w:r>
      <w:r w:rsidR="00B60DA8" w:rsidRPr="00E52A4A">
        <w:t>produits</w:t>
      </w:r>
      <w:r w:rsidR="00677EBD" w:rsidRPr="00E52A4A">
        <w:t xml:space="preserve"> de l</w:t>
      </w:r>
      <w:r w:rsidR="0066772A" w:rsidRPr="00E52A4A">
        <w:t>'</w:t>
      </w:r>
      <w:r w:rsidR="00677EBD" w:rsidRPr="00E52A4A">
        <w:t>UIT s</w:t>
      </w:r>
      <w:r w:rsidR="0066772A" w:rsidRPr="00E52A4A">
        <w:t>'</w:t>
      </w:r>
      <w:r w:rsidR="00677EBD" w:rsidRPr="00E52A4A">
        <w:t>élevaient à 172,4 millions CHF (contre</w:t>
      </w:r>
      <w:r w:rsidR="00426DCD" w:rsidRPr="00E52A4A">
        <w:t xml:space="preserve"> </w:t>
      </w:r>
      <w:r w:rsidR="00677EBD" w:rsidRPr="00E52A4A">
        <w:t>177,6</w:t>
      </w:r>
      <w:r w:rsidR="00426DCD" w:rsidRPr="00E52A4A">
        <w:t> </w:t>
      </w:r>
      <w:r w:rsidR="00677EBD" w:rsidRPr="00E52A4A">
        <w:t>millions</w:t>
      </w:r>
      <w:r w:rsidR="00426DCD" w:rsidRPr="00E52A4A">
        <w:t> </w:t>
      </w:r>
      <w:r w:rsidR="00677EBD" w:rsidRPr="00E52A4A">
        <w:t xml:space="preserve">CHF en 2021). Le </w:t>
      </w:r>
      <w:r w:rsidR="00B60DA8" w:rsidRPr="00E52A4A">
        <w:t>T</w:t>
      </w:r>
      <w:r w:rsidR="00677EBD" w:rsidRPr="00E52A4A">
        <w:t xml:space="preserve">ableau 3 ci-dessous indique les principales sources de </w:t>
      </w:r>
      <w:r w:rsidR="00B60DA8" w:rsidRPr="00E52A4A">
        <w:t>produits</w:t>
      </w:r>
      <w:r w:rsidR="00677EBD" w:rsidRPr="00E52A4A">
        <w:t xml:space="preserve"> pour 2022 et 2021. Les </w:t>
      </w:r>
      <w:r w:rsidR="00B60DA8" w:rsidRPr="00E52A4A">
        <w:t>produits tirés des</w:t>
      </w:r>
      <w:r w:rsidR="00677EBD" w:rsidRPr="00E52A4A">
        <w:t xml:space="preserve"> contributions volontaires et des contributions mises en recouvrement ont augmenté de 5,8 millions CHF. Le</w:t>
      </w:r>
      <w:r w:rsidR="007624BB" w:rsidRPr="00E52A4A">
        <w:t>s produits tirés de</w:t>
      </w:r>
      <w:r w:rsidR="00677EBD" w:rsidRPr="00E52A4A">
        <w:t>s publications et</w:t>
      </w:r>
      <w:r w:rsidR="006D5B58" w:rsidRPr="00E52A4A">
        <w:t xml:space="preserve"> du traitement</w:t>
      </w:r>
      <w:r w:rsidR="00677EBD" w:rsidRPr="00E52A4A">
        <w:t xml:space="preserve"> </w:t>
      </w:r>
      <w:r w:rsidR="007624BB" w:rsidRPr="00E52A4A">
        <w:t>d</w:t>
      </w:r>
      <w:r w:rsidR="00677EBD" w:rsidRPr="00E52A4A">
        <w:t>es</w:t>
      </w:r>
      <w:r w:rsidR="00B60DA8" w:rsidRPr="00E52A4A">
        <w:t xml:space="preserve"> fiches de</w:t>
      </w:r>
      <w:r w:rsidR="00677EBD" w:rsidRPr="00E52A4A">
        <w:t xml:space="preserve"> notification</w:t>
      </w:r>
      <w:r w:rsidR="00B60DA8" w:rsidRPr="00E52A4A">
        <w:t xml:space="preserve"> </w:t>
      </w:r>
      <w:r w:rsidR="00677EBD" w:rsidRPr="00E52A4A">
        <w:t xml:space="preserve">de réseaux à satellite ont diminué de 5,8 millions CHF, ce qui a eu une incidence sur la mise en </w:t>
      </w:r>
      <w:r w:rsidR="00426DCD" w:rsidRPr="00E52A4A">
        <w:t>œuvre</w:t>
      </w:r>
      <w:r w:rsidR="00677EBD" w:rsidRPr="00E52A4A">
        <w:t xml:space="preserve"> du budget approuvé de l</w:t>
      </w:r>
      <w:r w:rsidR="0066772A" w:rsidRPr="00E52A4A">
        <w:t>'</w:t>
      </w:r>
      <w:r w:rsidR="00677EBD" w:rsidRPr="00E52A4A">
        <w:t>UIT pour 2022-2023. Les autres produits ont baissé de 5,2 millions CHF, essentiellement en raison des modifications apportées à la comptabilisation du financement du budget ordinaire</w:t>
      </w:r>
      <w:r w:rsidR="00B60DA8" w:rsidRPr="00E52A4A">
        <w:t>.</w:t>
      </w:r>
    </w:p>
    <w:p w14:paraId="2779D9B5" w14:textId="00F20863" w:rsidR="00876EE1" w:rsidRPr="00E52A4A" w:rsidRDefault="00876EE1" w:rsidP="00426DCD">
      <w:pPr>
        <w:pStyle w:val="Tabletitle"/>
        <w:spacing w:before="240"/>
      </w:pPr>
      <w:r w:rsidRPr="00E52A4A">
        <w:lastRenderedPageBreak/>
        <w:t>Tableau 3</w:t>
      </w:r>
      <w:r w:rsidR="00426DCD" w:rsidRPr="00E52A4A">
        <w:t xml:space="preserve"> –</w:t>
      </w:r>
      <w:r w:rsidRPr="00E52A4A">
        <w:t xml:space="preserve"> </w:t>
      </w:r>
      <w:r w:rsidR="00B60DA8" w:rsidRPr="00E52A4A">
        <w:t>Sources de produits pour 2022 et 2021</w:t>
      </w:r>
    </w:p>
    <w:p w14:paraId="0EC62E80" w14:textId="214AF06C" w:rsidR="00426DCD" w:rsidRPr="00E52A4A" w:rsidRDefault="00426DCD" w:rsidP="00426DCD">
      <w:pPr>
        <w:pStyle w:val="Figure"/>
      </w:pPr>
      <w:r w:rsidRPr="00E52A4A">
        <w:rPr>
          <w:noProof/>
        </w:rPr>
        <w:drawing>
          <wp:inline distT="0" distB="0" distL="0" distR="0" wp14:anchorId="223F1954" wp14:editId="63D77174">
            <wp:extent cx="5234560" cy="2218414"/>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7654" cy="2219725"/>
                    </a:xfrm>
                    <a:prstGeom prst="rect">
                      <a:avLst/>
                    </a:prstGeom>
                    <a:noFill/>
                    <a:ln>
                      <a:noFill/>
                    </a:ln>
                  </pic:spPr>
                </pic:pic>
              </a:graphicData>
            </a:graphic>
          </wp:inline>
        </w:drawing>
      </w:r>
    </w:p>
    <w:p w14:paraId="2DDF7FF5" w14:textId="7A87D90B" w:rsidR="00876EE1" w:rsidRPr="00E52A4A" w:rsidRDefault="00876EE1" w:rsidP="00BA6385">
      <w:pPr>
        <w:pStyle w:val="Figuretitle"/>
      </w:pPr>
      <w:r w:rsidRPr="00E52A4A">
        <w:t xml:space="preserve">Figure 1 – </w:t>
      </w:r>
      <w:r w:rsidR="008F1CB5" w:rsidRPr="00E52A4A">
        <w:t xml:space="preserve">Analyse </w:t>
      </w:r>
      <w:r w:rsidR="006D5B58" w:rsidRPr="00E52A4A">
        <w:t xml:space="preserve">de la ventilation </w:t>
      </w:r>
      <w:r w:rsidR="008F1CB5" w:rsidRPr="00E52A4A">
        <w:t>des produits pour 2022</w:t>
      </w:r>
    </w:p>
    <w:p w14:paraId="5471B230" w14:textId="7322439F" w:rsidR="0031469F" w:rsidRPr="00E52A4A" w:rsidRDefault="009B62E5" w:rsidP="0031469F">
      <w:pPr>
        <w:pStyle w:val="Figure"/>
      </w:pPr>
      <w:r w:rsidRPr="00E52A4A">
        <w:rPr>
          <w:noProof/>
        </w:rPr>
        <w:drawing>
          <wp:inline distT="0" distB="0" distL="0" distR="0" wp14:anchorId="6C1D9616" wp14:editId="2B66CF50">
            <wp:extent cx="5298909" cy="3036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3325" cy="3038990"/>
                    </a:xfrm>
                    <a:prstGeom prst="rect">
                      <a:avLst/>
                    </a:prstGeom>
                    <a:noFill/>
                    <a:ln>
                      <a:noFill/>
                    </a:ln>
                  </pic:spPr>
                </pic:pic>
              </a:graphicData>
            </a:graphic>
          </wp:inline>
        </w:drawing>
      </w:r>
    </w:p>
    <w:p w14:paraId="0C64F7B8" w14:textId="0AC3B798" w:rsidR="00876EE1" w:rsidRPr="00E52A4A" w:rsidRDefault="00876EE1" w:rsidP="00BA6385">
      <w:r w:rsidRPr="00E52A4A">
        <w:t>10</w:t>
      </w:r>
      <w:r w:rsidRPr="00E52A4A">
        <w:tab/>
      </w:r>
      <w:r w:rsidR="00677EBD" w:rsidRPr="00E52A4A">
        <w:t xml:space="preserve">Comme le montre la </w:t>
      </w:r>
      <w:r w:rsidR="006D5B58" w:rsidRPr="00E52A4A">
        <w:t>F</w:t>
      </w:r>
      <w:r w:rsidR="00677EBD" w:rsidRPr="00E52A4A">
        <w:t xml:space="preserve">igure 1 ci-dessus, les </w:t>
      </w:r>
      <w:r w:rsidR="0091518D" w:rsidRPr="00E52A4A">
        <w:t>produits</w:t>
      </w:r>
      <w:r w:rsidR="00677EBD" w:rsidRPr="00E52A4A">
        <w:t xml:space="preserve"> proviennent essentiellement des contributions mises en recouvrement (74%), </w:t>
      </w:r>
      <w:r w:rsidR="0091518D" w:rsidRPr="00E52A4A">
        <w:t xml:space="preserve">puis des produits tirés </w:t>
      </w:r>
      <w:r w:rsidR="00677EBD" w:rsidRPr="00E52A4A">
        <w:t xml:space="preserve">du recouvrement des coûts (16%), qui comprennent </w:t>
      </w:r>
      <w:r w:rsidR="006D5B58" w:rsidRPr="00E52A4A">
        <w:t xml:space="preserve">principalement </w:t>
      </w:r>
      <w:r w:rsidR="00677EBD" w:rsidRPr="00E52A4A">
        <w:t>les ventes de publications et le</w:t>
      </w:r>
      <w:r w:rsidR="006D5B58" w:rsidRPr="00E52A4A">
        <w:t xml:space="preserve"> traitement de</w:t>
      </w:r>
      <w:r w:rsidR="00677EBD" w:rsidRPr="00E52A4A">
        <w:t>s fiches de notification des réseaux à satellite.</w:t>
      </w:r>
    </w:p>
    <w:p w14:paraId="07193585" w14:textId="39EA6FA6" w:rsidR="00876EE1" w:rsidRPr="00E52A4A" w:rsidRDefault="00876EE1" w:rsidP="00BA6385">
      <w:r w:rsidRPr="00E52A4A">
        <w:t>11</w:t>
      </w:r>
      <w:r w:rsidRPr="00E52A4A">
        <w:tab/>
      </w:r>
      <w:r w:rsidR="00677EBD" w:rsidRPr="00E52A4A">
        <w:t xml:space="preserve">Les contributions comptabilisées </w:t>
      </w:r>
      <w:r w:rsidR="0091518D" w:rsidRPr="00E52A4A">
        <w:t>au titre des</w:t>
      </w:r>
      <w:r w:rsidR="00677EBD" w:rsidRPr="00E52A4A">
        <w:t xml:space="preserve"> fonds </w:t>
      </w:r>
      <w:r w:rsidR="0091518D" w:rsidRPr="00E52A4A">
        <w:t>d</w:t>
      </w:r>
      <w:r w:rsidR="0066772A" w:rsidRPr="00E52A4A">
        <w:t>'</w:t>
      </w:r>
      <w:r w:rsidR="0091518D" w:rsidRPr="00E52A4A">
        <w:t>affectation spéciale</w:t>
      </w:r>
      <w:r w:rsidR="00677EBD" w:rsidRPr="00E52A4A">
        <w:t xml:space="preserve"> (comptabilisées sous </w:t>
      </w:r>
      <w:r w:rsidR="0091518D" w:rsidRPr="00E52A4A">
        <w:t>la rubrique "</w:t>
      </w:r>
      <w:r w:rsidR="00677EBD" w:rsidRPr="00E52A4A">
        <w:t>Contributions extrabudgétaires</w:t>
      </w:r>
      <w:r w:rsidR="0091518D" w:rsidRPr="00E52A4A">
        <w:t>"</w:t>
      </w:r>
      <w:r w:rsidR="00677EBD" w:rsidRPr="00E52A4A">
        <w:t xml:space="preserve"> d</w:t>
      </w:r>
      <w:r w:rsidR="0091518D" w:rsidRPr="00E52A4A">
        <w:t>ans le T</w:t>
      </w:r>
      <w:r w:rsidR="00677EBD" w:rsidRPr="00E52A4A">
        <w:t>ableau 3) se sont élevées à 14 millions CHF en 2022 (11,3 millions CHF en 2021). Cette augmentation s</w:t>
      </w:r>
      <w:r w:rsidR="0066772A" w:rsidRPr="00E52A4A">
        <w:t>'</w:t>
      </w:r>
      <w:r w:rsidR="00677EBD" w:rsidRPr="00E52A4A">
        <w:t xml:space="preserve">explique par </w:t>
      </w:r>
      <w:r w:rsidR="0091518D" w:rsidRPr="00E52A4A">
        <w:t>la hausse</w:t>
      </w:r>
      <w:r w:rsidR="00677EBD" w:rsidRPr="00E52A4A">
        <w:t xml:space="preserve"> du taux de mise en œuvre des fonds d</w:t>
      </w:r>
      <w:r w:rsidR="0066772A" w:rsidRPr="00E52A4A">
        <w:t>'</w:t>
      </w:r>
      <w:r w:rsidR="00677EBD" w:rsidRPr="00E52A4A">
        <w:t>affectation spéciale en 2022 par rapport à 2021.</w:t>
      </w:r>
    </w:p>
    <w:p w14:paraId="68A2DE55" w14:textId="6ECE1A4B" w:rsidR="00876EE1" w:rsidRPr="00E52A4A" w:rsidRDefault="00876EE1" w:rsidP="0031469F">
      <w:pPr>
        <w:keepLines/>
      </w:pPr>
      <w:r w:rsidRPr="00E52A4A">
        <w:t>12</w:t>
      </w:r>
      <w:r w:rsidRPr="00E52A4A">
        <w:tab/>
      </w:r>
      <w:r w:rsidR="00677EBD" w:rsidRPr="00E52A4A">
        <w:t>Les contributions volontaires comptabilisées au titre des contributions extrabudgétaires du Tableau 3 se sont chiffrées à 4,0 millions CHF en 2022 contre</w:t>
      </w:r>
      <w:r w:rsidR="0031469F" w:rsidRPr="00E52A4A">
        <w:t> </w:t>
      </w:r>
      <w:r w:rsidR="00677EBD" w:rsidRPr="00E52A4A">
        <w:t>2,9</w:t>
      </w:r>
      <w:r w:rsidR="0031469F" w:rsidRPr="00E52A4A">
        <w:t> </w:t>
      </w:r>
      <w:r w:rsidR="00677EBD" w:rsidRPr="00E52A4A">
        <w:t>millions CHF en 2021. Des informations plus détaillées sur les activités extrabudgétaires sont disponibles à l</w:t>
      </w:r>
      <w:r w:rsidR="0066772A" w:rsidRPr="00E52A4A">
        <w:t>'</w:t>
      </w:r>
      <w:r w:rsidR="00677EBD" w:rsidRPr="00E52A4A">
        <w:t xml:space="preserve">adresse suivante: </w:t>
      </w:r>
      <w:hyperlink r:id="rId14" w:history="1">
        <w:r w:rsidR="00677EBD" w:rsidRPr="00E52A4A">
          <w:rPr>
            <w:rStyle w:val="Hyperlink"/>
          </w:rPr>
          <w:t>Document C23 INF/12</w:t>
        </w:r>
      </w:hyperlink>
      <w:r w:rsidR="00677EBD" w:rsidRPr="00E52A4A">
        <w:t>.</w:t>
      </w:r>
    </w:p>
    <w:p w14:paraId="519E3330" w14:textId="48089A67" w:rsidR="00876EE1" w:rsidRPr="00E52A4A" w:rsidRDefault="00876EE1" w:rsidP="00BA6385">
      <w:r w:rsidRPr="00E52A4A">
        <w:lastRenderedPageBreak/>
        <w:t>13</w:t>
      </w:r>
      <w:r w:rsidRPr="00E52A4A">
        <w:tab/>
      </w:r>
      <w:r w:rsidR="00677EBD" w:rsidRPr="00E52A4A">
        <w:t xml:space="preserve">La mise en </w:t>
      </w:r>
      <w:r w:rsidR="00A709F6" w:rsidRPr="00E52A4A">
        <w:t>œuvre</w:t>
      </w:r>
      <w:r w:rsidR="00677EBD" w:rsidRPr="00E52A4A">
        <w:t xml:space="preserve"> des projets </w:t>
      </w:r>
      <w:r w:rsidR="00BE41A8" w:rsidRPr="00E52A4A">
        <w:t>relevant des f</w:t>
      </w:r>
      <w:r w:rsidR="00677EBD" w:rsidRPr="00E52A4A">
        <w:t>onds d</w:t>
      </w:r>
      <w:r w:rsidR="0066772A" w:rsidRPr="00E52A4A">
        <w:t>'</w:t>
      </w:r>
      <w:r w:rsidR="00677EBD" w:rsidRPr="00E52A4A">
        <w:t xml:space="preserve">affectation spéciale a généré des </w:t>
      </w:r>
      <w:r w:rsidR="00BE41A8" w:rsidRPr="00E52A4A">
        <w:t>produits d</w:t>
      </w:r>
      <w:r w:rsidR="0066772A" w:rsidRPr="00E52A4A">
        <w:t>'</w:t>
      </w:r>
      <w:r w:rsidR="00BE41A8" w:rsidRPr="00E52A4A">
        <w:t xml:space="preserve">un montant </w:t>
      </w:r>
      <w:r w:rsidR="00677EBD" w:rsidRPr="00E52A4A">
        <w:t>de 941 000 CHF en 2022 (724 000 CHF en 2021) au titre des dépenses d</w:t>
      </w:r>
      <w:r w:rsidR="0066772A" w:rsidRPr="00E52A4A">
        <w:t>'</w:t>
      </w:r>
      <w:r w:rsidR="00677EBD" w:rsidRPr="00E52A4A">
        <w:t>appui</w:t>
      </w:r>
      <w:r w:rsidR="00BE41A8" w:rsidRPr="00E52A4A">
        <w:t>.</w:t>
      </w:r>
    </w:p>
    <w:p w14:paraId="41CF4370" w14:textId="0286BD47" w:rsidR="00876EE1" w:rsidRPr="00E52A4A" w:rsidRDefault="00677EBD" w:rsidP="00B535B9">
      <w:pPr>
        <w:spacing w:before="360"/>
        <w:rPr>
          <w:b/>
          <w:bCs/>
          <w:sz w:val="28"/>
          <w:szCs w:val="22"/>
        </w:rPr>
      </w:pPr>
      <w:r w:rsidRPr="00E52A4A">
        <w:rPr>
          <w:b/>
          <w:bCs/>
          <w:sz w:val="28"/>
          <w:szCs w:val="22"/>
        </w:rPr>
        <w:t>Charges</w:t>
      </w:r>
    </w:p>
    <w:p w14:paraId="3929D1EC" w14:textId="575CA8E0" w:rsidR="00876EE1" w:rsidRPr="00E52A4A" w:rsidRDefault="00876EE1" w:rsidP="00BA6385">
      <w:r w:rsidRPr="00E52A4A">
        <w:t>14</w:t>
      </w:r>
      <w:r w:rsidRPr="00E52A4A">
        <w:tab/>
      </w:r>
      <w:r w:rsidR="00677EBD" w:rsidRPr="00E52A4A">
        <w:t>En 2022, les charges de l</w:t>
      </w:r>
      <w:r w:rsidR="0066772A" w:rsidRPr="00E52A4A">
        <w:t>'</w:t>
      </w:r>
      <w:r w:rsidR="00677EBD" w:rsidRPr="00E52A4A">
        <w:t xml:space="preserve">UIT se sont élevées à 196,8 millions CHF (190,9 millions CHF en 2021), soit une augmentation de 3,1% par rapport à 2021. Le </w:t>
      </w:r>
      <w:r w:rsidR="006D5B58" w:rsidRPr="00E52A4A">
        <w:t>T</w:t>
      </w:r>
      <w:r w:rsidR="00677EBD" w:rsidRPr="00E52A4A">
        <w:t xml:space="preserve">ableau 4 présente la comparaison des charges </w:t>
      </w:r>
      <w:r w:rsidR="00BE41A8" w:rsidRPr="00E52A4A">
        <w:t>entre</w:t>
      </w:r>
      <w:r w:rsidR="00677EBD" w:rsidRPr="00E52A4A">
        <w:t xml:space="preserve"> 2022 e</w:t>
      </w:r>
      <w:r w:rsidR="00BE41A8" w:rsidRPr="00E52A4A">
        <w:t>t</w:t>
      </w:r>
      <w:r w:rsidR="00677EBD" w:rsidRPr="00E52A4A">
        <w:t xml:space="preserve"> 2021. </w:t>
      </w:r>
      <w:r w:rsidR="00BE41A8" w:rsidRPr="00E52A4A">
        <w:t>L</w:t>
      </w:r>
      <w:r w:rsidR="0066772A" w:rsidRPr="00E52A4A">
        <w:t>'</w:t>
      </w:r>
      <w:r w:rsidR="00BE41A8" w:rsidRPr="00E52A4A">
        <w:t xml:space="preserve">augmentation </w:t>
      </w:r>
      <w:r w:rsidR="00677EBD" w:rsidRPr="00E52A4A">
        <w:t>s</w:t>
      </w:r>
      <w:r w:rsidR="0066772A" w:rsidRPr="00E52A4A">
        <w:t>'</w:t>
      </w:r>
      <w:r w:rsidR="00677EBD" w:rsidRPr="00E52A4A">
        <w:t xml:space="preserve">explique par la baisse des </w:t>
      </w:r>
      <w:r w:rsidR="00BE41A8" w:rsidRPr="00E52A4A">
        <w:t xml:space="preserve">charges liées à </w:t>
      </w:r>
      <w:r w:rsidR="00677EBD" w:rsidRPr="00E52A4A">
        <w:t>l</w:t>
      </w:r>
      <w:r w:rsidR="0066772A" w:rsidRPr="00E52A4A">
        <w:t>'</w:t>
      </w:r>
      <w:r w:rsidR="00677EBD" w:rsidRPr="00E52A4A">
        <w:t xml:space="preserve">ASHI, qui a été compensée par une hausse des </w:t>
      </w:r>
      <w:r w:rsidR="006D5B58" w:rsidRPr="00E52A4A">
        <w:t xml:space="preserve">charges </w:t>
      </w:r>
      <w:r w:rsidR="00677EBD" w:rsidRPr="00E52A4A">
        <w:t>de personnel pour les services généraux. Il est à noter que la charge la plus importante,</w:t>
      </w:r>
      <w:r w:rsidR="00BE41A8" w:rsidRPr="00E52A4A">
        <w:t xml:space="preserve"> à savoir</w:t>
      </w:r>
      <w:r w:rsidR="00677EBD" w:rsidRPr="00E52A4A">
        <w:t xml:space="preserve"> les </w:t>
      </w:r>
      <w:r w:rsidR="006D5B58" w:rsidRPr="00E52A4A">
        <w:t xml:space="preserve">charges </w:t>
      </w:r>
      <w:r w:rsidR="00677EBD" w:rsidRPr="00E52A4A">
        <w:t>de personnel en 2022, est restée stable par rapport à 2021.</w:t>
      </w:r>
      <w:r w:rsidR="00BE41A8" w:rsidRPr="00E52A4A">
        <w:t xml:space="preserve"> </w:t>
      </w:r>
      <w:r w:rsidR="00677EBD" w:rsidRPr="00E52A4A">
        <w:t>La principale augmentation pour</w:t>
      </w:r>
      <w:r w:rsidR="00A709F6" w:rsidRPr="00E52A4A">
        <w:t> </w:t>
      </w:r>
      <w:r w:rsidR="00677EBD" w:rsidRPr="00E52A4A">
        <w:t>2022 est liée aux frais de voyage</w:t>
      </w:r>
      <w:r w:rsidR="00BE41A8" w:rsidRPr="00E52A4A">
        <w:t>,</w:t>
      </w:r>
      <w:r w:rsidR="00677EBD" w:rsidRPr="00E52A4A">
        <w:t xml:space="preserve"> qui ont augmenté </w:t>
      </w:r>
      <w:r w:rsidR="006D5B58" w:rsidRPr="00E52A4A">
        <w:t xml:space="preserve">pour atteindre </w:t>
      </w:r>
      <w:r w:rsidR="00677EBD" w:rsidRPr="00E52A4A">
        <w:t>5,1 millions</w:t>
      </w:r>
      <w:r w:rsidR="007624BB" w:rsidRPr="00E52A4A">
        <w:t xml:space="preserve"> CHF,</w:t>
      </w:r>
      <w:r w:rsidR="00677EBD" w:rsidRPr="00E52A4A">
        <w:t xml:space="preserve"> mais n</w:t>
      </w:r>
      <w:r w:rsidR="0066772A" w:rsidRPr="00E52A4A">
        <w:t>'</w:t>
      </w:r>
      <w:r w:rsidR="00677EBD" w:rsidRPr="00E52A4A">
        <w:t xml:space="preserve">ont pas encore atteint leur niveau </w:t>
      </w:r>
      <w:r w:rsidR="00BE41A8" w:rsidRPr="00E52A4A">
        <w:t>d</w:t>
      </w:r>
      <w:r w:rsidR="0066772A" w:rsidRPr="00E52A4A">
        <w:t>'</w:t>
      </w:r>
      <w:r w:rsidR="00BE41A8" w:rsidRPr="00E52A4A">
        <w:t xml:space="preserve">avant la crise liée au </w:t>
      </w:r>
      <w:r w:rsidR="00677EBD" w:rsidRPr="00E52A4A">
        <w:t>C</w:t>
      </w:r>
      <w:r w:rsidR="00BE41A8" w:rsidRPr="00E52A4A">
        <w:t>OVID-19</w:t>
      </w:r>
      <w:r w:rsidR="00677EBD" w:rsidRPr="00E52A4A">
        <w:t xml:space="preserve"> (7,7 millions </w:t>
      </w:r>
      <w:r w:rsidR="007624BB" w:rsidRPr="00E52A4A">
        <w:t xml:space="preserve">CHF </w:t>
      </w:r>
      <w:r w:rsidR="00677EBD" w:rsidRPr="00E52A4A">
        <w:t>en</w:t>
      </w:r>
      <w:r w:rsidR="00A709F6" w:rsidRPr="00E52A4A">
        <w:t> </w:t>
      </w:r>
      <w:r w:rsidR="00677EBD" w:rsidRPr="00E52A4A">
        <w:t>2019).</w:t>
      </w:r>
    </w:p>
    <w:p w14:paraId="519FA19D" w14:textId="1FF99D42" w:rsidR="00876EE1" w:rsidRPr="00E52A4A" w:rsidRDefault="00876EE1" w:rsidP="00727F77">
      <w:pPr>
        <w:pStyle w:val="Tabletitle"/>
        <w:spacing w:before="120"/>
      </w:pPr>
      <w:r w:rsidRPr="00E52A4A">
        <w:t>Tableau 4</w:t>
      </w:r>
      <w:r w:rsidR="00A709F6" w:rsidRPr="00E52A4A">
        <w:t xml:space="preserve"> –</w:t>
      </w:r>
      <w:r w:rsidRPr="00E52A4A">
        <w:t xml:space="preserve"> </w:t>
      </w:r>
      <w:r w:rsidR="00BE41A8" w:rsidRPr="00E52A4A">
        <w:t>Comparaison des charges entre 2022 et 2021</w:t>
      </w:r>
    </w:p>
    <w:p w14:paraId="7B0DDDF4" w14:textId="4D080A2F" w:rsidR="00A709F6" w:rsidRPr="00E52A4A" w:rsidRDefault="00A709F6" w:rsidP="00A709F6">
      <w:pPr>
        <w:pStyle w:val="Figure"/>
      </w:pPr>
      <w:r w:rsidRPr="00E52A4A">
        <w:rPr>
          <w:noProof/>
        </w:rPr>
        <w:drawing>
          <wp:inline distT="0" distB="0" distL="0" distR="0" wp14:anchorId="02EE19E3" wp14:editId="6F39EA04">
            <wp:extent cx="5760085" cy="17818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85" cy="1781810"/>
                    </a:xfrm>
                    <a:prstGeom prst="rect">
                      <a:avLst/>
                    </a:prstGeom>
                    <a:noFill/>
                    <a:ln>
                      <a:noFill/>
                    </a:ln>
                  </pic:spPr>
                </pic:pic>
              </a:graphicData>
            </a:graphic>
          </wp:inline>
        </w:drawing>
      </w:r>
    </w:p>
    <w:p w14:paraId="2B68C09E" w14:textId="52EC844E" w:rsidR="00876EE1" w:rsidRPr="00E52A4A" w:rsidRDefault="00876EE1" w:rsidP="00727F77">
      <w:pPr>
        <w:spacing w:before="240"/>
      </w:pPr>
      <w:r w:rsidRPr="00E52A4A">
        <w:t>15</w:t>
      </w:r>
      <w:r w:rsidRPr="00E52A4A">
        <w:tab/>
      </w:r>
      <w:r w:rsidR="00677EBD" w:rsidRPr="00E52A4A">
        <w:t>La Figure 2 (</w:t>
      </w:r>
      <w:r w:rsidR="00F41A33" w:rsidRPr="00E52A4A">
        <w:t>Composition</w:t>
      </w:r>
      <w:r w:rsidR="00677EBD" w:rsidRPr="00E52A4A">
        <w:t xml:space="preserve"> des charges en 2022) montre la ventilation des </w:t>
      </w:r>
      <w:r w:rsidR="000873FC" w:rsidRPr="00E52A4A">
        <w:t>différentes</w:t>
      </w:r>
      <w:r w:rsidR="00677EBD" w:rsidRPr="00E52A4A">
        <w:t xml:space="preserve"> </w:t>
      </w:r>
      <w:r w:rsidR="000873FC" w:rsidRPr="00E52A4A">
        <w:t>charges</w:t>
      </w:r>
      <w:r w:rsidR="00677EBD" w:rsidRPr="00E52A4A">
        <w:t xml:space="preserve"> en 2022, </w:t>
      </w:r>
      <w:r w:rsidR="000873FC" w:rsidRPr="00E52A4A">
        <w:t>laquelle</w:t>
      </w:r>
      <w:r w:rsidR="00677EBD" w:rsidRPr="00E52A4A">
        <w:t xml:space="preserve"> met en évidence le niveau élevé des</w:t>
      </w:r>
      <w:r w:rsidR="000873FC" w:rsidRPr="00E52A4A">
        <w:t xml:space="preserve"> dépenses</w:t>
      </w:r>
      <w:r w:rsidR="00677EBD" w:rsidRPr="00E52A4A">
        <w:t xml:space="preserve"> de personnel à l</w:t>
      </w:r>
      <w:r w:rsidR="0066772A" w:rsidRPr="00E52A4A">
        <w:t>'</w:t>
      </w:r>
      <w:r w:rsidR="00677EBD" w:rsidRPr="00E52A4A">
        <w:t>UIT, qui représentent 78% d</w:t>
      </w:r>
      <w:r w:rsidR="000873FC" w:rsidRPr="00E52A4A">
        <w:t>u total de</w:t>
      </w:r>
      <w:r w:rsidR="00677EBD" w:rsidRPr="00E52A4A">
        <w:t xml:space="preserve">s coûts. </w:t>
      </w:r>
      <w:r w:rsidR="00AF5EDD" w:rsidRPr="00E52A4A">
        <w:t>Après les dépenses de personnel, l</w:t>
      </w:r>
      <w:r w:rsidR="00677EBD" w:rsidRPr="00E52A4A">
        <w:t xml:space="preserve">es services contractuels constituent la catégorie de </w:t>
      </w:r>
      <w:r w:rsidR="001D692C" w:rsidRPr="00E52A4A">
        <w:t>charges</w:t>
      </w:r>
      <w:r w:rsidR="00677EBD" w:rsidRPr="00E52A4A">
        <w:t xml:space="preserve"> la plus importante</w:t>
      </w:r>
      <w:r w:rsidR="001D692C" w:rsidRPr="00E52A4A">
        <w:t xml:space="preserve">, à hauteur de </w:t>
      </w:r>
      <w:r w:rsidR="00677EBD" w:rsidRPr="00E52A4A">
        <w:t>10%, ce qui est comparable à 2021.</w:t>
      </w:r>
    </w:p>
    <w:p w14:paraId="54E98D4B" w14:textId="01F60DEF" w:rsidR="00876EE1" w:rsidRPr="00E52A4A" w:rsidRDefault="00876EE1" w:rsidP="00BA6385">
      <w:pPr>
        <w:pStyle w:val="Figuretitle"/>
      </w:pPr>
      <w:r w:rsidRPr="00E52A4A">
        <w:lastRenderedPageBreak/>
        <w:t xml:space="preserve">Figure 2 – </w:t>
      </w:r>
      <w:r w:rsidR="001D692C" w:rsidRPr="00E52A4A">
        <w:t>Composition des dépenses en 2022 (196,8 millions CHF)</w:t>
      </w:r>
    </w:p>
    <w:p w14:paraId="69F83A12" w14:textId="6DDFD77E" w:rsidR="001D692C" w:rsidRPr="00E52A4A" w:rsidRDefault="00826739" w:rsidP="00826739">
      <w:pPr>
        <w:pStyle w:val="Figure"/>
      </w:pPr>
      <w:r w:rsidRPr="00E52A4A">
        <w:rPr>
          <w:noProof/>
        </w:rPr>
        <w:drawing>
          <wp:inline distT="0" distB="0" distL="0" distR="0" wp14:anchorId="67BA7BF7" wp14:editId="4E6BB96B">
            <wp:extent cx="5760085" cy="3663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85" cy="3663950"/>
                    </a:xfrm>
                    <a:prstGeom prst="rect">
                      <a:avLst/>
                    </a:prstGeom>
                    <a:noFill/>
                    <a:ln>
                      <a:noFill/>
                    </a:ln>
                  </pic:spPr>
                </pic:pic>
              </a:graphicData>
            </a:graphic>
          </wp:inline>
        </w:drawing>
      </w:r>
    </w:p>
    <w:p w14:paraId="5855DD76" w14:textId="65723B06" w:rsidR="00876EE1" w:rsidRPr="00E52A4A" w:rsidRDefault="00677EBD" w:rsidP="00B535B9">
      <w:pPr>
        <w:spacing w:before="360"/>
        <w:rPr>
          <w:b/>
          <w:bCs/>
          <w:sz w:val="28"/>
          <w:szCs w:val="22"/>
        </w:rPr>
      </w:pPr>
      <w:r w:rsidRPr="00E52A4A">
        <w:rPr>
          <w:b/>
          <w:bCs/>
          <w:sz w:val="28"/>
          <w:szCs w:val="22"/>
        </w:rPr>
        <w:t>Situation financière</w:t>
      </w:r>
    </w:p>
    <w:p w14:paraId="592252F6" w14:textId="106D845C" w:rsidR="00876EE1" w:rsidRPr="00E52A4A" w:rsidRDefault="00876EE1" w:rsidP="00BA6385">
      <w:r w:rsidRPr="00E52A4A">
        <w:t>16</w:t>
      </w:r>
      <w:r w:rsidRPr="00E52A4A">
        <w:tab/>
      </w:r>
      <w:r w:rsidR="00677EBD" w:rsidRPr="00E52A4A">
        <w:t>Au 31 décembre 2022, l</w:t>
      </w:r>
      <w:r w:rsidR="0066772A" w:rsidRPr="00E52A4A">
        <w:t>'</w:t>
      </w:r>
      <w:r w:rsidR="00677EBD" w:rsidRPr="00E52A4A">
        <w:t>actif net de l</w:t>
      </w:r>
      <w:r w:rsidR="0066772A" w:rsidRPr="00E52A4A">
        <w:t>'</w:t>
      </w:r>
      <w:r w:rsidR="00677EBD" w:rsidRPr="00E52A4A">
        <w:t>Organisation s</w:t>
      </w:r>
      <w:r w:rsidR="0066772A" w:rsidRPr="00E52A4A">
        <w:t>'</w:t>
      </w:r>
      <w:r w:rsidR="00677EBD" w:rsidRPr="00E52A4A">
        <w:t xml:space="preserve">élevait à </w:t>
      </w:r>
      <w:r w:rsidR="00B535B9" w:rsidRPr="00E52A4A">
        <w:t>–</w:t>
      </w:r>
      <w:r w:rsidR="00677EBD" w:rsidRPr="00E52A4A">
        <w:t>213,1 millions CHF, avec un actif total de 317,9 millions CHF et un passif total de 530,9 millions CHF, comme indiqué dans le Tableau 5 ci-dessous. L</w:t>
      </w:r>
      <w:r w:rsidR="0066772A" w:rsidRPr="00E52A4A">
        <w:t>'</w:t>
      </w:r>
      <w:r w:rsidR="00677EBD" w:rsidRPr="00E52A4A">
        <w:t xml:space="preserve">actif net a augmenté de 197,7 millions </w:t>
      </w:r>
      <w:r w:rsidR="001D692C" w:rsidRPr="00E52A4A">
        <w:t xml:space="preserve">CHF </w:t>
      </w:r>
      <w:r w:rsidR="00677EBD" w:rsidRPr="00E52A4A">
        <w:t>par rapport à</w:t>
      </w:r>
      <w:r w:rsidR="00B535B9" w:rsidRPr="00E52A4A">
        <w:t> </w:t>
      </w:r>
      <w:r w:rsidR="00677EBD" w:rsidRPr="00E52A4A">
        <w:t>2021. Cela s</w:t>
      </w:r>
      <w:r w:rsidR="0066772A" w:rsidRPr="00E52A4A">
        <w:t>'</w:t>
      </w:r>
      <w:r w:rsidR="00677EBD" w:rsidRPr="00E52A4A">
        <w:t>explique par les modifications apportées aux hypothèses retenues pour l</w:t>
      </w:r>
      <w:r w:rsidR="0066772A" w:rsidRPr="00E52A4A">
        <w:t>'</w:t>
      </w:r>
      <w:r w:rsidR="00677EBD" w:rsidRPr="00E52A4A">
        <w:t>évaluation de l</w:t>
      </w:r>
      <w:r w:rsidR="0066772A" w:rsidRPr="00E52A4A">
        <w:t>'</w:t>
      </w:r>
      <w:r w:rsidR="00677EBD" w:rsidRPr="00E52A4A">
        <w:t xml:space="preserve">ASHI pour 2022 par rapport à 2021. Cependant, il </w:t>
      </w:r>
      <w:r w:rsidR="001D692C" w:rsidRPr="00E52A4A">
        <w:t>subsiste</w:t>
      </w:r>
      <w:r w:rsidR="00677EBD" w:rsidRPr="00E52A4A">
        <w:t xml:space="preserve"> un déficit important. L</w:t>
      </w:r>
      <w:r w:rsidR="0066772A" w:rsidRPr="00E52A4A">
        <w:t>'</w:t>
      </w:r>
      <w:r w:rsidR="00677EBD" w:rsidRPr="00E52A4A">
        <w:t>actif net restera négatif</w:t>
      </w:r>
      <w:r w:rsidR="001D692C" w:rsidRPr="00E52A4A">
        <w:t>, s</w:t>
      </w:r>
      <w:r w:rsidR="0066772A" w:rsidRPr="00E52A4A">
        <w:t>'</w:t>
      </w:r>
      <w:r w:rsidR="001D692C" w:rsidRPr="00E52A4A">
        <w:t>établissant</w:t>
      </w:r>
      <w:r w:rsidR="00677EBD" w:rsidRPr="00E52A4A">
        <w:t xml:space="preserve"> à 213,1 millions CHF</w:t>
      </w:r>
      <w:r w:rsidR="001D692C" w:rsidRPr="00E52A4A">
        <w:t>,</w:t>
      </w:r>
      <w:r w:rsidR="00677EBD" w:rsidRPr="00E52A4A">
        <w:t xml:space="preserve"> en raison des passifs du Fonds ASHI (344,1 millions CHF). Pour que cette tendance change, il est essentiel </w:t>
      </w:r>
      <w:r w:rsidR="001D692C" w:rsidRPr="00E52A4A">
        <w:t>de revoir</w:t>
      </w:r>
      <w:r w:rsidR="00677EBD" w:rsidRPr="00E52A4A">
        <w:t xml:space="preserve"> le modèle des prestations à long terme pour le personnel.</w:t>
      </w:r>
    </w:p>
    <w:p w14:paraId="182C6C22" w14:textId="2CF04F73" w:rsidR="00876EE1" w:rsidRPr="00E52A4A" w:rsidRDefault="00876EE1" w:rsidP="00B535B9">
      <w:pPr>
        <w:pStyle w:val="Tabletitle"/>
        <w:spacing w:before="120"/>
      </w:pPr>
      <w:r w:rsidRPr="00E52A4A">
        <w:t>Tableau 5</w:t>
      </w:r>
      <w:r w:rsidR="00B535B9" w:rsidRPr="00E52A4A">
        <w:t xml:space="preserve"> –</w:t>
      </w:r>
      <w:r w:rsidRPr="00E52A4A">
        <w:t xml:space="preserve"> </w:t>
      </w:r>
      <w:r w:rsidR="001D692C" w:rsidRPr="00E52A4A">
        <w:t>Résumé</w:t>
      </w:r>
      <w:r w:rsidR="00677EBD" w:rsidRPr="00E52A4A">
        <w:t xml:space="preserve"> de l</w:t>
      </w:r>
      <w:r w:rsidR="0066772A" w:rsidRPr="00E52A4A">
        <w:t>'</w:t>
      </w:r>
      <w:r w:rsidR="00677EBD" w:rsidRPr="00E52A4A">
        <w:t>actif, du passif, de l</w:t>
      </w:r>
      <w:r w:rsidR="0066772A" w:rsidRPr="00E52A4A">
        <w:t>'</w:t>
      </w:r>
      <w:r w:rsidR="00677EBD" w:rsidRPr="00E52A4A">
        <w:t>actif net et de l</w:t>
      </w:r>
      <w:r w:rsidR="0066772A" w:rsidRPr="00E52A4A">
        <w:t>'</w:t>
      </w:r>
      <w:r w:rsidR="00677EBD" w:rsidRPr="00E52A4A">
        <w:t>ASHI</w:t>
      </w:r>
    </w:p>
    <w:p w14:paraId="7DF84542" w14:textId="4DE3467E" w:rsidR="00B535B9" w:rsidRPr="00E52A4A" w:rsidRDefault="00B535B9" w:rsidP="00173449">
      <w:pPr>
        <w:pStyle w:val="Figure"/>
        <w:keepNext w:val="0"/>
      </w:pPr>
      <w:r w:rsidRPr="00E52A4A">
        <w:rPr>
          <w:noProof/>
        </w:rPr>
        <w:drawing>
          <wp:inline distT="0" distB="0" distL="0" distR="0" wp14:anchorId="668574C0" wp14:editId="16D8268B">
            <wp:extent cx="5200015" cy="12084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0015" cy="1208405"/>
                    </a:xfrm>
                    <a:prstGeom prst="rect">
                      <a:avLst/>
                    </a:prstGeom>
                    <a:noFill/>
                    <a:ln>
                      <a:noFill/>
                    </a:ln>
                  </pic:spPr>
                </pic:pic>
              </a:graphicData>
            </a:graphic>
          </wp:inline>
        </w:drawing>
      </w:r>
    </w:p>
    <w:p w14:paraId="4DEC7822" w14:textId="65C94AB2" w:rsidR="00876EE1" w:rsidRPr="00E52A4A" w:rsidRDefault="00677EBD" w:rsidP="00173449">
      <w:pPr>
        <w:pStyle w:val="Heading2"/>
      </w:pPr>
      <w:r w:rsidRPr="00E52A4A">
        <w:lastRenderedPageBreak/>
        <w:t>Actifs</w:t>
      </w:r>
    </w:p>
    <w:p w14:paraId="1239037C" w14:textId="23142139" w:rsidR="00876EE1" w:rsidRPr="00E52A4A" w:rsidRDefault="00876EE1" w:rsidP="00173449">
      <w:pPr>
        <w:keepLines/>
      </w:pPr>
      <w:r w:rsidRPr="00E52A4A">
        <w:t>17</w:t>
      </w:r>
      <w:r w:rsidRPr="00E52A4A">
        <w:tab/>
      </w:r>
      <w:r w:rsidR="00677EBD" w:rsidRPr="00E52A4A">
        <w:t xml:space="preserve">Les actifs courants diminués des passifs courants se sont élevés à 153,8 millions CHF (2021: 171,8 millions CHF), ce qui est imputable </w:t>
      </w:r>
      <w:r w:rsidR="006E157B" w:rsidRPr="00E52A4A">
        <w:t xml:space="preserve">au </w:t>
      </w:r>
      <w:r w:rsidR="00677EBD" w:rsidRPr="00E52A4A">
        <w:t xml:space="preserve">montant </w:t>
      </w:r>
      <w:r w:rsidR="006E157B" w:rsidRPr="00E52A4A">
        <w:t xml:space="preserve">important de la </w:t>
      </w:r>
      <w:r w:rsidR="00677EBD" w:rsidRPr="00E52A4A">
        <w:t>trésorerie et d</w:t>
      </w:r>
      <w:r w:rsidR="006E157B" w:rsidRPr="00E52A4A">
        <w:t xml:space="preserve">es </w:t>
      </w:r>
      <w:r w:rsidR="00677EBD" w:rsidRPr="00E52A4A">
        <w:t>équivalents de trésorerie. Au 31 décembre 2022, la trésorerie et les équivalents de trésorerie s</w:t>
      </w:r>
      <w:r w:rsidR="0066772A" w:rsidRPr="00E52A4A">
        <w:t>'</w:t>
      </w:r>
      <w:r w:rsidR="00677EBD" w:rsidRPr="00E52A4A">
        <w:t>élevaient à 193,9 millions</w:t>
      </w:r>
      <w:r w:rsidR="006E157B" w:rsidRPr="00E52A4A">
        <w:t xml:space="preserve"> CHF,</w:t>
      </w:r>
      <w:r w:rsidR="00677EBD" w:rsidRPr="00E52A4A">
        <w:t xml:space="preserve"> contre 203,8 millions </w:t>
      </w:r>
      <w:r w:rsidR="006E157B" w:rsidRPr="00E52A4A">
        <w:t xml:space="preserve">CHF </w:t>
      </w:r>
      <w:r w:rsidR="00677EBD" w:rsidRPr="00E52A4A">
        <w:t>en 2021.</w:t>
      </w:r>
    </w:p>
    <w:p w14:paraId="1BDEB437" w14:textId="0977F3C6" w:rsidR="00876EE1" w:rsidRPr="00E52A4A" w:rsidRDefault="006E157B" w:rsidP="00173449">
      <w:pPr>
        <w:pStyle w:val="Headingb"/>
      </w:pPr>
      <w:r w:rsidRPr="00E52A4A">
        <w:t xml:space="preserve">Créances liées aux contributions </w:t>
      </w:r>
      <w:r w:rsidR="00677EBD" w:rsidRPr="00E52A4A">
        <w:t>mises en recouvrement</w:t>
      </w:r>
    </w:p>
    <w:p w14:paraId="01BDF0E0" w14:textId="56122F02" w:rsidR="00876EE1" w:rsidRPr="00E52A4A" w:rsidRDefault="00876EE1" w:rsidP="00BA6385">
      <w:r w:rsidRPr="00E52A4A">
        <w:t>18</w:t>
      </w:r>
      <w:r w:rsidRPr="00E52A4A">
        <w:tab/>
      </w:r>
      <w:r w:rsidR="00677EBD" w:rsidRPr="00E52A4A">
        <w:t>L</w:t>
      </w:r>
      <w:r w:rsidR="006E157B" w:rsidRPr="00E52A4A">
        <w:t>a récupération des contributions mises en recouvrement</w:t>
      </w:r>
      <w:r w:rsidR="00677EBD" w:rsidRPr="00E52A4A">
        <w:t xml:space="preserve"> a </w:t>
      </w:r>
      <w:r w:rsidR="006E157B" w:rsidRPr="00E52A4A">
        <w:t>des</w:t>
      </w:r>
      <w:r w:rsidR="00677EBD" w:rsidRPr="00E52A4A">
        <w:t xml:space="preserve"> incidence</w:t>
      </w:r>
      <w:r w:rsidR="006E157B" w:rsidRPr="00E52A4A">
        <w:t>s</w:t>
      </w:r>
      <w:r w:rsidR="00677EBD" w:rsidRPr="00E52A4A">
        <w:t xml:space="preserve"> directe</w:t>
      </w:r>
      <w:r w:rsidR="006E157B" w:rsidRPr="00E52A4A">
        <w:t>s</w:t>
      </w:r>
      <w:r w:rsidR="00677EBD" w:rsidRPr="00E52A4A">
        <w:t xml:space="preserve"> sur la situation </w:t>
      </w:r>
      <w:r w:rsidR="006E157B" w:rsidRPr="00E52A4A">
        <w:t>sur le plan des</w:t>
      </w:r>
      <w:r w:rsidR="00677EBD" w:rsidRPr="00E52A4A">
        <w:t xml:space="preserve"> liquidité</w:t>
      </w:r>
      <w:r w:rsidR="006E157B" w:rsidRPr="00E52A4A">
        <w:t>s</w:t>
      </w:r>
      <w:r w:rsidR="00677EBD" w:rsidRPr="00E52A4A">
        <w:t xml:space="preserve"> et, à ce titre, est extrêmement important</w:t>
      </w:r>
      <w:r w:rsidR="00FF2A08" w:rsidRPr="00E52A4A">
        <w:t>e</w:t>
      </w:r>
      <w:r w:rsidR="00677EBD" w:rsidRPr="00E52A4A">
        <w:t xml:space="preserve"> pour la bonne exécution du budget ordinaire </w:t>
      </w:r>
      <w:r w:rsidR="00FF2A08" w:rsidRPr="00E52A4A">
        <w:t xml:space="preserve">affecté </w:t>
      </w:r>
      <w:r w:rsidR="00677EBD" w:rsidRPr="00E52A4A">
        <w:t>de l</w:t>
      </w:r>
      <w:r w:rsidR="0066772A" w:rsidRPr="00E52A4A">
        <w:t>'</w:t>
      </w:r>
      <w:r w:rsidR="00677EBD" w:rsidRPr="00E52A4A">
        <w:t>Organisation. Bien que la Conférence de plénipotentiaires approuve le fonctionnement du Fonds de réserve à un niveau minimum de</w:t>
      </w:r>
      <w:r w:rsidR="00173449" w:rsidRPr="00E52A4A">
        <w:t> </w:t>
      </w:r>
      <w:r w:rsidR="00677EBD" w:rsidRPr="00E52A4A">
        <w:t xml:space="preserve">6% (10 millions CHF), cela ne représente que trois semaines de </w:t>
      </w:r>
      <w:r w:rsidR="00F41A33" w:rsidRPr="00E52A4A">
        <w:t xml:space="preserve">charges </w:t>
      </w:r>
      <w:r w:rsidR="00677EBD" w:rsidRPr="00E52A4A">
        <w:t>(le Fonds de réserve s</w:t>
      </w:r>
      <w:r w:rsidR="0066772A" w:rsidRPr="00E52A4A">
        <w:t>'</w:t>
      </w:r>
      <w:r w:rsidR="00677EBD" w:rsidRPr="00E52A4A">
        <w:t xml:space="preserve">élève </w:t>
      </w:r>
      <w:r w:rsidR="00FF2A08" w:rsidRPr="00E52A4A">
        <w:t xml:space="preserve">actuellement </w:t>
      </w:r>
      <w:r w:rsidR="00677EBD" w:rsidRPr="00E52A4A">
        <w:t xml:space="preserve">à 28,4 millions CHF, ce qui représente 7 semaines de </w:t>
      </w:r>
      <w:r w:rsidR="00F41A33" w:rsidRPr="00E52A4A">
        <w:t xml:space="preserve">charges </w:t>
      </w:r>
      <w:r w:rsidR="00677EBD" w:rsidRPr="00E52A4A">
        <w:t>pour 2022). Ce montant est essentiel au maintien du fonctionnement de l</w:t>
      </w:r>
      <w:r w:rsidR="0066772A" w:rsidRPr="00E52A4A">
        <w:t>'</w:t>
      </w:r>
      <w:r w:rsidR="00677EBD" w:rsidRPr="00E52A4A">
        <w:t>Organisation. Le taux de recouvrement pour l</w:t>
      </w:r>
      <w:r w:rsidR="0066772A" w:rsidRPr="00E52A4A">
        <w:t>'</w:t>
      </w:r>
      <w:r w:rsidR="00677EBD" w:rsidRPr="00E52A4A">
        <w:t>exercice clos le 31 décembre 2022 était d</w:t>
      </w:r>
      <w:r w:rsidR="0066772A" w:rsidRPr="00E52A4A">
        <w:t>'</w:t>
      </w:r>
      <w:r w:rsidR="00677EBD" w:rsidRPr="00E52A4A">
        <w:t>environ 93 %, contre</w:t>
      </w:r>
      <w:r w:rsidR="00173449" w:rsidRPr="00E52A4A">
        <w:t> </w:t>
      </w:r>
      <w:r w:rsidR="00677EBD" w:rsidRPr="00E52A4A">
        <w:t>96 % en décembre 2021.</w:t>
      </w:r>
    </w:p>
    <w:p w14:paraId="7FF2D18D" w14:textId="5B318FC6" w:rsidR="00876EE1" w:rsidRPr="00E52A4A" w:rsidRDefault="00876EE1" w:rsidP="00BA6385">
      <w:r w:rsidRPr="00E52A4A">
        <w:t>19</w:t>
      </w:r>
      <w:r w:rsidRPr="00E52A4A">
        <w:tab/>
      </w:r>
      <w:r w:rsidR="00677EBD" w:rsidRPr="00E52A4A">
        <w:t>Le montant brut des contributions mises en recouvrement est dû et payable à l</w:t>
      </w:r>
      <w:r w:rsidR="0066772A" w:rsidRPr="00E52A4A">
        <w:t>'</w:t>
      </w:r>
      <w:r w:rsidR="00677EBD" w:rsidRPr="00E52A4A">
        <w:t xml:space="preserve">Organisation conformément à </w:t>
      </w:r>
      <w:r w:rsidR="00AC6F59" w:rsidRPr="00E52A4A">
        <w:t xml:space="preserve">la Constitution </w:t>
      </w:r>
      <w:r w:rsidR="00677EBD" w:rsidRPr="00E52A4A">
        <w:t>et au Règlement financier de l</w:t>
      </w:r>
      <w:r w:rsidR="0066772A" w:rsidRPr="00E52A4A">
        <w:t>'</w:t>
      </w:r>
      <w:r w:rsidR="00677EBD" w:rsidRPr="00E52A4A">
        <w:t>Organisation. Toutefois, comme l</w:t>
      </w:r>
      <w:r w:rsidR="0066772A" w:rsidRPr="00E52A4A">
        <w:t>'</w:t>
      </w:r>
      <w:r w:rsidR="00677EBD" w:rsidRPr="00E52A4A">
        <w:t>exigent les normes IPSAS, une provision est prévue lorsque le</w:t>
      </w:r>
      <w:r w:rsidR="00AC6F59" w:rsidRPr="00E52A4A">
        <w:t xml:space="preserve"> paiement des </w:t>
      </w:r>
      <w:r w:rsidR="00677EBD" w:rsidRPr="00E52A4A">
        <w:t xml:space="preserve">contributions </w:t>
      </w:r>
      <w:r w:rsidR="00AC6F59" w:rsidRPr="00E52A4A">
        <w:t>n</w:t>
      </w:r>
      <w:r w:rsidR="0066772A" w:rsidRPr="00E52A4A">
        <w:t>'</w:t>
      </w:r>
      <w:r w:rsidR="00AC6F59" w:rsidRPr="00E52A4A">
        <w:t>est pas attendu</w:t>
      </w:r>
      <w:r w:rsidR="00677EBD" w:rsidRPr="00E52A4A">
        <w:t xml:space="preserve"> conformément au Règlement financier et aux </w:t>
      </w:r>
      <w:r w:rsidR="00AC6F59" w:rsidRPr="00E52A4A">
        <w:t>R</w:t>
      </w:r>
      <w:r w:rsidR="00677EBD" w:rsidRPr="00E52A4A">
        <w:t>ègles financières.</w:t>
      </w:r>
    </w:p>
    <w:p w14:paraId="1AE95419" w14:textId="7F7D645B" w:rsidR="00876EE1" w:rsidRPr="00E52A4A" w:rsidRDefault="00677EBD" w:rsidP="00173449">
      <w:pPr>
        <w:pStyle w:val="Heading2"/>
      </w:pPr>
      <w:r w:rsidRPr="00E52A4A">
        <w:t>Passifs</w:t>
      </w:r>
    </w:p>
    <w:p w14:paraId="66E35480" w14:textId="6E2DDD5C" w:rsidR="00876EE1" w:rsidRPr="00E52A4A" w:rsidRDefault="00876EE1" w:rsidP="00BA6385">
      <w:r w:rsidRPr="00E52A4A">
        <w:t>20</w:t>
      </w:r>
      <w:r w:rsidRPr="00E52A4A">
        <w:tab/>
      </w:r>
      <w:r w:rsidR="00677EBD" w:rsidRPr="00E52A4A">
        <w:t>Le total des passifs au 31 décembre 2022 s</w:t>
      </w:r>
      <w:r w:rsidR="0066772A" w:rsidRPr="00E52A4A">
        <w:t>'</w:t>
      </w:r>
      <w:r w:rsidR="00677EBD" w:rsidRPr="00E52A4A">
        <w:t>élevait à 530,9 millions CHF (748,4</w:t>
      </w:r>
      <w:r w:rsidR="00173449" w:rsidRPr="00E52A4A">
        <w:t> </w:t>
      </w:r>
      <w:r w:rsidR="00677EBD" w:rsidRPr="00E52A4A">
        <w:t>millions</w:t>
      </w:r>
      <w:r w:rsidR="00173449" w:rsidRPr="00E52A4A">
        <w:t> </w:t>
      </w:r>
      <w:r w:rsidR="00677EBD" w:rsidRPr="00E52A4A">
        <w:t>CHF au 31 décembre 2021).</w:t>
      </w:r>
    </w:p>
    <w:p w14:paraId="7A019CBE" w14:textId="2B187E20" w:rsidR="00876EE1" w:rsidRPr="00E52A4A" w:rsidRDefault="00677EBD" w:rsidP="00173449">
      <w:pPr>
        <w:pStyle w:val="Headingb"/>
      </w:pPr>
      <w:r w:rsidRPr="00E52A4A">
        <w:t>Avantages du personnel</w:t>
      </w:r>
    </w:p>
    <w:p w14:paraId="58DDB225" w14:textId="121FB2B0" w:rsidR="00876EE1" w:rsidRPr="00E52A4A" w:rsidRDefault="00876EE1" w:rsidP="00BA6385">
      <w:r w:rsidRPr="00E52A4A">
        <w:t>21</w:t>
      </w:r>
      <w:r w:rsidRPr="00E52A4A">
        <w:tab/>
      </w:r>
      <w:r w:rsidR="00605227" w:rsidRPr="00E52A4A">
        <w:t>Le passif le plus important est constitué par les futurs avantages du personnel acquis par les fonctionnaires en service et les retraités. Les passifs de l</w:t>
      </w:r>
      <w:r w:rsidR="0066772A" w:rsidRPr="00E52A4A">
        <w:t>'</w:t>
      </w:r>
      <w:r w:rsidR="00605227" w:rsidRPr="00E52A4A">
        <w:t>ASHI représentent à eux seuls 68% du passif total de l</w:t>
      </w:r>
      <w:r w:rsidR="0066772A" w:rsidRPr="00E52A4A">
        <w:t>'</w:t>
      </w:r>
      <w:r w:rsidR="00605227" w:rsidRPr="00E52A4A">
        <w:t>UIT au 31 décembre 2022. Toutefois, les passifs de l</w:t>
      </w:r>
      <w:r w:rsidR="0066772A" w:rsidRPr="00E52A4A">
        <w:t>'</w:t>
      </w:r>
      <w:r w:rsidR="00605227" w:rsidRPr="00E52A4A">
        <w:t xml:space="preserve">ASHI ont diminué de 201,6 millions CHF </w:t>
      </w:r>
      <w:r w:rsidR="002F6A07" w:rsidRPr="00E52A4A">
        <w:t xml:space="preserve">en 2022 </w:t>
      </w:r>
      <w:r w:rsidR="00605227" w:rsidRPr="00E52A4A">
        <w:t>par rapport à 2021. Cela s</w:t>
      </w:r>
      <w:r w:rsidR="0066772A" w:rsidRPr="00E52A4A">
        <w:t>'</w:t>
      </w:r>
      <w:r w:rsidR="00605227" w:rsidRPr="00E52A4A">
        <w:t>explique principalement par une augmentation du taux d</w:t>
      </w:r>
      <w:r w:rsidR="0066772A" w:rsidRPr="00E52A4A">
        <w:t>'</w:t>
      </w:r>
      <w:r w:rsidR="00605227" w:rsidRPr="00E52A4A">
        <w:t>actualisation en raison de la hausse des taux d</w:t>
      </w:r>
      <w:r w:rsidR="0066772A" w:rsidRPr="00E52A4A">
        <w:t>'</w:t>
      </w:r>
      <w:r w:rsidR="00605227" w:rsidRPr="00E52A4A">
        <w:t>intérêt mondiaux.</w:t>
      </w:r>
    </w:p>
    <w:p w14:paraId="2005DB31" w14:textId="531A683A" w:rsidR="00876EE1" w:rsidRPr="00E52A4A" w:rsidRDefault="00876EE1" w:rsidP="00BA6385">
      <w:r w:rsidRPr="00E52A4A">
        <w:t>22</w:t>
      </w:r>
      <w:r w:rsidRPr="00E52A4A">
        <w:tab/>
      </w:r>
      <w:r w:rsidR="00605227" w:rsidRPr="00E52A4A">
        <w:t>L</w:t>
      </w:r>
      <w:r w:rsidR="0066772A" w:rsidRPr="00E52A4A">
        <w:t>'</w:t>
      </w:r>
      <w:r w:rsidR="00605227" w:rsidRPr="00E52A4A">
        <w:t>UIT finance les sommes dues au titre de</w:t>
      </w:r>
      <w:r w:rsidR="00E53163" w:rsidRPr="00E52A4A">
        <w:t xml:space="preserve">s passifs </w:t>
      </w:r>
      <w:r w:rsidR="00605227" w:rsidRPr="00E52A4A">
        <w:t>de l</w:t>
      </w:r>
      <w:r w:rsidR="0066772A" w:rsidRPr="00E52A4A">
        <w:t>'</w:t>
      </w:r>
      <w:r w:rsidR="00605227" w:rsidRPr="00E52A4A">
        <w:t>ASHI selon la méthode par répartition. La Résolution 1405</w:t>
      </w:r>
      <w:r w:rsidR="00BC4478" w:rsidRPr="00E52A4A">
        <w:t>, qui contient le</w:t>
      </w:r>
      <w:r w:rsidR="00605227" w:rsidRPr="00E52A4A">
        <w:t xml:space="preserve"> budget </w:t>
      </w:r>
      <w:r w:rsidR="00E53163" w:rsidRPr="00E52A4A">
        <w:t xml:space="preserve">pour </w:t>
      </w:r>
      <w:r w:rsidR="00605227" w:rsidRPr="00E52A4A">
        <w:t>2022-2023</w:t>
      </w:r>
      <w:r w:rsidR="00BC4478" w:rsidRPr="00E52A4A">
        <w:t>,</w:t>
      </w:r>
      <w:r w:rsidR="00605227" w:rsidRPr="00E52A4A">
        <w:t xml:space="preserve"> prévoit un prélèvement annuel de 1 million CHF sur le Fonds de réserve pour financer les engagements à long terme. Conformément à la norme IPSAS</w:t>
      </w:r>
      <w:r w:rsidR="00CC41A3" w:rsidRPr="00E52A4A">
        <w:t xml:space="preserve"> </w:t>
      </w:r>
      <w:r w:rsidR="00605227" w:rsidRPr="00E52A4A">
        <w:t>39, aucun actif du régime n</w:t>
      </w:r>
      <w:r w:rsidR="0066772A" w:rsidRPr="00E52A4A">
        <w:t>'</w:t>
      </w:r>
      <w:r w:rsidR="00605227" w:rsidRPr="00E52A4A">
        <w:t xml:space="preserve">a été déduit du passif, mais un montant de 14 </w:t>
      </w:r>
      <w:r w:rsidR="00E53163" w:rsidRPr="00E52A4A">
        <w:t xml:space="preserve">millions </w:t>
      </w:r>
      <w:r w:rsidR="00605227" w:rsidRPr="00E52A4A">
        <w:t xml:space="preserve">CHF a été accumulé dans le compte spécial </w:t>
      </w:r>
      <w:r w:rsidR="00CC41A3" w:rsidRPr="00E52A4A">
        <w:t>de l</w:t>
      </w:r>
      <w:r w:rsidR="0066772A" w:rsidRPr="00E52A4A">
        <w:t>'</w:t>
      </w:r>
      <w:r w:rsidR="00605227" w:rsidRPr="00E52A4A">
        <w:t>ASHI au 31 décembre 2022 pour couvrir les passifs futurs.</w:t>
      </w:r>
    </w:p>
    <w:p w14:paraId="5EAD55C7" w14:textId="42ABAB46" w:rsidR="00876EE1" w:rsidRPr="00E52A4A" w:rsidRDefault="00605227" w:rsidP="00173449">
      <w:pPr>
        <w:pStyle w:val="Headingb"/>
      </w:pPr>
      <w:r w:rsidRPr="00E52A4A">
        <w:t>Emprunts à long terme</w:t>
      </w:r>
    </w:p>
    <w:p w14:paraId="23C0DC69" w14:textId="0250072A" w:rsidR="00876EE1" w:rsidRPr="00E52A4A" w:rsidRDefault="00605227" w:rsidP="00BA6385">
      <w:r w:rsidRPr="00E52A4A">
        <w:t>23</w:t>
      </w:r>
      <w:r w:rsidRPr="00E52A4A">
        <w:tab/>
        <w:t>L</w:t>
      </w:r>
      <w:r w:rsidR="0066772A" w:rsidRPr="00E52A4A">
        <w:t>'</w:t>
      </w:r>
      <w:r w:rsidRPr="00E52A4A">
        <w:t xml:space="preserve">UIT dispose actuellement de quatre prêts sans intérêt auprès de la Fondation des </w:t>
      </w:r>
      <w:r w:rsidR="00CC41A3" w:rsidRPr="00E52A4A">
        <w:t>i</w:t>
      </w:r>
      <w:r w:rsidRPr="00E52A4A">
        <w:t xml:space="preserve">mmeubles pour les </w:t>
      </w:r>
      <w:r w:rsidR="00CC41A3" w:rsidRPr="00E52A4A">
        <w:t>o</w:t>
      </w:r>
      <w:r w:rsidRPr="00E52A4A">
        <w:t>rganisations Internationale (FIPOI). Au 31 décembre 2022, trois de ces prêts sont reflétés à la juste valeur dans les états financiers. Le quatrième prêt n</w:t>
      </w:r>
      <w:r w:rsidR="00CC41A3" w:rsidRPr="00E52A4A">
        <w:t>e fait pas encore l</w:t>
      </w:r>
      <w:r w:rsidR="0066772A" w:rsidRPr="00E52A4A">
        <w:t>'</w:t>
      </w:r>
      <w:r w:rsidR="00CC41A3" w:rsidRPr="00E52A4A">
        <w:t>objet d</w:t>
      </w:r>
      <w:r w:rsidR="0066772A" w:rsidRPr="00E52A4A">
        <w:t>'</w:t>
      </w:r>
      <w:r w:rsidR="00CC41A3" w:rsidRPr="00E52A4A">
        <w:t xml:space="preserve">un </w:t>
      </w:r>
      <w:r w:rsidRPr="00E52A4A">
        <w:t xml:space="preserve">plan </w:t>
      </w:r>
      <w:r w:rsidR="00CC41A3" w:rsidRPr="00E52A4A">
        <w:t>d</w:t>
      </w:r>
      <w:r w:rsidR="0066772A" w:rsidRPr="00E52A4A">
        <w:t>'</w:t>
      </w:r>
      <w:r w:rsidR="00CC41A3" w:rsidRPr="00E52A4A">
        <w:t xml:space="preserve">amortissement </w:t>
      </w:r>
      <w:r w:rsidRPr="00E52A4A">
        <w:t>et est donc évalué aux coûts amortis jusqu</w:t>
      </w:r>
      <w:r w:rsidR="0066772A" w:rsidRPr="00E52A4A">
        <w:t>'</w:t>
      </w:r>
      <w:r w:rsidRPr="00E52A4A">
        <w:t>au début des remboursements dans le cadre de ce prêt. La valeur nominale totale de l</w:t>
      </w:r>
      <w:r w:rsidR="0066772A" w:rsidRPr="00E52A4A">
        <w:t>'</w:t>
      </w:r>
      <w:r w:rsidRPr="00E52A4A">
        <w:t>encours est de 54,5 millions CHF (la valeur actuelle nette est de 48,3 millions CHF comme indiqué dans l</w:t>
      </w:r>
      <w:r w:rsidR="0066772A" w:rsidRPr="00E52A4A">
        <w:t>'</w:t>
      </w:r>
      <w:r w:rsidR="00173449" w:rsidRPr="00E52A4A">
        <w:t>É</w:t>
      </w:r>
      <w:r w:rsidRPr="00E52A4A">
        <w:t xml:space="preserve">tat I), 3 </w:t>
      </w:r>
      <w:r w:rsidR="00F57505" w:rsidRPr="00E52A4A">
        <w:t>prêts étant destiné</w:t>
      </w:r>
      <w:r w:rsidR="00DC3A04" w:rsidRPr="00E52A4A">
        <w:t>s</w:t>
      </w:r>
      <w:r w:rsidR="00F57505" w:rsidRPr="00E52A4A">
        <w:t xml:space="preserve"> au</w:t>
      </w:r>
      <w:r w:rsidRPr="00E52A4A">
        <w:t xml:space="preserve"> remboursement </w:t>
      </w:r>
      <w:r w:rsidR="00F57505" w:rsidRPr="00E52A4A">
        <w:t>pour les</w:t>
      </w:r>
      <w:r w:rsidRPr="00E52A4A">
        <w:t xml:space="preserve"> bâtiments existants </w:t>
      </w:r>
      <w:r w:rsidR="00F57505" w:rsidRPr="00E52A4A">
        <w:t xml:space="preserve">avec </w:t>
      </w:r>
      <w:r w:rsidRPr="00E52A4A">
        <w:t>un montant restant dû au 31 décembre 2022 de 35 millions CHF (valeur actuelle nette de</w:t>
      </w:r>
      <w:r w:rsidR="00DC3A04" w:rsidRPr="00E52A4A">
        <w:t> </w:t>
      </w:r>
      <w:r w:rsidRPr="00E52A4A">
        <w:t>28,9</w:t>
      </w:r>
      <w:r w:rsidR="00DC3A04" w:rsidRPr="00E52A4A">
        <w:t> </w:t>
      </w:r>
      <w:r w:rsidRPr="00E52A4A">
        <w:t>millions CHF) (67 millions CHF</w:t>
      </w:r>
      <w:r w:rsidR="00F57505" w:rsidRPr="00E52A4A">
        <w:t xml:space="preserve"> </w:t>
      </w:r>
      <w:r w:rsidR="00F57505" w:rsidRPr="00E52A4A">
        <w:lastRenderedPageBreak/>
        <w:t>initialement</w:t>
      </w:r>
      <w:r w:rsidRPr="00E52A4A">
        <w:t>). Les montants de remboursement sont annuels</w:t>
      </w:r>
      <w:r w:rsidR="00F57505" w:rsidRPr="00E52A4A">
        <w:t>,</w:t>
      </w:r>
      <w:r w:rsidRPr="00E52A4A">
        <w:t xml:space="preserve"> et les derniers versements sont exigibles jusqu</w:t>
      </w:r>
      <w:r w:rsidR="0066772A" w:rsidRPr="00E52A4A">
        <w:t>'</w:t>
      </w:r>
      <w:r w:rsidRPr="00E52A4A">
        <w:t>en 2039 pour le premier prêt (encours de 7,5 millions CHF) (valeur actuelle nette de 6,6 millions CHF) et</w:t>
      </w:r>
      <w:r w:rsidR="00F57505" w:rsidRPr="00E52A4A">
        <w:t xml:space="preserve"> jusqu</w:t>
      </w:r>
      <w:r w:rsidR="0066772A" w:rsidRPr="00E52A4A">
        <w:t>'</w:t>
      </w:r>
      <w:r w:rsidR="00F57505" w:rsidRPr="00E52A4A">
        <w:t>en 2051</w:t>
      </w:r>
      <w:r w:rsidRPr="00E52A4A">
        <w:t xml:space="preserve"> pour les prêts 2 et 3 (encours de 27,5 millions CHF) (valeur actuelle nette de</w:t>
      </w:r>
      <w:r w:rsidR="00DC3A04" w:rsidRPr="00E52A4A">
        <w:t> </w:t>
      </w:r>
      <w:r w:rsidRPr="00E52A4A">
        <w:t>22,2</w:t>
      </w:r>
      <w:r w:rsidR="00DC3A04" w:rsidRPr="00E52A4A">
        <w:t> </w:t>
      </w:r>
      <w:r w:rsidRPr="00E52A4A">
        <w:t>millions</w:t>
      </w:r>
      <w:r w:rsidR="00DC3A04" w:rsidRPr="00E52A4A">
        <w:t> </w:t>
      </w:r>
      <w:r w:rsidRPr="00E52A4A">
        <w:t>CHF)</w:t>
      </w:r>
      <w:r w:rsidR="00F57505" w:rsidRPr="00E52A4A">
        <w:t xml:space="preserve">. </w:t>
      </w:r>
      <w:r w:rsidRPr="00E52A4A">
        <w:t xml:space="preserve">Le quatrième prêt </w:t>
      </w:r>
      <w:r w:rsidR="00F57505" w:rsidRPr="00E52A4A">
        <w:t xml:space="preserve">est destiné au </w:t>
      </w:r>
      <w:r w:rsidRPr="00E52A4A">
        <w:t>projet de nouveau bâtiment et l</w:t>
      </w:r>
      <w:r w:rsidR="0066772A" w:rsidRPr="00E52A4A">
        <w:t>'</w:t>
      </w:r>
      <w:r w:rsidRPr="00E52A4A">
        <w:t xml:space="preserve">encours </w:t>
      </w:r>
      <w:r w:rsidR="00F57505" w:rsidRPr="00E52A4A">
        <w:t>s</w:t>
      </w:r>
      <w:r w:rsidR="0066772A" w:rsidRPr="00E52A4A">
        <w:t>'</w:t>
      </w:r>
      <w:r w:rsidR="00F57505" w:rsidRPr="00E52A4A">
        <w:t>élève à</w:t>
      </w:r>
      <w:r w:rsidRPr="00E52A4A">
        <w:t xml:space="preserve"> 19,5 millions </w:t>
      </w:r>
      <w:r w:rsidR="00DC3A04" w:rsidRPr="00E52A4A">
        <w:t>CHF</w:t>
      </w:r>
      <w:r w:rsidRPr="00E52A4A">
        <w:t>.</w:t>
      </w:r>
    </w:p>
    <w:p w14:paraId="084E4DD6" w14:textId="61A70443" w:rsidR="00876EE1" w:rsidRPr="00E52A4A" w:rsidRDefault="00876EE1" w:rsidP="00BA6385">
      <w:r w:rsidRPr="00E52A4A">
        <w:t>24</w:t>
      </w:r>
      <w:r w:rsidRPr="00E52A4A">
        <w:tab/>
      </w:r>
      <w:r w:rsidR="00605227" w:rsidRPr="00E52A4A">
        <w:t>L</w:t>
      </w:r>
      <w:r w:rsidR="0066772A" w:rsidRPr="00E52A4A">
        <w:t>'</w:t>
      </w:r>
      <w:r w:rsidR="00605227" w:rsidRPr="00E52A4A">
        <w:t xml:space="preserve">encours des 3 premiers prêts a été actualisé en </w:t>
      </w:r>
      <w:r w:rsidR="00F57505" w:rsidRPr="00E52A4A">
        <w:t>appliquant</w:t>
      </w:r>
      <w:r w:rsidR="00605227" w:rsidRPr="00E52A4A">
        <w:t xml:space="preserve"> le taux des obligations à</w:t>
      </w:r>
      <w:r w:rsidR="00DC3A04" w:rsidRPr="00E52A4A">
        <w:t> </w:t>
      </w:r>
      <w:r w:rsidR="00605227" w:rsidRPr="00E52A4A">
        <w:t>30 ans de la Confédération suisse de 1,476% en décembre 2022 (-0,095% pour 2021).</w:t>
      </w:r>
    </w:p>
    <w:p w14:paraId="19508CD7" w14:textId="044919AA" w:rsidR="00876EE1" w:rsidRPr="00E52A4A" w:rsidRDefault="00605227" w:rsidP="003643D1">
      <w:pPr>
        <w:pStyle w:val="Headingb"/>
      </w:pPr>
      <w:r w:rsidRPr="00E52A4A">
        <w:t xml:space="preserve">Résultat budgétaire </w:t>
      </w:r>
      <w:r w:rsidR="0041313C" w:rsidRPr="00E52A4A">
        <w:t xml:space="preserve">et </w:t>
      </w:r>
      <w:r w:rsidRPr="00E52A4A">
        <w:t>résultat</w:t>
      </w:r>
      <w:r w:rsidR="0097636C" w:rsidRPr="00E52A4A">
        <w:t xml:space="preserve"> conforme aux normes</w:t>
      </w:r>
      <w:r w:rsidRPr="00E52A4A">
        <w:t xml:space="preserve"> IPSAS</w:t>
      </w:r>
    </w:p>
    <w:p w14:paraId="18B74551" w14:textId="54B6D6C3" w:rsidR="00876EE1" w:rsidRPr="00E52A4A" w:rsidRDefault="00876EE1" w:rsidP="00BA6385">
      <w:r w:rsidRPr="00E52A4A">
        <w:t>25</w:t>
      </w:r>
      <w:r w:rsidRPr="00E52A4A">
        <w:tab/>
      </w:r>
      <w:r w:rsidR="00605227" w:rsidRPr="00E52A4A">
        <w:t>L</w:t>
      </w:r>
      <w:r w:rsidR="0066772A" w:rsidRPr="00E52A4A">
        <w:t>'</w:t>
      </w:r>
      <w:r w:rsidR="003643D1" w:rsidRPr="00E52A4A">
        <w:t>É</w:t>
      </w:r>
      <w:r w:rsidR="00605227" w:rsidRPr="00E52A4A">
        <w:t>tat V des états financiers est établi sur la base du budget ordinaire du cadre budgétaire de l</w:t>
      </w:r>
      <w:r w:rsidR="0066772A" w:rsidRPr="00E52A4A">
        <w:t>'</w:t>
      </w:r>
      <w:r w:rsidR="00605227" w:rsidRPr="00E52A4A">
        <w:t>UIT et donne un aperçu de l</w:t>
      </w:r>
      <w:r w:rsidR="0066772A" w:rsidRPr="00E52A4A">
        <w:t>'</w:t>
      </w:r>
      <w:r w:rsidR="00605227" w:rsidRPr="00E52A4A">
        <w:t>utilisation du budget ordinaire affecté sur la base de la comptabilité de caisse modifiée. Sur cette base, l</w:t>
      </w:r>
      <w:r w:rsidR="0066772A" w:rsidRPr="00E52A4A">
        <w:t>'</w:t>
      </w:r>
      <w:r w:rsidR="00605227" w:rsidRPr="00E52A4A">
        <w:t xml:space="preserve">Organisation a enregistré un </w:t>
      </w:r>
      <w:r w:rsidR="007F4575" w:rsidRPr="00E52A4A">
        <w:t>dépassement de dépenses</w:t>
      </w:r>
      <w:r w:rsidR="00605227" w:rsidRPr="00E52A4A">
        <w:t xml:space="preserve"> de 4,8 millions </w:t>
      </w:r>
      <w:r w:rsidR="007F4575" w:rsidRPr="00E52A4A">
        <w:t>CHF</w:t>
      </w:r>
      <w:r w:rsidR="00605227" w:rsidRPr="00E52A4A">
        <w:t xml:space="preserve"> par rapport au budget ordinaire </w:t>
      </w:r>
      <w:r w:rsidR="007F4575" w:rsidRPr="00E52A4A">
        <w:t>affecté</w:t>
      </w:r>
      <w:r w:rsidR="00605227" w:rsidRPr="00E52A4A">
        <w:t xml:space="preserve">, montant qui a été financé conformément au </w:t>
      </w:r>
      <w:r w:rsidR="007F4575" w:rsidRPr="00E52A4A">
        <w:t>T</w:t>
      </w:r>
      <w:r w:rsidR="00605227" w:rsidRPr="00E52A4A">
        <w:t>ableau 2 ci-dessus.</w:t>
      </w:r>
    </w:p>
    <w:p w14:paraId="6D99477E" w14:textId="6C3589D3" w:rsidR="00876EE1" w:rsidRPr="00E52A4A" w:rsidRDefault="00876EE1" w:rsidP="00BA6385">
      <w:r w:rsidRPr="00E52A4A">
        <w:t>26</w:t>
      </w:r>
      <w:r w:rsidRPr="00E52A4A">
        <w:tab/>
      </w:r>
      <w:r w:rsidR="00605227" w:rsidRPr="00E52A4A">
        <w:t>Un rapprochement entre le résultat budgét</w:t>
      </w:r>
      <w:r w:rsidR="007F4575" w:rsidRPr="00E52A4A">
        <w:t>é</w:t>
      </w:r>
      <w:r w:rsidR="00605227" w:rsidRPr="00E52A4A">
        <w:t xml:space="preserve"> et le résultat </w:t>
      </w:r>
      <w:r w:rsidR="007F4575" w:rsidRPr="00E52A4A">
        <w:t xml:space="preserve">conforme aux normes </w:t>
      </w:r>
      <w:r w:rsidR="00605227" w:rsidRPr="00E52A4A">
        <w:t xml:space="preserve">IPSAS </w:t>
      </w:r>
      <w:r w:rsidR="005D6392" w:rsidRPr="00E52A4A">
        <w:t>figure</w:t>
      </w:r>
      <w:r w:rsidR="00605227" w:rsidRPr="00E52A4A">
        <w:t xml:space="preserve"> dans les états financiers (</w:t>
      </w:r>
      <w:r w:rsidR="003643D1" w:rsidRPr="00E52A4A">
        <w:t>É</w:t>
      </w:r>
      <w:r w:rsidR="00605227" w:rsidRPr="00E52A4A">
        <w:t xml:space="preserve">tat V). Il </w:t>
      </w:r>
      <w:r w:rsidR="005D6392" w:rsidRPr="00E52A4A">
        <w:t>importe</w:t>
      </w:r>
      <w:r w:rsidR="00605227" w:rsidRPr="00E52A4A">
        <w:t xml:space="preserve"> de noter que l</w:t>
      </w:r>
      <w:r w:rsidR="0066772A" w:rsidRPr="00E52A4A">
        <w:t>'</w:t>
      </w:r>
      <w:r w:rsidR="00605227" w:rsidRPr="00E52A4A">
        <w:t xml:space="preserve">état </w:t>
      </w:r>
      <w:r w:rsidR="005D6392" w:rsidRPr="00E52A4A">
        <w:t xml:space="preserve">relatif à la performance financière </w:t>
      </w:r>
      <w:r w:rsidR="00605227" w:rsidRPr="00E52A4A">
        <w:t>(</w:t>
      </w:r>
      <w:r w:rsidR="003643D1" w:rsidRPr="00E52A4A">
        <w:t>É</w:t>
      </w:r>
      <w:r w:rsidR="00605227" w:rsidRPr="00E52A4A">
        <w:t>tat II) comprend d</w:t>
      </w:r>
      <w:r w:rsidR="0066772A" w:rsidRPr="00E52A4A">
        <w:t>'</w:t>
      </w:r>
      <w:r w:rsidR="00605227" w:rsidRPr="00E52A4A">
        <w:t>autres domaines tels que les contributions volontaires, l</w:t>
      </w:r>
      <w:r w:rsidR="0066772A" w:rsidRPr="00E52A4A">
        <w:t>'</w:t>
      </w:r>
      <w:r w:rsidR="00605227" w:rsidRPr="00E52A4A">
        <w:t>amortissement et d</w:t>
      </w:r>
      <w:r w:rsidR="0066772A" w:rsidRPr="00E52A4A">
        <w:t>'</w:t>
      </w:r>
      <w:r w:rsidR="00605227" w:rsidRPr="00E52A4A">
        <w:t xml:space="preserve">autres </w:t>
      </w:r>
      <w:r w:rsidR="0041313C" w:rsidRPr="00E52A4A">
        <w:t xml:space="preserve">différences relatives aux </w:t>
      </w:r>
      <w:r w:rsidR="00605227" w:rsidRPr="00E52A4A">
        <w:t xml:space="preserve">entités </w:t>
      </w:r>
      <w:r w:rsidR="0041313C" w:rsidRPr="00E52A4A">
        <w:t>dont il n</w:t>
      </w:r>
      <w:r w:rsidR="0066772A" w:rsidRPr="00E52A4A">
        <w:t>'</w:t>
      </w:r>
      <w:r w:rsidR="0041313C" w:rsidRPr="00E52A4A">
        <w:t>est</w:t>
      </w:r>
      <w:r w:rsidR="00605227" w:rsidRPr="00E52A4A">
        <w:t xml:space="preserve"> pas </w:t>
      </w:r>
      <w:r w:rsidR="0041313C" w:rsidRPr="00E52A4A">
        <w:t xml:space="preserve">tenu compte </w:t>
      </w:r>
      <w:r w:rsidR="00605227" w:rsidRPr="00E52A4A">
        <w:t>dans le budget. L</w:t>
      </w:r>
      <w:r w:rsidR="0066772A" w:rsidRPr="00E52A4A">
        <w:t>'</w:t>
      </w:r>
      <w:r w:rsidR="003643D1" w:rsidRPr="00E52A4A">
        <w:t>É</w:t>
      </w:r>
      <w:r w:rsidR="00605227" w:rsidRPr="00E52A4A">
        <w:t>tat V fait ressortir les principales différences entre le budget de l</w:t>
      </w:r>
      <w:r w:rsidR="0066772A" w:rsidRPr="00E52A4A">
        <w:t>'</w:t>
      </w:r>
      <w:r w:rsidR="00605227" w:rsidRPr="00E52A4A">
        <w:t>organisation et les produits et les charges globaux.</w:t>
      </w:r>
    </w:p>
    <w:p w14:paraId="26EF604C" w14:textId="091D0F68" w:rsidR="00876EE1" w:rsidRPr="00E52A4A" w:rsidRDefault="00876EE1" w:rsidP="003643D1">
      <w:pPr>
        <w:pStyle w:val="Headingb"/>
      </w:pPr>
      <w:r w:rsidRPr="00E52A4A">
        <w:t>Responsabilité</w:t>
      </w:r>
    </w:p>
    <w:p w14:paraId="3AE4ADDD" w14:textId="6D8842A5" w:rsidR="00876EE1" w:rsidRPr="00E52A4A" w:rsidRDefault="00876EE1" w:rsidP="00BA6385">
      <w:r w:rsidRPr="00E52A4A">
        <w:t>27</w:t>
      </w:r>
      <w:r w:rsidRPr="00E52A4A">
        <w:tab/>
        <w:t>Comme prévu par l</w:t>
      </w:r>
      <w:r w:rsidR="0066772A" w:rsidRPr="00E52A4A">
        <w:t>'</w:t>
      </w:r>
      <w:r w:rsidRPr="00E52A4A">
        <w:t>Article 30 du Règlement financier de l</w:t>
      </w:r>
      <w:r w:rsidR="0066772A" w:rsidRPr="00E52A4A">
        <w:t>'</w:t>
      </w:r>
      <w:r w:rsidRPr="00E52A4A">
        <w:t>Union, les états financiers ci</w:t>
      </w:r>
      <w:r w:rsidR="007658D9" w:rsidRPr="00E52A4A">
        <w:noBreakHyphen/>
      </w:r>
      <w:r w:rsidRPr="00E52A4A">
        <w:t>après</w:t>
      </w:r>
      <w:r w:rsidR="00F20DBD" w:rsidRPr="00E52A4A">
        <w:t xml:space="preserve"> </w:t>
      </w:r>
      <w:r w:rsidRPr="00E52A4A">
        <w:t>ont été élaborés conformément aux normes</w:t>
      </w:r>
      <w:r w:rsidR="007658D9" w:rsidRPr="00E52A4A">
        <w:t xml:space="preserve"> </w:t>
      </w:r>
      <w:r w:rsidRPr="00E52A4A">
        <w:t xml:space="preserve">IPSAS. </w:t>
      </w:r>
      <w:r w:rsidR="00F20DBD" w:rsidRPr="00E52A4A">
        <w:t>L</w:t>
      </w:r>
      <w:r w:rsidRPr="00E52A4A">
        <w:t xml:space="preserve">es états financiers et </w:t>
      </w:r>
      <w:r w:rsidR="00F20DBD" w:rsidRPr="00E52A4A">
        <w:t xml:space="preserve">les </w:t>
      </w:r>
      <w:r w:rsidRPr="00E52A4A">
        <w:t>notes y</w:t>
      </w:r>
      <w:r w:rsidR="007658D9" w:rsidRPr="00E52A4A">
        <w:t> </w:t>
      </w:r>
      <w:r w:rsidRPr="00E52A4A">
        <w:t>afférentes, qui font partie intégrante du présent document, donnent une image fidèle de la situation financière de l</w:t>
      </w:r>
      <w:r w:rsidR="0066772A" w:rsidRPr="00E52A4A">
        <w:t>'</w:t>
      </w:r>
      <w:r w:rsidRPr="00E52A4A">
        <w:t>Union au 31 décembre 202</w:t>
      </w:r>
      <w:r w:rsidR="00F20DBD" w:rsidRPr="00E52A4A">
        <w:t>2</w:t>
      </w:r>
      <w:r w:rsidRPr="00E52A4A">
        <w:t>.</w:t>
      </w:r>
    </w:p>
    <w:p w14:paraId="02A5CE13" w14:textId="78082A2B" w:rsidR="00C67D9C" w:rsidRPr="00E52A4A" w:rsidRDefault="00C67D9C" w:rsidP="00BA6385">
      <w:r w:rsidRPr="00E52A4A">
        <w:t>I</w:t>
      </w:r>
      <w:r w:rsidRPr="00E52A4A">
        <w:tab/>
        <w:t>État de la situation financière – Bilan au 31 décembre 2022</w:t>
      </w:r>
      <w:r w:rsidR="007658D9" w:rsidRPr="00E52A4A">
        <w:t>.</w:t>
      </w:r>
    </w:p>
    <w:p w14:paraId="2DDF617B" w14:textId="6C46A104" w:rsidR="00C67D9C" w:rsidRPr="00E52A4A" w:rsidRDefault="00C67D9C" w:rsidP="00BA6385">
      <w:r w:rsidRPr="00E52A4A">
        <w:t>II</w:t>
      </w:r>
      <w:r w:rsidRPr="00E52A4A">
        <w:tab/>
        <w:t>État de la performance financière pour l</w:t>
      </w:r>
      <w:r w:rsidR="0066772A" w:rsidRPr="00E52A4A">
        <w:t>'</w:t>
      </w:r>
      <w:r w:rsidRPr="00E52A4A">
        <w:t>exercice clos le 31 décembre 2022</w:t>
      </w:r>
      <w:r w:rsidR="007658D9" w:rsidRPr="00E52A4A">
        <w:t>.</w:t>
      </w:r>
    </w:p>
    <w:p w14:paraId="6DAB7676" w14:textId="6C9BF7C8" w:rsidR="00C67D9C" w:rsidRPr="00E52A4A" w:rsidRDefault="00C67D9C" w:rsidP="00BA6385">
      <w:r w:rsidRPr="00E52A4A">
        <w:t>III</w:t>
      </w:r>
      <w:r w:rsidRPr="00E52A4A">
        <w:tab/>
        <w:t>État des variations de l</w:t>
      </w:r>
      <w:r w:rsidR="0066772A" w:rsidRPr="00E52A4A">
        <w:t>'</w:t>
      </w:r>
      <w:r w:rsidRPr="00E52A4A">
        <w:t>actif net pour l</w:t>
      </w:r>
      <w:r w:rsidR="0066772A" w:rsidRPr="00E52A4A">
        <w:t>'</w:t>
      </w:r>
      <w:r w:rsidRPr="00E52A4A">
        <w:t>exercice clos le 31 décembre 2022</w:t>
      </w:r>
      <w:r w:rsidR="007658D9" w:rsidRPr="00E52A4A">
        <w:t>.</w:t>
      </w:r>
    </w:p>
    <w:p w14:paraId="65EC8859" w14:textId="367DB210" w:rsidR="00C67D9C" w:rsidRPr="00E52A4A" w:rsidRDefault="00C67D9C" w:rsidP="00BA6385">
      <w:r w:rsidRPr="00E52A4A">
        <w:t>IV</w:t>
      </w:r>
      <w:r w:rsidRPr="00E52A4A">
        <w:tab/>
        <w:t>État des flux de trésorerie pour l</w:t>
      </w:r>
      <w:r w:rsidR="0066772A" w:rsidRPr="00E52A4A">
        <w:t>'</w:t>
      </w:r>
      <w:r w:rsidRPr="00E52A4A">
        <w:t>exercice clos le 31 décembre 2022</w:t>
      </w:r>
      <w:r w:rsidR="007658D9" w:rsidRPr="00E52A4A">
        <w:t>.</w:t>
      </w:r>
    </w:p>
    <w:p w14:paraId="6EE8299A" w14:textId="194E9DCB" w:rsidR="00876EE1" w:rsidRPr="00E52A4A" w:rsidRDefault="00C67D9C" w:rsidP="00BA6385">
      <w:pPr>
        <w:ind w:left="567" w:hanging="567"/>
      </w:pPr>
      <w:r w:rsidRPr="00E52A4A">
        <w:t>V</w:t>
      </w:r>
      <w:r w:rsidRPr="00E52A4A">
        <w:tab/>
        <w:t>État de la comparaison des montants budgétés et des montants effectifs pour l</w:t>
      </w:r>
      <w:r w:rsidR="0066772A" w:rsidRPr="00E52A4A">
        <w:t>'</w:t>
      </w:r>
      <w:r w:rsidRPr="00E52A4A">
        <w:t>exercice</w:t>
      </w:r>
      <w:r w:rsidR="007658D9" w:rsidRPr="00E52A4A">
        <w:t xml:space="preserve"> </w:t>
      </w:r>
      <w:r w:rsidR="00F20DBD" w:rsidRPr="00E52A4A">
        <w:t xml:space="preserve">clos le 31 décembre </w:t>
      </w:r>
      <w:r w:rsidRPr="00E52A4A">
        <w:t>2022</w:t>
      </w:r>
      <w:r w:rsidR="007658D9" w:rsidRPr="00E52A4A">
        <w:t>.</w:t>
      </w:r>
    </w:p>
    <w:p w14:paraId="78C5090D" w14:textId="53B3C528" w:rsidR="00C67D9C" w:rsidRPr="00E52A4A" w:rsidRDefault="00605227" w:rsidP="00D718E7">
      <w:pPr>
        <w:spacing w:before="360"/>
        <w:rPr>
          <w:b/>
          <w:bCs/>
          <w:sz w:val="28"/>
          <w:szCs w:val="28"/>
        </w:rPr>
      </w:pPr>
      <w:r w:rsidRPr="00E52A4A">
        <w:rPr>
          <w:b/>
          <w:bCs/>
          <w:sz w:val="28"/>
          <w:szCs w:val="28"/>
        </w:rPr>
        <w:t>Vérification extérieure des comptes de l</w:t>
      </w:r>
      <w:r w:rsidR="0066772A" w:rsidRPr="00E52A4A">
        <w:rPr>
          <w:b/>
          <w:bCs/>
          <w:sz w:val="28"/>
          <w:szCs w:val="28"/>
        </w:rPr>
        <w:t>'</w:t>
      </w:r>
      <w:r w:rsidRPr="00E52A4A">
        <w:rPr>
          <w:b/>
          <w:bCs/>
          <w:sz w:val="28"/>
          <w:szCs w:val="28"/>
        </w:rPr>
        <w:t>Union</w:t>
      </w:r>
    </w:p>
    <w:p w14:paraId="47414742" w14:textId="1DC23169" w:rsidR="00C67D9C" w:rsidRPr="00E52A4A" w:rsidRDefault="00C67D9C" w:rsidP="00BA6385">
      <w:r w:rsidRPr="00E52A4A">
        <w:t>28</w:t>
      </w:r>
      <w:r w:rsidR="00605227" w:rsidRPr="00E52A4A">
        <w:tab/>
        <w:t>Conformément à l</w:t>
      </w:r>
      <w:r w:rsidR="0066772A" w:rsidRPr="00E52A4A">
        <w:t>'</w:t>
      </w:r>
      <w:r w:rsidR="00605227" w:rsidRPr="00E52A4A">
        <w:t>Article 28 du Règlement financier et des Règles financières</w:t>
      </w:r>
      <w:r w:rsidR="0072380C" w:rsidRPr="00E52A4A">
        <w:t xml:space="preserve"> et </w:t>
      </w:r>
      <w:r w:rsidR="00605227" w:rsidRPr="00E52A4A">
        <w:t xml:space="preserve">à la Décision 621 </w:t>
      </w:r>
      <w:r w:rsidR="0041313C" w:rsidRPr="00E52A4A">
        <w:t xml:space="preserve">adoptée </w:t>
      </w:r>
      <w:r w:rsidR="00605227" w:rsidRPr="00E52A4A">
        <w:t xml:space="preserve">par le Conseil à sa session de 2020 lors de sa deuxième consultation virtuelle, </w:t>
      </w:r>
      <w:r w:rsidR="00F14923" w:rsidRPr="00E52A4A">
        <w:t>le Bureau national de contrôle</w:t>
      </w:r>
      <w:r w:rsidR="00605227" w:rsidRPr="00E52A4A">
        <w:t xml:space="preserve"> du Royaume-Uni de Grande</w:t>
      </w:r>
      <w:r w:rsidR="007658D9" w:rsidRPr="00E52A4A">
        <w:t>-</w:t>
      </w:r>
      <w:r w:rsidR="00605227" w:rsidRPr="00E52A4A">
        <w:t>Bretagne et d</w:t>
      </w:r>
      <w:r w:rsidR="0066772A" w:rsidRPr="00E52A4A">
        <w:t>'</w:t>
      </w:r>
      <w:r w:rsidR="00605227" w:rsidRPr="00E52A4A">
        <w:t>Irlande du Nord a été nommé Vérificateur extérieur des comptes de l</w:t>
      </w:r>
      <w:r w:rsidR="0066772A" w:rsidRPr="00E52A4A">
        <w:t>'</w:t>
      </w:r>
      <w:r w:rsidR="00605227" w:rsidRPr="00E52A4A">
        <w:t>Union, selon les modalités décidées par la Conférence de plénipotentiaires et pour un mandat de quatre ans.</w:t>
      </w:r>
      <w:r w:rsidRPr="00E52A4A">
        <w:br w:type="page"/>
      </w:r>
    </w:p>
    <w:p w14:paraId="192CC27D" w14:textId="3C5E3EE7" w:rsidR="00C67D9C" w:rsidRPr="00E52A4A" w:rsidRDefault="00C67D9C" w:rsidP="007A66CF">
      <w:pPr>
        <w:spacing w:before="480"/>
        <w:jc w:val="center"/>
      </w:pPr>
      <w:r w:rsidRPr="00E52A4A">
        <w:rPr>
          <w:noProof/>
          <w:lang w:eastAsia="zh-CN"/>
        </w:rPr>
        <w:lastRenderedPageBreak/>
        <w:drawing>
          <wp:inline distT="0" distB="0" distL="0" distR="0" wp14:anchorId="142B3567" wp14:editId="58AC6790">
            <wp:extent cx="682402" cy="720000"/>
            <wp:effectExtent l="0" t="0" r="3810" b="4445"/>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p w14:paraId="069FFE96" w14:textId="2276B9A4" w:rsidR="00C67D9C" w:rsidRPr="00E52A4A" w:rsidRDefault="00C67D9C" w:rsidP="00BA6385">
      <w:pPr>
        <w:spacing w:before="2280"/>
        <w:jc w:val="center"/>
        <w:rPr>
          <w:b/>
          <w:bCs/>
          <w:sz w:val="28"/>
          <w:szCs w:val="22"/>
        </w:rPr>
      </w:pPr>
      <w:r w:rsidRPr="00E52A4A">
        <w:rPr>
          <w:b/>
          <w:bCs/>
          <w:sz w:val="28"/>
          <w:szCs w:val="22"/>
        </w:rPr>
        <w:t>Déclaration sur le contrôle interne pour 2022</w:t>
      </w:r>
    </w:p>
    <w:p w14:paraId="12518175" w14:textId="1D736FA4" w:rsidR="00C67D9C" w:rsidRPr="00E52A4A" w:rsidRDefault="00C67D9C" w:rsidP="00BA6385">
      <w:pPr>
        <w:spacing w:before="600"/>
        <w:jc w:val="center"/>
        <w:rPr>
          <w:b/>
          <w:bCs/>
          <w:sz w:val="28"/>
          <w:szCs w:val="22"/>
        </w:rPr>
      </w:pPr>
      <w:r w:rsidRPr="00E52A4A">
        <w:rPr>
          <w:b/>
          <w:bCs/>
          <w:sz w:val="28"/>
          <w:szCs w:val="22"/>
        </w:rPr>
        <w:t>UNION INTERNATIONALE DES TÉLÉCOMMUNICATIONS, GENÈVE</w:t>
      </w:r>
    </w:p>
    <w:p w14:paraId="708EAA76" w14:textId="6BBB0DBF" w:rsidR="00C67D9C" w:rsidRPr="00E52A4A" w:rsidRDefault="00C67D9C" w:rsidP="00BA6385">
      <w:pPr>
        <w:spacing w:before="600"/>
      </w:pPr>
      <w:r w:rsidRPr="00E52A4A">
        <w:br w:type="page"/>
      </w:r>
    </w:p>
    <w:p w14:paraId="020B3B25" w14:textId="2149FD8E" w:rsidR="00C67D9C" w:rsidRPr="00E52A4A" w:rsidRDefault="00C67D9C" w:rsidP="0043732E">
      <w:pPr>
        <w:pStyle w:val="Heading1"/>
        <w:jc w:val="center"/>
      </w:pPr>
      <w:bookmarkStart w:id="3" w:name="_Toc162331493"/>
      <w:bookmarkStart w:id="4" w:name="_Toc162331703"/>
      <w:r w:rsidRPr="00E52A4A">
        <w:lastRenderedPageBreak/>
        <w:t>Déclaration sur le contrôle interne pour 202</w:t>
      </w:r>
      <w:r w:rsidR="00D718E7" w:rsidRPr="00E52A4A">
        <w:t>2</w:t>
      </w:r>
      <w:bookmarkEnd w:id="3"/>
      <w:bookmarkEnd w:id="4"/>
    </w:p>
    <w:p w14:paraId="3B1D695A" w14:textId="4FC29946" w:rsidR="00C67D9C" w:rsidRPr="00E52A4A" w:rsidRDefault="00C67D9C" w:rsidP="00BA6385">
      <w:pPr>
        <w:pStyle w:val="Headingb"/>
      </w:pPr>
      <w:r w:rsidRPr="00E52A4A">
        <w:t>Champ de responsabilité</w:t>
      </w:r>
    </w:p>
    <w:p w14:paraId="129D3C3B" w14:textId="7A24F263" w:rsidR="00C67D9C" w:rsidRPr="00E52A4A" w:rsidRDefault="00605227" w:rsidP="00BA6385">
      <w:r w:rsidRPr="00E52A4A">
        <w:t>En tant que Secrétaire général</w:t>
      </w:r>
      <w:r w:rsidR="00E87A6C" w:rsidRPr="00E52A4A">
        <w:t>e</w:t>
      </w:r>
      <w:r w:rsidRPr="00E52A4A">
        <w:t>, je suis responsable de l</w:t>
      </w:r>
      <w:r w:rsidR="0066772A" w:rsidRPr="00E52A4A">
        <w:t>'</w:t>
      </w:r>
      <w:r w:rsidRPr="00E52A4A">
        <w:t>administration de l</w:t>
      </w:r>
      <w:r w:rsidR="0066772A" w:rsidRPr="00E52A4A">
        <w:t>'</w:t>
      </w:r>
      <w:r w:rsidRPr="00E52A4A">
        <w:t>UIT</w:t>
      </w:r>
      <w:r w:rsidR="00E87A6C" w:rsidRPr="00E52A4A">
        <w:t xml:space="preserve"> en ce qui concerne </w:t>
      </w:r>
      <w:r w:rsidRPr="00E52A4A">
        <w:t>l</w:t>
      </w:r>
      <w:r w:rsidR="0066772A" w:rsidRPr="00E52A4A">
        <w:t>'</w:t>
      </w:r>
      <w:r w:rsidRPr="00E52A4A">
        <w:t>exécution de son mandat, de ses programmes et de ses autres activités</w:t>
      </w:r>
      <w:r w:rsidR="0072380C" w:rsidRPr="00E52A4A">
        <w:t>, c</w:t>
      </w:r>
      <w:r w:rsidRPr="00E52A4A">
        <w:t>onformément aux responsabilités qui m</w:t>
      </w:r>
      <w:r w:rsidR="0066772A" w:rsidRPr="00E52A4A">
        <w:t>'</w:t>
      </w:r>
      <w:r w:rsidRPr="00E52A4A">
        <w:t xml:space="preserve">ont été confiées, notamment </w:t>
      </w:r>
      <w:r w:rsidR="00E87A6C" w:rsidRPr="00E52A4A">
        <w:t>au titre des</w:t>
      </w:r>
      <w:r w:rsidRPr="00E52A4A">
        <w:t xml:space="preserve"> numéros</w:t>
      </w:r>
      <w:r w:rsidR="0043732E" w:rsidRPr="00E52A4A">
        <w:t> </w:t>
      </w:r>
      <w:r w:rsidRPr="00E52A4A">
        <w:t>73bis et 75 de la Constitution (article 11)</w:t>
      </w:r>
      <w:r w:rsidR="00E87A6C" w:rsidRPr="00E52A4A">
        <w:t xml:space="preserve"> et </w:t>
      </w:r>
      <w:r w:rsidRPr="00E52A4A">
        <w:t xml:space="preserve">aux </w:t>
      </w:r>
      <w:r w:rsidR="00716386" w:rsidRPr="00E52A4A">
        <w:t>A</w:t>
      </w:r>
      <w:r w:rsidRPr="00E52A4A">
        <w:t xml:space="preserve">rticles 1, 10, 16, 28, 29 et 30 du Règlement financier et des Règles financières, qui </w:t>
      </w:r>
      <w:r w:rsidR="00E87A6C" w:rsidRPr="00E52A4A">
        <w:t xml:space="preserve">supposent </w:t>
      </w:r>
      <w:r w:rsidRPr="00E52A4A">
        <w:t>le maintien d</w:t>
      </w:r>
      <w:r w:rsidR="0066772A" w:rsidRPr="00E52A4A">
        <w:t>'</w:t>
      </w:r>
      <w:r w:rsidRPr="00E52A4A">
        <w:t xml:space="preserve">un système de contrôle interne </w:t>
      </w:r>
      <w:r w:rsidR="00E87A6C" w:rsidRPr="00E52A4A">
        <w:t xml:space="preserve">robuste, </w:t>
      </w:r>
      <w:r w:rsidRPr="00E52A4A">
        <w:t xml:space="preserve">destiné à fournir une assurance raisonnable de la réalisation des objectifs et à </w:t>
      </w:r>
      <w:r w:rsidR="00E87A6C" w:rsidRPr="00E52A4A">
        <w:t>garantir</w:t>
      </w:r>
      <w:r w:rsidRPr="00E52A4A">
        <w:t xml:space="preserve"> </w:t>
      </w:r>
      <w:r w:rsidR="00E87A6C" w:rsidRPr="00E52A4A">
        <w:t>la présentation fiable de</w:t>
      </w:r>
      <w:r w:rsidRPr="00E52A4A">
        <w:t xml:space="preserve"> l</w:t>
      </w:r>
      <w:r w:rsidR="0066772A" w:rsidRPr="00E52A4A">
        <w:t>'</w:t>
      </w:r>
      <w:r w:rsidRPr="00E52A4A">
        <w:t>information financière et non financière,</w:t>
      </w:r>
      <w:r w:rsidR="00E87A6C" w:rsidRPr="00E52A4A">
        <w:t xml:space="preserve"> l</w:t>
      </w:r>
      <w:r w:rsidR="0066772A" w:rsidRPr="00E52A4A">
        <w:t>'</w:t>
      </w:r>
      <w:r w:rsidR="00E87A6C" w:rsidRPr="00E52A4A">
        <w:t>efficacité du fonctionnement de l</w:t>
      </w:r>
      <w:r w:rsidR="0066772A" w:rsidRPr="00E52A4A">
        <w:t>'</w:t>
      </w:r>
      <w:r w:rsidR="00E87A6C" w:rsidRPr="00E52A4A">
        <w:t>organisation et le</w:t>
      </w:r>
      <w:r w:rsidRPr="00E52A4A">
        <w:t xml:space="preserve"> respect des règlements, règles, ordres de service et politiques, notamment en ce qui concerne la prévention et la détection des activités frauduleuses.</w:t>
      </w:r>
    </w:p>
    <w:p w14:paraId="1AA9810B" w14:textId="71A04072" w:rsidR="00C67D9C" w:rsidRPr="00E52A4A" w:rsidRDefault="00C42A35" w:rsidP="00BA6385">
      <w:pPr>
        <w:pStyle w:val="Headingb"/>
      </w:pPr>
      <w:r w:rsidRPr="00E52A4A">
        <w:t>Objet du système de contrôle interne</w:t>
      </w:r>
    </w:p>
    <w:p w14:paraId="51860DBB" w14:textId="02FBF89D" w:rsidR="00C67D9C" w:rsidRPr="00E52A4A" w:rsidRDefault="00C42A35" w:rsidP="00BA6385">
      <w:r w:rsidRPr="00E52A4A">
        <w:t>Le contrôle interne a pour objet de réduire et gérer, et non de supprimer</w:t>
      </w:r>
      <w:r w:rsidR="0041313C" w:rsidRPr="00E52A4A">
        <w:t>,</w:t>
      </w:r>
      <w:r w:rsidRPr="00E52A4A">
        <w:t xml:space="preserve"> le risque de ne pas atteindre les buts et objectifs de </w:t>
      </w:r>
      <w:r w:rsidR="00BA5A2A" w:rsidRPr="00E52A4A">
        <w:t>l</w:t>
      </w:r>
      <w:r w:rsidR="0066772A" w:rsidRPr="00E52A4A">
        <w:t>'</w:t>
      </w:r>
      <w:r w:rsidR="00BA5A2A" w:rsidRPr="00E52A4A">
        <w:t xml:space="preserve">UIT. </w:t>
      </w:r>
      <w:r w:rsidRPr="00E52A4A">
        <w:t>En conséquence, il ne peut fournir qu</w:t>
      </w:r>
      <w:r w:rsidR="0066772A" w:rsidRPr="00E52A4A">
        <w:t>'</w:t>
      </w:r>
      <w:r w:rsidRPr="00E52A4A">
        <w:t>une assurance raisonnable, et non absolue</w:t>
      </w:r>
      <w:r w:rsidR="0072380C" w:rsidRPr="00E52A4A">
        <w:t>,</w:t>
      </w:r>
      <w:r w:rsidRPr="00E52A4A">
        <w:t xml:space="preserve"> d</w:t>
      </w:r>
      <w:r w:rsidR="0066772A" w:rsidRPr="00E52A4A">
        <w:t>'</w:t>
      </w:r>
      <w:r w:rsidRPr="00E52A4A">
        <w:t>efficacité. Il repose sur un processus continu visant à recenser les principaux risques, à en évaluer la nature et la portée, et à les gérer de manière efficiente, efficace et économique.</w:t>
      </w:r>
    </w:p>
    <w:p w14:paraId="5F2FD065" w14:textId="15AD29CC" w:rsidR="00C42A35" w:rsidRPr="00E52A4A" w:rsidRDefault="008B6740" w:rsidP="00BA6385">
      <w:r w:rsidRPr="00E52A4A">
        <w:t>Le</w:t>
      </w:r>
      <w:r w:rsidR="00BA5A2A" w:rsidRPr="00E52A4A">
        <w:t xml:space="preserve"> </w:t>
      </w:r>
      <w:r w:rsidR="00605227" w:rsidRPr="00E52A4A">
        <w:t>Conseil de l</w:t>
      </w:r>
      <w:r w:rsidR="0066772A" w:rsidRPr="00E52A4A">
        <w:t>'</w:t>
      </w:r>
      <w:r w:rsidR="00605227" w:rsidRPr="00E52A4A">
        <w:t>UIT, le Secrétaire général, la haute direction et les autres fonctionnaires, qui font partie intégrante d</w:t>
      </w:r>
      <w:r w:rsidRPr="00E52A4A">
        <w:t xml:space="preserve">u </w:t>
      </w:r>
      <w:r w:rsidR="00605227" w:rsidRPr="00E52A4A">
        <w:t>système de contrôle interne</w:t>
      </w:r>
      <w:r w:rsidRPr="00E52A4A">
        <w:t xml:space="preserve"> de l</w:t>
      </w:r>
      <w:r w:rsidR="0066772A" w:rsidRPr="00E52A4A">
        <w:t>'</w:t>
      </w:r>
      <w:r w:rsidRPr="00E52A4A">
        <w:t>organisation</w:t>
      </w:r>
      <w:r w:rsidR="00605227" w:rsidRPr="00E52A4A">
        <w:t>, s</w:t>
      </w:r>
      <w:r w:rsidR="0066772A" w:rsidRPr="00E52A4A">
        <w:t>'</w:t>
      </w:r>
      <w:r w:rsidR="00605227" w:rsidRPr="00E52A4A">
        <w:t>engagent à mettre en œuvre des contrôles internes destinés à fournir une assurance raisonnable quant aux objectifs suivants:</w:t>
      </w:r>
    </w:p>
    <w:p w14:paraId="2A9F15BD" w14:textId="530D1304" w:rsidR="00C42A35" w:rsidRPr="00E52A4A" w:rsidRDefault="00C42A35" w:rsidP="00BA6385">
      <w:pPr>
        <w:pStyle w:val="enumlev1"/>
      </w:pPr>
      <w:r w:rsidRPr="00E52A4A">
        <w:t>a)</w:t>
      </w:r>
      <w:r w:rsidRPr="00E52A4A">
        <w:tab/>
      </w:r>
      <w:r w:rsidR="0043732E" w:rsidRPr="00E52A4A">
        <w:t>e</w:t>
      </w:r>
      <w:r w:rsidR="00605227" w:rsidRPr="00E52A4A">
        <w:t>fficacité</w:t>
      </w:r>
      <w:r w:rsidR="008B6740" w:rsidRPr="00E52A4A">
        <w:t xml:space="preserve"> </w:t>
      </w:r>
      <w:r w:rsidR="00716386" w:rsidRPr="00E52A4A">
        <w:t xml:space="preserve">et efficience </w:t>
      </w:r>
      <w:r w:rsidR="00605227" w:rsidRPr="00E52A4A">
        <w:t>des opérations et protection des actifs;</w:t>
      </w:r>
    </w:p>
    <w:p w14:paraId="65888327" w14:textId="458451FF" w:rsidR="00C42A35" w:rsidRPr="00E52A4A" w:rsidRDefault="00C42A35" w:rsidP="00BA6385">
      <w:pPr>
        <w:pStyle w:val="enumlev1"/>
      </w:pPr>
      <w:r w:rsidRPr="00E52A4A">
        <w:t>b)</w:t>
      </w:r>
      <w:r w:rsidRPr="00E52A4A">
        <w:tab/>
      </w:r>
      <w:r w:rsidR="0043732E" w:rsidRPr="00E52A4A">
        <w:t>f</w:t>
      </w:r>
      <w:r w:rsidR="00605227" w:rsidRPr="00E52A4A">
        <w:t>iabilité et actualité de l</w:t>
      </w:r>
      <w:r w:rsidR="0066772A" w:rsidRPr="00E52A4A">
        <w:t>'</w:t>
      </w:r>
      <w:r w:rsidR="00605227" w:rsidRPr="00E52A4A">
        <w:t>information financière;</w:t>
      </w:r>
      <w:r w:rsidR="0043732E" w:rsidRPr="00E52A4A">
        <w:t xml:space="preserve"> et</w:t>
      </w:r>
    </w:p>
    <w:p w14:paraId="3B0A0B72" w14:textId="004A71F1" w:rsidR="00C42A35" w:rsidRPr="00E52A4A" w:rsidRDefault="00C42A35" w:rsidP="00BA6385">
      <w:pPr>
        <w:pStyle w:val="enumlev1"/>
      </w:pPr>
      <w:r w:rsidRPr="00E52A4A">
        <w:t>c)</w:t>
      </w:r>
      <w:r w:rsidRPr="00E52A4A">
        <w:tab/>
      </w:r>
      <w:r w:rsidR="0043732E" w:rsidRPr="00E52A4A">
        <w:t>c</w:t>
      </w:r>
      <w:r w:rsidR="00605227" w:rsidRPr="00E52A4A">
        <w:t xml:space="preserve">onformité </w:t>
      </w:r>
      <w:r w:rsidR="008B6740" w:rsidRPr="00E52A4A">
        <w:t>aux</w:t>
      </w:r>
      <w:r w:rsidR="00605227" w:rsidRPr="00E52A4A">
        <w:t xml:space="preserve"> règles et règlements applicables de l</w:t>
      </w:r>
      <w:r w:rsidR="0066772A" w:rsidRPr="00E52A4A">
        <w:t>'</w:t>
      </w:r>
      <w:r w:rsidR="00605227" w:rsidRPr="00E52A4A">
        <w:t>UIT</w:t>
      </w:r>
      <w:r w:rsidR="0043732E" w:rsidRPr="00E52A4A">
        <w:t>.</w:t>
      </w:r>
    </w:p>
    <w:p w14:paraId="3FC49986" w14:textId="389E7081" w:rsidR="00C42A35" w:rsidRPr="00E52A4A" w:rsidRDefault="008B6740" w:rsidP="00605227">
      <w:r w:rsidRPr="00E52A4A">
        <w:t>La présente déclaration</w:t>
      </w:r>
      <w:r w:rsidR="00605227" w:rsidRPr="00E52A4A">
        <w:t xml:space="preserve"> sur les processus de contrôle interne de l</w:t>
      </w:r>
      <w:r w:rsidR="0066772A" w:rsidRPr="00E52A4A">
        <w:t>'</w:t>
      </w:r>
      <w:r w:rsidR="00605227" w:rsidRPr="00E52A4A">
        <w:t>UIT, comme indiqué ci</w:t>
      </w:r>
      <w:r w:rsidR="0043732E" w:rsidRPr="00E52A4A">
        <w:noBreakHyphen/>
      </w:r>
      <w:r w:rsidR="00605227" w:rsidRPr="00E52A4A">
        <w:t>dessus, s</w:t>
      </w:r>
      <w:r w:rsidR="0066772A" w:rsidRPr="00E52A4A">
        <w:t>'</w:t>
      </w:r>
      <w:r w:rsidR="00605227" w:rsidRPr="00E52A4A">
        <w:t>applique pour l</w:t>
      </w:r>
      <w:r w:rsidR="0066772A" w:rsidRPr="00E52A4A">
        <w:t>'</w:t>
      </w:r>
      <w:r w:rsidR="00605227" w:rsidRPr="00E52A4A">
        <w:t>exercice clos le 31 décembre 2022 et jusqu</w:t>
      </w:r>
      <w:r w:rsidR="0066772A" w:rsidRPr="00E52A4A">
        <w:t>'</w:t>
      </w:r>
      <w:r w:rsidR="00605227" w:rsidRPr="00E52A4A">
        <w:t>à la date d</w:t>
      </w:r>
      <w:r w:rsidR="0066772A" w:rsidRPr="00E52A4A">
        <w:t>'</w:t>
      </w:r>
      <w:r w:rsidR="00605227" w:rsidRPr="00E52A4A">
        <w:t>approbation des états financiers de l</w:t>
      </w:r>
      <w:r w:rsidR="0066772A" w:rsidRPr="00E52A4A">
        <w:t>'</w:t>
      </w:r>
      <w:r w:rsidR="00605227" w:rsidRPr="00E52A4A">
        <w:t>Organisation pour 2022.</w:t>
      </w:r>
    </w:p>
    <w:p w14:paraId="388E020A" w14:textId="0FD3F2A0" w:rsidR="00C42A35" w:rsidRPr="00E52A4A" w:rsidRDefault="00605227" w:rsidP="00BA6385">
      <w:pPr>
        <w:pStyle w:val="Headingb"/>
      </w:pPr>
      <w:r w:rsidRPr="00E52A4A">
        <w:t xml:space="preserve">Cadre de gestion </w:t>
      </w:r>
      <w:r w:rsidR="00716386" w:rsidRPr="00E52A4A">
        <w:t xml:space="preserve">des risques </w:t>
      </w:r>
      <w:r w:rsidRPr="00E52A4A">
        <w:t xml:space="preserve">et de contrôle </w:t>
      </w:r>
    </w:p>
    <w:p w14:paraId="4EFE231A" w14:textId="00FC8F53" w:rsidR="00605227" w:rsidRPr="00E52A4A" w:rsidRDefault="00605227" w:rsidP="00605227">
      <w:r w:rsidRPr="00E52A4A">
        <w:t>Depuis que j</w:t>
      </w:r>
      <w:r w:rsidR="0066772A" w:rsidRPr="00E52A4A">
        <w:t>'</w:t>
      </w:r>
      <w:r w:rsidRPr="00E52A4A">
        <w:t xml:space="preserve">ai pris mes fonctions </w:t>
      </w:r>
      <w:r w:rsidR="00A01991" w:rsidRPr="00E52A4A">
        <w:t xml:space="preserve">en tant que </w:t>
      </w:r>
      <w:r w:rsidRPr="00E52A4A">
        <w:t>Secrétaire général</w:t>
      </w:r>
      <w:r w:rsidR="00A01991" w:rsidRPr="00E52A4A">
        <w:t>e,</w:t>
      </w:r>
      <w:r w:rsidRPr="00E52A4A">
        <w:t xml:space="preserve"> le 1er janvier 2023, je</w:t>
      </w:r>
      <w:r w:rsidR="00AE102E" w:rsidRPr="00E52A4A">
        <w:t> </w:t>
      </w:r>
      <w:r w:rsidRPr="00E52A4A">
        <w:t>m</w:t>
      </w:r>
      <w:r w:rsidR="0066772A" w:rsidRPr="00E52A4A">
        <w:t>'</w:t>
      </w:r>
      <w:r w:rsidRPr="00E52A4A">
        <w:t>emploie à faire en sorte que le système de contrôle interne réponde mieux aux besoins de l</w:t>
      </w:r>
      <w:r w:rsidR="0066772A" w:rsidRPr="00E52A4A">
        <w:t>'</w:t>
      </w:r>
      <w:r w:rsidRPr="00E52A4A">
        <w:t>UIT</w:t>
      </w:r>
      <w:r w:rsidR="00716386" w:rsidRPr="00E52A4A">
        <w:t xml:space="preserve"> dans l</w:t>
      </w:r>
      <w:r w:rsidR="0066772A" w:rsidRPr="00E52A4A">
        <w:t>'</w:t>
      </w:r>
      <w:r w:rsidR="00716386" w:rsidRPr="00E52A4A">
        <w:t>avenir</w:t>
      </w:r>
      <w:r w:rsidRPr="00E52A4A">
        <w:t>. Ce travail se poursuivra à mesure que les besoins de l</w:t>
      </w:r>
      <w:r w:rsidR="0066772A" w:rsidRPr="00E52A4A">
        <w:t>'</w:t>
      </w:r>
      <w:r w:rsidRPr="00E52A4A">
        <w:t xml:space="preserve">Organisation évolueront. En particulier, une feuille de route </w:t>
      </w:r>
      <w:r w:rsidR="001A5067" w:rsidRPr="00E52A4A">
        <w:t>pour</w:t>
      </w:r>
      <w:r w:rsidRPr="00E52A4A">
        <w:t xml:space="preserve"> la transformation a été élaborée </w:t>
      </w:r>
      <w:r w:rsidR="001A5067" w:rsidRPr="00E52A4A">
        <w:t xml:space="preserve">afin de </w:t>
      </w:r>
      <w:r w:rsidRPr="00E52A4A">
        <w:t>veiller à ce que les fonctions administratives</w:t>
      </w:r>
      <w:r w:rsidR="001A5067" w:rsidRPr="00E52A4A">
        <w:t>,</w:t>
      </w:r>
      <w:r w:rsidRPr="00E52A4A">
        <w:t xml:space="preserve"> </w:t>
      </w:r>
      <w:r w:rsidR="001A5067" w:rsidRPr="00E52A4A">
        <w:t>les fonctions d</w:t>
      </w:r>
      <w:r w:rsidR="0066772A" w:rsidRPr="00E52A4A">
        <w:t>'</w:t>
      </w:r>
      <w:r w:rsidR="001A5067" w:rsidRPr="00E52A4A">
        <w:t>appui</w:t>
      </w:r>
      <w:r w:rsidRPr="00E52A4A">
        <w:t>, les processus connexes et les contrôles internes soient considérablement améliorés pendant mon mandat.</w:t>
      </w:r>
    </w:p>
    <w:p w14:paraId="2CD93BFF" w14:textId="24DF69AC" w:rsidR="00AE102E" w:rsidRPr="00E52A4A" w:rsidRDefault="00605227" w:rsidP="00AE102E">
      <w:r w:rsidRPr="00E52A4A">
        <w:t>Parallèlement,</w:t>
      </w:r>
      <w:r w:rsidR="001A5067" w:rsidRPr="00E52A4A">
        <w:t xml:space="preserve"> à la</w:t>
      </w:r>
      <w:r w:rsidRPr="00E52A4A">
        <w:t xml:space="preserve"> suite à l</w:t>
      </w:r>
      <w:r w:rsidR="0066772A" w:rsidRPr="00E52A4A">
        <w:t>'</w:t>
      </w:r>
      <w:r w:rsidRPr="00E52A4A">
        <w:t xml:space="preserve">approbation </w:t>
      </w:r>
      <w:r w:rsidR="001A5067" w:rsidRPr="00E52A4A">
        <w:t>donnée par le</w:t>
      </w:r>
      <w:r w:rsidRPr="00E52A4A">
        <w:t xml:space="preserve"> Conseil de l</w:t>
      </w:r>
      <w:r w:rsidR="0066772A" w:rsidRPr="00E52A4A">
        <w:t>'</w:t>
      </w:r>
      <w:r w:rsidRPr="00E52A4A">
        <w:t xml:space="preserve">UIT en juillet 2023, je </w:t>
      </w:r>
      <w:r w:rsidR="001A5067" w:rsidRPr="00E52A4A">
        <w:t>mets actuellement en place</w:t>
      </w:r>
      <w:r w:rsidRPr="00E52A4A">
        <w:t xml:space="preserve"> une Unité de contrôle, comprenant des fonctions d</w:t>
      </w:r>
      <w:r w:rsidR="0066772A" w:rsidRPr="00E52A4A">
        <w:t>'</w:t>
      </w:r>
      <w:r w:rsidRPr="00E52A4A">
        <w:t xml:space="preserve">audit interne, </w:t>
      </w:r>
      <w:r w:rsidR="001A5067" w:rsidRPr="00E52A4A">
        <w:t>d</w:t>
      </w:r>
      <w:r w:rsidR="0066772A" w:rsidRPr="00E52A4A">
        <w:t>'</w:t>
      </w:r>
      <w:r w:rsidR="001A5067" w:rsidRPr="00E52A4A">
        <w:t>investigation</w:t>
      </w:r>
      <w:r w:rsidRPr="00E52A4A">
        <w:t xml:space="preserve"> et d</w:t>
      </w:r>
      <w:r w:rsidR="0066772A" w:rsidRPr="00E52A4A">
        <w:t>'</w:t>
      </w:r>
      <w:r w:rsidRPr="00E52A4A">
        <w:t>évaluation, afin d</w:t>
      </w:r>
      <w:r w:rsidR="0066772A" w:rsidRPr="00E52A4A">
        <w:t>'</w:t>
      </w:r>
      <w:r w:rsidRPr="00E52A4A">
        <w:t xml:space="preserve">améliorer encore les contrôles, de renforcer la transparence et la responsabilisation et de promouvoir une culture </w:t>
      </w:r>
      <w:r w:rsidR="000C797B" w:rsidRPr="00E52A4A">
        <w:t>fondée sur la</w:t>
      </w:r>
      <w:r w:rsidRPr="00E52A4A">
        <w:t xml:space="preserve"> formation et </w:t>
      </w:r>
      <w:r w:rsidR="000C797B" w:rsidRPr="00E52A4A">
        <w:t>le</w:t>
      </w:r>
      <w:r w:rsidRPr="00E52A4A">
        <w:t xml:space="preserve"> perfectionnement continus </w:t>
      </w:r>
      <w:r w:rsidR="000C797B" w:rsidRPr="00E52A4A">
        <w:t>au sein de</w:t>
      </w:r>
      <w:r w:rsidRPr="00E52A4A">
        <w:t xml:space="preserve"> l</w:t>
      </w:r>
      <w:r w:rsidR="0066772A" w:rsidRPr="00E52A4A">
        <w:t>'</w:t>
      </w:r>
      <w:r w:rsidRPr="00E52A4A">
        <w:t>organisation.</w:t>
      </w:r>
      <w:r w:rsidR="000C797B" w:rsidRPr="00E52A4A">
        <w:t xml:space="preserve"> </w:t>
      </w:r>
      <w:r w:rsidRPr="00E52A4A">
        <w:t>Conformément à l</w:t>
      </w:r>
      <w:r w:rsidR="0066772A" w:rsidRPr="00E52A4A">
        <w:t>'</w:t>
      </w:r>
      <w:r w:rsidRPr="00E52A4A">
        <w:t>Article 1 du Règlement financier</w:t>
      </w:r>
      <w:r w:rsidR="000C797B" w:rsidRPr="00E52A4A">
        <w:t xml:space="preserve"> et</w:t>
      </w:r>
      <w:r w:rsidRPr="00E52A4A">
        <w:t xml:space="preserve"> aux Statut et Règlement du personnel, j</w:t>
      </w:r>
      <w:r w:rsidR="0066772A" w:rsidRPr="00E52A4A">
        <w:t>'</w:t>
      </w:r>
      <w:r w:rsidRPr="00E52A4A">
        <w:t xml:space="preserve">ai délégué des pouvoirs et </w:t>
      </w:r>
      <w:r w:rsidR="00AE102E" w:rsidRPr="00E52A4A">
        <w:br w:type="page"/>
      </w:r>
    </w:p>
    <w:p w14:paraId="7EED2769" w14:textId="36AD2E62" w:rsidR="00C42A35" w:rsidRPr="00E52A4A" w:rsidRDefault="00605227" w:rsidP="00605227">
      <w:r w:rsidRPr="00E52A4A">
        <w:lastRenderedPageBreak/>
        <w:t xml:space="preserve">des responsabilités aux fonctionnaires élus, aux </w:t>
      </w:r>
      <w:r w:rsidR="00716386" w:rsidRPr="00E52A4A">
        <w:t>c</w:t>
      </w:r>
      <w:r w:rsidRPr="00E52A4A">
        <w:t xml:space="preserve">hefs de </w:t>
      </w:r>
      <w:r w:rsidR="00716386" w:rsidRPr="00E52A4A">
        <w:t>d</w:t>
      </w:r>
      <w:r w:rsidRPr="00E52A4A">
        <w:t xml:space="preserve">épartement et aux </w:t>
      </w:r>
      <w:r w:rsidR="00716386" w:rsidRPr="00E52A4A">
        <w:t>c</w:t>
      </w:r>
      <w:r w:rsidRPr="00E52A4A">
        <w:t>hefs de division ou d</w:t>
      </w:r>
      <w:r w:rsidR="0066772A" w:rsidRPr="00E52A4A">
        <w:t>'</w:t>
      </w:r>
      <w:r w:rsidRPr="00E52A4A">
        <w:t xml:space="preserve">unité. </w:t>
      </w:r>
      <w:r w:rsidR="000C797B" w:rsidRPr="00E52A4A">
        <w:t>Au sein de l</w:t>
      </w:r>
      <w:r w:rsidR="0066772A" w:rsidRPr="00E52A4A">
        <w:t>'</w:t>
      </w:r>
      <w:r w:rsidR="000C797B" w:rsidRPr="00E52A4A">
        <w:t>UIT, c</w:t>
      </w:r>
      <w:r w:rsidRPr="00E52A4A">
        <w:t>haque personne a, à des degrés divers de responsabilité, un rôle à jouer dans le contrôle interne.</w:t>
      </w:r>
    </w:p>
    <w:p w14:paraId="7EE4C8C7" w14:textId="6E68577A" w:rsidR="00605227" w:rsidRPr="00E52A4A" w:rsidRDefault="00605227" w:rsidP="00605227">
      <w:r w:rsidRPr="00E52A4A">
        <w:t xml:space="preserve">Les </w:t>
      </w:r>
      <w:r w:rsidR="00716386" w:rsidRPr="00E52A4A">
        <w:t>hauts responsables</w:t>
      </w:r>
      <w:r w:rsidRPr="00E52A4A">
        <w:t xml:space="preserve"> sont </w:t>
      </w:r>
      <w:r w:rsidR="00716386" w:rsidRPr="00E52A4A">
        <w:t xml:space="preserve">tenus </w:t>
      </w:r>
      <w:r w:rsidRPr="00E52A4A">
        <w:t xml:space="preserve">de </w:t>
      </w:r>
      <w:r w:rsidR="00716386" w:rsidRPr="00E52A4A">
        <w:t xml:space="preserve">veiller à </w:t>
      </w:r>
      <w:r w:rsidRPr="00E52A4A">
        <w:t>l</w:t>
      </w:r>
      <w:r w:rsidR="0066772A" w:rsidRPr="00E52A4A">
        <w:t>'</w:t>
      </w:r>
      <w:r w:rsidRPr="00E52A4A">
        <w:t xml:space="preserve">utilisation efficace et </w:t>
      </w:r>
      <w:r w:rsidR="00716386" w:rsidRPr="00E52A4A">
        <w:t xml:space="preserve">à </w:t>
      </w:r>
      <w:r w:rsidRPr="00E52A4A">
        <w:t>l</w:t>
      </w:r>
      <w:r w:rsidR="0066772A" w:rsidRPr="00E52A4A">
        <w:t>'</w:t>
      </w:r>
      <w:r w:rsidRPr="00E52A4A">
        <w:t xml:space="preserve">amélioration des contrôles internes pour les activités relevant de leur autorité respective. </w:t>
      </w:r>
      <w:r w:rsidR="000C797B" w:rsidRPr="00E52A4A">
        <w:t>J</w:t>
      </w:r>
      <w:r w:rsidR="0066772A" w:rsidRPr="00E52A4A">
        <w:t>'</w:t>
      </w:r>
      <w:r w:rsidR="000C797B" w:rsidRPr="00E52A4A">
        <w:t xml:space="preserve">obtiens les garanties de la part des fonctionnaires élus, des chefs de département, des chefs de division et des </w:t>
      </w:r>
      <w:r w:rsidR="00716386" w:rsidRPr="00E52A4A">
        <w:t>chefs d</w:t>
      </w:r>
      <w:r w:rsidR="0066772A" w:rsidRPr="00E52A4A">
        <w:t>'</w:t>
      </w:r>
      <w:r w:rsidR="000C797B" w:rsidRPr="00E52A4A">
        <w:t xml:space="preserve">unité, qui confirment, par la signature des lettres de représentation internes, </w:t>
      </w:r>
      <w:r w:rsidRPr="00E52A4A">
        <w:t>qu</w:t>
      </w:r>
      <w:r w:rsidR="0066772A" w:rsidRPr="00E52A4A">
        <w:t>'</w:t>
      </w:r>
      <w:r w:rsidRPr="00E52A4A">
        <w:t xml:space="preserve">ils ont dûment exercé les pouvoirs et responsabilités </w:t>
      </w:r>
      <w:r w:rsidR="000C797B" w:rsidRPr="00E52A4A">
        <w:t xml:space="preserve">qui leur ont été </w:t>
      </w:r>
      <w:r w:rsidRPr="00E52A4A">
        <w:t>délégués</w:t>
      </w:r>
      <w:r w:rsidR="000C797B" w:rsidRPr="00E52A4A">
        <w:t xml:space="preserve"> sur le plan financier</w:t>
      </w:r>
      <w:r w:rsidRPr="00E52A4A">
        <w:t xml:space="preserve"> conformément au cadre de contrôle interne</w:t>
      </w:r>
      <w:r w:rsidR="00716386" w:rsidRPr="00E52A4A">
        <w:t xml:space="preserve"> de l</w:t>
      </w:r>
      <w:r w:rsidR="0066772A" w:rsidRPr="00E52A4A">
        <w:t>'</w:t>
      </w:r>
      <w:r w:rsidR="00716386" w:rsidRPr="00E52A4A">
        <w:t>UIT</w:t>
      </w:r>
      <w:r w:rsidRPr="00E52A4A">
        <w:t xml:space="preserve">, </w:t>
      </w:r>
      <w:r w:rsidR="001075D1" w:rsidRPr="00E52A4A">
        <w:t>notamment</w:t>
      </w:r>
      <w:r w:rsidRPr="00E52A4A">
        <w:t xml:space="preserve"> </w:t>
      </w:r>
      <w:r w:rsidR="00716386" w:rsidRPr="00E52A4A">
        <w:t>à son cadre</w:t>
      </w:r>
      <w:r w:rsidR="001075D1" w:rsidRPr="00E52A4A">
        <w:t xml:space="preserve"> </w:t>
      </w:r>
      <w:r w:rsidRPr="00E52A4A">
        <w:t>réglementaire. En outre, ce processus a été suivi d</w:t>
      </w:r>
      <w:r w:rsidR="0066772A" w:rsidRPr="00E52A4A">
        <w:t>'</w:t>
      </w:r>
      <w:r w:rsidRPr="00E52A4A">
        <w:t>un questionnaire d</w:t>
      </w:r>
      <w:r w:rsidR="0066772A" w:rsidRPr="00E52A4A">
        <w:t>'</w:t>
      </w:r>
      <w:r w:rsidRPr="00E52A4A">
        <w:t>auto-évaluation axé sur les objectifs de contrôle interne mentionnés ci-dessus.</w:t>
      </w:r>
    </w:p>
    <w:p w14:paraId="14404D27" w14:textId="29E5C2A1" w:rsidR="00605227" w:rsidRPr="00E52A4A" w:rsidRDefault="00605227" w:rsidP="00605227">
      <w:r w:rsidRPr="00E52A4A">
        <w:t>Un nouveau modèle de cadre de responsabilisation a été approuvé par le Conseil à sa session de mars 2022. Les tableaux de bord de gestion sont en cours d</w:t>
      </w:r>
      <w:r w:rsidR="0066772A" w:rsidRPr="00E52A4A">
        <w:t>'</w:t>
      </w:r>
      <w:r w:rsidRPr="00E52A4A">
        <w:t>amélioration</w:t>
      </w:r>
      <w:r w:rsidR="00186FED" w:rsidRPr="00E52A4A">
        <w:t>,</w:t>
      </w:r>
      <w:r w:rsidRPr="00E52A4A">
        <w:t xml:space="preserve"> afin de fournir des données commerciales en temps réel provenant d</w:t>
      </w:r>
      <w:r w:rsidR="00186FED" w:rsidRPr="00E52A4A">
        <w:t xml:space="preserve">u système </w:t>
      </w:r>
      <w:r w:rsidRPr="00E52A4A">
        <w:t xml:space="preserve">ERP et </w:t>
      </w:r>
      <w:r w:rsidR="00186FED" w:rsidRPr="00E52A4A">
        <w:t>d</w:t>
      </w:r>
      <w:r w:rsidR="0066772A" w:rsidRPr="00E52A4A">
        <w:t>'</w:t>
      </w:r>
      <w:r w:rsidRPr="00E52A4A">
        <w:t>autres</w:t>
      </w:r>
      <w:r w:rsidR="00186FED" w:rsidRPr="00E52A4A">
        <w:t xml:space="preserve"> rapports</w:t>
      </w:r>
      <w:r w:rsidRPr="00E52A4A">
        <w:t>, ainsi que des analyses de tendance et d</w:t>
      </w:r>
      <w:r w:rsidR="0066772A" w:rsidRPr="00E52A4A">
        <w:t>'</w:t>
      </w:r>
      <w:r w:rsidRPr="00E52A4A">
        <w:t xml:space="preserve">autres rapports. Ces rapports seront régulièrement communiqués </w:t>
      </w:r>
      <w:r w:rsidR="00186FED" w:rsidRPr="00E52A4A">
        <w:t xml:space="preserve">au </w:t>
      </w:r>
      <w:r w:rsidRPr="00E52A4A">
        <w:t xml:space="preserve">Comité de coordination, </w:t>
      </w:r>
      <w:r w:rsidR="00186FED" w:rsidRPr="00E52A4A">
        <w:t>au</w:t>
      </w:r>
      <w:r w:rsidRPr="00E52A4A">
        <w:t xml:space="preserve"> Groupe de coordination de la gestion (MCG) et </w:t>
      </w:r>
      <w:r w:rsidR="00186FED" w:rsidRPr="00E52A4A">
        <w:t>aux</w:t>
      </w:r>
      <w:r w:rsidRPr="00E52A4A">
        <w:t xml:space="preserve"> organes de contrôle de l</w:t>
      </w:r>
      <w:r w:rsidR="0066772A" w:rsidRPr="00E52A4A">
        <w:t>'</w:t>
      </w:r>
      <w:r w:rsidRPr="00E52A4A">
        <w:t>UIT</w:t>
      </w:r>
      <w:r w:rsidR="00186FED" w:rsidRPr="00E52A4A">
        <w:t xml:space="preserve"> et seront examinés par ces groupes</w:t>
      </w:r>
      <w:r w:rsidRPr="00E52A4A">
        <w:t>.</w:t>
      </w:r>
    </w:p>
    <w:p w14:paraId="0DCA8605" w14:textId="64A6E6AA" w:rsidR="00C42A35" w:rsidRPr="00E52A4A" w:rsidRDefault="00605227" w:rsidP="00605227">
      <w:r w:rsidRPr="00E52A4A">
        <w:t xml:space="preserve">Des recommandations ont été formulées par </w:t>
      </w:r>
      <w:r w:rsidR="00437AF1" w:rsidRPr="00E52A4A">
        <w:t>l</w:t>
      </w:r>
      <w:r w:rsidR="0066772A" w:rsidRPr="00E52A4A">
        <w:t>'</w:t>
      </w:r>
      <w:r w:rsidR="00437AF1" w:rsidRPr="00E52A4A">
        <w:t>Unité</w:t>
      </w:r>
      <w:r w:rsidRPr="00E52A4A">
        <w:t xml:space="preserve"> de l</w:t>
      </w:r>
      <w:r w:rsidR="0066772A" w:rsidRPr="00E52A4A">
        <w:t>'</w:t>
      </w:r>
      <w:r w:rsidRPr="00E52A4A">
        <w:t>audit interne, le Corps commun d</w:t>
      </w:r>
      <w:r w:rsidR="0066772A" w:rsidRPr="00E52A4A">
        <w:t>'</w:t>
      </w:r>
      <w:r w:rsidRPr="00E52A4A">
        <w:t xml:space="preserve">inspection (CCI), le Comité consultatif indépendant pour les questions de gestion (CCIG) et les </w:t>
      </w:r>
      <w:r w:rsidR="00186FED" w:rsidRPr="00E52A4A">
        <w:t>v</w:t>
      </w:r>
      <w:r w:rsidRPr="00E52A4A">
        <w:t>érificateurs extérieurs des comptes. Ces recommandations découlent d</w:t>
      </w:r>
      <w:r w:rsidR="0066772A" w:rsidRPr="00E52A4A">
        <w:t>'</w:t>
      </w:r>
      <w:r w:rsidRPr="00E52A4A">
        <w:t>examens et de vérifications indépendants de la conformité et de l</w:t>
      </w:r>
      <w:r w:rsidR="0066772A" w:rsidRPr="00E52A4A">
        <w:t>'</w:t>
      </w:r>
      <w:r w:rsidRPr="00E52A4A">
        <w:t>efficacité des contrôles. L</w:t>
      </w:r>
      <w:r w:rsidR="00186FED" w:rsidRPr="00E52A4A">
        <w:t>a</w:t>
      </w:r>
      <w:r w:rsidRPr="00E52A4A">
        <w:t xml:space="preserve"> Secrétaire général</w:t>
      </w:r>
      <w:r w:rsidR="00186FED" w:rsidRPr="00E52A4A">
        <w:t>e</w:t>
      </w:r>
      <w:r w:rsidRPr="00E52A4A">
        <w:t xml:space="preserve"> </w:t>
      </w:r>
      <w:r w:rsidR="00186FED" w:rsidRPr="00E52A4A">
        <w:t>prend acte de</w:t>
      </w:r>
      <w:r w:rsidRPr="00E52A4A">
        <w:t xml:space="preserve"> la nécessité de renforcer l</w:t>
      </w:r>
      <w:r w:rsidR="00186FED" w:rsidRPr="00E52A4A">
        <w:t xml:space="preserve">e contrôle </w:t>
      </w:r>
      <w:r w:rsidRPr="00E52A4A">
        <w:t>afin d</w:t>
      </w:r>
      <w:r w:rsidR="0066772A" w:rsidRPr="00E52A4A">
        <w:t>'</w:t>
      </w:r>
      <w:r w:rsidRPr="00E52A4A">
        <w:t>assurer la mise en œuvre de ces recommandations dans les meilleurs délais.</w:t>
      </w:r>
    </w:p>
    <w:p w14:paraId="085E95FF" w14:textId="02A8FBCE" w:rsidR="00C42A35" w:rsidRPr="00E52A4A" w:rsidRDefault="00C42A35" w:rsidP="00BA6385">
      <w:pPr>
        <w:pStyle w:val="Headingb"/>
      </w:pPr>
      <w:r w:rsidRPr="00E52A4A">
        <w:t>Examen de l</w:t>
      </w:r>
      <w:r w:rsidR="0066772A" w:rsidRPr="00E52A4A">
        <w:t>'</w:t>
      </w:r>
      <w:r w:rsidRPr="00E52A4A">
        <w:t>efficacité</w:t>
      </w:r>
    </w:p>
    <w:p w14:paraId="6B428869" w14:textId="6B085BFA" w:rsidR="00605227" w:rsidRPr="00E52A4A" w:rsidRDefault="00605227" w:rsidP="00605227">
      <w:r w:rsidRPr="00E52A4A">
        <w:t>En novembre 2020, la direction de l</w:t>
      </w:r>
      <w:r w:rsidR="0066772A" w:rsidRPr="00E52A4A">
        <w:t>'</w:t>
      </w:r>
      <w:r w:rsidRPr="00E52A4A">
        <w:t xml:space="preserve">UIT a mis en place un tableau de bord </w:t>
      </w:r>
      <w:r w:rsidR="00186FED" w:rsidRPr="00E52A4A">
        <w:t>de</w:t>
      </w:r>
      <w:r w:rsidRPr="00E52A4A">
        <w:t xml:space="preserve"> la conformité institutionnelle pour suivre l</w:t>
      </w:r>
      <w:r w:rsidR="00437AF1" w:rsidRPr="00E52A4A">
        <w:t>a mise en application d</w:t>
      </w:r>
      <w:r w:rsidRPr="00E52A4A">
        <w:t xml:space="preserve">es recommandations du </w:t>
      </w:r>
      <w:r w:rsidR="00186FED" w:rsidRPr="00E52A4A">
        <w:t>Vé</w:t>
      </w:r>
      <w:r w:rsidRPr="00E52A4A">
        <w:t>rificateur extérieur des comptes, du CCIG, du CCI et de l</w:t>
      </w:r>
      <w:r w:rsidR="0066772A" w:rsidRPr="00E52A4A">
        <w:t>'</w:t>
      </w:r>
      <w:r w:rsidRPr="00E52A4A">
        <w:t>Unité de l</w:t>
      </w:r>
      <w:r w:rsidR="0066772A" w:rsidRPr="00E52A4A">
        <w:t>'</w:t>
      </w:r>
      <w:r w:rsidRPr="00E52A4A">
        <w:t>audit interne. Cet outil permet à la direction et aux organes de contrôle de l</w:t>
      </w:r>
      <w:r w:rsidR="0066772A" w:rsidRPr="00E52A4A">
        <w:t>'</w:t>
      </w:r>
      <w:r w:rsidRPr="00E52A4A">
        <w:t>UIT d</w:t>
      </w:r>
      <w:r w:rsidR="0066772A" w:rsidRPr="00E52A4A">
        <w:t>'</w:t>
      </w:r>
      <w:r w:rsidRPr="00E52A4A">
        <w:t>obtenir des informations comparatives sur les risques liés à chaque recommandation, d</w:t>
      </w:r>
      <w:r w:rsidR="0066772A" w:rsidRPr="00E52A4A">
        <w:t>'</w:t>
      </w:r>
      <w:r w:rsidRPr="00E52A4A">
        <w:t>avoir une vision claire et en temps réel de l</w:t>
      </w:r>
      <w:r w:rsidR="0066772A" w:rsidRPr="00E52A4A">
        <w:t>'</w:t>
      </w:r>
      <w:r w:rsidRPr="00E52A4A">
        <w:t>état d</w:t>
      </w:r>
      <w:r w:rsidR="0066772A" w:rsidRPr="00E52A4A">
        <w:t>'</w:t>
      </w:r>
      <w:r w:rsidRPr="00E52A4A">
        <w:t xml:space="preserve">avancement des recommandations et des progrès réalisés </w:t>
      </w:r>
      <w:r w:rsidR="0056416D" w:rsidRPr="00E52A4A">
        <w:t>en vue de leur mise en</w:t>
      </w:r>
      <w:r w:rsidRPr="00E52A4A">
        <w:t xml:space="preserve"> </w:t>
      </w:r>
      <w:r w:rsidR="009B7B8A" w:rsidRPr="00E52A4A">
        <w:t>œuvre</w:t>
      </w:r>
      <w:r w:rsidRPr="00E52A4A">
        <w:t xml:space="preserve"> ou </w:t>
      </w:r>
      <w:r w:rsidR="0056416D" w:rsidRPr="00E52A4A">
        <w:t>de l</w:t>
      </w:r>
      <w:r w:rsidR="0066772A" w:rsidRPr="00E52A4A">
        <w:t>'</w:t>
      </w:r>
      <w:r w:rsidR="0056416D" w:rsidRPr="00E52A4A">
        <w:t xml:space="preserve">application </w:t>
      </w:r>
      <w:r w:rsidRPr="00E52A4A">
        <w:t xml:space="preserve">des mesures visant à atténuer les risques résiduels. Fin 2022, le taux de mise en </w:t>
      </w:r>
      <w:r w:rsidR="00AE102E" w:rsidRPr="00E52A4A">
        <w:t>œuvre</w:t>
      </w:r>
      <w:r w:rsidRPr="00E52A4A">
        <w:t xml:space="preserve"> de toutes les recommandations connexes </w:t>
      </w:r>
      <w:r w:rsidR="00437AF1" w:rsidRPr="00E52A4A">
        <w:t xml:space="preserve">formulées par </w:t>
      </w:r>
      <w:r w:rsidRPr="00E52A4A">
        <w:t>l</w:t>
      </w:r>
      <w:r w:rsidR="0066772A" w:rsidRPr="00E52A4A">
        <w:t>'</w:t>
      </w:r>
      <w:r w:rsidRPr="00E52A4A">
        <w:t>Unité de l</w:t>
      </w:r>
      <w:r w:rsidR="0066772A" w:rsidRPr="00E52A4A">
        <w:t>'</w:t>
      </w:r>
      <w:r w:rsidRPr="00E52A4A">
        <w:t xml:space="preserve">audit interne, </w:t>
      </w:r>
      <w:r w:rsidR="00437AF1" w:rsidRPr="00E52A4A">
        <w:t xml:space="preserve">le </w:t>
      </w:r>
      <w:r w:rsidRPr="00E52A4A">
        <w:t xml:space="preserve">Vérificateur extérieur des comptes et </w:t>
      </w:r>
      <w:r w:rsidR="00437AF1" w:rsidRPr="00E52A4A">
        <w:t xml:space="preserve">le </w:t>
      </w:r>
      <w:r w:rsidRPr="00E52A4A">
        <w:t xml:space="preserve">CCIG était de 70%, </w:t>
      </w:r>
      <w:r w:rsidR="0056416D" w:rsidRPr="00E52A4A">
        <w:t>ce qui comprend également</w:t>
      </w:r>
      <w:r w:rsidRPr="00E52A4A">
        <w:t xml:space="preserve"> les recommandations </w:t>
      </w:r>
      <w:r w:rsidR="00402990" w:rsidRPr="00E52A4A">
        <w:t>issues de la vérification juricomptable</w:t>
      </w:r>
      <w:r w:rsidRPr="00E52A4A">
        <w:t>.</w:t>
      </w:r>
    </w:p>
    <w:p w14:paraId="4A60AB49" w14:textId="299E39F3" w:rsidR="00C42A35" w:rsidRPr="00E52A4A" w:rsidRDefault="00605227" w:rsidP="00605227">
      <w:r w:rsidRPr="00E52A4A">
        <w:t xml:space="preserve">Un cadre de gestion des risques a été élaboré dans le but de recenser les principaux risques </w:t>
      </w:r>
      <w:r w:rsidR="0056416D" w:rsidRPr="00E52A4A">
        <w:t>institutionnels</w:t>
      </w:r>
      <w:r w:rsidRPr="00E52A4A">
        <w:t>. Toutefois, l</w:t>
      </w:r>
      <w:r w:rsidR="0066772A" w:rsidRPr="00E52A4A">
        <w:t>'</w:t>
      </w:r>
      <w:r w:rsidR="00423102" w:rsidRPr="00E52A4A">
        <w:t>élaboration des processus de</w:t>
      </w:r>
      <w:r w:rsidRPr="00E52A4A">
        <w:t xml:space="preserve"> gestion des risques et </w:t>
      </w:r>
      <w:r w:rsidR="00423102" w:rsidRPr="00E52A4A">
        <w:t>d</w:t>
      </w:r>
      <w:r w:rsidRPr="00E52A4A">
        <w:t xml:space="preserve">es systèmes connexes </w:t>
      </w:r>
      <w:r w:rsidR="00423102" w:rsidRPr="00E52A4A">
        <w:t>n</w:t>
      </w:r>
      <w:r w:rsidR="0066772A" w:rsidRPr="00E52A4A">
        <w:t>'</w:t>
      </w:r>
      <w:r w:rsidR="00423102" w:rsidRPr="00E52A4A">
        <w:t>est</w:t>
      </w:r>
      <w:r w:rsidRPr="00E52A4A">
        <w:t xml:space="preserve"> pas encore </w:t>
      </w:r>
      <w:r w:rsidR="00423102" w:rsidRPr="00E52A4A">
        <w:t>achevée</w:t>
      </w:r>
      <w:r w:rsidRPr="00E52A4A">
        <w:t>. Ces travaux devront se poursuivre au cours de 2023 et au-delà</w:t>
      </w:r>
      <w:r w:rsidR="00423102" w:rsidRPr="00E52A4A">
        <w:t>,</w:t>
      </w:r>
      <w:r w:rsidRPr="00E52A4A">
        <w:t xml:space="preserve"> afin que des processus d</w:t>
      </w:r>
      <w:r w:rsidR="0066772A" w:rsidRPr="00E52A4A">
        <w:t>'</w:t>
      </w:r>
      <w:r w:rsidRPr="00E52A4A">
        <w:t>identification, d</w:t>
      </w:r>
      <w:r w:rsidR="0066772A" w:rsidRPr="00E52A4A">
        <w:t>'</w:t>
      </w:r>
      <w:r w:rsidRPr="00E52A4A">
        <w:t>analyse et d</w:t>
      </w:r>
      <w:r w:rsidR="0066772A" w:rsidRPr="00E52A4A">
        <w:t>'</w:t>
      </w:r>
      <w:r w:rsidRPr="00E52A4A">
        <w:t>atténuation des risques soient en place.</w:t>
      </w:r>
    </w:p>
    <w:p w14:paraId="5613A6BF" w14:textId="0AEB94AD" w:rsidR="00C42A35" w:rsidRPr="00E52A4A" w:rsidRDefault="00C42A35" w:rsidP="00BA6385">
      <w:r w:rsidRPr="00E52A4A">
        <w:t>Un ordre de service (N° 19/09) sur la Politique de l</w:t>
      </w:r>
      <w:r w:rsidR="0066772A" w:rsidRPr="00E52A4A">
        <w:t>'</w:t>
      </w:r>
      <w:r w:rsidRPr="00E52A4A">
        <w:t>UIT en matière de lutte contre les pratiques frauduleuses et autres pratiques prohibées (la "Politique"), publié le 2 mai 2019, présente</w:t>
      </w:r>
      <w:r w:rsidR="00423102" w:rsidRPr="00E52A4A">
        <w:t xml:space="preserve"> dans</w:t>
      </w:r>
      <w:r w:rsidRPr="00E52A4A">
        <w:t xml:space="preserve"> les grandes lignes </w:t>
      </w:r>
      <w:r w:rsidR="00423102" w:rsidRPr="00E52A4A">
        <w:t>les</w:t>
      </w:r>
      <w:r w:rsidRPr="00E52A4A">
        <w:t xml:space="preserve"> stratégies et procédures adoptées par l</w:t>
      </w:r>
      <w:r w:rsidR="0066772A" w:rsidRPr="00E52A4A">
        <w:t>'</w:t>
      </w:r>
      <w:r w:rsidRPr="00E52A4A">
        <w:t>UIT pour prévenir et détecter des pratiques frauduleuses et autres pratiques prohibées et pour lutter contre ces pratiques.</w:t>
      </w:r>
      <w:r w:rsidR="00605227" w:rsidRPr="00E52A4A">
        <w:t xml:space="preserve"> Cette politique traduit l</w:t>
      </w:r>
      <w:r w:rsidR="0066772A" w:rsidRPr="00E52A4A">
        <w:t>'</w:t>
      </w:r>
      <w:r w:rsidR="00605227" w:rsidRPr="00E52A4A">
        <w:t>engagement de l</w:t>
      </w:r>
      <w:r w:rsidR="0066772A" w:rsidRPr="00E52A4A">
        <w:t>'</w:t>
      </w:r>
      <w:r w:rsidR="00605227" w:rsidRPr="00E52A4A">
        <w:t xml:space="preserve">UIT </w:t>
      </w:r>
      <w:r w:rsidR="007202C5" w:rsidRPr="00E52A4A">
        <w:t>en faveur du respect des normes d</w:t>
      </w:r>
      <w:r w:rsidR="0066772A" w:rsidRPr="00E52A4A">
        <w:t>'</w:t>
      </w:r>
      <w:r w:rsidR="007202C5" w:rsidRPr="00E52A4A">
        <w:t xml:space="preserve">éthique, </w:t>
      </w:r>
      <w:r w:rsidR="00605227" w:rsidRPr="00E52A4A">
        <w:t xml:space="preserve">de </w:t>
      </w:r>
      <w:r w:rsidR="00605227" w:rsidRPr="00E52A4A">
        <w:lastRenderedPageBreak/>
        <w:t>transparence et de responsabilité</w:t>
      </w:r>
      <w:r w:rsidR="007202C5" w:rsidRPr="00E52A4A">
        <w:t xml:space="preserve"> les plus élevées</w:t>
      </w:r>
      <w:r w:rsidR="00605227" w:rsidRPr="00E52A4A">
        <w:t xml:space="preserve">, </w:t>
      </w:r>
      <w:r w:rsidR="00437AF1" w:rsidRPr="00E52A4A">
        <w:t xml:space="preserve">sachant </w:t>
      </w:r>
      <w:r w:rsidR="00605227" w:rsidRPr="00E52A4A">
        <w:t>que le personnel de l</w:t>
      </w:r>
      <w:r w:rsidR="0066772A" w:rsidRPr="00E52A4A">
        <w:t>'</w:t>
      </w:r>
      <w:r w:rsidR="00605227" w:rsidRPr="00E52A4A">
        <w:t>UIT a le devoir de signaler des informations ou des éléments de preuve à l</w:t>
      </w:r>
      <w:r w:rsidR="0066772A" w:rsidRPr="00E52A4A">
        <w:t>'</w:t>
      </w:r>
      <w:r w:rsidR="00605227" w:rsidRPr="00E52A4A">
        <w:t>appui d</w:t>
      </w:r>
      <w:r w:rsidR="0066772A" w:rsidRPr="00E52A4A">
        <w:t>'</w:t>
      </w:r>
      <w:r w:rsidR="00605227" w:rsidRPr="00E52A4A">
        <w:t>un soupçon raisonnable de fraude, de corruption et d</w:t>
      </w:r>
      <w:r w:rsidR="0066772A" w:rsidRPr="00E52A4A">
        <w:t>'</w:t>
      </w:r>
      <w:r w:rsidR="00605227" w:rsidRPr="00E52A4A">
        <w:t>autres pratiques prohibées et qu</w:t>
      </w:r>
      <w:r w:rsidR="0066772A" w:rsidRPr="00E52A4A">
        <w:t>'</w:t>
      </w:r>
      <w:r w:rsidR="00605227" w:rsidRPr="00E52A4A">
        <w:t>il sera protégé contre d</w:t>
      </w:r>
      <w:r w:rsidR="0066772A" w:rsidRPr="00E52A4A">
        <w:t>'</w:t>
      </w:r>
      <w:r w:rsidR="00605227" w:rsidRPr="00E52A4A">
        <w:t>éventuelles représailles.</w:t>
      </w:r>
    </w:p>
    <w:p w14:paraId="0349F29E" w14:textId="68C554B4" w:rsidR="00C42A35" w:rsidRPr="00E52A4A" w:rsidRDefault="00605227" w:rsidP="00BA6385">
      <w:r w:rsidRPr="00E52A4A">
        <w:t>L</w:t>
      </w:r>
      <w:r w:rsidR="0066772A" w:rsidRPr="00E52A4A">
        <w:t>'</w:t>
      </w:r>
      <w:r w:rsidRPr="00E52A4A">
        <w:t>Ordre de service N° 19/10</w:t>
      </w:r>
      <w:r w:rsidR="00A6274F" w:rsidRPr="00E52A4A">
        <w:t xml:space="preserve"> </w:t>
      </w:r>
      <w:r w:rsidRPr="00E52A4A">
        <w:t xml:space="preserve">relatif aux Lignes </w:t>
      </w:r>
      <w:r w:rsidR="00A6274F" w:rsidRPr="00E52A4A">
        <w:t>directrices en matière d</w:t>
      </w:r>
      <w:r w:rsidR="0066772A" w:rsidRPr="00E52A4A">
        <w:t>'</w:t>
      </w:r>
      <w:r w:rsidRPr="00E52A4A">
        <w:t>enquête</w:t>
      </w:r>
      <w:r w:rsidR="00A6274F" w:rsidRPr="00E52A4A">
        <w:t xml:space="preserve"> à l</w:t>
      </w:r>
      <w:r w:rsidR="0066772A" w:rsidRPr="00E52A4A">
        <w:t>'</w:t>
      </w:r>
      <w:r w:rsidR="00A6274F" w:rsidRPr="00E52A4A">
        <w:t>UIT</w:t>
      </w:r>
      <w:r w:rsidRPr="00E52A4A">
        <w:t xml:space="preserve">, </w:t>
      </w:r>
      <w:r w:rsidR="00A6274F" w:rsidRPr="00E52A4A">
        <w:t xml:space="preserve">publié le 2 mai 2019, </w:t>
      </w:r>
      <w:r w:rsidRPr="00E52A4A">
        <w:t>contient les procédures à suivre pour mener une enquête, notamment les mesures à prendre pour empêcher la divulgation non autorisée d</w:t>
      </w:r>
      <w:r w:rsidR="0066772A" w:rsidRPr="00E52A4A">
        <w:t>'</w:t>
      </w:r>
      <w:r w:rsidRPr="00E52A4A">
        <w:t>informations confidentielles et pour garantir une réponse rapide en cas de présomption de fraude. Toutefois, ces lignes directrices devraient être révisées car les processus d</w:t>
      </w:r>
      <w:r w:rsidR="0066772A" w:rsidRPr="00E52A4A">
        <w:t>'</w:t>
      </w:r>
      <w:r w:rsidRPr="00E52A4A">
        <w:t xml:space="preserve">enquête seront </w:t>
      </w:r>
      <w:r w:rsidR="00A6274F" w:rsidRPr="00E52A4A">
        <w:t>modifiés</w:t>
      </w:r>
      <w:r w:rsidRPr="00E52A4A">
        <w:t xml:space="preserve"> avec la création d</w:t>
      </w:r>
      <w:r w:rsidR="0066772A" w:rsidRPr="00E52A4A">
        <w:t>'</w:t>
      </w:r>
      <w:r w:rsidRPr="00E52A4A">
        <w:t>une unité d</w:t>
      </w:r>
      <w:r w:rsidR="00A6274F" w:rsidRPr="00E52A4A">
        <w:t>u</w:t>
      </w:r>
      <w:r w:rsidRPr="00E52A4A">
        <w:t xml:space="preserve"> </w:t>
      </w:r>
      <w:r w:rsidR="00A6274F" w:rsidRPr="00E52A4A">
        <w:t>contrôle interne</w:t>
      </w:r>
      <w:r w:rsidRPr="00E52A4A">
        <w:t>.</w:t>
      </w:r>
    </w:p>
    <w:p w14:paraId="73B9FF04" w14:textId="2FA2E8AF" w:rsidR="00C42A35" w:rsidRPr="00E52A4A" w:rsidRDefault="00C42A35" w:rsidP="00BA6385">
      <w:r w:rsidRPr="00E52A4A">
        <w:t>En 2022, le Groupe de travail sur les contrôles internes</w:t>
      </w:r>
      <w:r w:rsidR="00954795" w:rsidRPr="00E52A4A">
        <w:t xml:space="preserve"> (GTCI)</w:t>
      </w:r>
      <w:r w:rsidRPr="00E52A4A">
        <w:t>, créé en 2019, a poursuivi ses travaux visant à renforcer les contrôles internes (au siège et dans les bureaux régionaux/</w:t>
      </w:r>
      <w:r w:rsidR="009F7D78" w:rsidRPr="00E52A4A">
        <w:t xml:space="preserve">bureaux </w:t>
      </w:r>
      <w:r w:rsidRPr="00E52A4A">
        <w:t>de zone)</w:t>
      </w:r>
      <w:r w:rsidR="00437AF1" w:rsidRPr="00E52A4A">
        <w:t>, auxquels ont également participé les parties prenantes concernées du BDT et des départements du Secrétariat général</w:t>
      </w:r>
      <w:r w:rsidRPr="00E52A4A">
        <w:t xml:space="preserve">. </w:t>
      </w:r>
      <w:r w:rsidR="00605227" w:rsidRPr="00E52A4A">
        <w:t>Le groupe avait pour mandat de coordonner l</w:t>
      </w:r>
      <w:r w:rsidR="0066772A" w:rsidRPr="00E52A4A">
        <w:t>'</w:t>
      </w:r>
      <w:r w:rsidR="00605227" w:rsidRPr="00E52A4A">
        <w:t xml:space="preserve">élaboration et la mise en </w:t>
      </w:r>
      <w:r w:rsidR="005A3542" w:rsidRPr="00E52A4A">
        <w:t>œuvre</w:t>
      </w:r>
      <w:r w:rsidR="00605227" w:rsidRPr="00E52A4A">
        <w:t xml:space="preserve"> d</w:t>
      </w:r>
      <w:r w:rsidR="0066772A" w:rsidRPr="00E52A4A">
        <w:t>'</w:t>
      </w:r>
      <w:r w:rsidR="00605227" w:rsidRPr="00E52A4A">
        <w:t>un Plan d</w:t>
      </w:r>
      <w:r w:rsidR="0066772A" w:rsidRPr="00E52A4A">
        <w:t>'</w:t>
      </w:r>
      <w:r w:rsidR="00605227" w:rsidRPr="00E52A4A">
        <w:t>action pour le BDT et d</w:t>
      </w:r>
      <w:r w:rsidR="0066772A" w:rsidRPr="00E52A4A">
        <w:t>'</w:t>
      </w:r>
      <w:r w:rsidR="00605227" w:rsidRPr="00E52A4A">
        <w:t xml:space="preserve">autres services connexes du Secrétariat général et de donner suite à toutes les conclusions/recommandations </w:t>
      </w:r>
      <w:r w:rsidR="009F7D78" w:rsidRPr="00E52A4A">
        <w:t xml:space="preserve">initiales </w:t>
      </w:r>
      <w:r w:rsidR="00605227" w:rsidRPr="00E52A4A">
        <w:t>issues de l</w:t>
      </w:r>
      <w:r w:rsidR="0066772A" w:rsidRPr="00E52A4A">
        <w:t>'</w:t>
      </w:r>
      <w:r w:rsidR="00605227" w:rsidRPr="00E52A4A">
        <w:t>audit interne et de la vérification extérieure des comptes. Dans le cadre des recommandations, les systèmes et mesures suivants ont été mis en œuvre:</w:t>
      </w:r>
    </w:p>
    <w:p w14:paraId="751FD82C" w14:textId="5B70C08A" w:rsidR="00C42A35" w:rsidRPr="00E52A4A" w:rsidRDefault="00C42A35" w:rsidP="00BA6385">
      <w:pPr>
        <w:pStyle w:val="enumlev1"/>
        <w:rPr>
          <w:lang w:eastAsia="zh-CN"/>
        </w:rPr>
      </w:pPr>
      <w:r w:rsidRPr="00E52A4A">
        <w:rPr>
          <w:lang w:eastAsia="zh-CN"/>
        </w:rPr>
        <w:t>•</w:t>
      </w:r>
      <w:r w:rsidRPr="00E52A4A">
        <w:rPr>
          <w:lang w:eastAsia="zh-CN"/>
        </w:rPr>
        <w:tab/>
      </w:r>
      <w:r w:rsidR="005A3542" w:rsidRPr="00E52A4A">
        <w:rPr>
          <w:lang w:eastAsia="zh-CN"/>
        </w:rPr>
        <w:t>n</w:t>
      </w:r>
      <w:r w:rsidRPr="00E52A4A">
        <w:rPr>
          <w:lang w:eastAsia="zh-CN"/>
        </w:rPr>
        <w:t>ouveau système de recrutement électronique et nouvelles procédures de mise au concours pour le choix des consultants</w:t>
      </w:r>
      <w:r w:rsidR="005A3542" w:rsidRPr="00E52A4A">
        <w:rPr>
          <w:lang w:eastAsia="zh-CN"/>
        </w:rPr>
        <w:t>;</w:t>
      </w:r>
    </w:p>
    <w:p w14:paraId="61B513C8" w14:textId="0F9757DC" w:rsidR="00C42A35" w:rsidRPr="00E52A4A" w:rsidRDefault="00C42A35" w:rsidP="00BA6385">
      <w:pPr>
        <w:pStyle w:val="enumlev1"/>
        <w:rPr>
          <w:lang w:eastAsia="zh-CN"/>
        </w:rPr>
      </w:pPr>
      <w:r w:rsidRPr="00E52A4A">
        <w:rPr>
          <w:lang w:eastAsia="zh-CN"/>
        </w:rPr>
        <w:t>•</w:t>
      </w:r>
      <w:r w:rsidRPr="00E52A4A">
        <w:rPr>
          <w:lang w:eastAsia="zh-CN"/>
        </w:rPr>
        <w:tab/>
      </w:r>
      <w:r w:rsidR="005A3542" w:rsidRPr="00E52A4A">
        <w:rPr>
          <w:lang w:eastAsia="zh-CN"/>
        </w:rPr>
        <w:t>a</w:t>
      </w:r>
      <w:r w:rsidRPr="00E52A4A">
        <w:rPr>
          <w:lang w:eastAsia="zh-CN"/>
        </w:rPr>
        <w:t>mélioration de la gestion et du contrôle concernant le recours à des consultants</w:t>
      </w:r>
      <w:r w:rsidR="005A3542" w:rsidRPr="00E52A4A">
        <w:rPr>
          <w:lang w:eastAsia="zh-CN"/>
        </w:rPr>
        <w:t>;</w:t>
      </w:r>
    </w:p>
    <w:p w14:paraId="7AC4CCF9" w14:textId="3C1251B6" w:rsidR="00C42A35" w:rsidRPr="00E52A4A" w:rsidRDefault="00C42A35" w:rsidP="00BA6385">
      <w:pPr>
        <w:pStyle w:val="enumlev1"/>
        <w:rPr>
          <w:lang w:eastAsia="zh-CN"/>
        </w:rPr>
      </w:pPr>
      <w:r w:rsidRPr="00E52A4A">
        <w:rPr>
          <w:lang w:eastAsia="zh-CN"/>
        </w:rPr>
        <w:t>•</w:t>
      </w:r>
      <w:r w:rsidRPr="00E52A4A">
        <w:rPr>
          <w:lang w:eastAsia="zh-CN"/>
        </w:rPr>
        <w:tab/>
      </w:r>
      <w:r w:rsidR="005A3542" w:rsidRPr="00E52A4A">
        <w:rPr>
          <w:lang w:eastAsia="zh-CN"/>
        </w:rPr>
        <w:t>s</w:t>
      </w:r>
      <w:r w:rsidRPr="00E52A4A">
        <w:rPr>
          <w:lang w:eastAsia="zh-CN"/>
        </w:rPr>
        <w:t>ystèmes informatiques communs pour le BDT</w:t>
      </w:r>
      <w:r w:rsidR="005A3542" w:rsidRPr="00E52A4A">
        <w:rPr>
          <w:lang w:eastAsia="zh-CN"/>
        </w:rPr>
        <w:t>;</w:t>
      </w:r>
    </w:p>
    <w:p w14:paraId="6AF86D2E" w14:textId="7B5A8A18" w:rsidR="00C42A35" w:rsidRPr="00E52A4A" w:rsidRDefault="00C42A35" w:rsidP="00BA6385">
      <w:pPr>
        <w:pStyle w:val="enumlev1"/>
        <w:rPr>
          <w:lang w:eastAsia="zh-CN"/>
        </w:rPr>
      </w:pPr>
      <w:r w:rsidRPr="00E52A4A">
        <w:rPr>
          <w:lang w:eastAsia="zh-CN"/>
        </w:rPr>
        <w:t>•</w:t>
      </w:r>
      <w:r w:rsidRPr="00E52A4A">
        <w:rPr>
          <w:lang w:eastAsia="zh-CN"/>
        </w:rPr>
        <w:tab/>
      </w:r>
      <w:r w:rsidR="005A3542" w:rsidRPr="00E52A4A">
        <w:rPr>
          <w:lang w:eastAsia="zh-CN"/>
        </w:rPr>
        <w:t>c</w:t>
      </w:r>
      <w:r w:rsidRPr="00E52A4A">
        <w:rPr>
          <w:lang w:eastAsia="zh-CN"/>
        </w:rPr>
        <w:t>adre de responsabilisation.</w:t>
      </w:r>
    </w:p>
    <w:p w14:paraId="5D6C0DD4" w14:textId="40E16947" w:rsidR="00C42A35" w:rsidRPr="00E52A4A" w:rsidRDefault="00605227" w:rsidP="00BA6385">
      <w:r w:rsidRPr="00E52A4A">
        <w:t>En 2022, l</w:t>
      </w:r>
      <w:r w:rsidR="0066772A" w:rsidRPr="00E52A4A">
        <w:t>'</w:t>
      </w:r>
      <w:r w:rsidRPr="00E52A4A">
        <w:t xml:space="preserve">Unité </w:t>
      </w:r>
      <w:r w:rsidR="009F7D78" w:rsidRPr="00E52A4A">
        <w:t>d</w:t>
      </w:r>
      <w:r w:rsidR="0066772A" w:rsidRPr="00E52A4A">
        <w:t>'</w:t>
      </w:r>
      <w:r w:rsidR="009F7D78" w:rsidRPr="00E52A4A">
        <w:t>investigation</w:t>
      </w:r>
      <w:r w:rsidRPr="00E52A4A">
        <w:t xml:space="preserve"> a mené les activités suivantes:</w:t>
      </w:r>
    </w:p>
    <w:p w14:paraId="1AA56650" w14:textId="65EC055F" w:rsidR="00C42A35" w:rsidRPr="00E52A4A" w:rsidRDefault="00C42A35" w:rsidP="005A3542">
      <w:pPr>
        <w:pStyle w:val="enumlev1"/>
      </w:pPr>
      <w:r w:rsidRPr="00E52A4A">
        <w:t>a)</w:t>
      </w:r>
      <w:r w:rsidRPr="00E52A4A">
        <w:tab/>
      </w:r>
      <w:r w:rsidR="005A3542" w:rsidRPr="00E52A4A">
        <w:t>N</w:t>
      </w:r>
      <w:r w:rsidR="00AA1078" w:rsidRPr="00E52A4A">
        <w:t>euf affaires en instance ouvertes en 202</w:t>
      </w:r>
      <w:r w:rsidR="009F7D78" w:rsidRPr="00E52A4A">
        <w:t xml:space="preserve">1 </w:t>
      </w:r>
      <w:r w:rsidR="00AA1078" w:rsidRPr="00E52A4A">
        <w:t>et quatre nouvelles affaires ont été confiées à l</w:t>
      </w:r>
      <w:r w:rsidR="0066772A" w:rsidRPr="00E52A4A">
        <w:t>'</w:t>
      </w:r>
      <w:r w:rsidR="00AA1078" w:rsidRPr="00E52A4A">
        <w:t>Unité d</w:t>
      </w:r>
      <w:r w:rsidR="0066772A" w:rsidRPr="00E52A4A">
        <w:t>'</w:t>
      </w:r>
      <w:r w:rsidR="00AA1078" w:rsidRPr="00E52A4A">
        <w:t>investigation. Sur les neuf affaires classées, sept n</w:t>
      </w:r>
      <w:r w:rsidR="0066772A" w:rsidRPr="00E52A4A">
        <w:t>'</w:t>
      </w:r>
      <w:r w:rsidR="00AA1078" w:rsidRPr="00E52A4A">
        <w:t>étaient pas étayées et les deux autres ont été transmises au Secrétaire général en vue de l</w:t>
      </w:r>
      <w:r w:rsidR="0066772A" w:rsidRPr="00E52A4A">
        <w:t>'</w:t>
      </w:r>
      <w:r w:rsidR="00AA1078" w:rsidRPr="00E52A4A">
        <w:t>adoption de mesures disciplinaires</w:t>
      </w:r>
      <w:r w:rsidR="005A3542" w:rsidRPr="00E52A4A">
        <w:t>.</w:t>
      </w:r>
    </w:p>
    <w:p w14:paraId="39270E9B" w14:textId="50F4E65D" w:rsidR="00C42A35" w:rsidRPr="00E52A4A" w:rsidRDefault="00C42A35" w:rsidP="005A3542">
      <w:pPr>
        <w:pStyle w:val="enumlev1"/>
      </w:pPr>
      <w:r w:rsidRPr="00E52A4A">
        <w:t>b)</w:t>
      </w:r>
      <w:r w:rsidRPr="00E52A4A">
        <w:tab/>
      </w:r>
      <w:r w:rsidR="005A3542" w:rsidRPr="00E52A4A">
        <w:t>A</w:t>
      </w:r>
      <w:r w:rsidR="00AA1078" w:rsidRPr="00E52A4A">
        <w:t>ucune des affaires ayant fait l</w:t>
      </w:r>
      <w:r w:rsidR="0066772A" w:rsidRPr="00E52A4A">
        <w:t>'</w:t>
      </w:r>
      <w:r w:rsidR="00AA1078" w:rsidRPr="00E52A4A">
        <w:t>objet d</w:t>
      </w:r>
      <w:r w:rsidR="0066772A" w:rsidRPr="00E52A4A">
        <w:t>'</w:t>
      </w:r>
      <w:r w:rsidR="00AA1078" w:rsidRPr="00E52A4A">
        <w:t>une enquête ne concernait une fraude financière au détriment de l</w:t>
      </w:r>
      <w:r w:rsidR="0066772A" w:rsidRPr="00E52A4A">
        <w:t>'</w:t>
      </w:r>
      <w:r w:rsidR="00AA1078" w:rsidRPr="00E52A4A">
        <w:t>UIT établie ou démontrée, qui aurait obligé l</w:t>
      </w:r>
      <w:r w:rsidR="0066772A" w:rsidRPr="00E52A4A">
        <w:t>'</w:t>
      </w:r>
      <w:r w:rsidR="00AA1078" w:rsidRPr="00E52A4A">
        <w:t>Unité d</w:t>
      </w:r>
      <w:r w:rsidR="0066772A" w:rsidRPr="00E52A4A">
        <w:t>'</w:t>
      </w:r>
      <w:r w:rsidR="00AA1078" w:rsidRPr="00E52A4A">
        <w:t xml:space="preserve">investigation à informer le </w:t>
      </w:r>
      <w:r w:rsidR="00677ECA" w:rsidRPr="00E52A4A">
        <w:t>V</w:t>
      </w:r>
      <w:r w:rsidR="00AA1078" w:rsidRPr="00E52A4A">
        <w:t>érificateur extérieur des comptes (conformément à l</w:t>
      </w:r>
      <w:r w:rsidR="0066772A" w:rsidRPr="00E52A4A">
        <w:t>'</w:t>
      </w:r>
      <w:r w:rsidR="00AA1078" w:rsidRPr="00E52A4A">
        <w:t>alinéa 9 de l</w:t>
      </w:r>
      <w:r w:rsidR="0066772A" w:rsidRPr="00E52A4A">
        <w:t>'</w:t>
      </w:r>
      <w:r w:rsidR="00AA1078" w:rsidRPr="00E52A4A">
        <w:t>Article 28 du Règlement financier de l</w:t>
      </w:r>
      <w:r w:rsidR="0066772A" w:rsidRPr="00E52A4A">
        <w:t>'</w:t>
      </w:r>
      <w:r w:rsidR="00AA1078" w:rsidRPr="00E52A4A">
        <w:t>UIT). Aucune perte financière n</w:t>
      </w:r>
      <w:r w:rsidR="0066772A" w:rsidRPr="00E52A4A">
        <w:t>'</w:t>
      </w:r>
      <w:r w:rsidR="00AA1078" w:rsidRPr="00E52A4A">
        <w:t>a été constatée dans aucune des affaires traitées.</w:t>
      </w:r>
    </w:p>
    <w:p w14:paraId="06DE1E75" w14:textId="7ED963F4" w:rsidR="00605227" w:rsidRPr="00E52A4A" w:rsidRDefault="00605227" w:rsidP="00605227">
      <w:r w:rsidRPr="00E52A4A">
        <w:t xml:space="preserve">Le </w:t>
      </w:r>
      <w:r w:rsidR="005A3542" w:rsidRPr="00E52A4A">
        <w:t>V</w:t>
      </w:r>
      <w:r w:rsidRPr="00E52A4A">
        <w:t>érificateur</w:t>
      </w:r>
      <w:r w:rsidR="00677ECA" w:rsidRPr="00E52A4A">
        <w:t xml:space="preserve"> </w:t>
      </w:r>
      <w:r w:rsidRPr="00E52A4A">
        <w:t>extérieur</w:t>
      </w:r>
      <w:r w:rsidR="00677ECA" w:rsidRPr="00E52A4A">
        <w:t xml:space="preserve"> </w:t>
      </w:r>
      <w:r w:rsidR="00437AF1" w:rsidRPr="00E52A4A">
        <w:t xml:space="preserve">a </w:t>
      </w:r>
      <w:r w:rsidRPr="00E52A4A">
        <w:t>formulé plusieurs recommandations concernant les contrôles internes. Toutes les recommandations formulées par le Vérificateur extérieur des comptes de l</w:t>
      </w:r>
      <w:r w:rsidR="0066772A" w:rsidRPr="00E52A4A">
        <w:t>'</w:t>
      </w:r>
      <w:r w:rsidRPr="00E52A4A">
        <w:t xml:space="preserve">UIT sont consignées dans les tableaux de bord de </w:t>
      </w:r>
      <w:r w:rsidR="009F7D78" w:rsidRPr="00E52A4A">
        <w:t xml:space="preserve">la </w:t>
      </w:r>
      <w:r w:rsidRPr="00E52A4A">
        <w:t xml:space="preserve">conformité </w:t>
      </w:r>
      <w:r w:rsidR="009F7D78" w:rsidRPr="00E52A4A">
        <w:t>à l</w:t>
      </w:r>
      <w:r w:rsidR="0066772A" w:rsidRPr="00E52A4A">
        <w:t>'</w:t>
      </w:r>
      <w:r w:rsidR="009F7D78" w:rsidRPr="00E52A4A">
        <w:t xml:space="preserve">échelle </w:t>
      </w:r>
      <w:r w:rsidRPr="00E52A4A">
        <w:t>de l</w:t>
      </w:r>
      <w:r w:rsidR="0066772A" w:rsidRPr="00E52A4A">
        <w:t>'</w:t>
      </w:r>
      <w:r w:rsidRPr="00E52A4A">
        <w:t>UIT et sont en cours de réévaluation, tandis que les plans d</w:t>
      </w:r>
      <w:r w:rsidR="0066772A" w:rsidRPr="00E52A4A">
        <w:t>'</w:t>
      </w:r>
      <w:r w:rsidRPr="00E52A4A">
        <w:t xml:space="preserve">action sont </w:t>
      </w:r>
      <w:r w:rsidR="009F7D78" w:rsidRPr="00E52A4A">
        <w:t xml:space="preserve">examinés selon les besoins, afin de </w:t>
      </w:r>
      <w:r w:rsidRPr="00E52A4A">
        <w:t xml:space="preserve">remédier aux </w:t>
      </w:r>
      <w:r w:rsidR="009F7D78" w:rsidRPr="00E52A4A">
        <w:t>lacunes</w:t>
      </w:r>
      <w:r w:rsidR="00437AF1" w:rsidRPr="00E52A4A">
        <w:t xml:space="preserve"> qui pourraient être relevées</w:t>
      </w:r>
      <w:r w:rsidRPr="00E52A4A">
        <w:t xml:space="preserve">, </w:t>
      </w:r>
      <w:r w:rsidR="009F7D78" w:rsidRPr="00E52A4A">
        <w:t>de manière à</w:t>
      </w:r>
      <w:r w:rsidRPr="00E52A4A">
        <w:t xml:space="preserve"> garantir une amélioration constante. Les réponses </w:t>
      </w:r>
      <w:r w:rsidR="009F7D78" w:rsidRPr="00E52A4A">
        <w:t>apportées par</w:t>
      </w:r>
      <w:r w:rsidRPr="00E52A4A">
        <w:t xml:space="preserve"> la direction à ces recommandations seront suivies par le Groupe de travail du Conseil sur les ressources financières et les ressources humaines (GTC-FHR).</w:t>
      </w:r>
    </w:p>
    <w:p w14:paraId="1124C2D2" w14:textId="5AE053A2" w:rsidR="00AA1078" w:rsidRPr="00E52A4A" w:rsidRDefault="00605227" w:rsidP="00D718E7">
      <w:pPr>
        <w:keepNext/>
        <w:keepLines/>
      </w:pPr>
      <w:r w:rsidRPr="00E52A4A">
        <w:lastRenderedPageBreak/>
        <w:t>J</w:t>
      </w:r>
      <w:r w:rsidR="0066772A" w:rsidRPr="00E52A4A">
        <w:t>'</w:t>
      </w:r>
      <w:r w:rsidRPr="00E52A4A">
        <w:t>ai pris note des conclusions de l</w:t>
      </w:r>
      <w:r w:rsidR="0066772A" w:rsidRPr="00E52A4A">
        <w:t>'</w:t>
      </w:r>
      <w:r w:rsidRPr="00E52A4A">
        <w:t>Auditeur interne concernant la nécessité d</w:t>
      </w:r>
      <w:r w:rsidR="0066772A" w:rsidRPr="00E52A4A">
        <w:t>'</w:t>
      </w:r>
      <w:r w:rsidRPr="00E52A4A">
        <w:t>améliorer la gouvernance, la gestion des risques et l</w:t>
      </w:r>
      <w:r w:rsidR="0066772A" w:rsidRPr="00E52A4A">
        <w:t>'</w:t>
      </w:r>
      <w:r w:rsidRPr="00E52A4A">
        <w:t>efficacité de plusieurs contrôles dans un certain nombre de domaines audités. Des mesures ont été prises et continueront d</w:t>
      </w:r>
      <w:r w:rsidR="0066772A" w:rsidRPr="00E52A4A">
        <w:t>'</w:t>
      </w:r>
      <w:r w:rsidRPr="00E52A4A">
        <w:t>être prises pour renforcer les contrôles internes et réduire les risques au siège et dans les bureaux hors siège</w:t>
      </w:r>
      <w:r w:rsidR="00C656E0" w:rsidRPr="00E52A4A">
        <w:t>.</w:t>
      </w:r>
    </w:p>
    <w:p w14:paraId="5E0794E2" w14:textId="0C445B44" w:rsidR="00AA1078" w:rsidRPr="00E52A4A" w:rsidRDefault="00AA1078" w:rsidP="00BA6385">
      <w:r w:rsidRPr="00E52A4A">
        <w:t>Je bénéficie en outre des avis du Comité consultatif indépendant pour les questions de gestion (CCIG), qui exerce des fonctions consultatives spécialisées et aide le Conseil ainsi que le Secrétaire général à s</w:t>
      </w:r>
      <w:r w:rsidR="0066772A" w:rsidRPr="00E52A4A">
        <w:t>'</w:t>
      </w:r>
      <w:r w:rsidRPr="00E52A4A">
        <w:t>acquitter de leurs responsabilités en matière de gouvernance, et notamment à assurer l</w:t>
      </w:r>
      <w:r w:rsidR="0066772A" w:rsidRPr="00E52A4A">
        <w:t>'</w:t>
      </w:r>
      <w:r w:rsidRPr="00E52A4A">
        <w:t>efficacité des systèmes de contrôle interne, des procédures de gestion des risques et des procédures de gouvernance de l</w:t>
      </w:r>
      <w:r w:rsidR="0066772A" w:rsidRPr="00E52A4A">
        <w:t>'</w:t>
      </w:r>
      <w:r w:rsidRPr="00E52A4A">
        <w:t>UIT.</w:t>
      </w:r>
    </w:p>
    <w:p w14:paraId="174B0DC7" w14:textId="4D7E37B9" w:rsidR="00AA1078" w:rsidRPr="00E52A4A" w:rsidRDefault="00605227" w:rsidP="00BA6385">
      <w:r w:rsidRPr="00E52A4A">
        <w:t xml:space="preserve">Sous la supervision du Vice-Secrétaire général, </w:t>
      </w:r>
      <w:r w:rsidR="00607339" w:rsidRPr="00E52A4A">
        <w:t>e</w:t>
      </w:r>
      <w:r w:rsidRPr="00E52A4A">
        <w:t xml:space="preserve">n 2023, les principales fonctions </w:t>
      </w:r>
      <w:r w:rsidR="00607339" w:rsidRPr="00E52A4A">
        <w:t>institutionnelles</w:t>
      </w:r>
      <w:r w:rsidRPr="00E52A4A">
        <w:t xml:space="preserve">, y compris la gestion des risques </w:t>
      </w:r>
      <w:r w:rsidR="00607339" w:rsidRPr="00E52A4A">
        <w:t>institutionnels</w:t>
      </w:r>
      <w:r w:rsidRPr="00E52A4A">
        <w:t xml:space="preserve">, </w:t>
      </w:r>
      <w:r w:rsidR="00607339" w:rsidRPr="00E52A4A">
        <w:t>la veille stratégique</w:t>
      </w:r>
      <w:r w:rsidRPr="00E52A4A">
        <w:t xml:space="preserve"> et les capacités analytiques, sont réévaluées en vue d</w:t>
      </w:r>
      <w:r w:rsidR="0066772A" w:rsidRPr="00E52A4A">
        <w:t>'</w:t>
      </w:r>
      <w:r w:rsidRPr="00E52A4A">
        <w:t>établir une fonction</w:t>
      </w:r>
      <w:r w:rsidR="00607339" w:rsidRPr="00E52A4A">
        <w:t xml:space="preserve"> globale regroupant la</w:t>
      </w:r>
      <w:r w:rsidRPr="00E52A4A">
        <w:t xml:space="preserve"> gestion des risques,</w:t>
      </w:r>
      <w:r w:rsidR="00607339" w:rsidRPr="00E52A4A">
        <w:t xml:space="preserve"> le</w:t>
      </w:r>
      <w:r w:rsidRPr="00E52A4A">
        <w:t xml:space="preserve"> contrôle interne et </w:t>
      </w:r>
      <w:r w:rsidR="00607339" w:rsidRPr="00E52A4A">
        <w:t>la</w:t>
      </w:r>
      <w:r w:rsidRPr="00E52A4A">
        <w:t xml:space="preserve"> conformité, et d</w:t>
      </w:r>
      <w:r w:rsidR="0066772A" w:rsidRPr="00E52A4A">
        <w:t>'</w:t>
      </w:r>
      <w:r w:rsidRPr="00E52A4A">
        <w:t>élargir les travaux d</w:t>
      </w:r>
      <w:r w:rsidR="00607339" w:rsidRPr="00E52A4A">
        <w:t xml:space="preserve">u GTCI </w:t>
      </w:r>
      <w:r w:rsidR="00954795" w:rsidRPr="00E52A4A">
        <w:t xml:space="preserve">à </w:t>
      </w:r>
      <w:r w:rsidRPr="00E52A4A">
        <w:t>l</w:t>
      </w:r>
      <w:r w:rsidR="0066772A" w:rsidRPr="00E52A4A">
        <w:t>'</w:t>
      </w:r>
      <w:r w:rsidRPr="00E52A4A">
        <w:t>ensemble de l</w:t>
      </w:r>
      <w:r w:rsidR="0066772A" w:rsidRPr="00E52A4A">
        <w:t>'</w:t>
      </w:r>
      <w:r w:rsidRPr="00E52A4A">
        <w:t>organisation.</w:t>
      </w:r>
    </w:p>
    <w:p w14:paraId="2DEC883B" w14:textId="10E4766B" w:rsidR="00AA1078" w:rsidRPr="00E52A4A" w:rsidRDefault="00605227" w:rsidP="00BA6385">
      <w:pPr>
        <w:pStyle w:val="Headingb"/>
      </w:pPr>
      <w:r w:rsidRPr="00E52A4A">
        <w:t>Problèmes de contrôle interne survenus au cours de l</w:t>
      </w:r>
      <w:r w:rsidR="0066772A" w:rsidRPr="00E52A4A">
        <w:t>'</w:t>
      </w:r>
      <w:r w:rsidRPr="00E52A4A">
        <w:t>année</w:t>
      </w:r>
    </w:p>
    <w:p w14:paraId="16FFBB39" w14:textId="52D97AB0" w:rsidR="00AA1078" w:rsidRPr="00E52A4A" w:rsidRDefault="00607339" w:rsidP="00BA6385">
      <w:r w:rsidRPr="00E52A4A">
        <w:t>Les réponses fournies par les fonctionnaires élus, les chefs de département et les chefs de division et d</w:t>
      </w:r>
      <w:r w:rsidR="0066772A" w:rsidRPr="00E52A4A">
        <w:t>'</w:t>
      </w:r>
      <w:r w:rsidRPr="00E52A4A">
        <w:t>unité dans le cadre de l</w:t>
      </w:r>
      <w:r w:rsidR="0066772A" w:rsidRPr="00E52A4A">
        <w:t>'</w:t>
      </w:r>
      <w:r w:rsidRPr="00E52A4A">
        <w:t>autoévaluation menée en 2022, sur la base desquelles a été élaborée la lettre de représentation, ont été utiles pour identifier les pistes d</w:t>
      </w:r>
      <w:r w:rsidR="0066772A" w:rsidRPr="00E52A4A">
        <w:t>'</w:t>
      </w:r>
      <w:r w:rsidRPr="00E52A4A">
        <w:t>amélioration. Il convient de noter ce qui suit:</w:t>
      </w:r>
    </w:p>
    <w:p w14:paraId="45AB331D" w14:textId="4B32E149" w:rsidR="00AA1078" w:rsidRPr="00E52A4A" w:rsidRDefault="00AA1078" w:rsidP="00BA6385">
      <w:pPr>
        <w:pStyle w:val="enumlev1"/>
      </w:pPr>
      <w:r w:rsidRPr="00E52A4A">
        <w:t>a)</w:t>
      </w:r>
      <w:r w:rsidRPr="00E52A4A">
        <w:tab/>
        <w:t>En 2014, le Secrétaire général en fonction à l</w:t>
      </w:r>
      <w:r w:rsidR="0066772A" w:rsidRPr="00E52A4A">
        <w:t>'</w:t>
      </w:r>
      <w:r w:rsidRPr="00E52A4A">
        <w:t>époque a décidé que, conformément à l</w:t>
      </w:r>
      <w:r w:rsidR="0066772A" w:rsidRPr="00E52A4A">
        <w:t>'</w:t>
      </w:r>
      <w:r w:rsidRPr="00E52A4A">
        <w:t>alinéa 4 de l</w:t>
      </w:r>
      <w:r w:rsidR="0066772A" w:rsidRPr="00E52A4A">
        <w:t>'</w:t>
      </w:r>
      <w:r w:rsidRPr="00E52A4A">
        <w:t>Article 10 du Règlement financier ("Le Secrétaire général peut faire effectuer les paiements à titre gracieux qu</w:t>
      </w:r>
      <w:r w:rsidR="0066772A" w:rsidRPr="00E52A4A">
        <w:t>'</w:t>
      </w:r>
      <w:r w:rsidRPr="00E52A4A">
        <w:t>il estime nécessaires et dans l</w:t>
      </w:r>
      <w:r w:rsidR="0066772A" w:rsidRPr="00E52A4A">
        <w:t>'</w:t>
      </w:r>
      <w:r w:rsidRPr="00E52A4A">
        <w:t>intérêt de l</w:t>
      </w:r>
      <w:r w:rsidR="0066772A" w:rsidRPr="00E52A4A">
        <w:t>'</w:t>
      </w:r>
      <w:r w:rsidRPr="00E52A4A">
        <w:t>Union. Un relevé de ces paiements est inclus dans le Rapport de gestion financière."), un paiement discrétionnaire équivalant à deux mois de traitement de base par mandat effectué serait versé à tous les fonctionnaires élus au moment de leur cessation de service. Dans le cas d</w:t>
      </w:r>
      <w:r w:rsidR="0066772A" w:rsidRPr="00E52A4A">
        <w:t>'</w:t>
      </w:r>
      <w:r w:rsidRPr="00E52A4A">
        <w:t>un Secrétaire général sortant, ce paiement discrétionnaire a été plafonné à 6 mois de traitement de base. Cette pratique a été reconduite en 2018 et en 2022. Par conséquent, depuis 2014, les paiements discrétionnaires ci-après ont été versés aux fonctionnaires élus sortants:</w:t>
      </w:r>
    </w:p>
    <w:p w14:paraId="53D4B447" w14:textId="74E1A50E" w:rsidR="00AA1078" w:rsidRPr="00E52A4A" w:rsidRDefault="00AA1078" w:rsidP="00BA6385">
      <w:pPr>
        <w:pStyle w:val="enumlev2"/>
      </w:pPr>
      <w:r w:rsidRPr="00E52A4A">
        <w:t>•</w:t>
      </w:r>
      <w:r w:rsidRPr="00E52A4A">
        <w:tab/>
        <w:t>Année 2014: le Secrétaire général a reçu un paiement à titre gracieux s</w:t>
      </w:r>
      <w:r w:rsidR="0066772A" w:rsidRPr="00E52A4A">
        <w:t>'</w:t>
      </w:r>
      <w:r w:rsidRPr="00E52A4A">
        <w:t>élevant à six mois de son dernier traitement de base, soit 79 698 CHF.</w:t>
      </w:r>
    </w:p>
    <w:p w14:paraId="2214F258" w14:textId="6D14D799" w:rsidR="00AA1078" w:rsidRPr="00E52A4A" w:rsidRDefault="00AA1078" w:rsidP="00BA6385">
      <w:pPr>
        <w:pStyle w:val="enumlev2"/>
      </w:pPr>
      <w:r w:rsidRPr="00E52A4A">
        <w:t>•</w:t>
      </w:r>
      <w:r w:rsidRPr="00E52A4A">
        <w:tab/>
        <w:t>Année 2018: le Directeur du Bureau des radiocommunications et le Directeur du Bureau de développement des télécommunications ont reçu chacun un paiement équivalant à quatre mois de leur dernier traitement de base, soit</w:t>
      </w:r>
      <w:r w:rsidR="00C656E0" w:rsidRPr="00E52A4A">
        <w:t> </w:t>
      </w:r>
      <w:r w:rsidRPr="00E52A4A">
        <w:t>52</w:t>
      </w:r>
      <w:r w:rsidR="00C656E0" w:rsidRPr="00E52A4A">
        <w:t> </w:t>
      </w:r>
      <w:r w:rsidRPr="00E52A4A">
        <w:t>092 CHF chacun.</w:t>
      </w:r>
    </w:p>
    <w:p w14:paraId="7BF49D6E" w14:textId="0705E3E9" w:rsidR="00AA1078" w:rsidRPr="00E52A4A" w:rsidRDefault="00AA1078" w:rsidP="00BA6385">
      <w:pPr>
        <w:pStyle w:val="enumlev2"/>
      </w:pPr>
      <w:r w:rsidRPr="00E52A4A">
        <w:t>•</w:t>
      </w:r>
      <w:r w:rsidRPr="00E52A4A">
        <w:tab/>
        <w:t>Année 2022: le Secrétaire général a reçu un paiement équivalent à six mois de son dernier traitement de base, soit 83 701 CHF; le Vice-Secrétaire général a reçu un paiement équivalant à six mois de son dernier traitement de base, soit</w:t>
      </w:r>
      <w:r w:rsidR="00C656E0" w:rsidRPr="00E52A4A">
        <w:t> </w:t>
      </w:r>
      <w:r w:rsidRPr="00E52A4A">
        <w:t>7</w:t>
      </w:r>
      <w:r w:rsidR="00C656E0" w:rsidRPr="00E52A4A">
        <w:t>6 </w:t>
      </w:r>
      <w:r w:rsidRPr="00E52A4A">
        <w:t>830</w:t>
      </w:r>
      <w:r w:rsidR="00C656E0" w:rsidRPr="00E52A4A">
        <w:t> </w:t>
      </w:r>
      <w:r w:rsidRPr="00E52A4A">
        <w:t>CHF</w:t>
      </w:r>
      <w:r w:rsidR="005B3B05" w:rsidRPr="00E52A4A">
        <w:t xml:space="preserve"> (montant duquel une somme de 3 528 CHF a été déduite pour le rachat du matériel informatique)</w:t>
      </w:r>
      <w:r w:rsidRPr="00E52A4A">
        <w:t>; et le Directeur du Bureau de la normalisation des télécommunications a reçu un paiement équivalant à quatre mois de son dernier traitement de base, soit 51 220 CHF.</w:t>
      </w:r>
    </w:p>
    <w:p w14:paraId="19599379" w14:textId="634577B5" w:rsidR="00AA1078" w:rsidRPr="00E52A4A" w:rsidRDefault="00FB7F04" w:rsidP="00FB7F04">
      <w:pPr>
        <w:pStyle w:val="enumlev1"/>
      </w:pPr>
      <w:r w:rsidRPr="00E52A4A">
        <w:tab/>
      </w:r>
      <w:r w:rsidR="00AA1078" w:rsidRPr="00E52A4A">
        <w:t>En février 2023, un dénonciateur a porté cette question à l</w:t>
      </w:r>
      <w:r w:rsidR="0066772A" w:rsidRPr="00E52A4A">
        <w:t>'</w:t>
      </w:r>
      <w:r w:rsidR="00AA1078" w:rsidRPr="00E52A4A">
        <w:t>attention de la Secrétaire</w:t>
      </w:r>
      <w:r w:rsidRPr="00E52A4A">
        <w:t> </w:t>
      </w:r>
      <w:r w:rsidR="00AA1078" w:rsidRPr="00E52A4A">
        <w:t>générale, du Bureau de l</w:t>
      </w:r>
      <w:r w:rsidR="0066772A" w:rsidRPr="00E52A4A">
        <w:t>'</w:t>
      </w:r>
      <w:r w:rsidR="00AA1078" w:rsidRPr="00E52A4A">
        <w:t>éthique et d</w:t>
      </w:r>
      <w:r w:rsidR="0066772A" w:rsidRPr="00E52A4A">
        <w:t>'</w:t>
      </w:r>
      <w:r w:rsidR="00AA1078" w:rsidRPr="00E52A4A">
        <w:t>autres organes de contrôle. Après consultation du conseiller juridique de l</w:t>
      </w:r>
      <w:r w:rsidR="0066772A" w:rsidRPr="00E52A4A">
        <w:t>'</w:t>
      </w:r>
      <w:r w:rsidR="00AA1078" w:rsidRPr="00E52A4A">
        <w:t>UIT afin de déterminer s</w:t>
      </w:r>
      <w:r w:rsidR="0066772A" w:rsidRPr="00E52A4A">
        <w:t>'</w:t>
      </w:r>
      <w:r w:rsidR="00AA1078" w:rsidRPr="00E52A4A">
        <w:t>il existe une base juridique pour ces paiements dans le Règlement financier et dans le Statut du personnel de l</w:t>
      </w:r>
      <w:r w:rsidR="0066772A" w:rsidRPr="00E52A4A">
        <w:t>'</w:t>
      </w:r>
      <w:r w:rsidR="00AA1078" w:rsidRPr="00E52A4A">
        <w:t xml:space="preserve">UIT, il a </w:t>
      </w:r>
      <w:r w:rsidR="00AA1078" w:rsidRPr="00E52A4A">
        <w:lastRenderedPageBreak/>
        <w:t>été confirmé que ces paiements ne correspondaient pas à la définition des paiements à titre gracieux au sens du Règlement financier de l</w:t>
      </w:r>
      <w:r w:rsidR="0066772A" w:rsidRPr="00E52A4A">
        <w:t>'</w:t>
      </w:r>
      <w:r w:rsidR="00AA1078" w:rsidRPr="00E52A4A">
        <w:t>UIT, car ils n</w:t>
      </w:r>
      <w:r w:rsidR="0066772A" w:rsidRPr="00E52A4A">
        <w:t>'</w:t>
      </w:r>
      <w:r w:rsidR="00AA1078" w:rsidRPr="00E52A4A">
        <w:t>étaient ni nécessaires, ni dans l</w:t>
      </w:r>
      <w:r w:rsidR="0066772A" w:rsidRPr="00E52A4A">
        <w:t>'</w:t>
      </w:r>
      <w:r w:rsidR="00AA1078" w:rsidRPr="00E52A4A">
        <w:t>intérêt de l</w:t>
      </w:r>
      <w:r w:rsidR="0066772A" w:rsidRPr="00E52A4A">
        <w:t>'</w:t>
      </w:r>
      <w:r w:rsidR="00AA1078" w:rsidRPr="00E52A4A">
        <w:t xml:space="preserve">Union. La Secrétaire générale, après avoir consulté le CCIG et le </w:t>
      </w:r>
      <w:r w:rsidRPr="00E52A4A">
        <w:t>V</w:t>
      </w:r>
      <w:r w:rsidR="00AA1078" w:rsidRPr="00E52A4A">
        <w:t xml:space="preserve">érificateur extérieur des comptes, a décidé de supprimer cette pratique en matière de paiements avec effet immédiat. </w:t>
      </w:r>
      <w:r w:rsidR="00605227" w:rsidRPr="00E52A4A">
        <w:t>J</w:t>
      </w:r>
      <w:r w:rsidR="0066772A" w:rsidRPr="00E52A4A">
        <w:t>'</w:t>
      </w:r>
      <w:r w:rsidR="00605227" w:rsidRPr="00E52A4A">
        <w:t>ai pris note de la réserve du Vérificateur extérieur concernant ces opérations.</w:t>
      </w:r>
    </w:p>
    <w:p w14:paraId="43ECC11B" w14:textId="7B0E3CD5" w:rsidR="00AA1078" w:rsidRPr="00E52A4A" w:rsidRDefault="00FB7F04" w:rsidP="00FB7F04">
      <w:pPr>
        <w:pStyle w:val="enumlev1"/>
      </w:pPr>
      <w:r w:rsidRPr="00E52A4A">
        <w:tab/>
      </w:r>
      <w:r w:rsidR="00605227" w:rsidRPr="00E52A4A">
        <w:t>L</w:t>
      </w:r>
      <w:r w:rsidR="00607339" w:rsidRPr="00E52A4A">
        <w:t>a</w:t>
      </w:r>
      <w:r w:rsidR="00605227" w:rsidRPr="00E52A4A">
        <w:t xml:space="preserve"> Secrétaire général</w:t>
      </w:r>
      <w:r w:rsidR="00607339" w:rsidRPr="00E52A4A">
        <w:t>e</w:t>
      </w:r>
      <w:r w:rsidR="00605227" w:rsidRPr="00E52A4A">
        <w:t xml:space="preserve"> a porté cette question à l</w:t>
      </w:r>
      <w:r w:rsidR="0066772A" w:rsidRPr="00E52A4A">
        <w:t>'</w:t>
      </w:r>
      <w:r w:rsidR="00605227" w:rsidRPr="00E52A4A">
        <w:t>attention du Conseil</w:t>
      </w:r>
      <w:r w:rsidR="00607339" w:rsidRPr="00E52A4A">
        <w:t>,</w:t>
      </w:r>
      <w:r w:rsidR="00605227" w:rsidRPr="00E52A4A">
        <w:t xml:space="preserve"> pour information et orientation. Par ailleurs, afin de renforcer les mécanismes de gouvernance et de contrôle au sein de l</w:t>
      </w:r>
      <w:r w:rsidR="0066772A" w:rsidRPr="00E52A4A">
        <w:t>'</w:t>
      </w:r>
      <w:r w:rsidR="00605227" w:rsidRPr="00E52A4A">
        <w:t>Union, l</w:t>
      </w:r>
      <w:r w:rsidR="00607339" w:rsidRPr="00E52A4A">
        <w:t>a</w:t>
      </w:r>
      <w:r w:rsidR="00605227" w:rsidRPr="00E52A4A">
        <w:t xml:space="preserve"> Secrétaire général</w:t>
      </w:r>
      <w:r w:rsidR="00607339" w:rsidRPr="00E52A4A">
        <w:t>e</w:t>
      </w:r>
      <w:r w:rsidR="00605227" w:rsidRPr="00E52A4A">
        <w:t xml:space="preserve"> a jugé opportun de proposer au Conseil l</w:t>
      </w:r>
      <w:r w:rsidR="0066772A" w:rsidRPr="00E52A4A">
        <w:t>'</w:t>
      </w:r>
      <w:r w:rsidR="00605227" w:rsidRPr="00E52A4A">
        <w:t>abrogation de l</w:t>
      </w:r>
      <w:r w:rsidR="0066772A" w:rsidRPr="00E52A4A">
        <w:t>'</w:t>
      </w:r>
      <w:r w:rsidR="00605227" w:rsidRPr="00E52A4A">
        <w:t>Article 10.4 relatif à ces paiements, avec effet immédiat, ce qui est approuvé</w:t>
      </w:r>
      <w:r w:rsidR="00607339" w:rsidRPr="00E52A4A">
        <w:t>.</w:t>
      </w:r>
    </w:p>
    <w:p w14:paraId="027600F9" w14:textId="4635D140" w:rsidR="00062A6A" w:rsidRPr="00E52A4A" w:rsidRDefault="00062A6A" w:rsidP="00BA6385">
      <w:pPr>
        <w:pStyle w:val="enumlev1"/>
      </w:pPr>
      <w:r w:rsidRPr="00E52A4A">
        <w:t>b)</w:t>
      </w:r>
      <w:r w:rsidRPr="00E52A4A">
        <w:tab/>
      </w:r>
      <w:r w:rsidR="00605227" w:rsidRPr="00E52A4A">
        <w:t xml:space="preserve">Le projet de nouveau bâtiment avait été </w:t>
      </w:r>
      <w:r w:rsidR="00607339" w:rsidRPr="00E52A4A">
        <w:t>examiné</w:t>
      </w:r>
      <w:r w:rsidR="00605227" w:rsidRPr="00E52A4A">
        <w:t xml:space="preserve"> lors de la session de juillet 2023 du Conseil et de la session additionnelle du Conseil</w:t>
      </w:r>
      <w:r w:rsidR="00607339" w:rsidRPr="00E52A4A">
        <w:t>,</w:t>
      </w:r>
      <w:r w:rsidR="00605227" w:rsidRPr="00E52A4A">
        <w:t xml:space="preserve"> en octobre. </w:t>
      </w:r>
      <w:r w:rsidR="00607339" w:rsidRPr="00E52A4A">
        <w:t>Le Secrétariat a pris l</w:t>
      </w:r>
      <w:r w:rsidRPr="00E52A4A">
        <w:t xml:space="preserve">es mesures nécessaires pour réévaluer la conception et les plans techniques existants </w:t>
      </w:r>
      <w:r w:rsidR="00954795" w:rsidRPr="00E52A4A">
        <w:t>du</w:t>
      </w:r>
      <w:r w:rsidRPr="00E52A4A">
        <w:t xml:space="preserve"> nouveau bâtiment, dans le cadre des paramètres généraux sur la base desquels le permis de construire a été accordé, dans le but d</w:t>
      </w:r>
      <w:r w:rsidR="0066772A" w:rsidRPr="00E52A4A">
        <w:t>'</w:t>
      </w:r>
      <w:r w:rsidRPr="00E52A4A">
        <w:t>aligner, autant que possible, les coûts du projet sur le budget actuellement approuvé.</w:t>
      </w:r>
      <w:r w:rsidR="00605227" w:rsidRPr="00E52A4A">
        <w:t xml:space="preserve"> Cet exercice a confirmé que la redéfinition de la portée dans la conception actuelle du projet </w:t>
      </w:r>
      <w:r w:rsidR="00897AD1" w:rsidRPr="00E52A4A">
        <w:t>n</w:t>
      </w:r>
      <w:r w:rsidR="0066772A" w:rsidRPr="00E52A4A">
        <w:t>'</w:t>
      </w:r>
      <w:r w:rsidR="00897AD1" w:rsidRPr="00E52A4A">
        <w:t>entraînerait pas de gains d</w:t>
      </w:r>
      <w:r w:rsidR="0066772A" w:rsidRPr="00E52A4A">
        <w:t>'</w:t>
      </w:r>
      <w:r w:rsidR="00897AD1" w:rsidRPr="00E52A4A">
        <w:t xml:space="preserve">efficacité </w:t>
      </w:r>
      <w:r w:rsidR="00605227" w:rsidRPr="00E52A4A">
        <w:t>majeurs</w:t>
      </w:r>
      <w:r w:rsidR="00897AD1" w:rsidRPr="00E52A4A">
        <w:t xml:space="preserve">. </w:t>
      </w:r>
      <w:r w:rsidR="00FB7F04" w:rsidRPr="00E52A4A">
        <w:t>À</w:t>
      </w:r>
      <w:r w:rsidR="00897AD1" w:rsidRPr="00E52A4A">
        <w:t xml:space="preserve"> </w:t>
      </w:r>
      <w:r w:rsidR="00605227" w:rsidRPr="00E52A4A">
        <w:t xml:space="preserve">sa session </w:t>
      </w:r>
      <w:r w:rsidR="00897AD1" w:rsidRPr="00E52A4A">
        <w:t xml:space="preserve">additionnelle </w:t>
      </w:r>
      <w:r w:rsidR="00605227" w:rsidRPr="00E52A4A">
        <w:t>d</w:t>
      </w:r>
      <w:r w:rsidR="0066772A" w:rsidRPr="00E52A4A">
        <w:t>'</w:t>
      </w:r>
      <w:r w:rsidR="00605227" w:rsidRPr="00E52A4A">
        <w:t xml:space="preserve">octobre 2023, le Conseil a invité le Secrétariat à </w:t>
      </w:r>
      <w:r w:rsidR="00954795" w:rsidRPr="00E52A4A">
        <w:t>travailler sans attendre sur deux scénarios</w:t>
      </w:r>
      <w:r w:rsidR="00605227" w:rsidRPr="00E52A4A">
        <w:t>: A) rechercher comment obtenir le financement pour le dépassement du budget</w:t>
      </w:r>
      <w:r w:rsidR="00FB7F04" w:rsidRPr="00E52A4A">
        <w:t>;</w:t>
      </w:r>
      <w:r w:rsidR="00605227" w:rsidRPr="00E52A4A">
        <w:t xml:space="preserve"> et B) étudier comment </w:t>
      </w:r>
      <w:r w:rsidR="00897AD1" w:rsidRPr="00E52A4A">
        <w:t>revoir</w:t>
      </w:r>
      <w:r w:rsidR="00605227" w:rsidRPr="00E52A4A">
        <w:t xml:space="preserve"> la conception pour qu</w:t>
      </w:r>
      <w:r w:rsidR="0066772A" w:rsidRPr="00E52A4A">
        <w:t>'</w:t>
      </w:r>
      <w:r w:rsidR="00897AD1" w:rsidRPr="00E52A4A">
        <w:t xml:space="preserve">elle </w:t>
      </w:r>
      <w:r w:rsidR="00605227" w:rsidRPr="00E52A4A">
        <w:t>corresponde au budget approuvé restant. Les activités en cours feront l</w:t>
      </w:r>
      <w:r w:rsidR="0066772A" w:rsidRPr="00E52A4A">
        <w:t>'</w:t>
      </w:r>
      <w:r w:rsidR="00605227" w:rsidRPr="00E52A4A">
        <w:t>objet d</w:t>
      </w:r>
      <w:r w:rsidR="0066772A" w:rsidRPr="00E52A4A">
        <w:t>'</w:t>
      </w:r>
      <w:r w:rsidR="00605227" w:rsidRPr="00E52A4A">
        <w:t>un suivi conformément aux recommandations du Conseil afin de garantir qu</w:t>
      </w:r>
      <w:r w:rsidR="0066772A" w:rsidRPr="00E52A4A">
        <w:t>'</w:t>
      </w:r>
      <w:r w:rsidR="00605227" w:rsidRPr="00E52A4A">
        <w:t xml:space="preserve">une solution </w:t>
      </w:r>
      <w:r w:rsidR="00954795" w:rsidRPr="00E52A4A">
        <w:t xml:space="preserve">économiquement rationnelle </w:t>
      </w:r>
      <w:r w:rsidR="00605227" w:rsidRPr="00E52A4A">
        <w:t>puisse être mise en œuvre en temps voulu</w:t>
      </w:r>
      <w:r w:rsidRPr="00E52A4A">
        <w:t>.</w:t>
      </w:r>
    </w:p>
    <w:p w14:paraId="24665B5B" w14:textId="14208C49" w:rsidR="00062A6A" w:rsidRPr="00E52A4A" w:rsidRDefault="00062A6A" w:rsidP="00BA6385">
      <w:pPr>
        <w:pStyle w:val="enumlev1"/>
      </w:pPr>
      <w:r w:rsidRPr="00E52A4A">
        <w:t>c)</w:t>
      </w:r>
      <w:r w:rsidRPr="00E52A4A">
        <w:tab/>
      </w:r>
      <w:r w:rsidR="00605227" w:rsidRPr="00E52A4A">
        <w:t>L</w:t>
      </w:r>
      <w:r w:rsidR="0066772A" w:rsidRPr="00E52A4A">
        <w:t>'</w:t>
      </w:r>
      <w:r w:rsidR="00605227" w:rsidRPr="00E52A4A">
        <w:t>élaboration de processus de gestion des risques et la tenue à jour de registres des risques doivent être menées à bien dans l</w:t>
      </w:r>
      <w:r w:rsidR="0066772A" w:rsidRPr="00E52A4A">
        <w:t>'</w:t>
      </w:r>
      <w:r w:rsidR="00605227" w:rsidRPr="00E52A4A">
        <w:t>ensemble de l</w:t>
      </w:r>
      <w:r w:rsidR="0066772A" w:rsidRPr="00E52A4A">
        <w:t>'</w:t>
      </w:r>
      <w:r w:rsidR="00605227" w:rsidRPr="00E52A4A">
        <w:t xml:space="preserve">Organisation afin de </w:t>
      </w:r>
      <w:r w:rsidR="00954795" w:rsidRPr="00E52A4A">
        <w:t xml:space="preserve">rendre compte </w:t>
      </w:r>
      <w:r w:rsidR="00605227" w:rsidRPr="00E52A4A">
        <w:t xml:space="preserve">efficacement </w:t>
      </w:r>
      <w:r w:rsidR="00954795" w:rsidRPr="00E52A4A">
        <w:t>d</w:t>
      </w:r>
      <w:r w:rsidR="00605227" w:rsidRPr="00E52A4A">
        <w:t xml:space="preserve">es risques. La mise en œuvre de la gestion des risques </w:t>
      </w:r>
      <w:r w:rsidR="000F3963" w:rsidRPr="00E52A4A">
        <w:t xml:space="preserve">institutionnels </w:t>
      </w:r>
      <w:r w:rsidR="00605227" w:rsidRPr="00E52A4A">
        <w:t>à tous les niveaux de l</w:t>
      </w:r>
      <w:r w:rsidR="0066772A" w:rsidRPr="00E52A4A">
        <w:t>'</w:t>
      </w:r>
      <w:r w:rsidR="00605227" w:rsidRPr="00E52A4A">
        <w:t>Union demeure un élément essentiel de la vision d</w:t>
      </w:r>
      <w:r w:rsidR="000F3963" w:rsidRPr="00E52A4A">
        <w:t>e la</w:t>
      </w:r>
      <w:r w:rsidR="00605227" w:rsidRPr="00E52A4A">
        <w:t xml:space="preserve"> Secrétaire général</w:t>
      </w:r>
      <w:r w:rsidR="000F3963" w:rsidRPr="00E52A4A">
        <w:t>e</w:t>
      </w:r>
      <w:r w:rsidR="00605227" w:rsidRPr="00E52A4A">
        <w:t xml:space="preserve"> pour une </w:t>
      </w:r>
      <w:r w:rsidR="000F3963" w:rsidRPr="00E52A4A">
        <w:t>o</w:t>
      </w:r>
      <w:r w:rsidR="00605227" w:rsidRPr="00E52A4A">
        <w:t>rganisation plus efficace</w:t>
      </w:r>
      <w:r w:rsidR="0028252D" w:rsidRPr="00E52A4A">
        <w:t xml:space="preserve"> et efficiente</w:t>
      </w:r>
      <w:r w:rsidR="000F3963" w:rsidRPr="00E52A4A">
        <w:t>,</w:t>
      </w:r>
      <w:r w:rsidR="0028252D" w:rsidRPr="00E52A4A">
        <w:t xml:space="preserve"> mais aussi</w:t>
      </w:r>
      <w:r w:rsidR="000F3963" w:rsidRPr="00E52A4A">
        <w:t xml:space="preserve"> </w:t>
      </w:r>
      <w:r w:rsidR="00605227" w:rsidRPr="00E52A4A">
        <w:t>transparente et responsable. D</w:t>
      </w:r>
      <w:r w:rsidR="0066772A" w:rsidRPr="00E52A4A">
        <w:t>'</w:t>
      </w:r>
      <w:r w:rsidR="00605227" w:rsidRPr="00E52A4A">
        <w:t>autres travaux importants sont nécessaires pour s</w:t>
      </w:r>
      <w:r w:rsidR="0066772A" w:rsidRPr="00E52A4A">
        <w:t>'</w:t>
      </w:r>
      <w:r w:rsidR="00605227" w:rsidRPr="00E52A4A">
        <w:t>assurer que cette tâche est menée à bien</w:t>
      </w:r>
      <w:r w:rsidR="00FB7F04" w:rsidRPr="00E52A4A">
        <w:t>.</w:t>
      </w:r>
    </w:p>
    <w:p w14:paraId="41BF3C66" w14:textId="56C310C7" w:rsidR="00062A6A" w:rsidRPr="00E52A4A" w:rsidRDefault="00062A6A" w:rsidP="00BA6385">
      <w:pPr>
        <w:pStyle w:val="enumlev1"/>
      </w:pPr>
      <w:r w:rsidRPr="00E52A4A">
        <w:t>d)</w:t>
      </w:r>
      <w:r w:rsidRPr="00E52A4A">
        <w:tab/>
      </w:r>
      <w:r w:rsidR="000F3963" w:rsidRPr="00E52A4A">
        <w:t xml:space="preserve">La </w:t>
      </w:r>
      <w:r w:rsidR="00605227" w:rsidRPr="00E52A4A">
        <w:t>politique d</w:t>
      </w:r>
      <w:r w:rsidR="0066772A" w:rsidRPr="00E52A4A">
        <w:t>'</w:t>
      </w:r>
      <w:r w:rsidR="00605227" w:rsidRPr="00E52A4A">
        <w:t>achat des billets</w:t>
      </w:r>
      <w:r w:rsidR="000F3963" w:rsidRPr="00E52A4A">
        <w:t xml:space="preserve"> d</w:t>
      </w:r>
      <w:r w:rsidR="0066772A" w:rsidRPr="00E52A4A">
        <w:t>'</w:t>
      </w:r>
      <w:r w:rsidR="000F3963" w:rsidRPr="00E52A4A">
        <w:t>avion à l</w:t>
      </w:r>
      <w:r w:rsidR="0066772A" w:rsidRPr="00E52A4A">
        <w:t>'</w:t>
      </w:r>
      <w:r w:rsidR="000F3963" w:rsidRPr="00E52A4A">
        <w:t>avance doit être respectée</w:t>
      </w:r>
      <w:r w:rsidR="00605227" w:rsidRPr="00E52A4A">
        <w:t>. L</w:t>
      </w:r>
      <w:r w:rsidR="000F3963" w:rsidRPr="00E52A4A">
        <w:t>a</w:t>
      </w:r>
      <w:r w:rsidR="00605227" w:rsidRPr="00E52A4A">
        <w:t xml:space="preserve"> Secrétaire</w:t>
      </w:r>
      <w:r w:rsidR="00FB7F04" w:rsidRPr="00E52A4A">
        <w:t> </w:t>
      </w:r>
      <w:r w:rsidR="00605227" w:rsidRPr="00E52A4A">
        <w:t>général</w:t>
      </w:r>
      <w:r w:rsidR="000F3963" w:rsidRPr="00E52A4A">
        <w:t>e</w:t>
      </w:r>
      <w:r w:rsidR="00605227" w:rsidRPr="00E52A4A">
        <w:t xml:space="preserve"> continue de s</w:t>
      </w:r>
      <w:r w:rsidR="0066772A" w:rsidRPr="00E52A4A">
        <w:t>'</w:t>
      </w:r>
      <w:r w:rsidR="00605227" w:rsidRPr="00E52A4A">
        <w:t xml:space="preserve">appuyer sur les efforts déployés par </w:t>
      </w:r>
      <w:r w:rsidR="0028252D" w:rsidRPr="00E52A4A">
        <w:t>l</w:t>
      </w:r>
      <w:r w:rsidR="0066772A" w:rsidRPr="00E52A4A">
        <w:t>'</w:t>
      </w:r>
      <w:r w:rsidR="0028252D" w:rsidRPr="00E52A4A">
        <w:t xml:space="preserve">équipe de direction </w:t>
      </w:r>
      <w:r w:rsidR="00605227" w:rsidRPr="00E52A4A">
        <w:t>précédente pour faire en sorte que les voyages soient gérés de manière plus efficace et plus rentable. Des plans de voyage ont été établis et chiffrés pour toutes les unités de l</w:t>
      </w:r>
      <w:r w:rsidR="0066772A" w:rsidRPr="00E52A4A">
        <w:t>'</w:t>
      </w:r>
      <w:r w:rsidR="00605227" w:rsidRPr="00E52A4A">
        <w:t>UIT et un contrôle régulier sera effectué</w:t>
      </w:r>
      <w:r w:rsidR="00FB7F04" w:rsidRPr="00E52A4A">
        <w:t>.</w:t>
      </w:r>
    </w:p>
    <w:p w14:paraId="1034E01D" w14:textId="74915396" w:rsidR="00062A6A" w:rsidRPr="00E52A4A" w:rsidRDefault="00062A6A" w:rsidP="00BA6385">
      <w:pPr>
        <w:pStyle w:val="enumlev1"/>
      </w:pPr>
      <w:r w:rsidRPr="00E52A4A">
        <w:t>e)</w:t>
      </w:r>
      <w:r w:rsidRPr="00E52A4A">
        <w:tab/>
      </w:r>
      <w:r w:rsidR="000F3963" w:rsidRPr="00E52A4A">
        <w:t>Les</w:t>
      </w:r>
      <w:r w:rsidR="00605227" w:rsidRPr="00E52A4A">
        <w:t xml:space="preserve"> processus </w:t>
      </w:r>
      <w:r w:rsidR="000F3963" w:rsidRPr="00E52A4A">
        <w:t>relatifs aux</w:t>
      </w:r>
      <w:r w:rsidR="00605227" w:rsidRPr="00E52A4A">
        <w:t xml:space="preserve"> ressources humaines </w:t>
      </w:r>
      <w:r w:rsidR="000F3963" w:rsidRPr="00E52A4A">
        <w:t xml:space="preserve">qui ont trait </w:t>
      </w:r>
      <w:r w:rsidR="00605227" w:rsidRPr="00E52A4A">
        <w:t>à l</w:t>
      </w:r>
      <w:r w:rsidR="0066772A" w:rsidRPr="00E52A4A">
        <w:t>'</w:t>
      </w:r>
      <w:r w:rsidR="00605227" w:rsidRPr="00E52A4A">
        <w:t xml:space="preserve">acquisition </w:t>
      </w:r>
      <w:r w:rsidR="000F3963" w:rsidRPr="00E52A4A">
        <w:t>de talents, à</w:t>
      </w:r>
      <w:r w:rsidR="00FB7F04" w:rsidRPr="00E52A4A">
        <w:t> </w:t>
      </w:r>
      <w:r w:rsidR="000F3963" w:rsidRPr="00E52A4A">
        <w:t xml:space="preserve">la formation et au renforcement </w:t>
      </w:r>
      <w:r w:rsidR="00605227" w:rsidRPr="00E52A4A">
        <w:t>des compétences</w:t>
      </w:r>
      <w:r w:rsidR="000F3963" w:rsidRPr="00E52A4A">
        <w:t xml:space="preserve"> seront mis en </w:t>
      </w:r>
      <w:r w:rsidR="00FD0652" w:rsidRPr="00E52A4A">
        <w:t>œuvre</w:t>
      </w:r>
      <w:r w:rsidR="00605227" w:rsidRPr="00E52A4A">
        <w:t>. L</w:t>
      </w:r>
      <w:r w:rsidR="000F3963" w:rsidRPr="00E52A4A">
        <w:t>a</w:t>
      </w:r>
      <w:r w:rsidR="00FB7F04" w:rsidRPr="00E52A4A">
        <w:t> </w:t>
      </w:r>
      <w:r w:rsidR="00605227" w:rsidRPr="00E52A4A">
        <w:t>Secrétaire</w:t>
      </w:r>
      <w:r w:rsidR="00FB7F04" w:rsidRPr="00E52A4A">
        <w:t> </w:t>
      </w:r>
      <w:r w:rsidR="00605227" w:rsidRPr="00E52A4A">
        <w:t>général</w:t>
      </w:r>
      <w:r w:rsidR="000F3963" w:rsidRPr="00E52A4A">
        <w:t>e</w:t>
      </w:r>
      <w:r w:rsidR="00605227" w:rsidRPr="00E52A4A">
        <w:t xml:space="preserve"> est </w:t>
      </w:r>
      <w:r w:rsidR="000F3963" w:rsidRPr="00E52A4A">
        <w:t>déterminée</w:t>
      </w:r>
      <w:r w:rsidR="00605227" w:rsidRPr="00E52A4A">
        <w:t xml:space="preserve"> à continuer de renforcer un cadre de recrutement qui permette à l</w:t>
      </w:r>
      <w:r w:rsidR="0066772A" w:rsidRPr="00E52A4A">
        <w:t>'</w:t>
      </w:r>
      <w:r w:rsidR="00605227" w:rsidRPr="00E52A4A">
        <w:t xml:space="preserve">Organisation </w:t>
      </w:r>
      <w:r w:rsidR="0028252D" w:rsidRPr="00E52A4A">
        <w:t>de recenser</w:t>
      </w:r>
      <w:r w:rsidR="00605227" w:rsidRPr="00E52A4A">
        <w:t>, d</w:t>
      </w:r>
      <w:r w:rsidR="0066772A" w:rsidRPr="00E52A4A">
        <w:t>'</w:t>
      </w:r>
      <w:r w:rsidR="00605227" w:rsidRPr="00E52A4A">
        <w:t>attirer et d</w:t>
      </w:r>
      <w:r w:rsidR="0066772A" w:rsidRPr="00E52A4A">
        <w:t>'</w:t>
      </w:r>
      <w:r w:rsidR="00605227" w:rsidRPr="00E52A4A">
        <w:t xml:space="preserve">acquérir des talents diversifiés </w:t>
      </w:r>
      <w:r w:rsidR="0028252D" w:rsidRPr="00E52A4A">
        <w:t>venant du monde entier</w:t>
      </w:r>
      <w:r w:rsidR="00605227" w:rsidRPr="00E52A4A">
        <w:t xml:space="preserve">, de manière rapide, efficace, équitable et professionnelle, afin de </w:t>
      </w:r>
      <w:r w:rsidR="0028252D" w:rsidRPr="00E52A4A">
        <w:t xml:space="preserve">mener à bien </w:t>
      </w:r>
      <w:r w:rsidR="00605227" w:rsidRPr="00E52A4A">
        <w:t>efficacement des activités qui lui ont été confiées</w:t>
      </w:r>
      <w:r w:rsidR="00FB7F04" w:rsidRPr="00E52A4A">
        <w:t>.</w:t>
      </w:r>
    </w:p>
    <w:p w14:paraId="45900F28" w14:textId="6C048186" w:rsidR="00062A6A" w:rsidRPr="00E52A4A" w:rsidRDefault="00062A6A" w:rsidP="00D718E7">
      <w:pPr>
        <w:pStyle w:val="enumlev1"/>
        <w:keepNext/>
        <w:keepLines/>
      </w:pPr>
      <w:r w:rsidRPr="00E52A4A">
        <w:lastRenderedPageBreak/>
        <w:t>f)</w:t>
      </w:r>
      <w:r w:rsidRPr="00E52A4A">
        <w:tab/>
      </w:r>
      <w:r w:rsidR="00F93275" w:rsidRPr="00E52A4A">
        <w:t xml:space="preserve">Les </w:t>
      </w:r>
      <w:r w:rsidR="00605227" w:rsidRPr="00E52A4A">
        <w:t xml:space="preserve">principes de protection des données personnelles et de </w:t>
      </w:r>
      <w:r w:rsidR="00F93275" w:rsidRPr="00E52A4A">
        <w:t xml:space="preserve">respect de la </w:t>
      </w:r>
      <w:r w:rsidR="00605227" w:rsidRPr="00E52A4A">
        <w:t>vie privée</w:t>
      </w:r>
      <w:r w:rsidR="00F93275" w:rsidRPr="00E52A4A">
        <w:t xml:space="preserve"> doivent être appliqués</w:t>
      </w:r>
      <w:r w:rsidR="00605227" w:rsidRPr="00E52A4A">
        <w:t>. L</w:t>
      </w:r>
      <w:r w:rsidR="0066772A" w:rsidRPr="00E52A4A">
        <w:t>'</w:t>
      </w:r>
      <w:r w:rsidR="00605227" w:rsidRPr="00E52A4A">
        <w:t xml:space="preserve">Organisation a </w:t>
      </w:r>
      <w:r w:rsidR="00F93275" w:rsidRPr="00E52A4A">
        <w:t>achevé l</w:t>
      </w:r>
      <w:r w:rsidR="0066772A" w:rsidRPr="00E52A4A">
        <w:t>'</w:t>
      </w:r>
      <w:r w:rsidR="00F93275" w:rsidRPr="00E52A4A">
        <w:t xml:space="preserve">élaboration de </w:t>
      </w:r>
      <w:r w:rsidR="00605227" w:rsidRPr="00E52A4A">
        <w:t>sa politique en matière de confidentialité et de protection des données, qui sera suivie d</w:t>
      </w:r>
      <w:r w:rsidR="0066772A" w:rsidRPr="00E52A4A">
        <w:t>'</w:t>
      </w:r>
      <w:r w:rsidR="00605227" w:rsidRPr="00E52A4A">
        <w:t xml:space="preserve">un programme complet </w:t>
      </w:r>
      <w:r w:rsidR="00F93275" w:rsidRPr="00E52A4A">
        <w:t xml:space="preserve">en </w:t>
      </w:r>
      <w:r w:rsidR="0028252D" w:rsidRPr="00E52A4A">
        <w:t>la matière</w:t>
      </w:r>
      <w:r w:rsidR="00605227" w:rsidRPr="00E52A4A">
        <w:t>. Le ou les responsables du traitement des données concernés seront chargés d</w:t>
      </w:r>
      <w:r w:rsidR="0066772A" w:rsidRPr="00E52A4A">
        <w:t>'</w:t>
      </w:r>
      <w:r w:rsidR="00605227" w:rsidRPr="00E52A4A">
        <w:t xml:space="preserve">intégrer les contrôles approuvés en matière de protection des données et de </w:t>
      </w:r>
      <w:r w:rsidR="0028252D" w:rsidRPr="00E52A4A">
        <w:t xml:space="preserve">respect de la vie privée </w:t>
      </w:r>
      <w:r w:rsidR="00605227" w:rsidRPr="00E52A4A">
        <w:t>dans les systèmes correspondants</w:t>
      </w:r>
      <w:r w:rsidR="00FB7F04" w:rsidRPr="00E52A4A">
        <w:t>.</w:t>
      </w:r>
    </w:p>
    <w:p w14:paraId="561644DB" w14:textId="3E6D59D1" w:rsidR="00062A6A" w:rsidRPr="00E52A4A" w:rsidRDefault="00062A6A" w:rsidP="00BA6385">
      <w:pPr>
        <w:pStyle w:val="enumlev1"/>
      </w:pPr>
      <w:r w:rsidRPr="00E52A4A">
        <w:t>g)</w:t>
      </w:r>
      <w:r w:rsidRPr="00E52A4A">
        <w:tab/>
      </w:r>
      <w:r w:rsidR="00605227" w:rsidRPr="00E52A4A">
        <w:t>La direction de l</w:t>
      </w:r>
      <w:r w:rsidR="0066772A" w:rsidRPr="00E52A4A">
        <w:t>'</w:t>
      </w:r>
      <w:r w:rsidR="00605227" w:rsidRPr="00E52A4A">
        <w:t>UIT reconnaît l</w:t>
      </w:r>
      <w:r w:rsidR="0066772A" w:rsidRPr="00E52A4A">
        <w:t>'</w:t>
      </w:r>
      <w:r w:rsidR="00605227" w:rsidRPr="00E52A4A">
        <w:t xml:space="preserve">importance </w:t>
      </w:r>
      <w:r w:rsidR="00F93275" w:rsidRPr="00E52A4A">
        <w:t>majeure de disposer de</w:t>
      </w:r>
      <w:r w:rsidR="00605227" w:rsidRPr="00E52A4A">
        <w:t xml:space="preserve"> données financières </w:t>
      </w:r>
      <w:r w:rsidR="0028252D" w:rsidRPr="00E52A4A">
        <w:t>essentielles</w:t>
      </w:r>
      <w:r w:rsidR="00F93275" w:rsidRPr="00E52A4A">
        <w:t>, de</w:t>
      </w:r>
      <w:r w:rsidR="00605227" w:rsidRPr="00E52A4A">
        <w:t xml:space="preserve"> compétences financières et </w:t>
      </w:r>
      <w:r w:rsidR="00F93275" w:rsidRPr="00E52A4A">
        <w:t>de</w:t>
      </w:r>
      <w:r w:rsidR="00605227" w:rsidRPr="00E52A4A">
        <w:t xml:space="preserve"> processus </w:t>
      </w:r>
      <w:r w:rsidR="00F93275" w:rsidRPr="00E52A4A">
        <w:t>robustes</w:t>
      </w:r>
      <w:r w:rsidR="00605227" w:rsidRPr="00E52A4A">
        <w:t xml:space="preserve"> pour l</w:t>
      </w:r>
      <w:r w:rsidR="0066772A" w:rsidRPr="00E52A4A">
        <w:t>'</w:t>
      </w:r>
      <w:r w:rsidR="00605227" w:rsidRPr="00E52A4A">
        <w:t>établissement d</w:t>
      </w:r>
      <w:r w:rsidR="0066772A" w:rsidRPr="00E52A4A">
        <w:t>'</w:t>
      </w:r>
      <w:r w:rsidR="00605227" w:rsidRPr="00E52A4A">
        <w:t>états financiers corrects et détaillés, l</w:t>
      </w:r>
      <w:r w:rsidR="0066772A" w:rsidRPr="00E52A4A">
        <w:t>'</w:t>
      </w:r>
      <w:r w:rsidR="00605227" w:rsidRPr="00E52A4A">
        <w:t>accent étant mis sur l</w:t>
      </w:r>
      <w:r w:rsidR="0066772A" w:rsidRPr="00E52A4A">
        <w:t>'</w:t>
      </w:r>
      <w:r w:rsidR="00605227" w:rsidRPr="00E52A4A">
        <w:t xml:space="preserve">amélioration de </w:t>
      </w:r>
      <w:r w:rsidR="00F93275" w:rsidRPr="00E52A4A">
        <w:t xml:space="preserve">la présentation de </w:t>
      </w:r>
      <w:r w:rsidR="00605227" w:rsidRPr="00E52A4A">
        <w:t>l</w:t>
      </w:r>
      <w:r w:rsidR="0066772A" w:rsidRPr="00E52A4A">
        <w:t>'</w:t>
      </w:r>
      <w:r w:rsidR="00605227" w:rsidRPr="00E52A4A">
        <w:t xml:space="preserve">information financière et la mise en conformité avec les normes IPSAS. En 2023, </w:t>
      </w:r>
      <w:r w:rsidR="00F93275" w:rsidRPr="00E52A4A">
        <w:t>compte tenu</w:t>
      </w:r>
      <w:r w:rsidR="00605227" w:rsidRPr="00E52A4A">
        <w:t xml:space="preserve"> des lacunes notables </w:t>
      </w:r>
      <w:r w:rsidR="00F93275" w:rsidRPr="00E52A4A">
        <w:t>que présentaient les</w:t>
      </w:r>
      <w:r w:rsidR="00605227" w:rsidRPr="00E52A4A">
        <w:t xml:space="preserve"> états financiers de 2022, comme l</w:t>
      </w:r>
      <w:r w:rsidR="0066772A" w:rsidRPr="00E52A4A">
        <w:t>'</w:t>
      </w:r>
      <w:r w:rsidR="00605227" w:rsidRPr="00E52A4A">
        <w:t xml:space="preserve">a noté </w:t>
      </w:r>
      <w:r w:rsidR="00F93275" w:rsidRPr="00E52A4A">
        <w:t>le Vérificateur extérieur des comptes</w:t>
      </w:r>
      <w:r w:rsidR="00605227" w:rsidRPr="00E52A4A">
        <w:t xml:space="preserve">, et des lacunes </w:t>
      </w:r>
      <w:r w:rsidR="00F93275" w:rsidRPr="00E52A4A">
        <w:t xml:space="preserve">recensées </w:t>
      </w:r>
      <w:r w:rsidR="00605227" w:rsidRPr="00E52A4A">
        <w:t xml:space="preserve">dans les documents financiers essentiels, nous avons </w:t>
      </w:r>
      <w:r w:rsidR="00F93275" w:rsidRPr="00E52A4A">
        <w:t>eu recours à des</w:t>
      </w:r>
      <w:r w:rsidR="00605227" w:rsidRPr="00E52A4A">
        <w:t xml:space="preserve"> consultants externes et</w:t>
      </w:r>
      <w:r w:rsidR="00F93275" w:rsidRPr="00E52A4A">
        <w:t xml:space="preserve">, grâce au </w:t>
      </w:r>
      <w:r w:rsidR="00605227" w:rsidRPr="00E52A4A">
        <w:t>dévouement de notre équipe des finances</w:t>
      </w:r>
      <w:r w:rsidR="00F93275" w:rsidRPr="00E52A4A">
        <w:t>, ces inexactitudes ont été corrigées et les registres ont été mis en conformité avec les normes</w:t>
      </w:r>
      <w:r w:rsidR="00605227" w:rsidRPr="00E52A4A">
        <w:t xml:space="preserve">. </w:t>
      </w:r>
      <w:r w:rsidR="00F93275" w:rsidRPr="00E52A4A">
        <w:t xml:space="preserve">Cet exercice </w:t>
      </w:r>
      <w:r w:rsidR="00605227" w:rsidRPr="00E52A4A">
        <w:t xml:space="preserve">était essentiel, compte tenu des préoccupations soulevées par le </w:t>
      </w:r>
      <w:r w:rsidR="00FB7F04" w:rsidRPr="00E52A4A">
        <w:t>V</w:t>
      </w:r>
      <w:r w:rsidR="00605227" w:rsidRPr="00E52A4A">
        <w:t>érificateur extérieur</w:t>
      </w:r>
      <w:r w:rsidR="00F93275" w:rsidRPr="00E52A4A">
        <w:t xml:space="preserve"> des comptes</w:t>
      </w:r>
      <w:r w:rsidR="00605227" w:rsidRPr="00E52A4A">
        <w:t xml:space="preserve">, des retards </w:t>
      </w:r>
      <w:r w:rsidR="00F93275" w:rsidRPr="00E52A4A">
        <w:t xml:space="preserve">enregistrés </w:t>
      </w:r>
      <w:r w:rsidR="00605227" w:rsidRPr="00E52A4A">
        <w:t xml:space="preserve">dans </w:t>
      </w:r>
      <w:r w:rsidR="00F93275" w:rsidRPr="00E52A4A">
        <w:t>l</w:t>
      </w:r>
      <w:r w:rsidR="0066772A" w:rsidRPr="00E52A4A">
        <w:t>'</w:t>
      </w:r>
      <w:r w:rsidR="00F93275" w:rsidRPr="00E52A4A">
        <w:t xml:space="preserve">élaboration </w:t>
      </w:r>
      <w:r w:rsidR="00605227" w:rsidRPr="00E52A4A">
        <w:t>d</w:t>
      </w:r>
      <w:r w:rsidR="0066772A" w:rsidRPr="00E52A4A">
        <w:t>'</w:t>
      </w:r>
      <w:r w:rsidR="00605227" w:rsidRPr="00E52A4A">
        <w:t xml:space="preserve">états financiers vérifiables et du risque </w:t>
      </w:r>
      <w:r w:rsidR="00512EF0" w:rsidRPr="00E52A4A">
        <w:t xml:space="preserve">induit </w:t>
      </w:r>
      <w:r w:rsidR="00605227" w:rsidRPr="00E52A4A">
        <w:t>pour la réputation de l</w:t>
      </w:r>
      <w:r w:rsidR="0066772A" w:rsidRPr="00E52A4A">
        <w:t>'</w:t>
      </w:r>
      <w:r w:rsidR="00605227" w:rsidRPr="00E52A4A">
        <w:t xml:space="preserve">UIT. Les efforts conjugués </w:t>
      </w:r>
      <w:r w:rsidR="00512EF0" w:rsidRPr="00E52A4A">
        <w:t xml:space="preserve">qui ont été déployés pour mettre à jour les états financiers et </w:t>
      </w:r>
      <w:r w:rsidR="00532206" w:rsidRPr="00E52A4A">
        <w:t>les aligner</w:t>
      </w:r>
      <w:r w:rsidR="00605227" w:rsidRPr="00E52A4A">
        <w:t xml:space="preserve"> sur les soldes de comptes courants ont permis de s</w:t>
      </w:r>
      <w:r w:rsidR="0066772A" w:rsidRPr="00E52A4A">
        <w:t>'</w:t>
      </w:r>
      <w:r w:rsidR="00605227" w:rsidRPr="00E52A4A">
        <w:t>assurer que les états financiers sont de qualité vérifiable. L</w:t>
      </w:r>
      <w:r w:rsidR="0066772A" w:rsidRPr="00E52A4A">
        <w:t>'</w:t>
      </w:r>
      <w:r w:rsidR="00605227" w:rsidRPr="00E52A4A">
        <w:t>accent continuera d</w:t>
      </w:r>
      <w:r w:rsidR="0066772A" w:rsidRPr="00E52A4A">
        <w:t>'</w:t>
      </w:r>
      <w:r w:rsidR="00605227" w:rsidRPr="00E52A4A">
        <w:t xml:space="preserve">être mis sur la tenue rigoureuse de tous les comptes, en particulier pour assurer une évaluation précise des arriérés, des </w:t>
      </w:r>
      <w:r w:rsidR="00532206" w:rsidRPr="00E52A4A">
        <w:t xml:space="preserve">créances </w:t>
      </w:r>
      <w:r w:rsidR="00605227" w:rsidRPr="00E52A4A">
        <w:t>et des fonds extrabudgétaires. Une telle diligence est primordiale</w:t>
      </w:r>
      <w:r w:rsidR="00532206" w:rsidRPr="00E52A4A">
        <w:t>,</w:t>
      </w:r>
      <w:r w:rsidR="00605227" w:rsidRPr="00E52A4A">
        <w:t xml:space="preserve"> non seulement pour</w:t>
      </w:r>
      <w:r w:rsidR="00532206" w:rsidRPr="00E52A4A">
        <w:t xml:space="preserve"> assurer</w:t>
      </w:r>
      <w:r w:rsidR="00605227" w:rsidRPr="00E52A4A">
        <w:t xml:space="preserve"> une représentation précise des actifs et des passifs, mais aussi pour renforcer nos processus financiers sous-jacents et nos cadres comptables. En outre, bien que les efforts entrepris aient permis d</w:t>
      </w:r>
      <w:r w:rsidR="0066772A" w:rsidRPr="00E52A4A">
        <w:t>'</w:t>
      </w:r>
      <w:r w:rsidR="00605227" w:rsidRPr="00E52A4A">
        <w:t>améliorer sensiblement la qualité de nos comptes, il nous faudra continuer de veiller à ce que les pratiques appropriées soient intégrées de manière durable dans la gestion financière de l</w:t>
      </w:r>
      <w:r w:rsidR="0066772A" w:rsidRPr="00E52A4A">
        <w:t>'</w:t>
      </w:r>
      <w:r w:rsidR="00605227" w:rsidRPr="00E52A4A">
        <w:t xml:space="preserve">UIT et à ce que les comptes pour 2023 et </w:t>
      </w:r>
      <w:r w:rsidR="00D9572E" w:rsidRPr="00E52A4A">
        <w:t>dans le futur</w:t>
      </w:r>
      <w:r w:rsidR="00605227" w:rsidRPr="00E52A4A">
        <w:t xml:space="preserve"> soient </w:t>
      </w:r>
      <w:r w:rsidR="00532206" w:rsidRPr="00E52A4A">
        <w:t>établis selon le</w:t>
      </w:r>
      <w:r w:rsidR="00605227" w:rsidRPr="00E52A4A">
        <w:t xml:space="preserve"> niveau de qualité requis. Les capacités et les compétences en matière de gestion financière devront également être considérablement renforcées.</w:t>
      </w:r>
    </w:p>
    <w:p w14:paraId="5FA6367D" w14:textId="5677D5F6" w:rsidR="00062A6A" w:rsidRPr="00E52A4A" w:rsidRDefault="00062A6A" w:rsidP="00BA6385">
      <w:pPr>
        <w:pStyle w:val="Headingb"/>
      </w:pPr>
      <w:r w:rsidRPr="00E52A4A">
        <w:t>Conclusion</w:t>
      </w:r>
    </w:p>
    <w:p w14:paraId="457B833F" w14:textId="0BC15EF3" w:rsidR="00605227" w:rsidRPr="00E52A4A" w:rsidRDefault="00605227" w:rsidP="00605227">
      <w:r w:rsidRPr="00E52A4A">
        <w:t xml:space="preserve">Je </w:t>
      </w:r>
      <w:r w:rsidR="00532206" w:rsidRPr="00E52A4A">
        <w:t xml:space="preserve">suis déterminée à </w:t>
      </w:r>
      <w:r w:rsidRPr="00E52A4A">
        <w:t xml:space="preserve">bâtir une organisation </w:t>
      </w:r>
      <w:r w:rsidR="00532206" w:rsidRPr="00E52A4A">
        <w:t>qui soit fondée sur l</w:t>
      </w:r>
      <w:r w:rsidR="0066772A" w:rsidRPr="00E52A4A">
        <w:t>'</w:t>
      </w:r>
      <w:r w:rsidRPr="00E52A4A">
        <w:t xml:space="preserve">excellence, non seulement dans la </w:t>
      </w:r>
      <w:r w:rsidR="00532206" w:rsidRPr="00E52A4A">
        <w:t xml:space="preserve">fourniture </w:t>
      </w:r>
      <w:r w:rsidRPr="00E52A4A">
        <w:t xml:space="preserve">de services </w:t>
      </w:r>
      <w:r w:rsidR="00532206" w:rsidRPr="00E52A4A">
        <w:t>extérieurs</w:t>
      </w:r>
      <w:r w:rsidRPr="00E52A4A">
        <w:t xml:space="preserve">, mais aussi </w:t>
      </w:r>
      <w:r w:rsidR="00532206" w:rsidRPr="00E52A4A">
        <w:t xml:space="preserve">en </w:t>
      </w:r>
      <w:r w:rsidRPr="00E52A4A">
        <w:t xml:space="preserve">interne, </w:t>
      </w:r>
      <w:r w:rsidR="00532206" w:rsidRPr="00E52A4A">
        <w:t xml:space="preserve">et digne de la confiance de </w:t>
      </w:r>
      <w:r w:rsidRPr="00E52A4A">
        <w:t xml:space="preserve">nos membres et </w:t>
      </w:r>
      <w:r w:rsidR="00532206" w:rsidRPr="00E52A4A">
        <w:t xml:space="preserve">de </w:t>
      </w:r>
      <w:r w:rsidRPr="00E52A4A">
        <w:t>notre personnel.</w:t>
      </w:r>
    </w:p>
    <w:p w14:paraId="3A36A208" w14:textId="75859E11" w:rsidR="00605227" w:rsidRPr="00E52A4A" w:rsidRDefault="00605227" w:rsidP="00605227">
      <w:r w:rsidRPr="00E52A4A">
        <w:t>Comme indiqué ci-dessus, j</w:t>
      </w:r>
      <w:r w:rsidR="0066772A" w:rsidRPr="00E52A4A">
        <w:t>'</w:t>
      </w:r>
      <w:r w:rsidRPr="00E52A4A">
        <w:t>ai pris mes fonctions en janvier 2023</w:t>
      </w:r>
      <w:r w:rsidR="00532206" w:rsidRPr="00E52A4A">
        <w:t>. P</w:t>
      </w:r>
      <w:r w:rsidRPr="00E52A4A">
        <w:t>ar conséquent, je</w:t>
      </w:r>
      <w:r w:rsidR="0079700A" w:rsidRPr="00E52A4A">
        <w:t> </w:t>
      </w:r>
      <w:r w:rsidRPr="00E52A4A">
        <w:t>m</w:t>
      </w:r>
      <w:r w:rsidR="0066772A" w:rsidRPr="00E52A4A">
        <w:t>'</w:t>
      </w:r>
      <w:r w:rsidRPr="00E52A4A">
        <w:t xml:space="preserve">appuie sur le cadre de contrôle interne qui était en </w:t>
      </w:r>
      <w:r w:rsidR="00532206" w:rsidRPr="00E52A4A">
        <w:t>vigueur</w:t>
      </w:r>
      <w:r w:rsidRPr="00E52A4A">
        <w:t xml:space="preserve"> jusqu</w:t>
      </w:r>
      <w:r w:rsidR="0066772A" w:rsidRPr="00E52A4A">
        <w:t>'</w:t>
      </w:r>
      <w:r w:rsidRPr="00E52A4A">
        <w:t>à</w:t>
      </w:r>
      <w:r w:rsidR="00532206" w:rsidRPr="00E52A4A">
        <w:t xml:space="preserve"> cette date</w:t>
      </w:r>
      <w:r w:rsidRPr="00E52A4A">
        <w:t xml:space="preserve">, ainsi que sur les décisions prises par </w:t>
      </w:r>
      <w:r w:rsidR="00D9572E" w:rsidRPr="00E52A4A">
        <w:t>l</w:t>
      </w:r>
      <w:r w:rsidR="0066772A" w:rsidRPr="00E52A4A">
        <w:t>'</w:t>
      </w:r>
      <w:r w:rsidR="00D9572E" w:rsidRPr="00E52A4A">
        <w:t xml:space="preserve">équipe de direction </w:t>
      </w:r>
      <w:r w:rsidRPr="00E52A4A">
        <w:t xml:space="preserve">précédente. </w:t>
      </w:r>
      <w:r w:rsidR="00532206" w:rsidRPr="00E52A4A">
        <w:t>J</w:t>
      </w:r>
      <w:r w:rsidR="0066772A" w:rsidRPr="00E52A4A">
        <w:t>'</w:t>
      </w:r>
      <w:r w:rsidR="00532206" w:rsidRPr="00E52A4A">
        <w:t xml:space="preserve">ai jugé </w:t>
      </w:r>
      <w:r w:rsidRPr="00E52A4A">
        <w:t xml:space="preserve">important, dès le début de mon mandat, de </w:t>
      </w:r>
      <w:r w:rsidR="00532206" w:rsidRPr="00E52A4A">
        <w:t>"</w:t>
      </w:r>
      <w:r w:rsidRPr="00E52A4A">
        <w:t>donner l</w:t>
      </w:r>
      <w:r w:rsidR="0066772A" w:rsidRPr="00E52A4A">
        <w:t>'</w:t>
      </w:r>
      <w:r w:rsidR="00532206" w:rsidRPr="00E52A4A">
        <w:t xml:space="preserve">exemple au plus haut niveau" </w:t>
      </w:r>
      <w:r w:rsidRPr="00E52A4A">
        <w:t xml:space="preserve">et de veiller à ce que les </w:t>
      </w:r>
      <w:r w:rsidR="00532206" w:rsidRPr="00E52A4A">
        <w:t>lacunes</w:t>
      </w:r>
      <w:r w:rsidRPr="00E52A4A">
        <w:t xml:space="preserve"> des contrôles internes soient corrigées. La haute direction </w:t>
      </w:r>
      <w:r w:rsidR="00D9572E" w:rsidRPr="00E52A4A">
        <w:t>s</w:t>
      </w:r>
      <w:r w:rsidR="0066772A" w:rsidRPr="00E52A4A">
        <w:t>'</w:t>
      </w:r>
      <w:r w:rsidR="00D9572E" w:rsidRPr="00E52A4A">
        <w:t xml:space="preserve">attachera à </w:t>
      </w:r>
      <w:r w:rsidRPr="00E52A4A">
        <w:t xml:space="preserve">examiner et </w:t>
      </w:r>
      <w:r w:rsidR="00D9572E" w:rsidRPr="00E52A4A">
        <w:t xml:space="preserve">à </w:t>
      </w:r>
      <w:r w:rsidRPr="00E52A4A">
        <w:t>améliorer notre cadre de contrôle interne pour veiller à ce qu</w:t>
      </w:r>
      <w:r w:rsidR="0066772A" w:rsidRPr="00E52A4A">
        <w:t>'</w:t>
      </w:r>
      <w:r w:rsidRPr="00E52A4A">
        <w:t xml:space="preserve">il soit mis en </w:t>
      </w:r>
      <w:r w:rsidR="00FD0652" w:rsidRPr="00E52A4A">
        <w:t>œuvre</w:t>
      </w:r>
      <w:r w:rsidRPr="00E52A4A">
        <w:t xml:space="preserve"> et adapté à l</w:t>
      </w:r>
      <w:r w:rsidR="0066772A" w:rsidRPr="00E52A4A">
        <w:t>'</w:t>
      </w:r>
      <w:r w:rsidRPr="00E52A4A">
        <w:t>évolution des besoins de l</w:t>
      </w:r>
      <w:r w:rsidR="0066772A" w:rsidRPr="00E52A4A">
        <w:t>'</w:t>
      </w:r>
      <w:r w:rsidRPr="00E52A4A">
        <w:t>UIT.</w:t>
      </w:r>
    </w:p>
    <w:p w14:paraId="6A3B0535" w14:textId="15F65E92" w:rsidR="00605227" w:rsidRPr="00E52A4A" w:rsidRDefault="00605227" w:rsidP="00605227">
      <w:r w:rsidRPr="00E52A4A">
        <w:t>Ce travail sera encore renforcé par l</w:t>
      </w:r>
      <w:r w:rsidR="0066772A" w:rsidRPr="00E52A4A">
        <w:t>'</w:t>
      </w:r>
      <w:r w:rsidRPr="00E52A4A">
        <w:t xml:space="preserve">équipe </w:t>
      </w:r>
      <w:r w:rsidR="00194063" w:rsidRPr="00E52A4A">
        <w:t>chargée de la</w:t>
      </w:r>
      <w:r w:rsidRPr="00E52A4A">
        <w:t xml:space="preserve"> transformation interne</w:t>
      </w:r>
      <w:r w:rsidR="00194063" w:rsidRPr="00E52A4A">
        <w:t xml:space="preserve">, dont la création </w:t>
      </w:r>
      <w:r w:rsidRPr="00E52A4A">
        <w:t xml:space="preserve">a été approuvée lors de la session de juillet 2023 du Conseil. Cette équipe identifiera les domaines à améliorer, </w:t>
      </w:r>
      <w:r w:rsidR="00194063" w:rsidRPr="00E52A4A">
        <w:t xml:space="preserve">recensera </w:t>
      </w:r>
      <w:r w:rsidRPr="00E52A4A">
        <w:t>les principaux risques</w:t>
      </w:r>
      <w:r w:rsidR="00194063" w:rsidRPr="00E52A4A">
        <w:t xml:space="preserve"> et en rendra compte</w:t>
      </w:r>
      <w:r w:rsidRPr="00E52A4A">
        <w:t xml:space="preserve"> au Conseil, tout en mettant en œuvre les changements nécessaires pour renforcer notre </w:t>
      </w:r>
      <w:r w:rsidR="00194063" w:rsidRPr="00E52A4A">
        <w:t xml:space="preserve">système de </w:t>
      </w:r>
      <w:r w:rsidRPr="00E52A4A">
        <w:t>contrôle interne et améliorer les processus connexes, en particulier au sein des fonctions financières.</w:t>
      </w:r>
    </w:p>
    <w:p w14:paraId="47A75CCC" w14:textId="0A26316D" w:rsidR="00062A6A" w:rsidRPr="00E52A4A" w:rsidRDefault="00605227" w:rsidP="00605227">
      <w:r w:rsidRPr="00E52A4A">
        <w:lastRenderedPageBreak/>
        <w:t xml:space="preserve">Je me réjouis de collaborer avec les parties prenantes concernées, notamment le Conseil, le </w:t>
      </w:r>
      <w:r w:rsidR="0079700A" w:rsidRPr="00E52A4A">
        <w:t>V</w:t>
      </w:r>
      <w:r w:rsidRPr="00E52A4A">
        <w:t>érificateur extérieur des comptes, le Comité consultatif indépendant pour les questions de gestion, les autres fonctionnaires élus, les chefs de département et les chefs de division ou d</w:t>
      </w:r>
      <w:r w:rsidR="0066772A" w:rsidRPr="00E52A4A">
        <w:t>'</w:t>
      </w:r>
      <w:r w:rsidRPr="00E52A4A">
        <w:t xml:space="preserve">unité, </w:t>
      </w:r>
      <w:r w:rsidR="00194063" w:rsidRPr="00E52A4A">
        <w:t xml:space="preserve">afin de </w:t>
      </w:r>
      <w:r w:rsidRPr="00E52A4A">
        <w:t>faire en sorte que le cadre de contrôle interne soit conforme à l</w:t>
      </w:r>
      <w:r w:rsidR="0066772A" w:rsidRPr="00E52A4A">
        <w:t>'</w:t>
      </w:r>
      <w:r w:rsidRPr="00E52A4A">
        <w:t>orientation stratégique de l</w:t>
      </w:r>
      <w:r w:rsidR="0066772A" w:rsidRPr="00E52A4A">
        <w:t>'</w:t>
      </w:r>
      <w:r w:rsidRPr="00E52A4A">
        <w:t xml:space="preserve">UIT et appuie nos objectifs </w:t>
      </w:r>
      <w:r w:rsidR="00194063" w:rsidRPr="00E52A4A">
        <w:t xml:space="preserve">en matière de présentation </w:t>
      </w:r>
      <w:r w:rsidRPr="00E52A4A">
        <w:t>d</w:t>
      </w:r>
      <w:r w:rsidR="0066772A" w:rsidRPr="00E52A4A">
        <w:t>'</w:t>
      </w:r>
      <w:r w:rsidRPr="00E52A4A">
        <w:t>information</w:t>
      </w:r>
      <w:r w:rsidR="00194063" w:rsidRPr="00E52A4A">
        <w:t>s</w:t>
      </w:r>
      <w:r w:rsidRPr="00E52A4A">
        <w:t xml:space="preserve"> financière</w:t>
      </w:r>
      <w:r w:rsidR="00194063" w:rsidRPr="00E52A4A">
        <w:t>s</w:t>
      </w:r>
      <w:r w:rsidRPr="00E52A4A">
        <w:t xml:space="preserve"> et non financière</w:t>
      </w:r>
      <w:r w:rsidR="00194063" w:rsidRPr="00E52A4A">
        <w:t>s</w:t>
      </w:r>
      <w:r w:rsidRPr="00E52A4A">
        <w:t xml:space="preserve"> fiable</w:t>
      </w:r>
      <w:r w:rsidR="00194063" w:rsidRPr="00E52A4A">
        <w:t>s</w:t>
      </w:r>
      <w:r w:rsidRPr="00E52A4A">
        <w:t>, d</w:t>
      </w:r>
      <w:r w:rsidR="0066772A" w:rsidRPr="00E52A4A">
        <w:t>'</w:t>
      </w:r>
      <w:r w:rsidRPr="00E52A4A">
        <w:t xml:space="preserve">efficacité opérationnelle, </w:t>
      </w:r>
      <w:r w:rsidR="00194063" w:rsidRPr="00E52A4A">
        <w:t>de</w:t>
      </w:r>
      <w:r w:rsidRPr="00E52A4A">
        <w:t xml:space="preserve"> responsabilisation, </w:t>
      </w:r>
      <w:r w:rsidR="00194063" w:rsidRPr="00E52A4A">
        <w:t>de</w:t>
      </w:r>
      <w:r w:rsidRPr="00E52A4A">
        <w:t xml:space="preserve"> conformité et </w:t>
      </w:r>
      <w:r w:rsidR="00194063" w:rsidRPr="00E52A4A">
        <w:t>de</w:t>
      </w:r>
      <w:r w:rsidRPr="00E52A4A">
        <w:t xml:space="preserve"> prévention et </w:t>
      </w:r>
      <w:r w:rsidR="00194063" w:rsidRPr="00E52A4A">
        <w:t>de</w:t>
      </w:r>
      <w:r w:rsidRPr="00E52A4A">
        <w:t xml:space="preserve"> détection des activités frauduleuses.</w:t>
      </w:r>
    </w:p>
    <w:p w14:paraId="68AFA4A4" w14:textId="52E5B206" w:rsidR="00605227" w:rsidRPr="00E52A4A" w:rsidRDefault="00605227" w:rsidP="00605227">
      <w:r w:rsidRPr="00E52A4A">
        <w:t>Je réaffirme en outre que je veillerai à ce que la transition et le transfert aient lieu de manière formelle, complète et appropriée avec tous les futurs membres de l</w:t>
      </w:r>
      <w:r w:rsidR="0066772A" w:rsidRPr="00E52A4A">
        <w:t>'</w:t>
      </w:r>
      <w:r w:rsidRPr="00E52A4A">
        <w:t>équipe de direction de l</w:t>
      </w:r>
      <w:r w:rsidR="0066772A" w:rsidRPr="00E52A4A">
        <w:t>'</w:t>
      </w:r>
      <w:r w:rsidRPr="00E52A4A">
        <w:t>UIT.</w:t>
      </w:r>
    </w:p>
    <w:p w14:paraId="76E3A358" w14:textId="7FA516D8" w:rsidR="00062A6A" w:rsidRPr="00E52A4A" w:rsidRDefault="00605227" w:rsidP="00BA6385">
      <w:r w:rsidRPr="00E52A4A">
        <w:t>Compte tenu de ce qui précède, l</w:t>
      </w:r>
      <w:r w:rsidR="0066772A" w:rsidRPr="00E52A4A">
        <w:t>'</w:t>
      </w:r>
      <w:r w:rsidRPr="00E52A4A">
        <w:t xml:space="preserve">UIT </w:t>
      </w:r>
      <w:r w:rsidR="00194063" w:rsidRPr="00E52A4A">
        <w:t>doit</w:t>
      </w:r>
      <w:r w:rsidRPr="00E52A4A">
        <w:t xml:space="preserve"> continuer d</w:t>
      </w:r>
      <w:r w:rsidR="0066772A" w:rsidRPr="00E52A4A">
        <w:t>'</w:t>
      </w:r>
      <w:r w:rsidRPr="00E52A4A">
        <w:t>améliorer ses procédures de contrôle interne au cours des prochaines années. D</w:t>
      </w:r>
      <w:r w:rsidR="0066772A" w:rsidRPr="00E52A4A">
        <w:t>'</w:t>
      </w:r>
      <w:r w:rsidRPr="00E52A4A">
        <w:t>après les connaissances et les informations disponibles, le système de contrôle interne de l</w:t>
      </w:r>
      <w:r w:rsidR="0066772A" w:rsidRPr="00E52A4A">
        <w:t>'</w:t>
      </w:r>
      <w:r w:rsidRPr="00E52A4A">
        <w:t>Union sur les processus clés pour l</w:t>
      </w:r>
      <w:r w:rsidR="0066772A" w:rsidRPr="00E52A4A">
        <w:t>'</w:t>
      </w:r>
      <w:r w:rsidRPr="00E52A4A">
        <w:t xml:space="preserve">exercice clos le 31 décembre 2022 comportait des lacunes importantes auxquelles il convient de remédier. </w:t>
      </w:r>
      <w:r w:rsidR="0079700A" w:rsidRPr="00E52A4A">
        <w:t>É</w:t>
      </w:r>
      <w:r w:rsidRPr="00E52A4A">
        <w:t>tant donné que les travaux de rectification des états financiers ont pris fin en novembre 2023, je conclus qu</w:t>
      </w:r>
      <w:r w:rsidR="0066772A" w:rsidRPr="00E52A4A">
        <w:t>'</w:t>
      </w:r>
      <w:r w:rsidRPr="00E52A4A">
        <w:t>à la date d</w:t>
      </w:r>
      <w:r w:rsidR="0066772A" w:rsidRPr="00E52A4A">
        <w:t>'</w:t>
      </w:r>
      <w:r w:rsidRPr="00E52A4A">
        <w:t>approbation des états financiers, l</w:t>
      </w:r>
      <w:r w:rsidR="0066772A" w:rsidRPr="00E52A4A">
        <w:t>'</w:t>
      </w:r>
      <w:r w:rsidRPr="00E52A4A">
        <w:t>UIT disposait d</w:t>
      </w:r>
      <w:r w:rsidR="0066772A" w:rsidRPr="00E52A4A">
        <w:t>'</w:t>
      </w:r>
      <w:r w:rsidRPr="00E52A4A">
        <w:t>un système de contrôle interne des principaux processus</w:t>
      </w:r>
      <w:r w:rsidR="00194063" w:rsidRPr="00E52A4A">
        <w:t xml:space="preserve"> relativement efficace</w:t>
      </w:r>
      <w:r w:rsidRPr="00E52A4A">
        <w:t xml:space="preserve">. </w:t>
      </w:r>
      <w:r w:rsidR="005E4444" w:rsidRPr="00E52A4A">
        <w:t>D</w:t>
      </w:r>
      <w:r w:rsidRPr="00E52A4A">
        <w:t xml:space="preserve">es efforts </w:t>
      </w:r>
      <w:r w:rsidR="00194063" w:rsidRPr="00E52A4A">
        <w:t xml:space="preserve">demeurent </w:t>
      </w:r>
      <w:r w:rsidR="005E4444" w:rsidRPr="00E52A4A">
        <w:t xml:space="preserve">toutefois </w:t>
      </w:r>
      <w:r w:rsidR="00194063" w:rsidRPr="00E52A4A">
        <w:t>nécessaire</w:t>
      </w:r>
      <w:r w:rsidR="00036629" w:rsidRPr="00E52A4A">
        <w:t>s</w:t>
      </w:r>
      <w:r w:rsidR="00194063" w:rsidRPr="00E52A4A">
        <w:t xml:space="preserve"> </w:t>
      </w:r>
      <w:r w:rsidRPr="00E52A4A">
        <w:t xml:space="preserve">pour assurer </w:t>
      </w:r>
      <w:r w:rsidR="00194063" w:rsidRPr="00E52A4A">
        <w:t>l</w:t>
      </w:r>
      <w:r w:rsidR="0066772A" w:rsidRPr="00E52A4A">
        <w:t>'</w:t>
      </w:r>
      <w:r w:rsidRPr="00E52A4A">
        <w:t xml:space="preserve">amélioration continue </w:t>
      </w:r>
      <w:r w:rsidR="00194063" w:rsidRPr="00E52A4A">
        <w:t>de ce système</w:t>
      </w:r>
      <w:r w:rsidRPr="00E52A4A">
        <w:t>.</w:t>
      </w:r>
    </w:p>
    <w:p w14:paraId="3AFBFE06" w14:textId="0FA0602A" w:rsidR="0079700A" w:rsidRPr="00E52A4A" w:rsidRDefault="0079700A" w:rsidP="0079700A">
      <w:pPr>
        <w:spacing w:before="480"/>
      </w:pPr>
      <w:r w:rsidRPr="00E52A4A">
        <w:rPr>
          <w:noProof/>
        </w:rPr>
        <w:drawing>
          <wp:inline distT="0" distB="0" distL="0" distR="0" wp14:anchorId="1695F271" wp14:editId="1182A1F6">
            <wp:extent cx="1666875" cy="6477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66875" cy="647700"/>
                    </a:xfrm>
                    <a:prstGeom prst="rect">
                      <a:avLst/>
                    </a:prstGeom>
                  </pic:spPr>
                </pic:pic>
              </a:graphicData>
            </a:graphic>
          </wp:inline>
        </w:drawing>
      </w:r>
    </w:p>
    <w:p w14:paraId="227BC919" w14:textId="7B6A6044" w:rsidR="00062A6A" w:rsidRPr="00E52A4A" w:rsidRDefault="00062A6A" w:rsidP="0079700A">
      <w:pPr>
        <w:spacing w:before="480"/>
      </w:pPr>
      <w:r w:rsidRPr="00E52A4A">
        <w:t>Doreen Bogdan-Martin</w:t>
      </w:r>
    </w:p>
    <w:p w14:paraId="778BB25C" w14:textId="4E1B16B1" w:rsidR="00062A6A" w:rsidRPr="00E52A4A" w:rsidRDefault="00062A6A" w:rsidP="00BA6385">
      <w:pPr>
        <w:spacing w:before="0"/>
      </w:pPr>
      <w:r w:rsidRPr="00E52A4A">
        <w:t>Secrétaire générale</w:t>
      </w:r>
    </w:p>
    <w:p w14:paraId="0042596C" w14:textId="2CAC9ED6" w:rsidR="00062A6A" w:rsidRPr="00E52A4A" w:rsidRDefault="00062A6A" w:rsidP="00BA6385">
      <w:pPr>
        <w:spacing w:before="480"/>
      </w:pPr>
      <w:r w:rsidRPr="00E52A4A">
        <w:t>Genève, le 24 janvier 2024</w:t>
      </w:r>
    </w:p>
    <w:p w14:paraId="7556308A" w14:textId="2B945DFA" w:rsidR="00D26045" w:rsidRPr="00E52A4A" w:rsidRDefault="00D26045" w:rsidP="00BA6385">
      <w:r w:rsidRPr="00E52A4A">
        <w:br w:type="page"/>
      </w:r>
    </w:p>
    <w:p w14:paraId="09192FF1" w14:textId="77777777" w:rsidR="00D26045" w:rsidRPr="00E52A4A" w:rsidRDefault="00D26045" w:rsidP="00D26045">
      <w:pPr>
        <w:pStyle w:val="Heading1"/>
        <w:tabs>
          <w:tab w:val="clear" w:pos="567"/>
        </w:tabs>
        <w:ind w:left="0" w:firstLine="0"/>
      </w:pPr>
      <w:bookmarkStart w:id="5" w:name="_Toc162331494"/>
      <w:bookmarkStart w:id="6" w:name="_Toc162331704"/>
      <w:r w:rsidRPr="00E52A4A">
        <w:lastRenderedPageBreak/>
        <w:t>RAPPORT DU VÉRIFICATEUR EXTÉRIEUR À L'UNION INTERNATIONALE DES TÉLÉCOMMUNICATIONS</w:t>
      </w:r>
      <w:bookmarkEnd w:id="5"/>
      <w:bookmarkEnd w:id="6"/>
    </w:p>
    <w:p w14:paraId="2650DA83" w14:textId="77777777" w:rsidR="00D26045" w:rsidRPr="00E52A4A" w:rsidRDefault="00D26045" w:rsidP="00D26045">
      <w:pPr>
        <w:pStyle w:val="Headingb"/>
      </w:pPr>
      <w:r w:rsidRPr="00E52A4A">
        <w:t>Opinion sur les états financiers</w:t>
      </w:r>
    </w:p>
    <w:p w14:paraId="06DBA2A5" w14:textId="77777777" w:rsidR="00D26045" w:rsidRPr="00E52A4A" w:rsidRDefault="00D26045" w:rsidP="00D26045">
      <w:r w:rsidRPr="00E52A4A">
        <w:t>J'ai vérifié les états financiers de l'Union internationale des télécommunications pour l'exercice clos au 31 décembre 2022, qui comprennent l'état de la situation financière au 31 décembre 2022, l'état de la performance financière, l'état des variations de l'actif net, l'état des flux de trésorerie, l'état de la comparaison des montants budgétés et des montants effectifs pour l'exercice clos à ladite date, ainsi que les notes y afférentes, notamment les principales méthodes comptables.</w:t>
      </w:r>
    </w:p>
    <w:p w14:paraId="32FB3942" w14:textId="77777777" w:rsidR="00D26045" w:rsidRPr="00E52A4A" w:rsidRDefault="00D26045" w:rsidP="00D26045">
      <w:r w:rsidRPr="00E52A4A">
        <w:t xml:space="preserve">Le cadre de présentation de l'information financière qui a été appliqué lors de l'élaboration de ces états se compose de la réglementation applicable et </w:t>
      </w:r>
      <w:bookmarkStart w:id="7" w:name="_Hlk161133559"/>
      <w:r w:rsidRPr="00E52A4A">
        <w:t xml:space="preserve">des normes </w:t>
      </w:r>
      <w:bookmarkStart w:id="8" w:name="_Hlk161914320"/>
      <w:r w:rsidRPr="00E52A4A">
        <w:t xml:space="preserve">comptables internationales du secteur public </w:t>
      </w:r>
      <w:bookmarkEnd w:id="8"/>
      <w:r w:rsidRPr="00E52A4A">
        <w:t>(IPSAS) élaborées et approuvées par l'International Public Sector Accounting Standards Board.</w:t>
      </w:r>
    </w:p>
    <w:bookmarkEnd w:id="7"/>
    <w:p w14:paraId="6AD05DFC" w14:textId="77777777" w:rsidR="00D26045" w:rsidRPr="00E52A4A" w:rsidRDefault="00D26045" w:rsidP="00D26045">
      <w:r w:rsidRPr="00E52A4A">
        <w:t>Mon opinion est que les états financiers ci-joints donnent une image fidèle, pour tous les points essentiels, de la situation financière de l'Union internationale des télécommunications au 31 décembre 2022 ainsi que, pour l'exercice clos à cette date, de sa performance financière et de ses flux de trésorerie conformément aux normes comptables internationales du secteur public.</w:t>
      </w:r>
    </w:p>
    <w:p w14:paraId="56B2718D" w14:textId="77777777" w:rsidR="00D26045" w:rsidRPr="00E52A4A" w:rsidRDefault="00D26045" w:rsidP="00D26045">
      <w:pPr>
        <w:pStyle w:val="Headingb"/>
      </w:pPr>
      <w:r w:rsidRPr="00E52A4A">
        <w:t>Opinion avec réserve sur la régularité</w:t>
      </w:r>
    </w:p>
    <w:p w14:paraId="16BB025F" w14:textId="77777777" w:rsidR="00D26045" w:rsidRPr="00E52A4A" w:rsidRDefault="00D26045" w:rsidP="00D26045">
      <w:r w:rsidRPr="00E52A4A">
        <w:t xml:space="preserve">Mon opinion est que, hormis pour ce qui est des effets découlant du problème décrit au paragraphe </w:t>
      </w:r>
      <w:r w:rsidRPr="00E52A4A">
        <w:rPr>
          <w:i/>
          <w:iCs/>
        </w:rPr>
        <w:t>Fondements de l'opinion avec réserve sur la régularité</w:t>
      </w:r>
      <w:r w:rsidRPr="00E52A4A">
        <w:t xml:space="preserve"> de mon rapport, les produits et les charges ont été exécutés aux fins prévues par le Conseil de l'Union internationale des télécommunications et les opérations financières sont conformes au Règlement financier de l'Union internationale des télécommunications. Les éléments ayant conduit à mon opinion avec réserve sont décrits dans le rapport complet ci-joint et ont été portées à l'attention du Conseil à sa session de juillet 2023.</w:t>
      </w:r>
    </w:p>
    <w:p w14:paraId="1F56A951" w14:textId="77777777" w:rsidR="00D26045" w:rsidRPr="00E52A4A" w:rsidRDefault="00D26045" w:rsidP="00D26045">
      <w:pPr>
        <w:pStyle w:val="Headingb"/>
      </w:pPr>
      <w:r w:rsidRPr="00E52A4A">
        <w:t>Fondements de l'opinion avec réserve sur la régularité</w:t>
      </w:r>
    </w:p>
    <w:p w14:paraId="5AAA41BF" w14:textId="77777777" w:rsidR="00D26045" w:rsidRPr="00E52A4A" w:rsidRDefault="00D26045" w:rsidP="00D26045">
      <w:r w:rsidRPr="00E52A4A">
        <w:t>En 2022, l'Union internationale des télécommunications a supporté, pour un montant de 211 751 CHF, des charges liées à des paiements versés à d'anciens fonctionnaires élus, qui ne répondent pas à la définition des paiements gracieux donnée à l'alinéa 4 de l'Article 10 du Règlement financier de l'Union internationale des télécommunications. Je considère ces paiements comme un élément essentiel de mon opinion avec réserve sur la régularité. À mon sens, ils ne répondent pas à la définition des paiements gracieux donnée dans le Règlement financier de l'UIT, à savoir qu'ils n'étaient ni nécessaires ni dans l'intérêt de l'Union, et ne reposent par conséquent sur aucune base au titre du Règlement financier ou du Règlement du personnel de l'UIT.</w:t>
      </w:r>
    </w:p>
    <w:p w14:paraId="50A91480" w14:textId="77777777" w:rsidR="00D26045" w:rsidRPr="00E52A4A" w:rsidRDefault="00D26045" w:rsidP="00D26045">
      <w:pPr>
        <w:pStyle w:val="Headingb"/>
      </w:pPr>
      <w:r w:rsidRPr="00E52A4A">
        <w:t>Fondements de l'opinion</w:t>
      </w:r>
    </w:p>
    <w:p w14:paraId="31F23164" w14:textId="77777777" w:rsidR="00D26045" w:rsidRPr="00E52A4A" w:rsidRDefault="00D26045" w:rsidP="00D26045">
      <w:r w:rsidRPr="00E52A4A">
        <w:t xml:space="preserve">J'ai effectué ma vérification conformément aux normes de vérification internationales (ISA), au Règlement financier et aux Règles financières de l'Union internationale des télécommunications. Ma vérification de la régularité a été effectuée selon les principes </w:t>
      </w:r>
      <w:r w:rsidRPr="00E52A4A">
        <w:br w:type="page"/>
      </w:r>
    </w:p>
    <w:p w14:paraId="018463B9" w14:textId="363BDF4C" w:rsidR="00D26045" w:rsidRPr="00E52A4A" w:rsidRDefault="00D26045" w:rsidP="00D26045">
      <w:r w:rsidRPr="00E52A4A">
        <w:lastRenderedPageBreak/>
        <w:t xml:space="preserve">énoncés dans les normes ISA. Les responsabilités qui m'incombent en vertu de ces normes sont décrites plus en détail dans la section </w:t>
      </w:r>
      <w:r w:rsidRPr="00E52A4A">
        <w:rPr>
          <w:i/>
          <w:iCs/>
        </w:rPr>
        <w:t xml:space="preserve">Responsabilité du Vérificateur concernant la vérification des états financiers </w:t>
      </w:r>
      <w:r w:rsidRPr="00E52A4A">
        <w:t>de mon rapport</w:t>
      </w:r>
      <w:r w:rsidRPr="00E52A4A">
        <w:rPr>
          <w:i/>
          <w:iCs/>
        </w:rPr>
        <w:t>.</w:t>
      </w:r>
    </w:p>
    <w:p w14:paraId="4EF24EED" w14:textId="77777777" w:rsidR="00D26045" w:rsidRPr="00E52A4A" w:rsidRDefault="00D26045" w:rsidP="00D26045">
      <w:r w:rsidRPr="00E52A4A">
        <w:t>Je suis indépendant de l'Union internationale des télécommunications conformément au Code international de déontologie des professionnels comptables élaboré par l'International Ethics Standards Board for Accountants (Code de l'IESBA) et j'ai assumé mes autres responsabilités éthiques conformément à ces exigences et au Code de l'IESBA. J'estime que les justificatifs que j'ai recueillis constituent une base suffisante et appropriée sur laquelle fonder mon opinion.</w:t>
      </w:r>
    </w:p>
    <w:p w14:paraId="40CAC612" w14:textId="77777777" w:rsidR="00D26045" w:rsidRPr="00E52A4A" w:rsidRDefault="00D26045" w:rsidP="00D26045">
      <w:pPr>
        <w:pStyle w:val="Headingb"/>
      </w:pPr>
      <w:r w:rsidRPr="00E52A4A">
        <w:t>Autres informations</w:t>
      </w:r>
    </w:p>
    <w:p w14:paraId="3E1D7C07" w14:textId="77777777" w:rsidR="00D26045" w:rsidRPr="00E52A4A" w:rsidRDefault="00D26045" w:rsidP="00D26045">
      <w:r w:rsidRPr="00E52A4A">
        <w:t>La direction est responsable des autres informations. Ces autres informations sont celles contenues dans le rapport annuel de gestion financière, mais ne comprennent pas les états financiers ni le rapport du Vérificateur sur ces états établi par mes soins.</w:t>
      </w:r>
    </w:p>
    <w:p w14:paraId="0C2BEA12" w14:textId="77777777" w:rsidR="00D26045" w:rsidRPr="00E52A4A" w:rsidRDefault="00D26045" w:rsidP="00D26045">
      <w:r w:rsidRPr="00E52A4A">
        <w:t>Mon opinion sur les états financiers ne couvre pas les autres informations et, sauf indication contraire explicite dans mon rapport, je ne formule aucune conclusion que ce soit en matière d'assurance en ce qui concerne ces informations.</w:t>
      </w:r>
    </w:p>
    <w:p w14:paraId="0BBF59A2" w14:textId="77777777" w:rsidR="00D26045" w:rsidRPr="00E52A4A" w:rsidRDefault="00D26045" w:rsidP="00D26045">
      <w:r w:rsidRPr="00E52A4A">
        <w:t>Ma responsabilité consiste à lire les autres informations et, ce faisant, à examiner si elles présentent des incohérences importantes avec les états financiers ou avec les connaissances acquises lors de la vérification ou si elles semblent contenir des inexactitudes significatives.</w:t>
      </w:r>
    </w:p>
    <w:p w14:paraId="46DE4BF5" w14:textId="77777777" w:rsidR="00D26045" w:rsidRPr="00E52A4A" w:rsidRDefault="00D26045" w:rsidP="00D26045">
      <w:r w:rsidRPr="00E52A4A">
        <w:t>Si je constate de telles incohérences significatives ou de telles inexactitudes significatives apparentes, je suis dans l'obligation de déterminer si cela donne lieu à une inexactitude significative dans les états financiers eux-mêmes. S'il ressort de mon travail que ces autres informations comportent des inexactitudes significatives, je suis tenu de le signaler.</w:t>
      </w:r>
    </w:p>
    <w:p w14:paraId="5914C102" w14:textId="77777777" w:rsidR="00D26045" w:rsidRPr="00E52A4A" w:rsidRDefault="00D26045" w:rsidP="00D26045">
      <w:r w:rsidRPr="00E52A4A">
        <w:t>Je n'ai rien à signaler à cet égard.</w:t>
      </w:r>
    </w:p>
    <w:p w14:paraId="0C3D3CC0" w14:textId="77777777" w:rsidR="00D26045" w:rsidRPr="00E52A4A" w:rsidRDefault="00D26045" w:rsidP="00D26045">
      <w:pPr>
        <w:pStyle w:val="Headingb"/>
      </w:pPr>
      <w:r w:rsidRPr="00E52A4A">
        <w:t>Questions sur lesquelles je fais rapport à titre exceptionnel</w:t>
      </w:r>
    </w:p>
    <w:p w14:paraId="24504F1E" w14:textId="77777777" w:rsidR="00D26045" w:rsidRPr="00E52A4A" w:rsidRDefault="00D26045" w:rsidP="00D26045">
      <w:r w:rsidRPr="00E52A4A">
        <w:t>Je n'ai rien à signaler concernant les questions ci-après, sur lesquelles je vous fais rapport si je considère que:</w:t>
      </w:r>
    </w:p>
    <w:p w14:paraId="37F802AC" w14:textId="77777777" w:rsidR="00D26045" w:rsidRPr="00E52A4A" w:rsidRDefault="00D26045" w:rsidP="00D26045">
      <w:pPr>
        <w:pStyle w:val="enumlev1"/>
      </w:pPr>
      <w:r w:rsidRPr="00E52A4A">
        <w:t>•</w:t>
      </w:r>
      <w:r w:rsidRPr="00E52A4A">
        <w:tab/>
        <w:t>l'Union internationale des télécommunications n'a pas tenu à jour des documents comptables en bonne et due forme ou que des tiers n'ont pas fourni des déclarations appropriées aux fins de la vérification;</w:t>
      </w:r>
    </w:p>
    <w:p w14:paraId="408B52FB" w14:textId="77777777" w:rsidR="00D26045" w:rsidRPr="00E52A4A" w:rsidRDefault="00D26045" w:rsidP="00D26045">
      <w:pPr>
        <w:pStyle w:val="enumlev1"/>
      </w:pPr>
      <w:r w:rsidRPr="00E52A4A">
        <w:t>•</w:t>
      </w:r>
      <w:r w:rsidRPr="00E52A4A">
        <w:tab/>
        <w:t>je n'ai pas obtenu tous les renseignements et toutes les explications que j'estime nécessaires aux fins de ma vérification;</w:t>
      </w:r>
    </w:p>
    <w:p w14:paraId="3BFB4080" w14:textId="77777777" w:rsidR="00D26045" w:rsidRPr="00E52A4A" w:rsidRDefault="00D26045" w:rsidP="00D26045">
      <w:pPr>
        <w:pStyle w:val="enumlev1"/>
      </w:pPr>
      <w:r w:rsidRPr="00E52A4A">
        <w:t>•</w:t>
      </w:r>
      <w:r w:rsidRPr="00E52A4A">
        <w:tab/>
        <w:t>les renseignements fournis dans le rapport annuel de gestion financière ne concordent ni avec les états financiers ni avec les informations obtenues au cours de la vérification; ou</w:t>
      </w:r>
    </w:p>
    <w:p w14:paraId="30E635C2" w14:textId="77777777" w:rsidR="00D26045" w:rsidRPr="00E52A4A" w:rsidRDefault="00D26045" w:rsidP="00D26045">
      <w:pPr>
        <w:pStyle w:val="enumlev1"/>
      </w:pPr>
      <w:r w:rsidRPr="00E52A4A">
        <w:t>•</w:t>
      </w:r>
      <w:r w:rsidRPr="00E52A4A">
        <w:tab/>
        <w:t>je suis tenu de faire rapport sur d'autres questions exposées dans le Règlement financier additionnel régissant la vérification extérieure des comptes de l'Union internationale des télécommunications.</w:t>
      </w:r>
    </w:p>
    <w:p w14:paraId="0AA9235B" w14:textId="77777777" w:rsidR="00D26045" w:rsidRPr="00E52A4A" w:rsidRDefault="00D26045" w:rsidP="00D26045">
      <w:pPr>
        <w:pStyle w:val="Headingb"/>
        <w:rPr>
          <w:rFonts w:asciiTheme="minorHAnsi" w:hAnsiTheme="minorHAnsi"/>
          <w:lang w:eastAsia="zh-CN"/>
        </w:rPr>
      </w:pPr>
      <w:bookmarkStart w:id="9" w:name="_Toc395260969"/>
      <w:bookmarkStart w:id="10" w:name="_Toc395511754"/>
      <w:bookmarkStart w:id="11" w:name="_Toc396386923"/>
      <w:bookmarkStart w:id="12" w:name="_Toc396387810"/>
      <w:bookmarkStart w:id="13" w:name="_Toc419407151"/>
      <w:bookmarkStart w:id="14" w:name="_Toc452138667"/>
      <w:bookmarkStart w:id="15" w:name="_Toc452139116"/>
      <w:bookmarkStart w:id="16" w:name="_Toc452139480"/>
      <w:bookmarkStart w:id="17" w:name="_Toc452139886"/>
      <w:bookmarkStart w:id="18" w:name="_Toc452140760"/>
      <w:bookmarkStart w:id="19" w:name="_Toc482958299"/>
      <w:bookmarkStart w:id="20" w:name="_Toc522684911"/>
      <w:bookmarkStart w:id="21" w:name="_Toc522685286"/>
      <w:bookmarkStart w:id="22" w:name="_Toc10806066"/>
      <w:bookmarkStart w:id="23" w:name="_Toc10806486"/>
      <w:bookmarkStart w:id="24" w:name="_Toc56153853"/>
      <w:bookmarkStart w:id="25" w:name="_Toc56157039"/>
      <w:r w:rsidRPr="00E52A4A">
        <w:lastRenderedPageBreak/>
        <w:t>Responsabilités du Secrétaire général de l'UIT concernant les états financiers</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15BDFF4D" w14:textId="77777777" w:rsidR="00D26045" w:rsidRPr="00E52A4A" w:rsidRDefault="00D26045" w:rsidP="00D26045">
      <w:pPr>
        <w:keepNext/>
        <w:keepLines/>
      </w:pPr>
      <w:r w:rsidRPr="00E52A4A">
        <w:t>Le Secrétaire général est chargé d'établir et de présenter correctement les états financiers conformément aux normes IPSAS et d'appliquer le contrôle interne qu'il estime nécessaire afin d'établir des états financiers ne contenant pas d'inexactitudes significatives, que celles</w:t>
      </w:r>
      <w:r w:rsidRPr="00E52A4A">
        <w:noBreakHyphen/>
        <w:t>ci résultent de fraudes ou d'erreurs.</w:t>
      </w:r>
    </w:p>
    <w:p w14:paraId="34F7EB04" w14:textId="77777777" w:rsidR="00D26045" w:rsidRPr="00E52A4A" w:rsidRDefault="00D26045" w:rsidP="00D26045">
      <w:r w:rsidRPr="00E52A4A">
        <w:t>Lors de l'établissement des états financiers, le Secrétaire général est chargé d'évaluer la capacité de l'UIT à poursuivre ses activités, de communiquer, le cas échéant, des éléments liés à la continuité des activités et d'adopter le principe de continuité des activités pour la comptabilité, à moins qu'il n'ait l'intention de liquider l'Union ou de cesser ses activités, ou qu'il ne puisse guère faire autrement.</w:t>
      </w:r>
    </w:p>
    <w:p w14:paraId="25FFBB37" w14:textId="77777777" w:rsidR="00D26045" w:rsidRPr="00E52A4A" w:rsidRDefault="00D26045" w:rsidP="00D26045">
      <w:r w:rsidRPr="00E52A4A">
        <w:t>Il appartient au Secrétaire général de superviser le processus d'établissement des rapports financiers de l'UIT.</w:t>
      </w:r>
    </w:p>
    <w:p w14:paraId="5EBE00C0" w14:textId="77777777" w:rsidR="00D26045" w:rsidRPr="00E52A4A" w:rsidRDefault="00D26045" w:rsidP="00D26045">
      <w:pPr>
        <w:pStyle w:val="Headingb"/>
        <w:rPr>
          <w:rFonts w:asciiTheme="minorHAnsi" w:eastAsia="Batang" w:hAnsiTheme="minorHAnsi"/>
          <w:lang w:eastAsia="zh-CN"/>
        </w:rPr>
      </w:pPr>
      <w:bookmarkStart w:id="26" w:name="_Toc395260970"/>
      <w:bookmarkStart w:id="27" w:name="_Toc395511755"/>
      <w:bookmarkStart w:id="28" w:name="_Toc396386924"/>
      <w:bookmarkStart w:id="29" w:name="_Toc396387811"/>
      <w:bookmarkStart w:id="30" w:name="_Toc419407152"/>
      <w:bookmarkStart w:id="31" w:name="_Toc452138668"/>
      <w:bookmarkStart w:id="32" w:name="_Toc452139117"/>
      <w:bookmarkStart w:id="33" w:name="_Toc452139481"/>
      <w:bookmarkStart w:id="34" w:name="_Toc452139887"/>
      <w:bookmarkStart w:id="35" w:name="_Toc452140761"/>
      <w:bookmarkStart w:id="36" w:name="_Toc482958300"/>
      <w:bookmarkStart w:id="37" w:name="_Toc522684912"/>
      <w:bookmarkStart w:id="38" w:name="_Toc522685287"/>
      <w:bookmarkStart w:id="39" w:name="_Toc10806067"/>
      <w:bookmarkStart w:id="40" w:name="_Toc10806487"/>
      <w:bookmarkStart w:id="41" w:name="_Toc56153854"/>
      <w:bookmarkStart w:id="42" w:name="_Toc56157040"/>
      <w:r w:rsidRPr="00E52A4A">
        <w:rPr>
          <w:rFonts w:eastAsia="Batang"/>
        </w:rPr>
        <w:t xml:space="preserve">Responsabilité </w:t>
      </w:r>
      <w:bookmarkEnd w:id="26"/>
      <w:bookmarkEnd w:id="27"/>
      <w:bookmarkEnd w:id="28"/>
      <w:bookmarkEnd w:id="29"/>
      <w:r w:rsidRPr="00E52A4A">
        <w:rPr>
          <w:rFonts w:eastAsia="Batang"/>
        </w:rPr>
        <w:t>du Vérificateur</w:t>
      </w:r>
      <w:bookmarkEnd w:id="30"/>
      <w:bookmarkEnd w:id="31"/>
      <w:bookmarkEnd w:id="32"/>
      <w:bookmarkEnd w:id="33"/>
      <w:bookmarkEnd w:id="34"/>
      <w:bookmarkEnd w:id="35"/>
      <w:r w:rsidRPr="00E52A4A">
        <w:rPr>
          <w:rFonts w:eastAsia="Batang"/>
        </w:rPr>
        <w:t xml:space="preserve"> concernant la vérification des états financiers</w:t>
      </w:r>
      <w:bookmarkEnd w:id="36"/>
      <w:bookmarkEnd w:id="37"/>
      <w:bookmarkEnd w:id="38"/>
      <w:bookmarkEnd w:id="39"/>
      <w:bookmarkEnd w:id="40"/>
      <w:bookmarkEnd w:id="41"/>
      <w:bookmarkEnd w:id="42"/>
    </w:p>
    <w:p w14:paraId="3A2FA270" w14:textId="77777777" w:rsidR="00D26045" w:rsidRPr="00E52A4A" w:rsidRDefault="00D26045" w:rsidP="00D26045">
      <w:pPr>
        <w:rPr>
          <w:rFonts w:eastAsiaTheme="minorEastAsia"/>
        </w:rPr>
      </w:pPr>
      <w:r w:rsidRPr="00E52A4A">
        <w:t>Mes responsabilités consistent à obtenir une assurance raisonnable que les états financiers dans leur ensemble ne comportent pas d'inexactitudes significatives, que celles-ci résultent de fraudes ou d'erreurs, et d'établir un rapport de vérification dans lequel je fais part de mon opinion. L'assurance raisonnable est un niveau d'assurance élevé, mais elle ne garantit pas qu'une vérification effectuée conformément aux normes ISA permette toujours de détecter une inexactitude significative lorsqu'une telle inexactitude existe. Les inexactitudes peuvent résulter d'une fraude ou d'une erreur, et elles sont considérées comme significatives si, individuellement ou collectivement, elles sont raisonnablement susceptibles d'influer sur les décisions économiques des utilisateurs prises sur la base de ces états financiers.</w:t>
      </w:r>
    </w:p>
    <w:p w14:paraId="5077709D" w14:textId="77777777" w:rsidR="00D26045" w:rsidRPr="00E52A4A" w:rsidRDefault="00D26045" w:rsidP="00D26045">
      <w:r w:rsidRPr="00E52A4A">
        <w:t>Dans le cadre d'une vérification conformément aux normes ISA, j'exerce un jugement professionnel et fais preuve d'esprit critique tout au long de la vérification. En outre:</w:t>
      </w:r>
    </w:p>
    <w:p w14:paraId="11280D48" w14:textId="77777777" w:rsidR="00D26045" w:rsidRPr="00E52A4A" w:rsidRDefault="00D26045" w:rsidP="00D26045">
      <w:pPr>
        <w:pStyle w:val="enumlev1"/>
        <w:spacing w:before="120"/>
      </w:pPr>
      <w:r w:rsidRPr="00E52A4A">
        <w:rPr>
          <w:lang w:eastAsia="it-IT"/>
        </w:rPr>
        <w:t>•</w:t>
      </w:r>
      <w:r w:rsidRPr="00E52A4A">
        <w:rPr>
          <w:lang w:eastAsia="it-IT"/>
        </w:rPr>
        <w:tab/>
        <w:t xml:space="preserve">J'identifie et évalue les risques d'inexactitudes significatives dans les états financiers, que ce soit en raison d'une fraude ou d'une erreur, conçois et applique des procédures de vérification permettant de répondre à ces risques, et recueille des justificatifs constituant une base </w:t>
      </w:r>
      <w:r w:rsidRPr="00E52A4A">
        <w:t>suffisante</w:t>
      </w:r>
      <w:r w:rsidRPr="00E52A4A">
        <w:rPr>
          <w:lang w:eastAsia="it-IT"/>
        </w:rPr>
        <w:t xml:space="preserve"> et appropriée sur laquelle fonder mon opinion. Le risque de ne pas détecter une inexactitude significative résultant d'une fraude est supérieur au risque de ne pas détecter une inexactitude significative résultant d'une erreur, car la fraude peut </w:t>
      </w:r>
      <w:r w:rsidRPr="00E52A4A">
        <w:t>impliquer une collusion, une falsification, des omissions intentionnelles, des fausses déclarations ou le fait de passer outre au contrôle interne.</w:t>
      </w:r>
    </w:p>
    <w:p w14:paraId="48923941" w14:textId="77777777" w:rsidR="00D26045" w:rsidRPr="00E52A4A" w:rsidRDefault="00D26045" w:rsidP="00D26045">
      <w:pPr>
        <w:pStyle w:val="enumlev1"/>
      </w:pPr>
      <w:r w:rsidRPr="00E52A4A">
        <w:t>•</w:t>
      </w:r>
      <w:r w:rsidRPr="00E52A4A">
        <w:tab/>
        <w:t>J'acquiers une compréhension des aspects du contrôle interne pertinents pour la vérification afin de concevoir des procédures de vérification adaptées à la situation et non pour exprimer une opinion sur l'efficacité du contrôle interne de l'Union internationale des télécommunications.</w:t>
      </w:r>
    </w:p>
    <w:p w14:paraId="2CAB5200" w14:textId="77777777" w:rsidR="00D26045" w:rsidRPr="00E52A4A" w:rsidRDefault="00D26045" w:rsidP="00D26045">
      <w:pPr>
        <w:pStyle w:val="enumlev1"/>
      </w:pPr>
      <w:r w:rsidRPr="00E52A4A">
        <w:t>•</w:t>
      </w:r>
      <w:r w:rsidRPr="00E52A4A">
        <w:tab/>
        <w:t>Je détermine si les politiques comptables utilisées sont adaptées et si les estimations comptables et les données associées fournies par la direction sont raisonnables.</w:t>
      </w:r>
    </w:p>
    <w:p w14:paraId="4375863E" w14:textId="77777777" w:rsidR="00D26045" w:rsidRPr="00E52A4A" w:rsidRDefault="00D26045" w:rsidP="00D26045">
      <w:pPr>
        <w:pStyle w:val="enumlev1"/>
      </w:pPr>
      <w:r w:rsidRPr="00E52A4A">
        <w:t>•</w:t>
      </w:r>
      <w:r w:rsidRPr="00E52A4A">
        <w:tab/>
        <w:t xml:space="preserve">Je formule une conclusion quant à la question de savoir si l'adoption par la direction du principe de continuité des activités pour la comptabilité est appropriée et, sur la base des justificatifs recueillis, décide s'il existe une incertitude importante en ce qui concerne des événements ou conditions susceptibles de jeter un doute important sur la capacité de l'Union internationale des télécommunications à poursuivre ses activités. Si je parviens à la </w:t>
      </w:r>
      <w:r w:rsidRPr="00E52A4A">
        <w:lastRenderedPageBreak/>
        <w:t>conclusion qu'il existe une incertitude importante, je suis tenu d'attirer l'attention, dans mon rapport du Vérificateur, sur les données correspondantes figurant dans les états financiers ou, si ces données sont insuffisantes, de modifier mon opinion. Mes conclusions sont fondées sur les justificatifs recueillis jusqu'à la date de mon rapport du Vérificateur. Cependant, des conditions ou événements futurs peuvent amener l'Union internationale des télécommunications à cesser ses activités.</w:t>
      </w:r>
    </w:p>
    <w:p w14:paraId="0EABD3DD" w14:textId="77777777" w:rsidR="00D26045" w:rsidRPr="00E52A4A" w:rsidRDefault="00D26045" w:rsidP="00D26045">
      <w:pPr>
        <w:pStyle w:val="enumlev1"/>
      </w:pPr>
      <w:r w:rsidRPr="00E52A4A">
        <w:t>•</w:t>
      </w:r>
      <w:r w:rsidRPr="00E52A4A">
        <w:tab/>
        <w:t>J'évalue la présentation générale, la structure et le contenu des états financiers, y compris les données fournies, et détermine si la manière dont les états financiers représentent les opérations et les événements sous-jacents reflète une présentation correcte.</w:t>
      </w:r>
    </w:p>
    <w:p w14:paraId="70EB88DE" w14:textId="77777777" w:rsidR="00D26045" w:rsidRPr="00E52A4A" w:rsidRDefault="00D26045" w:rsidP="00D26045">
      <w:r w:rsidRPr="00E52A4A">
        <w:t>En outre, je suis tenu de recueillir des justificatifs suffisants pour donner une assurance raisonnable que les produits et les charges indiqués dans les états financiers ont été utilisés aux fins visées par le Conseil et que les opérations financières sont conformes au Règlement financier qui les régit.</w:t>
      </w:r>
    </w:p>
    <w:p w14:paraId="16EEA6B6" w14:textId="77777777" w:rsidR="00D26045" w:rsidRPr="00E52A4A" w:rsidRDefault="00D26045" w:rsidP="00D26045">
      <w:r w:rsidRPr="00E52A4A">
        <w:t>Je communique avec les personnes chargées de la gouvernance en ce qui concerne, entre autres, la portée et le calendrier prévus de la vérification ainsi que les résultats importants, y compris tout dysfonctionnement important dans le contrôle interne que j'identifie lors de ma vérification.</w:t>
      </w:r>
    </w:p>
    <w:p w14:paraId="5C7E438C" w14:textId="77777777" w:rsidR="00D26045" w:rsidRPr="00E52A4A" w:rsidRDefault="00D26045" w:rsidP="00D26045">
      <w:pPr>
        <w:pStyle w:val="Headingb"/>
      </w:pPr>
      <w:r w:rsidRPr="00E52A4A">
        <w:t>Rapport</w:t>
      </w:r>
    </w:p>
    <w:p w14:paraId="72F22ADF" w14:textId="77777777" w:rsidR="00D26045" w:rsidRPr="00E52A4A" w:rsidRDefault="00D26045" w:rsidP="00D26045">
      <w:r w:rsidRPr="00E52A4A">
        <w:t>J'ai également publié la version longue du rapport de vérification sur les résultats de ma vérification, en plus de mon rapport intermédiaire antérieur de juillet 2023.</w:t>
      </w:r>
    </w:p>
    <w:p w14:paraId="4F63A51F" w14:textId="77777777" w:rsidR="00D26045" w:rsidRPr="00E52A4A" w:rsidRDefault="00D26045" w:rsidP="00D26045">
      <w:pPr>
        <w:tabs>
          <w:tab w:val="clear" w:pos="567"/>
          <w:tab w:val="clear" w:pos="1134"/>
          <w:tab w:val="clear" w:pos="1701"/>
          <w:tab w:val="clear" w:pos="2268"/>
          <w:tab w:val="clear" w:pos="2835"/>
        </w:tabs>
        <w:overflowPunct/>
        <w:autoSpaceDE/>
        <w:autoSpaceDN/>
        <w:adjustRightInd/>
        <w:spacing w:before="480" w:after="480"/>
        <w:textAlignment w:val="auto"/>
        <w:rPr>
          <w:rFonts w:ascii="Times New Roman" w:hAnsi="Times New Roman"/>
          <w:szCs w:val="24"/>
          <w:lang w:eastAsia="en-GB"/>
        </w:rPr>
      </w:pPr>
      <w:r w:rsidRPr="00E52A4A">
        <w:rPr>
          <w:noProof/>
        </w:rPr>
        <w:drawing>
          <wp:inline distT="0" distB="0" distL="0" distR="0" wp14:anchorId="2BEC6ADA" wp14:editId="27CC06A9">
            <wp:extent cx="1590040" cy="7156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0040" cy="715645"/>
                    </a:xfrm>
                    <a:prstGeom prst="rect">
                      <a:avLst/>
                    </a:prstGeom>
                    <a:noFill/>
                    <a:ln>
                      <a:noFill/>
                    </a:ln>
                  </pic:spPr>
                </pic:pic>
              </a:graphicData>
            </a:graphic>
          </wp:inline>
        </w:drawing>
      </w:r>
    </w:p>
    <w:p w14:paraId="3CC276B2" w14:textId="77777777" w:rsidR="00D26045" w:rsidRPr="00E52A4A" w:rsidRDefault="00D26045" w:rsidP="00D26045">
      <w:pPr>
        <w:tabs>
          <w:tab w:val="clear" w:pos="567"/>
          <w:tab w:val="clear" w:pos="1134"/>
          <w:tab w:val="clear" w:pos="1701"/>
          <w:tab w:val="clear" w:pos="2268"/>
          <w:tab w:val="clear" w:pos="2835"/>
          <w:tab w:val="left" w:pos="7088"/>
        </w:tabs>
        <w:spacing w:before="840"/>
        <w:rPr>
          <w:b/>
          <w:bCs/>
        </w:rPr>
      </w:pPr>
      <w:r w:rsidRPr="00E52A4A">
        <w:rPr>
          <w:b/>
          <w:bCs/>
        </w:rPr>
        <w:t>Gareth Davies</w:t>
      </w:r>
      <w:r w:rsidRPr="00E52A4A">
        <w:tab/>
      </w:r>
      <w:r w:rsidRPr="00E52A4A">
        <w:rPr>
          <w:b/>
          <w:bCs/>
        </w:rPr>
        <w:t>24 janvier 2024</w:t>
      </w:r>
    </w:p>
    <w:p w14:paraId="0B505BBD" w14:textId="77777777" w:rsidR="00D26045" w:rsidRPr="00E52A4A" w:rsidRDefault="00D26045" w:rsidP="00D26045">
      <w:pPr>
        <w:spacing w:before="0"/>
      </w:pPr>
      <w:r w:rsidRPr="00E52A4A">
        <w:t>Contrôleur et Vérificateur général</w:t>
      </w:r>
    </w:p>
    <w:p w14:paraId="24DC29AB" w14:textId="77777777" w:rsidR="00D26045" w:rsidRPr="00E52A4A" w:rsidRDefault="00D26045" w:rsidP="00D26045">
      <w:pPr>
        <w:spacing w:before="0"/>
      </w:pPr>
      <w:r w:rsidRPr="00E52A4A">
        <w:t>Bureau national de contrôle des finances publiques</w:t>
      </w:r>
    </w:p>
    <w:p w14:paraId="2D374DF4" w14:textId="77777777" w:rsidR="00D26045" w:rsidRPr="00056321" w:rsidRDefault="00D26045" w:rsidP="00D26045">
      <w:pPr>
        <w:spacing w:before="0"/>
        <w:rPr>
          <w:lang w:val="en-GB"/>
        </w:rPr>
      </w:pPr>
      <w:r w:rsidRPr="00056321">
        <w:rPr>
          <w:lang w:val="en-GB"/>
        </w:rPr>
        <w:t>157-197 Buckingham Palace Road</w:t>
      </w:r>
    </w:p>
    <w:p w14:paraId="3DB65265" w14:textId="77777777" w:rsidR="00D26045" w:rsidRPr="00056321" w:rsidRDefault="00D26045" w:rsidP="00D26045">
      <w:pPr>
        <w:spacing w:before="0"/>
        <w:rPr>
          <w:lang w:val="en-GB"/>
        </w:rPr>
      </w:pPr>
      <w:r w:rsidRPr="00056321">
        <w:rPr>
          <w:lang w:val="en-GB"/>
        </w:rPr>
        <w:t xml:space="preserve">Victoria, </w:t>
      </w:r>
      <w:proofErr w:type="spellStart"/>
      <w:r w:rsidRPr="00056321">
        <w:rPr>
          <w:lang w:val="en-GB"/>
        </w:rPr>
        <w:t>Londres</w:t>
      </w:r>
      <w:proofErr w:type="spellEnd"/>
    </w:p>
    <w:p w14:paraId="1683D4D8" w14:textId="77777777" w:rsidR="00D26045" w:rsidRPr="00056321" w:rsidRDefault="00D26045" w:rsidP="00D26045">
      <w:pPr>
        <w:spacing w:before="0"/>
        <w:rPr>
          <w:lang w:val="en-GB"/>
        </w:rPr>
      </w:pPr>
      <w:r w:rsidRPr="00056321">
        <w:rPr>
          <w:lang w:val="en-GB"/>
        </w:rPr>
        <w:t>SW1W 9SP</w:t>
      </w:r>
    </w:p>
    <w:p w14:paraId="5A892860" w14:textId="77777777" w:rsidR="00D26045" w:rsidRPr="00E52A4A" w:rsidRDefault="00D26045" w:rsidP="00D26045">
      <w:pPr>
        <w:spacing w:before="0"/>
      </w:pPr>
      <w:r w:rsidRPr="00E52A4A">
        <w:t>Royaume-Uni</w:t>
      </w:r>
    </w:p>
    <w:p w14:paraId="5ADED6C5" w14:textId="77777777" w:rsidR="00D26045" w:rsidRPr="00E52A4A" w:rsidRDefault="00D26045" w:rsidP="00D26045">
      <w:pPr>
        <w:spacing w:before="0"/>
      </w:pPr>
      <w:r w:rsidRPr="00E52A4A">
        <w:br w:type="page"/>
      </w:r>
    </w:p>
    <w:p w14:paraId="31E232FC" w14:textId="77777777" w:rsidR="00D26045" w:rsidRPr="00E52A4A" w:rsidRDefault="00D26045" w:rsidP="00D26045">
      <w:pPr>
        <w:pStyle w:val="Title4"/>
      </w:pPr>
      <w:bookmarkStart w:id="43" w:name="_Toc162331495"/>
      <w:bookmarkStart w:id="44" w:name="_Toc162331705"/>
      <w:r w:rsidRPr="00E52A4A">
        <w:lastRenderedPageBreak/>
        <w:t>États financiers</w:t>
      </w:r>
      <w:bookmarkEnd w:id="43"/>
      <w:bookmarkEnd w:id="44"/>
    </w:p>
    <w:p w14:paraId="4DCACB35" w14:textId="77777777" w:rsidR="00D26045" w:rsidRPr="00E52A4A" w:rsidRDefault="00D26045" w:rsidP="00D26045">
      <w:pPr>
        <w:pStyle w:val="Heading1"/>
      </w:pPr>
      <w:bookmarkStart w:id="45" w:name="_Toc162331496"/>
      <w:bookmarkStart w:id="46" w:name="_Toc162331706"/>
      <w:r w:rsidRPr="00E52A4A">
        <w:t>État I: État de la situation financière</w:t>
      </w:r>
      <w:bookmarkEnd w:id="45"/>
      <w:bookmarkEnd w:id="46"/>
    </w:p>
    <w:p w14:paraId="77E28C0A" w14:textId="77777777" w:rsidR="00D26045" w:rsidRPr="00E52A4A" w:rsidRDefault="00D26045" w:rsidP="00D26045">
      <w:r w:rsidRPr="00E52A4A">
        <w:t>Pour l'exercice clos le 31 décembre 2022</w:t>
      </w:r>
    </w:p>
    <w:p w14:paraId="49234907" w14:textId="77777777" w:rsidR="00D26045" w:rsidRPr="00E52A4A" w:rsidRDefault="00D26045" w:rsidP="00D26045">
      <w:r w:rsidRPr="00E52A4A">
        <w:t>(en milliers CHF)</w:t>
      </w:r>
    </w:p>
    <w:p w14:paraId="69B572DF" w14:textId="77777777" w:rsidR="00D26045" w:rsidRPr="00E52A4A" w:rsidRDefault="00D26045" w:rsidP="00D26045">
      <w:r w:rsidRPr="00E52A4A">
        <w:rPr>
          <w:noProof/>
        </w:rPr>
        <w:drawing>
          <wp:inline distT="0" distB="0" distL="0" distR="0" wp14:anchorId="59285696" wp14:editId="7B8EA67C">
            <wp:extent cx="5760085" cy="62642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6264275"/>
                    </a:xfrm>
                    <a:prstGeom prst="rect">
                      <a:avLst/>
                    </a:prstGeom>
                    <a:noFill/>
                    <a:ln>
                      <a:noFill/>
                    </a:ln>
                  </pic:spPr>
                </pic:pic>
              </a:graphicData>
            </a:graphic>
          </wp:inline>
        </w:drawing>
      </w:r>
    </w:p>
    <w:p w14:paraId="7104D357" w14:textId="77777777" w:rsidR="00D26045" w:rsidRPr="00E52A4A" w:rsidRDefault="00D26045" w:rsidP="00D26045">
      <w:pPr>
        <w:rPr>
          <w:i/>
          <w:iCs/>
        </w:rPr>
      </w:pPr>
      <w:r w:rsidRPr="00E52A4A">
        <w:rPr>
          <w:i/>
          <w:iCs/>
        </w:rPr>
        <w:t>Les notes annexes font partie intégrante des présents états financiers.</w:t>
      </w:r>
    </w:p>
    <w:p w14:paraId="612C93E2" w14:textId="77777777" w:rsidR="00D26045" w:rsidRPr="00E52A4A" w:rsidRDefault="00D26045" w:rsidP="00D26045">
      <w:r w:rsidRPr="00E52A4A">
        <w:rPr>
          <w:i/>
          <w:iCs/>
        </w:rPr>
        <w:t>Voir la Note 30 pour plus de détails sur la période comparative des états retraités.</w:t>
      </w:r>
    </w:p>
    <w:p w14:paraId="063238DF" w14:textId="77777777" w:rsidR="00D26045" w:rsidRPr="00E52A4A" w:rsidRDefault="00D26045" w:rsidP="00D26045">
      <w:pPr>
        <w:rPr>
          <w:i/>
          <w:iCs/>
        </w:rPr>
      </w:pPr>
      <w:r w:rsidRPr="00E52A4A">
        <w:rPr>
          <w:i/>
          <w:iCs/>
        </w:rPr>
        <w:br w:type="page"/>
      </w:r>
    </w:p>
    <w:p w14:paraId="4FBC687A" w14:textId="77777777" w:rsidR="00D26045" w:rsidRPr="00E52A4A" w:rsidRDefault="00D26045" w:rsidP="00D26045">
      <w:pPr>
        <w:pStyle w:val="Heading1"/>
      </w:pPr>
      <w:bookmarkStart w:id="47" w:name="_Toc162331497"/>
      <w:bookmarkStart w:id="48" w:name="_Toc162331707"/>
      <w:r w:rsidRPr="00E52A4A">
        <w:lastRenderedPageBreak/>
        <w:t>État II: État de la performance financière</w:t>
      </w:r>
      <w:bookmarkEnd w:id="47"/>
      <w:bookmarkEnd w:id="48"/>
    </w:p>
    <w:p w14:paraId="0A00E345" w14:textId="77777777" w:rsidR="00D26045" w:rsidRPr="00E52A4A" w:rsidRDefault="00D26045" w:rsidP="00D26045">
      <w:r w:rsidRPr="00E52A4A">
        <w:t>Pour l'exercice clos le 31 décembre 2022</w:t>
      </w:r>
    </w:p>
    <w:p w14:paraId="5F1B8476" w14:textId="77777777" w:rsidR="00D26045" w:rsidRPr="00E52A4A" w:rsidRDefault="00D26045" w:rsidP="00D26045">
      <w:r w:rsidRPr="00E52A4A">
        <w:t>(en milliers CHF)</w:t>
      </w:r>
    </w:p>
    <w:p w14:paraId="3DB59E20" w14:textId="77777777" w:rsidR="00D26045" w:rsidRPr="00E52A4A" w:rsidRDefault="00D26045" w:rsidP="00D26045">
      <w:pPr>
        <w:pStyle w:val="Figure"/>
      </w:pPr>
      <w:r w:rsidRPr="00E52A4A">
        <w:rPr>
          <w:noProof/>
        </w:rPr>
        <w:drawing>
          <wp:inline distT="0" distB="0" distL="0" distR="0" wp14:anchorId="2A95D5C4" wp14:editId="51367746">
            <wp:extent cx="5861714" cy="4162239"/>
            <wp:effectExtent l="0" t="0" r="5715" b="0"/>
            <wp:docPr id="579485142" name="Picture 57948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9530" cy="4167789"/>
                    </a:xfrm>
                    <a:prstGeom prst="rect">
                      <a:avLst/>
                    </a:prstGeom>
                    <a:noFill/>
                    <a:ln>
                      <a:noFill/>
                    </a:ln>
                  </pic:spPr>
                </pic:pic>
              </a:graphicData>
            </a:graphic>
          </wp:inline>
        </w:drawing>
      </w:r>
    </w:p>
    <w:p w14:paraId="7B8003BE" w14:textId="77777777" w:rsidR="00D26045" w:rsidRPr="00E52A4A" w:rsidRDefault="00D26045" w:rsidP="00D26045">
      <w:pPr>
        <w:rPr>
          <w:i/>
          <w:iCs/>
        </w:rPr>
      </w:pPr>
      <w:r w:rsidRPr="00E52A4A">
        <w:rPr>
          <w:i/>
          <w:iCs/>
        </w:rPr>
        <w:t>Les notes annexes font partie intégrante des présents états financiers.</w:t>
      </w:r>
    </w:p>
    <w:p w14:paraId="791C9338" w14:textId="77777777" w:rsidR="00D26045" w:rsidRPr="00E52A4A" w:rsidRDefault="00D26045" w:rsidP="00D26045">
      <w:r w:rsidRPr="00E52A4A">
        <w:rPr>
          <w:i/>
          <w:iCs/>
        </w:rPr>
        <w:t>Voir la Note 30 pour plus de détails sur la période comparative des états retraités.</w:t>
      </w:r>
    </w:p>
    <w:p w14:paraId="5848CDA5" w14:textId="77777777" w:rsidR="00D26045" w:rsidRPr="00E52A4A" w:rsidRDefault="00D26045" w:rsidP="00D26045">
      <w:r w:rsidRPr="00E52A4A">
        <w:br w:type="page"/>
      </w:r>
    </w:p>
    <w:p w14:paraId="7C0607FB" w14:textId="77777777" w:rsidR="00D26045" w:rsidRPr="00E52A4A" w:rsidRDefault="00D26045" w:rsidP="00D26045">
      <w:pPr>
        <w:pStyle w:val="Heading1"/>
      </w:pPr>
      <w:bookmarkStart w:id="49" w:name="_Toc162331498"/>
      <w:bookmarkStart w:id="50" w:name="_Toc162331708"/>
      <w:r w:rsidRPr="00E52A4A">
        <w:lastRenderedPageBreak/>
        <w:t>État III: État des variations de l'actif net</w:t>
      </w:r>
      <w:bookmarkEnd w:id="49"/>
      <w:bookmarkEnd w:id="50"/>
    </w:p>
    <w:p w14:paraId="0E6D2E9C" w14:textId="77777777" w:rsidR="00D26045" w:rsidRPr="00E52A4A" w:rsidRDefault="00D26045" w:rsidP="00D26045">
      <w:r w:rsidRPr="00E52A4A">
        <w:t>Pour l'exercice clos le 31 décembre 2022</w:t>
      </w:r>
    </w:p>
    <w:p w14:paraId="0DA1C50E" w14:textId="77777777" w:rsidR="00D26045" w:rsidRPr="00E52A4A" w:rsidRDefault="00D26045" w:rsidP="00D26045">
      <w:r w:rsidRPr="00E52A4A">
        <w:t>(en milliers CHF)</w:t>
      </w:r>
    </w:p>
    <w:p w14:paraId="12116E46" w14:textId="77777777" w:rsidR="00D26045" w:rsidRPr="00E52A4A" w:rsidRDefault="00D26045" w:rsidP="00D26045">
      <w:r w:rsidRPr="00E52A4A">
        <w:rPr>
          <w:noProof/>
        </w:rPr>
        <w:drawing>
          <wp:inline distT="0" distB="0" distL="0" distR="0" wp14:anchorId="318AA5AD" wp14:editId="2F02B13F">
            <wp:extent cx="5760085" cy="2557780"/>
            <wp:effectExtent l="0" t="0" r="0" b="0"/>
            <wp:docPr id="433524761" name="Picture 43352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2557780"/>
                    </a:xfrm>
                    <a:prstGeom prst="rect">
                      <a:avLst/>
                    </a:prstGeom>
                    <a:noFill/>
                    <a:ln>
                      <a:noFill/>
                    </a:ln>
                  </pic:spPr>
                </pic:pic>
              </a:graphicData>
            </a:graphic>
          </wp:inline>
        </w:drawing>
      </w:r>
    </w:p>
    <w:p w14:paraId="41C03225" w14:textId="77777777" w:rsidR="00D26045" w:rsidRPr="00E52A4A" w:rsidRDefault="00D26045" w:rsidP="00D26045">
      <w:pPr>
        <w:rPr>
          <w:i/>
          <w:iCs/>
        </w:rPr>
      </w:pPr>
      <w:r w:rsidRPr="00E52A4A">
        <w:rPr>
          <w:i/>
          <w:iCs/>
        </w:rPr>
        <w:t>Les notes annexes font partie intégrante des présents états financiers.</w:t>
      </w:r>
    </w:p>
    <w:p w14:paraId="0550908F" w14:textId="77777777" w:rsidR="00D26045" w:rsidRPr="00E52A4A" w:rsidRDefault="00D26045" w:rsidP="00D26045">
      <w:r w:rsidRPr="00E52A4A">
        <w:rPr>
          <w:i/>
          <w:iCs/>
        </w:rPr>
        <w:t>Voir les Notes 4 et 30 pour plus de détails sur la période comparative des états retraités.</w:t>
      </w:r>
    </w:p>
    <w:p w14:paraId="7EC66CA0" w14:textId="77777777" w:rsidR="00D26045" w:rsidRPr="00E52A4A" w:rsidRDefault="00D26045" w:rsidP="00D26045">
      <w:r w:rsidRPr="00E52A4A">
        <w:br w:type="page"/>
      </w:r>
    </w:p>
    <w:p w14:paraId="1D423C8C" w14:textId="77777777" w:rsidR="00D26045" w:rsidRPr="00E52A4A" w:rsidRDefault="00D26045" w:rsidP="00D26045">
      <w:pPr>
        <w:pStyle w:val="Heading1"/>
      </w:pPr>
      <w:bookmarkStart w:id="51" w:name="_Toc162331499"/>
      <w:bookmarkStart w:id="52" w:name="_Toc162331709"/>
      <w:r w:rsidRPr="00E52A4A">
        <w:lastRenderedPageBreak/>
        <w:t>État IV: État des flux de trésorerie</w:t>
      </w:r>
      <w:bookmarkEnd w:id="51"/>
      <w:bookmarkEnd w:id="52"/>
    </w:p>
    <w:p w14:paraId="11199B9B" w14:textId="77777777" w:rsidR="00D26045" w:rsidRPr="00E52A4A" w:rsidRDefault="00D26045" w:rsidP="00D26045">
      <w:r w:rsidRPr="00E52A4A">
        <w:t>Pour l'exercice clos le 31 décembre 2022</w:t>
      </w:r>
    </w:p>
    <w:p w14:paraId="1E734D7F" w14:textId="77777777" w:rsidR="00D26045" w:rsidRPr="00E52A4A" w:rsidRDefault="00D26045" w:rsidP="00D26045">
      <w:r w:rsidRPr="00E52A4A">
        <w:t>(en milliers CHF)</w:t>
      </w:r>
    </w:p>
    <w:p w14:paraId="4870BFDA" w14:textId="77777777" w:rsidR="00D26045" w:rsidRPr="00E52A4A" w:rsidRDefault="00D26045" w:rsidP="00D26045">
      <w:r w:rsidRPr="00E52A4A">
        <w:rPr>
          <w:noProof/>
        </w:rPr>
        <w:drawing>
          <wp:inline distT="0" distB="0" distL="0" distR="0" wp14:anchorId="155677BC" wp14:editId="313C2377">
            <wp:extent cx="5760085" cy="6960235"/>
            <wp:effectExtent l="0" t="0" r="0" b="0"/>
            <wp:docPr id="1785677594" name="Picture 1785677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6960235"/>
                    </a:xfrm>
                    <a:prstGeom prst="rect">
                      <a:avLst/>
                    </a:prstGeom>
                    <a:noFill/>
                    <a:ln>
                      <a:noFill/>
                    </a:ln>
                  </pic:spPr>
                </pic:pic>
              </a:graphicData>
            </a:graphic>
          </wp:inline>
        </w:drawing>
      </w:r>
    </w:p>
    <w:p w14:paraId="287CE94F" w14:textId="77777777" w:rsidR="00D26045" w:rsidRPr="00E52A4A" w:rsidRDefault="00D26045" w:rsidP="00D26045">
      <w:pPr>
        <w:rPr>
          <w:i/>
          <w:iCs/>
        </w:rPr>
      </w:pPr>
      <w:r w:rsidRPr="00E52A4A">
        <w:rPr>
          <w:i/>
          <w:iCs/>
        </w:rPr>
        <w:t>Les notes annexes font partie intégrante des présents états financiers.</w:t>
      </w:r>
    </w:p>
    <w:p w14:paraId="5B0F50BE" w14:textId="77777777" w:rsidR="00D26045" w:rsidRPr="00E52A4A" w:rsidRDefault="00D26045" w:rsidP="00D26045">
      <w:r w:rsidRPr="00E52A4A">
        <w:br w:type="page"/>
      </w:r>
    </w:p>
    <w:p w14:paraId="75996914" w14:textId="77777777" w:rsidR="00D26045" w:rsidRPr="00E52A4A" w:rsidRDefault="00D26045" w:rsidP="00D26045">
      <w:pPr>
        <w:pStyle w:val="Heading1"/>
        <w:tabs>
          <w:tab w:val="clear" w:pos="567"/>
        </w:tabs>
        <w:ind w:left="0" w:firstLine="0"/>
      </w:pPr>
      <w:bookmarkStart w:id="53" w:name="_Toc162331500"/>
      <w:bookmarkStart w:id="54" w:name="_Toc162331710"/>
      <w:r w:rsidRPr="00E52A4A">
        <w:lastRenderedPageBreak/>
        <w:t>État V: État de la comparaison des montants budgétés et des montants effectifs</w:t>
      </w:r>
      <w:bookmarkEnd w:id="53"/>
      <w:bookmarkEnd w:id="54"/>
    </w:p>
    <w:p w14:paraId="19611F3A" w14:textId="77777777" w:rsidR="00D26045" w:rsidRPr="00E52A4A" w:rsidRDefault="00D26045" w:rsidP="00D26045">
      <w:r w:rsidRPr="00E52A4A">
        <w:t>Pour l'exercice clos le 31 décembre 2022</w:t>
      </w:r>
    </w:p>
    <w:p w14:paraId="3DF7AA65" w14:textId="77777777" w:rsidR="00D26045" w:rsidRPr="00E52A4A" w:rsidRDefault="00D26045" w:rsidP="00D26045">
      <w:r w:rsidRPr="00E52A4A">
        <w:t>(en milliers CHF)</w:t>
      </w:r>
    </w:p>
    <w:p w14:paraId="1831DDE2" w14:textId="0D92EFBC" w:rsidR="00FB37F1" w:rsidRDefault="00FB37F1" w:rsidP="00D26045">
      <w:pPr>
        <w:rPr>
          <w:b/>
          <w:bCs/>
        </w:rPr>
      </w:pPr>
      <w:r w:rsidRPr="00FB37F1">
        <w:rPr>
          <w:b/>
          <w:bCs/>
          <w:noProof/>
        </w:rPr>
        <w:drawing>
          <wp:inline distT="0" distB="0" distL="0" distR="0" wp14:anchorId="050F7AF7" wp14:editId="4DA82198">
            <wp:extent cx="6120765" cy="34975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765" cy="3497580"/>
                    </a:xfrm>
                    <a:prstGeom prst="rect">
                      <a:avLst/>
                    </a:prstGeom>
                    <a:noFill/>
                    <a:ln>
                      <a:noFill/>
                    </a:ln>
                  </pic:spPr>
                </pic:pic>
              </a:graphicData>
            </a:graphic>
          </wp:inline>
        </w:drawing>
      </w:r>
    </w:p>
    <w:p w14:paraId="6FE12DA3" w14:textId="77777777" w:rsidR="00D26045" w:rsidRPr="00E52A4A" w:rsidRDefault="00D26045" w:rsidP="00D26045">
      <w:pPr>
        <w:rPr>
          <w:i/>
          <w:iCs/>
        </w:rPr>
      </w:pPr>
      <w:r w:rsidRPr="00E52A4A">
        <w:rPr>
          <w:i/>
          <w:iCs/>
        </w:rPr>
        <w:t>Les notes annexes font partie intégrante des présents états financiers</w:t>
      </w:r>
    </w:p>
    <w:p w14:paraId="2CA0C90B" w14:textId="77777777" w:rsidR="00D26045" w:rsidRPr="00E52A4A" w:rsidRDefault="00D26045" w:rsidP="00D26045">
      <w:r w:rsidRPr="00E52A4A">
        <w:rPr>
          <w:i/>
          <w:iCs/>
        </w:rPr>
        <w:t>Pour plus d'informations, voir la Note 25.</w:t>
      </w:r>
    </w:p>
    <w:p w14:paraId="2F4D642B" w14:textId="77777777" w:rsidR="00D26045" w:rsidRPr="00E52A4A" w:rsidRDefault="00D26045" w:rsidP="00D26045">
      <w:r w:rsidRPr="00E52A4A">
        <w:br w:type="page"/>
      </w:r>
    </w:p>
    <w:p w14:paraId="47088FCD" w14:textId="77777777" w:rsidR="00D26045" w:rsidRPr="00E52A4A" w:rsidRDefault="00D26045" w:rsidP="00D26045">
      <w:pPr>
        <w:pStyle w:val="Heading1"/>
      </w:pPr>
      <w:bookmarkStart w:id="55" w:name="_Toc162331501"/>
      <w:bookmarkStart w:id="56" w:name="_Toc162331711"/>
      <w:r w:rsidRPr="00E52A4A">
        <w:lastRenderedPageBreak/>
        <w:t>Notes relatives aux états financiers</w:t>
      </w:r>
      <w:bookmarkEnd w:id="55"/>
      <w:bookmarkEnd w:id="56"/>
    </w:p>
    <w:p w14:paraId="2E817E92" w14:textId="77777777" w:rsidR="00D26045" w:rsidRPr="00E52A4A" w:rsidRDefault="00D26045" w:rsidP="00D26045">
      <w:pPr>
        <w:pStyle w:val="Heading1"/>
        <w:spacing w:before="240"/>
        <w:rPr>
          <w:sz w:val="24"/>
          <w:szCs w:val="18"/>
        </w:rPr>
      </w:pPr>
      <w:bookmarkStart w:id="57" w:name="_Toc162331502"/>
      <w:bookmarkStart w:id="58" w:name="_Toc162331712"/>
      <w:r w:rsidRPr="00E52A4A">
        <w:rPr>
          <w:sz w:val="24"/>
          <w:szCs w:val="18"/>
        </w:rPr>
        <w:t>Note 1</w:t>
      </w:r>
      <w:r w:rsidRPr="00E52A4A">
        <w:rPr>
          <w:sz w:val="24"/>
          <w:szCs w:val="18"/>
        </w:rPr>
        <w:tab/>
        <w:t>Objectifs de l'Union</w:t>
      </w:r>
      <w:bookmarkEnd w:id="57"/>
      <w:bookmarkEnd w:id="58"/>
    </w:p>
    <w:p w14:paraId="38E16B60" w14:textId="77777777" w:rsidR="00D26045" w:rsidRPr="00E52A4A" w:rsidRDefault="00D26045" w:rsidP="00D26045">
      <w:pPr>
        <w:rPr>
          <w:b/>
        </w:rPr>
      </w:pPr>
      <w:r w:rsidRPr="00E52A4A">
        <w:t>L'Union internationale des télécommunications (UIT) est l'institution spécialisée des</w:t>
      </w:r>
      <w:hyperlink r:id="rId26" w:tgtFrame="_blank" w:history="1">
        <w:r w:rsidRPr="00E52A4A">
          <w:rPr>
            <w:rStyle w:val="Hyperlink"/>
            <w:u w:val="none"/>
          </w:rPr>
          <w:t xml:space="preserve"> </w:t>
        </w:r>
        <w:r w:rsidRPr="00E52A4A">
          <w:rPr>
            <w:rStyle w:val="Hyperlink"/>
            <w:rFonts w:cs="Calibri"/>
          </w:rPr>
          <w:t>Nations Unies</w:t>
        </w:r>
      </w:hyperlink>
      <w:r w:rsidRPr="00E52A4A">
        <w:t xml:space="preserve"> pour les technologies de l'information et de la communication (TIC). Pôle de convergence mondial où se retrouvent pouvoirs publics et secteur privé, l'UIT aide le monde à communiquer, et ce dans trois Secteurs fondamentaux: les </w:t>
      </w:r>
      <w:hyperlink r:id="rId27" w:history="1">
        <w:r w:rsidRPr="00E52A4A">
          <w:rPr>
            <w:rStyle w:val="Hyperlink"/>
            <w:rFonts w:cs="Calibri"/>
          </w:rPr>
          <w:t>radiocommunications</w:t>
        </w:r>
      </w:hyperlink>
      <w:r w:rsidRPr="00E52A4A">
        <w:t xml:space="preserve">, la </w:t>
      </w:r>
      <w:hyperlink r:id="rId28" w:history="1">
        <w:r w:rsidRPr="00E52A4A">
          <w:rPr>
            <w:rStyle w:val="Hyperlink"/>
            <w:rFonts w:cs="Calibri"/>
          </w:rPr>
          <w:t>normalisation</w:t>
        </w:r>
      </w:hyperlink>
      <w:r w:rsidRPr="00E52A4A">
        <w:t xml:space="preserve"> et le </w:t>
      </w:r>
      <w:hyperlink r:id="rId29" w:history="1">
        <w:r w:rsidRPr="00E52A4A">
          <w:rPr>
            <w:rStyle w:val="Hyperlink"/>
            <w:rFonts w:cs="Calibri"/>
          </w:rPr>
          <w:t>développement</w:t>
        </w:r>
      </w:hyperlink>
      <w:r w:rsidRPr="00E52A4A">
        <w:t>. L'UIT reconnaît pleinement à chaque État le droit souverain de réglementer ses télécommunications.</w:t>
      </w:r>
    </w:p>
    <w:p w14:paraId="3AE10E87" w14:textId="77777777" w:rsidR="00D26045" w:rsidRPr="00E52A4A" w:rsidRDefault="00D26045" w:rsidP="00D26045">
      <w:pPr>
        <w:rPr>
          <w:lang w:eastAsia="fr-FR"/>
        </w:rPr>
      </w:pPr>
      <w:r w:rsidRPr="00E52A4A">
        <w:rPr>
          <w:lang w:eastAsia="fr-FR"/>
        </w:rPr>
        <w:t>L'UIT a été responsable au premier chef de l'organisation du </w:t>
      </w:r>
      <w:hyperlink r:id="rId30" w:history="1">
        <w:r w:rsidRPr="00E52A4A">
          <w:rPr>
            <w:rStyle w:val="Hyperlink"/>
            <w:rFonts w:asciiTheme="minorHAnsi" w:hAnsiTheme="minorHAnsi" w:cs="Arial"/>
            <w:szCs w:val="24"/>
            <w:lang w:eastAsia="fr-FR"/>
          </w:rPr>
          <w:t>Sommet mondial sur la société de l'information</w:t>
        </w:r>
      </w:hyperlink>
      <w:r w:rsidRPr="00E52A4A">
        <w:rPr>
          <w:lang w:eastAsia="fr-FR"/>
        </w:rPr>
        <w:t>.</w:t>
      </w:r>
    </w:p>
    <w:p w14:paraId="66F723E9" w14:textId="77777777" w:rsidR="00D26045" w:rsidRPr="00E52A4A" w:rsidRDefault="00D26045" w:rsidP="00D26045">
      <w:pPr>
        <w:rPr>
          <w:lang w:eastAsia="fr-FR"/>
        </w:rPr>
      </w:pPr>
      <w:r w:rsidRPr="00E52A4A">
        <w:rPr>
          <w:rFonts w:asciiTheme="minorHAnsi" w:hAnsiTheme="minorHAnsi" w:cs="Arial"/>
          <w:szCs w:val="24"/>
          <w:lang w:eastAsia="fr-FR"/>
        </w:rPr>
        <w:t xml:space="preserve">L'UIT a son siège à Place des Nations, 1211 Genève 20, Suisse, et compte 193 </w:t>
      </w:r>
      <w:hyperlink r:id="rId31" w:history="1">
        <w:r w:rsidRPr="00E52A4A">
          <w:rPr>
            <w:rStyle w:val="Hyperlink"/>
            <w:rFonts w:asciiTheme="minorHAnsi" w:hAnsiTheme="minorHAnsi" w:cs="Arial"/>
            <w:szCs w:val="24"/>
            <w:lang w:eastAsia="fr-FR"/>
          </w:rPr>
          <w:t>États Membres</w:t>
        </w:r>
      </w:hyperlink>
      <w:r w:rsidRPr="00E52A4A">
        <w:rPr>
          <w:rFonts w:asciiTheme="minorHAnsi" w:hAnsiTheme="minorHAnsi" w:cs="Arial"/>
          <w:szCs w:val="24"/>
          <w:lang w:eastAsia="fr-FR"/>
        </w:rPr>
        <w:t xml:space="preserve"> et plus de 1 200 </w:t>
      </w:r>
      <w:hyperlink r:id="rId32" w:history="1">
        <w:r w:rsidRPr="00E52A4A">
          <w:rPr>
            <w:rStyle w:val="Hyperlink"/>
            <w:rFonts w:cs="Arial"/>
            <w:szCs w:val="24"/>
            <w:lang w:eastAsia="fr-FR"/>
          </w:rPr>
          <w:t>Membres de Secteur</w:t>
        </w:r>
      </w:hyperlink>
      <w:r w:rsidRPr="00E52A4A">
        <w:t xml:space="preserve">, </w:t>
      </w:r>
      <w:hyperlink r:id="rId33" w:history="1">
        <w:r w:rsidRPr="00E52A4A">
          <w:rPr>
            <w:rStyle w:val="Hyperlink"/>
            <w:rFonts w:asciiTheme="minorHAnsi" w:hAnsiTheme="minorHAnsi" w:cs="Arial"/>
            <w:szCs w:val="24"/>
            <w:lang w:eastAsia="fr-FR"/>
          </w:rPr>
          <w:t>Associés</w:t>
        </w:r>
      </w:hyperlink>
      <w:r w:rsidRPr="00E52A4A">
        <w:rPr>
          <w:rStyle w:val="Hyperlink"/>
          <w:color w:val="auto"/>
          <w:u w:val="none"/>
        </w:rPr>
        <w:t xml:space="preserve"> </w:t>
      </w:r>
      <w:r w:rsidRPr="00E52A4A">
        <w:rPr>
          <w:rStyle w:val="Hyperlink"/>
          <w:rFonts w:asciiTheme="minorHAnsi" w:hAnsiTheme="minorHAnsi" w:cs="Arial"/>
          <w:color w:val="auto"/>
          <w:szCs w:val="24"/>
          <w:u w:val="none"/>
          <w:lang w:eastAsia="fr-FR"/>
        </w:rPr>
        <w:t xml:space="preserve">et </w:t>
      </w:r>
      <w:hyperlink r:id="rId34" w:history="1">
        <w:r w:rsidRPr="00E52A4A">
          <w:rPr>
            <w:rStyle w:val="Hyperlink"/>
            <w:rFonts w:asciiTheme="minorHAnsi" w:hAnsiTheme="minorHAnsi" w:cs="Arial"/>
            <w:szCs w:val="24"/>
            <w:lang w:eastAsia="fr-FR"/>
          </w:rPr>
          <w:t>établissements universitaires associés à ses travaux</w:t>
        </w:r>
      </w:hyperlink>
      <w:r w:rsidRPr="00E52A4A">
        <w:rPr>
          <w:rFonts w:asciiTheme="minorHAnsi" w:hAnsiTheme="minorHAnsi" w:cs="Arial"/>
          <w:szCs w:val="24"/>
          <w:lang w:eastAsia="fr-FR"/>
        </w:rPr>
        <w:t>. L'UIT a quatre bureaux régionaux, huit bureaux de zone, un bureau de liaison auprès de l'Organisation des Nations Unies à New York et une unité de coordination au siège pour l'Europe.</w:t>
      </w:r>
    </w:p>
    <w:p w14:paraId="32299DCD" w14:textId="77777777" w:rsidR="00D26045" w:rsidRPr="00E52A4A" w:rsidRDefault="00D26045" w:rsidP="00D26045">
      <w:r w:rsidRPr="00E52A4A">
        <w:t>L'objet de l'Union est le suivant:</w:t>
      </w:r>
    </w:p>
    <w:p w14:paraId="01979A7E" w14:textId="77777777" w:rsidR="00D26045" w:rsidRPr="00E52A4A" w:rsidRDefault="00D26045" w:rsidP="00D26045">
      <w:pPr>
        <w:pStyle w:val="enumlev1"/>
      </w:pPr>
      <w:r w:rsidRPr="00E52A4A">
        <w:rPr>
          <w:lang w:eastAsia="fr-FR"/>
        </w:rPr>
        <w:t>–</w:t>
      </w:r>
      <w:r w:rsidRPr="00E52A4A">
        <w:rPr>
          <w:lang w:eastAsia="fr-FR"/>
        </w:rPr>
        <w:tab/>
      </w:r>
      <w:r w:rsidRPr="00E52A4A">
        <w:t>maintenir et étendre la coopération internationale entre tous ses États Membres pour l'amélioration et l'emploi rationnel des télécommunications de toutes sortes;</w:t>
      </w:r>
    </w:p>
    <w:p w14:paraId="300E7F29" w14:textId="77777777" w:rsidR="00D26045" w:rsidRPr="00E52A4A" w:rsidRDefault="00D26045" w:rsidP="00D26045">
      <w:pPr>
        <w:pStyle w:val="enumlev1"/>
      </w:pPr>
      <w:r w:rsidRPr="00E52A4A">
        <w:t>–</w:t>
      </w:r>
      <w:r w:rsidRPr="00E52A4A">
        <w:tab/>
        <w:t>favoriser le développement de moyens techniques et leur exploitation la plus efficace, en vue d'augmenter le rendement des services de télécommunication, d'accroître leur utilité et de généraliser le plus possible leur utilisation par le public;</w:t>
      </w:r>
    </w:p>
    <w:p w14:paraId="373101E4" w14:textId="77777777" w:rsidR="00D26045" w:rsidRPr="00E52A4A" w:rsidRDefault="00D26045" w:rsidP="00D26045">
      <w:pPr>
        <w:pStyle w:val="enumlev1"/>
      </w:pPr>
      <w:r w:rsidRPr="00E52A4A">
        <w:t>–</w:t>
      </w:r>
      <w:r w:rsidRPr="00E52A4A">
        <w:tab/>
        <w:t>s'efforcer d'étendre les avantages des nouvelles technologies de télécommunication à tous les habitants de la planète;</w:t>
      </w:r>
    </w:p>
    <w:p w14:paraId="6E225D6E" w14:textId="77777777" w:rsidR="00D26045" w:rsidRPr="00E52A4A" w:rsidRDefault="00D26045" w:rsidP="00D26045">
      <w:pPr>
        <w:pStyle w:val="enumlev1"/>
      </w:pPr>
      <w:r w:rsidRPr="00E52A4A">
        <w:t>–</w:t>
      </w:r>
      <w:r w:rsidRPr="00E52A4A">
        <w:tab/>
        <w:t>promouvoir l'utilisation des services de télécommunication en vue de faciliter les relations pacifiques;</w:t>
      </w:r>
    </w:p>
    <w:p w14:paraId="37674623" w14:textId="77777777" w:rsidR="00D26045" w:rsidRPr="00E52A4A" w:rsidRDefault="00D26045" w:rsidP="00D26045">
      <w:pPr>
        <w:pStyle w:val="enumlev1"/>
      </w:pPr>
      <w:r w:rsidRPr="00E52A4A">
        <w:t>–</w:t>
      </w:r>
      <w:r w:rsidRPr="00E52A4A">
        <w:tab/>
        <w:t>harmoniser les efforts des États Membres et favoriser une coopération et un partenariat fructueux et constructifs entre les États Membres et les Membres des Secteurs à ces fins; et</w:t>
      </w:r>
    </w:p>
    <w:p w14:paraId="0FFA8C40" w14:textId="77777777" w:rsidR="00D26045" w:rsidRPr="00E52A4A" w:rsidRDefault="00D26045" w:rsidP="00D26045">
      <w:pPr>
        <w:pStyle w:val="enumlev1"/>
        <w:rPr>
          <w:b/>
        </w:rPr>
      </w:pPr>
      <w:r w:rsidRPr="00E52A4A">
        <w:t>–</w:t>
      </w:r>
      <w:r w:rsidRPr="00E52A4A">
        <w:tab/>
        <w:t>promouvoir au niveau international, l'adoption d'une approche plus générale des questions de télécommunication, en raison de la mondialisation de l'économie et de la société de l'information, en collaborant avec d'autres organisations intergouvernementales régionales et internationales ainsi qu'avec les organisations non gouvernementales qui s'occupent de télécommunications.</w:t>
      </w:r>
    </w:p>
    <w:p w14:paraId="19E33D6F" w14:textId="77777777" w:rsidR="00D26045" w:rsidRPr="00E52A4A" w:rsidRDefault="00D26045" w:rsidP="00D26045">
      <w:r w:rsidRPr="00E52A4A">
        <w:t>À cet effet et plus particulièrement, l'Union:</w:t>
      </w:r>
    </w:p>
    <w:p w14:paraId="3DB8780F" w14:textId="77777777" w:rsidR="00D26045" w:rsidRPr="00E52A4A" w:rsidRDefault="00D26045" w:rsidP="00D26045">
      <w:pPr>
        <w:pStyle w:val="enumlev1"/>
      </w:pPr>
      <w:r w:rsidRPr="00E52A4A">
        <w:rPr>
          <w:lang w:eastAsia="fr-FR"/>
        </w:rPr>
        <w:t>–</w:t>
      </w:r>
      <w:r w:rsidRPr="00E52A4A">
        <w:rPr>
          <w:lang w:eastAsia="fr-FR"/>
        </w:rPr>
        <w:tab/>
      </w:r>
      <w:r w:rsidRPr="00E52A4A">
        <w:t>effectue l'attribution des bandes de fréquences du spectre radioélectrique, l'allotissement des fréquences radioélectriques et l'enregistrement des assignations de fréquence et, pour les services spatiaux, de toute position orbitale associée sur l'orbite des satellites géostationnaires ou de toute caractéristique associée de satellites sur d'autres orbites afin d'éviter les brouillages préjudiciables entre les stations de radiocommunication des différents pays;</w:t>
      </w:r>
    </w:p>
    <w:p w14:paraId="68E29BC8" w14:textId="77777777" w:rsidR="00D26045" w:rsidRPr="00E52A4A" w:rsidRDefault="00D26045" w:rsidP="00D26045">
      <w:pPr>
        <w:pStyle w:val="enumlev1"/>
        <w:keepLines/>
      </w:pPr>
      <w:r w:rsidRPr="00E52A4A">
        <w:t>–</w:t>
      </w:r>
      <w:r w:rsidRPr="00E52A4A">
        <w:tab/>
        <w:t>coordonne les efforts en vue d'éliminer les brouillages préjudiciables entre les stations de radiocommunication des différents pays et d'améliorer l'utilisation du spectre des fréquences radioélectriques pour les services de radiocommunication ainsi que de l'orbite des satellites géostationnaires et d'autres orbites;</w:t>
      </w:r>
    </w:p>
    <w:p w14:paraId="587F3AAC" w14:textId="77777777" w:rsidR="00D26045" w:rsidRPr="00E52A4A" w:rsidRDefault="00D26045" w:rsidP="00D26045">
      <w:pPr>
        <w:pStyle w:val="enumlev1"/>
      </w:pPr>
      <w:r w:rsidRPr="00E52A4A">
        <w:lastRenderedPageBreak/>
        <w:t>–</w:t>
      </w:r>
      <w:r w:rsidRPr="00E52A4A">
        <w:tab/>
        <w:t>facilite la normalisation mondiale des télécommunications, avec une qualité de service satisfaisante;</w:t>
      </w:r>
    </w:p>
    <w:p w14:paraId="23FAAB5B" w14:textId="77777777" w:rsidR="00D26045" w:rsidRPr="00E52A4A" w:rsidRDefault="00D26045" w:rsidP="00D26045">
      <w:pPr>
        <w:pStyle w:val="enumlev1"/>
        <w:rPr>
          <w:lang w:eastAsia="fr-FR"/>
        </w:rPr>
      </w:pPr>
      <w:r w:rsidRPr="00E52A4A">
        <w:t>–</w:t>
      </w:r>
      <w:r w:rsidRPr="00E52A4A">
        <w:tab/>
        <w:t>encourage la coopération et la solidarité internationales en vue d'assurer l'assistance technique aux pays en développement ainsi que la création, le développement et le perfectionnement des installations</w:t>
      </w:r>
      <w:r w:rsidRPr="00E52A4A">
        <w:rPr>
          <w:lang w:eastAsia="fr-FR"/>
        </w:rPr>
        <w:t xml:space="preserve"> et des réseaux de télécommunication dans les pays en développement par tous les moyens à sa disposition, y compris sa participation aux programmes appropriés des Nations Unies et l'utilisation de ses propres ressources, selon les besoins;</w:t>
      </w:r>
    </w:p>
    <w:p w14:paraId="628C97DA" w14:textId="77777777" w:rsidR="00D26045" w:rsidRPr="00E52A4A" w:rsidRDefault="00D26045" w:rsidP="00D26045">
      <w:pPr>
        <w:pStyle w:val="enumlev1"/>
        <w:rPr>
          <w:lang w:eastAsia="fr-FR"/>
        </w:rPr>
      </w:pPr>
      <w:r w:rsidRPr="00E52A4A">
        <w:rPr>
          <w:lang w:eastAsia="fr-FR"/>
        </w:rPr>
        <w:t>–</w:t>
      </w:r>
      <w:r w:rsidRPr="00E52A4A">
        <w:rPr>
          <w:lang w:eastAsia="fr-FR"/>
        </w:rPr>
        <w:tab/>
        <w:t>coordonne les efforts en vue d'harmoniser le développement des moyens de télécommunication, notamment ceux faisant appel aux techniques spatiales, de manière à utiliser au mieux les possibilités qu'ils offrent;</w:t>
      </w:r>
    </w:p>
    <w:p w14:paraId="46AA5F36" w14:textId="77777777" w:rsidR="00D26045" w:rsidRPr="00E52A4A" w:rsidRDefault="00D26045" w:rsidP="00D26045">
      <w:pPr>
        <w:pStyle w:val="enumlev1"/>
        <w:rPr>
          <w:lang w:eastAsia="fr-FR"/>
        </w:rPr>
      </w:pPr>
      <w:r w:rsidRPr="00E52A4A">
        <w:rPr>
          <w:lang w:eastAsia="fr-FR"/>
        </w:rPr>
        <w:t>–</w:t>
      </w:r>
      <w:r w:rsidRPr="00E52A4A">
        <w:rPr>
          <w:lang w:eastAsia="fr-FR"/>
        </w:rPr>
        <w:tab/>
        <w:t>favorise la collaboration entre les États Membres et les Membres des Secteurs en vue d'établir des tarifs à des niveaux aussi bas que possible, compatibles avec un service de bonne qualité et une gestion financière des télécommunications saine et indépendante;</w:t>
      </w:r>
    </w:p>
    <w:p w14:paraId="11136C5E" w14:textId="77777777" w:rsidR="00D26045" w:rsidRPr="00E52A4A" w:rsidRDefault="00D26045" w:rsidP="00D26045">
      <w:pPr>
        <w:pStyle w:val="enumlev1"/>
        <w:rPr>
          <w:lang w:eastAsia="fr-FR"/>
        </w:rPr>
      </w:pPr>
      <w:r w:rsidRPr="00E52A4A">
        <w:rPr>
          <w:lang w:eastAsia="fr-FR"/>
        </w:rPr>
        <w:t>–</w:t>
      </w:r>
      <w:r w:rsidRPr="00E52A4A">
        <w:rPr>
          <w:lang w:eastAsia="fr-FR"/>
        </w:rPr>
        <w:tab/>
        <w:t>encourage l'adoption de mesures permettant d'assurer la sécurité de la vie humaine par la coopération des services de télécommunication;</w:t>
      </w:r>
    </w:p>
    <w:p w14:paraId="31310C25" w14:textId="77777777" w:rsidR="00D26045" w:rsidRPr="00E52A4A" w:rsidRDefault="00D26045" w:rsidP="00D26045">
      <w:pPr>
        <w:pStyle w:val="enumlev1"/>
        <w:rPr>
          <w:lang w:eastAsia="fr-FR"/>
        </w:rPr>
      </w:pPr>
      <w:r w:rsidRPr="00E52A4A">
        <w:rPr>
          <w:lang w:eastAsia="fr-FR"/>
        </w:rPr>
        <w:t>–</w:t>
      </w:r>
      <w:r w:rsidRPr="00E52A4A">
        <w:rPr>
          <w:lang w:eastAsia="fr-FR"/>
        </w:rPr>
        <w:tab/>
        <w:t>procède à des études, arrête des réglementations, adopte des résolutions, formule des recommandations et des vœux, recueille et publie des informations concernant les télécommunications;</w:t>
      </w:r>
    </w:p>
    <w:p w14:paraId="41ABB18C" w14:textId="77777777" w:rsidR="00D26045" w:rsidRPr="00E52A4A" w:rsidRDefault="00D26045" w:rsidP="00D26045">
      <w:pPr>
        <w:pStyle w:val="enumlev1"/>
        <w:rPr>
          <w:lang w:eastAsia="fr-FR"/>
        </w:rPr>
      </w:pPr>
      <w:r w:rsidRPr="00E52A4A">
        <w:rPr>
          <w:lang w:eastAsia="fr-FR"/>
        </w:rPr>
        <w:t>–</w:t>
      </w:r>
      <w:r w:rsidRPr="00E52A4A">
        <w:rPr>
          <w:lang w:eastAsia="fr-FR"/>
        </w:rPr>
        <w:tab/>
        <w:t>s'emploie, avec les organismes de financement et de développement internationaux, à promouvoir l'établissement de lignes de crédit préférentielles et favorables destinées au développement de projets sociaux visant, entre autres, à étendre les services de télécommunication aux zones les plus isolées dans les pays;</w:t>
      </w:r>
    </w:p>
    <w:p w14:paraId="72C713FC" w14:textId="77777777" w:rsidR="00D26045" w:rsidRPr="00E52A4A" w:rsidRDefault="00D26045" w:rsidP="00D26045">
      <w:pPr>
        <w:pStyle w:val="enumlev1"/>
        <w:rPr>
          <w:lang w:eastAsia="fr-FR"/>
        </w:rPr>
      </w:pPr>
      <w:r w:rsidRPr="00E52A4A">
        <w:rPr>
          <w:lang w:eastAsia="fr-FR"/>
        </w:rPr>
        <w:t>–</w:t>
      </w:r>
      <w:r w:rsidRPr="00E52A4A">
        <w:rPr>
          <w:lang w:eastAsia="fr-FR"/>
        </w:rPr>
        <w:tab/>
        <w:t>encourage la participation des entités concernées aux activités de l'Union et la coopération avec les organisations régionales ou autres en vue de répondre à l'objet de l'Union.</w:t>
      </w:r>
    </w:p>
    <w:p w14:paraId="5A56995D" w14:textId="77777777" w:rsidR="00D26045" w:rsidRPr="00E52A4A" w:rsidRDefault="00D26045" w:rsidP="00D26045">
      <w:r w:rsidRPr="00E52A4A">
        <w:t>La Conférence de plénipotentiaires est l'</w:t>
      </w:r>
      <w:r w:rsidRPr="00E52A4A">
        <w:rPr>
          <w:bCs/>
        </w:rPr>
        <w:t>organe suprême</w:t>
      </w:r>
      <w:r w:rsidRPr="00E52A4A">
        <w:t xml:space="preserve"> de l'UIT. </w:t>
      </w:r>
      <w:r w:rsidRPr="00E52A4A">
        <w:rPr>
          <w:bCs/>
        </w:rPr>
        <w:t>Convoquée tous les quatre ans</w:t>
      </w:r>
      <w:r w:rsidRPr="00E52A4A">
        <w:t>, la Conférence:</w:t>
      </w:r>
    </w:p>
    <w:p w14:paraId="47467780" w14:textId="77777777" w:rsidR="00D26045" w:rsidRPr="00E52A4A" w:rsidRDefault="00D26045" w:rsidP="00D26045">
      <w:pPr>
        <w:pStyle w:val="enumlev1"/>
      </w:pPr>
      <w:r w:rsidRPr="00E52A4A">
        <w:rPr>
          <w:lang w:eastAsia="fr-FR"/>
        </w:rPr>
        <w:t>•</w:t>
      </w:r>
      <w:r w:rsidRPr="00E52A4A">
        <w:rPr>
          <w:lang w:eastAsia="fr-FR"/>
        </w:rPr>
        <w:tab/>
      </w:r>
      <w:r w:rsidRPr="00E52A4A">
        <w:t>détermine les principes généraux de l'Union;</w:t>
      </w:r>
    </w:p>
    <w:p w14:paraId="756346DC" w14:textId="77777777" w:rsidR="00D26045" w:rsidRPr="00E52A4A" w:rsidRDefault="00D26045" w:rsidP="00D26045">
      <w:pPr>
        <w:pStyle w:val="enumlev1"/>
      </w:pPr>
      <w:r w:rsidRPr="00E52A4A">
        <w:t>•</w:t>
      </w:r>
      <w:r w:rsidRPr="00E52A4A">
        <w:tab/>
        <w:t>adopte un plan stratégique et un plan financier pour une période de quatre ans;</w:t>
      </w:r>
    </w:p>
    <w:p w14:paraId="7CA24C32" w14:textId="77777777" w:rsidR="00D26045" w:rsidRPr="00E52A4A" w:rsidRDefault="00D26045" w:rsidP="00D26045">
      <w:pPr>
        <w:pStyle w:val="enumlev1"/>
        <w:rPr>
          <w:lang w:eastAsia="fr-FR"/>
        </w:rPr>
      </w:pPr>
      <w:r w:rsidRPr="00E52A4A">
        <w:t>•</w:t>
      </w:r>
      <w:r w:rsidRPr="00E52A4A">
        <w:tab/>
        <w:t xml:space="preserve">élit les membres de l'équipe de direction de l'organisation, les Membres du </w:t>
      </w:r>
      <w:hyperlink r:id="rId35" w:history="1">
        <w:r w:rsidRPr="00E52A4A">
          <w:rPr>
            <w:rStyle w:val="Hyperlink"/>
          </w:rPr>
          <w:t>Conseil</w:t>
        </w:r>
      </w:hyperlink>
      <w:r w:rsidRPr="00E52A4A">
        <w:t xml:space="preserve"> et les M</w:t>
      </w:r>
      <w:r w:rsidRPr="00E52A4A">
        <w:rPr>
          <w:lang w:eastAsia="fr-FR"/>
        </w:rPr>
        <w:t xml:space="preserve">embres du </w:t>
      </w:r>
      <w:hyperlink r:id="rId36" w:history="1">
        <w:r w:rsidRPr="00E52A4A">
          <w:rPr>
            <w:rStyle w:val="Hyperlink"/>
          </w:rPr>
          <w:t xml:space="preserve">Comité du </w:t>
        </w:r>
        <w:hyperlink r:id="rId37" w:history="1">
          <w:r w:rsidRPr="00E52A4A">
            <w:rPr>
              <w:rStyle w:val="Hyperlink"/>
            </w:rPr>
            <w:t>Règlement</w:t>
          </w:r>
        </w:hyperlink>
        <w:r w:rsidRPr="00E52A4A">
          <w:rPr>
            <w:rStyle w:val="Hyperlink"/>
          </w:rPr>
          <w:t xml:space="preserve"> des radiocommunications</w:t>
        </w:r>
      </w:hyperlink>
      <w:r w:rsidRPr="00E52A4A">
        <w:rPr>
          <w:lang w:eastAsia="fr-FR"/>
        </w:rPr>
        <w:t>.</w:t>
      </w:r>
    </w:p>
    <w:p w14:paraId="7952181E" w14:textId="36E76ECF" w:rsidR="00D26045" w:rsidRPr="00E52A4A" w:rsidRDefault="00D26045" w:rsidP="00D26045">
      <w:pPr>
        <w:rPr>
          <w:b/>
        </w:rPr>
      </w:pPr>
      <w:r w:rsidRPr="00E52A4A">
        <w:t xml:space="preserve">La Conférence de plénipotentiaires est un événement important, </w:t>
      </w:r>
      <w:r w:rsidRPr="00E52A4A">
        <w:rPr>
          <w:bCs/>
        </w:rPr>
        <w:t>à l'occasion duquel les États</w:t>
      </w:r>
      <w:r w:rsidR="007A66CF" w:rsidRPr="00E52A4A">
        <w:rPr>
          <w:bCs/>
        </w:rPr>
        <w:t> </w:t>
      </w:r>
      <w:r w:rsidRPr="00E52A4A">
        <w:rPr>
          <w:bCs/>
        </w:rPr>
        <w:t>Membres de l'UIT décident du rôle futur de l'organisation</w:t>
      </w:r>
      <w:r w:rsidRPr="00E52A4A">
        <w:t xml:space="preserve"> et déterminent par là même sa capacité à influencer et à orienter l'évolution des technologies de l'information et de la communication (TIC) dans le monde.</w:t>
      </w:r>
    </w:p>
    <w:p w14:paraId="5D741DC6" w14:textId="77777777" w:rsidR="00D26045" w:rsidRPr="00E52A4A" w:rsidRDefault="00D26045" w:rsidP="00D26045">
      <w:r w:rsidRPr="00E52A4A">
        <w:rPr>
          <w:bCs/>
        </w:rPr>
        <w:t>Les Membres des Secteurs, les organisations régionales de télécommunication et les organisations intergouvernementales, ainsi que l'Organisation des Nations unies et ses institutions spécialisées</w:t>
      </w:r>
      <w:r w:rsidRPr="00E52A4A">
        <w:t xml:space="preserve"> participent également à la Conférence en qualité d'observateurs.</w:t>
      </w:r>
    </w:p>
    <w:p w14:paraId="4AA71DE7" w14:textId="77777777" w:rsidR="00D26045" w:rsidRPr="00E52A4A" w:rsidRDefault="00D26045" w:rsidP="007A66CF">
      <w:pPr>
        <w:pStyle w:val="Heading1"/>
        <w:rPr>
          <w:sz w:val="24"/>
          <w:szCs w:val="18"/>
        </w:rPr>
      </w:pPr>
      <w:bookmarkStart w:id="59" w:name="_Toc162331503"/>
      <w:bookmarkStart w:id="60" w:name="_Toc162331713"/>
      <w:r w:rsidRPr="00E52A4A">
        <w:rPr>
          <w:sz w:val="24"/>
          <w:szCs w:val="18"/>
        </w:rPr>
        <w:lastRenderedPageBreak/>
        <w:t>Note 2</w:t>
      </w:r>
      <w:r w:rsidRPr="00E52A4A">
        <w:rPr>
          <w:sz w:val="24"/>
          <w:szCs w:val="18"/>
        </w:rPr>
        <w:tab/>
        <w:t>Fondements de la préparation et de la présentation</w:t>
      </w:r>
      <w:bookmarkEnd w:id="59"/>
      <w:bookmarkEnd w:id="60"/>
    </w:p>
    <w:p w14:paraId="0833131E" w14:textId="77777777" w:rsidR="00D26045" w:rsidRPr="00E52A4A" w:rsidRDefault="00D26045" w:rsidP="007A66CF">
      <w:pPr>
        <w:keepNext/>
        <w:keepLines/>
      </w:pPr>
      <w:r w:rsidRPr="00E52A4A">
        <w:t>Les états financiers de 2022 ont été préparés selon la méthode de la comptabilité d'exercice, conformément aux normes comptables internationales du secteur public (IPSAS) élaborées et approuvées par l'International Public Sector Accounting Standards Board. L'exercice financier s'étend de janvier à décembre. Ces états ont été préparés sur la base du coût historique. Les placements et les prêts sont comptabilisés respectivement à la juste valeur et au coût amorti.</w:t>
      </w:r>
    </w:p>
    <w:p w14:paraId="2A712477" w14:textId="77777777" w:rsidR="00D26045" w:rsidRPr="00E52A4A" w:rsidRDefault="00D26045" w:rsidP="00D26045">
      <w:r w:rsidRPr="00E52A4A">
        <w:t>Le Règlement financier et les Règles financières de l'UIT prévoient un exercice budgétaire biennal; toutefois, pour une mise en œuvre complète des normes IPSAS, les états financiers sont présentés chaque année. Les états financiers sont présentés en francs suisses, qui est la monnaie fonctionnelle de l'UIT et celle que l'Union utilise pour la présentation de l'information financière.</w:t>
      </w:r>
    </w:p>
    <w:p w14:paraId="5190B668" w14:textId="77777777" w:rsidR="00D26045" w:rsidRPr="00E52A4A" w:rsidRDefault="00D26045" w:rsidP="00D26045">
      <w:r w:rsidRPr="00E52A4A">
        <w:t>L'UIT a appliqué et respecté les exigences des normes IPSAS en vigueur au 1er janvier 2022, et les principes comptables appliqués sont décrits dans la Note 3. Les valeurs sont arrondies au millier le plus proche, et sont également exprimées en millions et/ou milliers de francs suisses, sauf indication contraire.</w:t>
      </w:r>
    </w:p>
    <w:p w14:paraId="37B29111" w14:textId="77777777" w:rsidR="00D26045" w:rsidRPr="00E52A4A" w:rsidRDefault="00D26045" w:rsidP="00D26045">
      <w:r w:rsidRPr="00E52A4A">
        <w:t>L'UIT a établi les états financiers en partant du principe qu'elle poursuivrait ses activités, après avoir pris en considération les effets existants et prévus des incertitudes concernant les activités de l'Organisation. L'UIT continue de recevoir l'appui des États Membres pour son budget approuvé pour 2024 et maîtrise les charges pour veiller à ce que la situation financière et les flux de trésorerie puissent être gérés dans le cadre des budgets et réserves approuvés de l'Union.</w:t>
      </w:r>
    </w:p>
    <w:p w14:paraId="5874187C" w14:textId="77777777" w:rsidR="00D26045" w:rsidRPr="00E52A4A" w:rsidRDefault="00D26045" w:rsidP="00D26045">
      <w:pPr>
        <w:pStyle w:val="Headingb"/>
      </w:pPr>
      <w:r w:rsidRPr="00E52A4A">
        <w:t>Jugement et estimations clés</w:t>
      </w:r>
    </w:p>
    <w:p w14:paraId="78DC28AE" w14:textId="77777777" w:rsidR="00D26045" w:rsidRPr="00E52A4A" w:rsidRDefault="00D26045" w:rsidP="00D26045">
      <w:r w:rsidRPr="00E52A4A">
        <w:t>Les états financiers comprennent des montants fondés sur des jugements, des estimations et des hypothèses de la direction. Les changements dans les estimations sont pris en considération dans la période au cours de laquelle ils sont connus. Les estimations et hypothèses importantes sont les suivantes: mesure actuarielle des avantages du personnel; choix de la durée de vie utile et méthode d'amortissement/de dépréciation des immobilisations corporelles/incorporelles; dépréciation d'actifs; classification des instruments financiers; valorisation des actifs de placement; comptabilisation des produits; et actifs et passifs éventuels. Suite aux premiers résultats de la vérification extérieure des comptes de 2022, l'UIT a examiné et révisé certaines des principales méthodes comptables et leur application et s'est efforcée d'améliorer les informations fournies dans les états financiers. La Note 30 décrit en détail les changements spécifiques qui ont été pris en considération dans ces états financiers et les ajustements connexes pour les exercices précédents.</w:t>
      </w:r>
    </w:p>
    <w:p w14:paraId="3111A109" w14:textId="77777777" w:rsidR="00D26045" w:rsidRPr="00E52A4A" w:rsidRDefault="00D26045" w:rsidP="00D26045">
      <w:pPr>
        <w:pStyle w:val="Headingb"/>
      </w:pPr>
      <w:r w:rsidRPr="00E52A4A">
        <w:t>Changements comptables futurs</w:t>
      </w:r>
    </w:p>
    <w:p w14:paraId="0C5B99A2" w14:textId="77777777" w:rsidR="00D26045" w:rsidRPr="00E52A4A" w:rsidRDefault="00D26045" w:rsidP="00D26045">
      <w:pPr>
        <w:keepNext/>
        <w:keepLines/>
        <w:spacing w:after="120"/>
      </w:pPr>
      <w:r w:rsidRPr="00E52A4A">
        <w:t>Au 31 décembre 2022, date de l'état de la situation financière, les normes IPSAS suivantes avaient été publiées, mais n'étaient pas entrées en vigueur:</w:t>
      </w:r>
    </w:p>
    <w:tbl>
      <w:tblPr>
        <w:tblStyle w:val="TableGrid"/>
        <w:tblW w:w="5000" w:type="pct"/>
        <w:jc w:val="center"/>
        <w:tblLook w:val="06A0" w:firstRow="1" w:lastRow="0" w:firstColumn="1" w:lastColumn="0" w:noHBand="1" w:noVBand="1"/>
      </w:tblPr>
      <w:tblGrid>
        <w:gridCol w:w="1050"/>
        <w:gridCol w:w="1808"/>
        <w:gridCol w:w="1656"/>
        <w:gridCol w:w="5115"/>
      </w:tblGrid>
      <w:tr w:rsidR="00D26045" w:rsidRPr="00E52A4A" w14:paraId="1AC426FF" w14:textId="77777777" w:rsidTr="002F4EFC">
        <w:trPr>
          <w:trHeight w:val="300"/>
          <w:tblHeader/>
          <w:jc w:val="center"/>
        </w:trPr>
        <w:tc>
          <w:tcPr>
            <w:tcW w:w="545" w:type="pct"/>
            <w:shd w:val="clear" w:color="auto" w:fill="548DD4" w:themeFill="text2" w:themeFillTint="99"/>
          </w:tcPr>
          <w:p w14:paraId="31219AA5" w14:textId="77777777" w:rsidR="00D26045" w:rsidRPr="00E52A4A" w:rsidRDefault="00D26045" w:rsidP="00D26045">
            <w:pPr>
              <w:pStyle w:val="Tablehead"/>
              <w:keepNext/>
              <w:keepLines/>
              <w:rPr>
                <w:lang w:eastAsia="zh-CN"/>
              </w:rPr>
            </w:pPr>
            <w:r w:rsidRPr="00E52A4A">
              <w:rPr>
                <w:lang w:eastAsia="zh-CN"/>
              </w:rPr>
              <w:t>Norme</w:t>
            </w:r>
          </w:p>
        </w:tc>
        <w:tc>
          <w:tcPr>
            <w:tcW w:w="939" w:type="pct"/>
            <w:shd w:val="clear" w:color="auto" w:fill="548DD4" w:themeFill="text2" w:themeFillTint="99"/>
          </w:tcPr>
          <w:p w14:paraId="713667A8" w14:textId="77777777" w:rsidR="00D26045" w:rsidRPr="00E52A4A" w:rsidRDefault="00D26045" w:rsidP="00D26045">
            <w:pPr>
              <w:pStyle w:val="Tablehead"/>
              <w:keepNext/>
              <w:keepLines/>
              <w:rPr>
                <w:lang w:eastAsia="zh-CN"/>
              </w:rPr>
            </w:pPr>
            <w:r w:rsidRPr="00E52A4A">
              <w:rPr>
                <w:lang w:eastAsia="zh-CN"/>
              </w:rPr>
              <w:t>Titre</w:t>
            </w:r>
          </w:p>
        </w:tc>
        <w:tc>
          <w:tcPr>
            <w:tcW w:w="860" w:type="pct"/>
            <w:shd w:val="clear" w:color="auto" w:fill="548DD4" w:themeFill="text2" w:themeFillTint="99"/>
          </w:tcPr>
          <w:p w14:paraId="4F338F51" w14:textId="77777777" w:rsidR="00D26045" w:rsidRPr="00E52A4A" w:rsidRDefault="00D26045" w:rsidP="00D26045">
            <w:pPr>
              <w:pStyle w:val="Tablehead"/>
              <w:keepNext/>
              <w:keepLines/>
              <w:rPr>
                <w:lang w:eastAsia="zh-CN"/>
              </w:rPr>
            </w:pPr>
            <w:r w:rsidRPr="00E52A4A">
              <w:rPr>
                <w:lang w:eastAsia="zh-CN"/>
              </w:rPr>
              <w:t>Date d'entrée en vigueur</w:t>
            </w:r>
          </w:p>
        </w:tc>
        <w:tc>
          <w:tcPr>
            <w:tcW w:w="2656" w:type="pct"/>
            <w:shd w:val="clear" w:color="auto" w:fill="548DD4" w:themeFill="text2" w:themeFillTint="99"/>
          </w:tcPr>
          <w:p w14:paraId="080DF6DD" w14:textId="77777777" w:rsidR="00D26045" w:rsidRPr="00E52A4A" w:rsidRDefault="00D26045" w:rsidP="00D26045">
            <w:pPr>
              <w:pStyle w:val="Tablehead"/>
              <w:keepNext/>
              <w:keepLines/>
              <w:rPr>
                <w:lang w:eastAsia="zh-CN"/>
              </w:rPr>
            </w:pPr>
            <w:bookmarkStart w:id="61" w:name="lt_pId401"/>
            <w:r w:rsidRPr="00E52A4A">
              <w:rPr>
                <w:lang w:eastAsia="zh-CN"/>
              </w:rPr>
              <w:t>Incidence potentielle pendant l'année d'adoption</w:t>
            </w:r>
            <w:bookmarkEnd w:id="61"/>
          </w:p>
        </w:tc>
      </w:tr>
      <w:tr w:rsidR="00D26045" w:rsidRPr="00E52A4A" w14:paraId="1ADCCC7B" w14:textId="77777777" w:rsidTr="002F4EFC">
        <w:trPr>
          <w:trHeight w:val="300"/>
          <w:jc w:val="center"/>
        </w:trPr>
        <w:tc>
          <w:tcPr>
            <w:tcW w:w="545" w:type="pct"/>
          </w:tcPr>
          <w:p w14:paraId="7218CCA4" w14:textId="77777777" w:rsidR="00D26045" w:rsidRPr="00E52A4A" w:rsidRDefault="00D26045" w:rsidP="002F4EFC">
            <w:pPr>
              <w:pStyle w:val="Tabletext"/>
              <w:rPr>
                <w:sz w:val="20"/>
                <w:szCs w:val="20"/>
                <w:lang w:eastAsia="zh-CN"/>
              </w:rPr>
            </w:pPr>
            <w:bookmarkStart w:id="62" w:name="lt_pId402"/>
            <w:r w:rsidRPr="00E52A4A">
              <w:rPr>
                <w:sz w:val="20"/>
                <w:szCs w:val="20"/>
                <w:lang w:eastAsia="zh-CN"/>
              </w:rPr>
              <w:t>IPSAS 41</w:t>
            </w:r>
            <w:bookmarkEnd w:id="62"/>
          </w:p>
        </w:tc>
        <w:tc>
          <w:tcPr>
            <w:tcW w:w="939" w:type="pct"/>
          </w:tcPr>
          <w:p w14:paraId="3C6F9EC6" w14:textId="77777777" w:rsidR="00D26045" w:rsidRPr="00E52A4A" w:rsidRDefault="00D26045" w:rsidP="002F4EFC">
            <w:pPr>
              <w:pStyle w:val="Tabletext"/>
              <w:rPr>
                <w:sz w:val="20"/>
                <w:szCs w:val="20"/>
              </w:rPr>
            </w:pPr>
            <w:r w:rsidRPr="00E52A4A">
              <w:rPr>
                <w:rFonts w:eastAsia="Times New Roman"/>
                <w:color w:val="000000" w:themeColor="text1"/>
                <w:sz w:val="20"/>
                <w:szCs w:val="20"/>
              </w:rPr>
              <w:t>Instruments financiers</w:t>
            </w:r>
          </w:p>
        </w:tc>
        <w:tc>
          <w:tcPr>
            <w:tcW w:w="860" w:type="pct"/>
          </w:tcPr>
          <w:p w14:paraId="212ADAB0" w14:textId="77777777" w:rsidR="00D26045" w:rsidRPr="00E52A4A" w:rsidRDefault="00D26045" w:rsidP="002F4EFC">
            <w:pPr>
              <w:pStyle w:val="Tabletext"/>
              <w:rPr>
                <w:sz w:val="20"/>
                <w:szCs w:val="20"/>
                <w:lang w:eastAsia="zh-CN"/>
              </w:rPr>
            </w:pPr>
            <w:r w:rsidRPr="00E52A4A">
              <w:rPr>
                <w:sz w:val="20"/>
                <w:szCs w:val="20"/>
                <w:lang w:eastAsia="zh-CN"/>
              </w:rPr>
              <w:t>1er janvier</w:t>
            </w:r>
            <w:bookmarkStart w:id="63" w:name="lt_pId405"/>
            <w:r w:rsidRPr="00E52A4A">
              <w:rPr>
                <w:sz w:val="20"/>
                <w:szCs w:val="20"/>
                <w:lang w:eastAsia="zh-CN"/>
              </w:rPr>
              <w:t xml:space="preserve"> 2023</w:t>
            </w:r>
            <w:bookmarkEnd w:id="63"/>
          </w:p>
        </w:tc>
        <w:tc>
          <w:tcPr>
            <w:tcW w:w="2656" w:type="pct"/>
          </w:tcPr>
          <w:p w14:paraId="041453BB" w14:textId="77777777" w:rsidR="00D26045" w:rsidRPr="00E52A4A" w:rsidRDefault="00D26045" w:rsidP="002F4EFC">
            <w:pPr>
              <w:pStyle w:val="Tabletext"/>
              <w:rPr>
                <w:color w:val="000000" w:themeColor="text1"/>
                <w:sz w:val="20"/>
                <w:szCs w:val="20"/>
              </w:rPr>
            </w:pPr>
            <w:r w:rsidRPr="00E52A4A">
              <w:rPr>
                <w:color w:val="000000" w:themeColor="text1"/>
                <w:sz w:val="20"/>
                <w:szCs w:val="20"/>
              </w:rPr>
              <w:t xml:space="preserve">Cette norme remplacera l'actuelle norme IPSAS 29 (Instruments financiers) qui établit les principes d'information financière des actifs et passifs financiers pour l'évaluation des montants, du calendrier et de l'incertitude relative aux futurs flux de trésorerie d'une entité. L'Organisation a estimé que l'adoption de la norme aura une incidence sur la note d'information des états financiers, </w:t>
            </w:r>
            <w:r w:rsidRPr="00E52A4A">
              <w:rPr>
                <w:color w:val="000000" w:themeColor="text1"/>
                <w:sz w:val="20"/>
                <w:szCs w:val="20"/>
              </w:rPr>
              <w:lastRenderedPageBreak/>
              <w:t>car elle entraînera une modification de la terminologie et l'obligation de calculer les pertes de crédit attendues (ECL). L'UIT travaille actuellement à la quantification des incidences de cette norme sur ses comptes financiers.</w:t>
            </w:r>
          </w:p>
        </w:tc>
      </w:tr>
      <w:tr w:rsidR="00D26045" w:rsidRPr="00E52A4A" w14:paraId="66C14D19" w14:textId="77777777" w:rsidTr="002F4EFC">
        <w:trPr>
          <w:trHeight w:val="300"/>
          <w:jc w:val="center"/>
        </w:trPr>
        <w:tc>
          <w:tcPr>
            <w:tcW w:w="545" w:type="pct"/>
          </w:tcPr>
          <w:p w14:paraId="239D5038" w14:textId="77777777" w:rsidR="00D26045" w:rsidRPr="00E52A4A" w:rsidRDefault="00D26045" w:rsidP="002F4EFC">
            <w:pPr>
              <w:pStyle w:val="Tabletext"/>
              <w:rPr>
                <w:sz w:val="20"/>
                <w:szCs w:val="20"/>
                <w:lang w:eastAsia="zh-CN"/>
              </w:rPr>
            </w:pPr>
            <w:bookmarkStart w:id="64" w:name="lt_pId409"/>
            <w:r w:rsidRPr="00E52A4A">
              <w:rPr>
                <w:sz w:val="20"/>
                <w:szCs w:val="20"/>
                <w:lang w:eastAsia="zh-CN"/>
              </w:rPr>
              <w:lastRenderedPageBreak/>
              <w:t>IPSAS 42</w:t>
            </w:r>
            <w:bookmarkEnd w:id="64"/>
          </w:p>
        </w:tc>
        <w:tc>
          <w:tcPr>
            <w:tcW w:w="939" w:type="pct"/>
          </w:tcPr>
          <w:p w14:paraId="651B3D66" w14:textId="77777777" w:rsidR="00D26045" w:rsidRPr="00E52A4A" w:rsidRDefault="00D26045" w:rsidP="002F4EFC">
            <w:pPr>
              <w:pStyle w:val="Tabletext"/>
              <w:rPr>
                <w:sz w:val="20"/>
                <w:szCs w:val="20"/>
              </w:rPr>
            </w:pPr>
            <w:r w:rsidRPr="00E52A4A">
              <w:rPr>
                <w:color w:val="000000" w:themeColor="text1"/>
                <w:sz w:val="20"/>
                <w:szCs w:val="20"/>
              </w:rPr>
              <w:t>Avantages sociaux</w:t>
            </w:r>
          </w:p>
        </w:tc>
        <w:tc>
          <w:tcPr>
            <w:tcW w:w="860" w:type="pct"/>
          </w:tcPr>
          <w:p w14:paraId="610F4FB7" w14:textId="77777777" w:rsidR="00D26045" w:rsidRPr="00E52A4A" w:rsidRDefault="00D26045" w:rsidP="002F4EFC">
            <w:pPr>
              <w:pStyle w:val="Tabletext"/>
              <w:rPr>
                <w:sz w:val="20"/>
                <w:szCs w:val="20"/>
                <w:lang w:eastAsia="zh-CN"/>
              </w:rPr>
            </w:pPr>
            <w:r w:rsidRPr="00E52A4A">
              <w:rPr>
                <w:sz w:val="20"/>
                <w:szCs w:val="20"/>
                <w:lang w:eastAsia="zh-CN"/>
              </w:rPr>
              <w:t>1er janvier</w:t>
            </w:r>
            <w:bookmarkStart w:id="65" w:name="lt_pId412"/>
            <w:r w:rsidRPr="00E52A4A">
              <w:rPr>
                <w:sz w:val="20"/>
                <w:szCs w:val="20"/>
                <w:lang w:eastAsia="zh-CN"/>
              </w:rPr>
              <w:t xml:space="preserve"> 2023</w:t>
            </w:r>
            <w:bookmarkEnd w:id="65"/>
          </w:p>
        </w:tc>
        <w:tc>
          <w:tcPr>
            <w:tcW w:w="2656" w:type="pct"/>
          </w:tcPr>
          <w:p w14:paraId="2371FB45" w14:textId="77777777" w:rsidR="00D26045" w:rsidRPr="00E52A4A" w:rsidRDefault="00D26045" w:rsidP="002F4EFC">
            <w:pPr>
              <w:pStyle w:val="Tabletext"/>
              <w:rPr>
                <w:rFonts w:eastAsia="Times New Roman" w:cs="Times New Roman"/>
                <w:sz w:val="20"/>
                <w:szCs w:val="20"/>
              </w:rPr>
            </w:pPr>
            <w:r w:rsidRPr="00E52A4A">
              <w:rPr>
                <w:rFonts w:eastAsia="Times New Roman" w:cs="Times New Roman"/>
                <w:sz w:val="20"/>
                <w:szCs w:val="20"/>
              </w:rPr>
              <w:t>Cette norme établit les principes et les exigences relatifs à la comptabilisation, à l'évaluation et à la présentation des avantages sociaux dans les états financiers. Cette norme ne devrait pas avoir d'incidence sur les états financiers de l'Organisation.</w:t>
            </w:r>
          </w:p>
        </w:tc>
      </w:tr>
      <w:tr w:rsidR="00D26045" w:rsidRPr="00E52A4A" w14:paraId="1C3C8546" w14:textId="77777777" w:rsidTr="002F4EFC">
        <w:trPr>
          <w:trHeight w:val="300"/>
          <w:jc w:val="center"/>
        </w:trPr>
        <w:tc>
          <w:tcPr>
            <w:tcW w:w="545" w:type="pct"/>
          </w:tcPr>
          <w:p w14:paraId="20B7996B" w14:textId="77777777" w:rsidR="00D26045" w:rsidRPr="00E52A4A" w:rsidRDefault="00D26045" w:rsidP="002F4EFC">
            <w:pPr>
              <w:pStyle w:val="Tabletext"/>
              <w:rPr>
                <w:sz w:val="20"/>
                <w:szCs w:val="20"/>
                <w:lang w:eastAsia="zh-CN"/>
              </w:rPr>
            </w:pPr>
            <w:bookmarkStart w:id="66" w:name="lt_pId415"/>
            <w:r w:rsidRPr="00E52A4A">
              <w:rPr>
                <w:sz w:val="20"/>
                <w:szCs w:val="20"/>
                <w:lang w:eastAsia="zh-CN"/>
              </w:rPr>
              <w:t>IPSAS 43</w:t>
            </w:r>
            <w:bookmarkEnd w:id="66"/>
          </w:p>
        </w:tc>
        <w:tc>
          <w:tcPr>
            <w:tcW w:w="939" w:type="pct"/>
          </w:tcPr>
          <w:p w14:paraId="3E854F79" w14:textId="77777777" w:rsidR="00D26045" w:rsidRPr="00E52A4A" w:rsidRDefault="00D26045" w:rsidP="002F4EFC">
            <w:pPr>
              <w:pStyle w:val="Tabletext"/>
              <w:rPr>
                <w:sz w:val="20"/>
                <w:szCs w:val="20"/>
                <w:lang w:eastAsia="zh-CN"/>
              </w:rPr>
            </w:pPr>
            <w:r w:rsidRPr="00E52A4A">
              <w:rPr>
                <w:sz w:val="20"/>
                <w:szCs w:val="20"/>
                <w:lang w:eastAsia="zh-CN"/>
              </w:rPr>
              <w:t>Contrats de location</w:t>
            </w:r>
          </w:p>
        </w:tc>
        <w:tc>
          <w:tcPr>
            <w:tcW w:w="860" w:type="pct"/>
          </w:tcPr>
          <w:p w14:paraId="1B46B83D" w14:textId="77777777" w:rsidR="00D26045" w:rsidRPr="00E52A4A" w:rsidRDefault="00D26045" w:rsidP="002F4EFC">
            <w:pPr>
              <w:pStyle w:val="Tabletext"/>
              <w:rPr>
                <w:sz w:val="20"/>
                <w:szCs w:val="20"/>
                <w:lang w:eastAsia="zh-CN"/>
              </w:rPr>
            </w:pPr>
            <w:r w:rsidRPr="00E52A4A">
              <w:rPr>
                <w:sz w:val="20"/>
                <w:szCs w:val="20"/>
                <w:lang w:eastAsia="zh-CN"/>
              </w:rPr>
              <w:t xml:space="preserve">1er janvier </w:t>
            </w:r>
            <w:bookmarkStart w:id="67" w:name="lt_pId418"/>
            <w:r w:rsidRPr="00E52A4A">
              <w:rPr>
                <w:sz w:val="20"/>
                <w:szCs w:val="20"/>
                <w:lang w:eastAsia="zh-CN"/>
              </w:rPr>
              <w:t>2025</w:t>
            </w:r>
            <w:bookmarkEnd w:id="67"/>
          </w:p>
        </w:tc>
        <w:tc>
          <w:tcPr>
            <w:tcW w:w="2656" w:type="pct"/>
          </w:tcPr>
          <w:p w14:paraId="0316C97D" w14:textId="77777777" w:rsidR="00D26045" w:rsidRPr="00E52A4A" w:rsidRDefault="00D26045" w:rsidP="002F4EFC">
            <w:pPr>
              <w:pStyle w:val="Tabletext"/>
              <w:rPr>
                <w:rFonts w:eastAsia="Times New Roman" w:cs="Times New Roman"/>
                <w:sz w:val="20"/>
                <w:szCs w:val="20"/>
              </w:rPr>
            </w:pPr>
            <w:r w:rsidRPr="00E52A4A">
              <w:rPr>
                <w:rFonts w:eastAsia="Times New Roman" w:cs="Times New Roman"/>
                <w:sz w:val="20"/>
                <w:szCs w:val="20"/>
              </w:rPr>
              <w:t>Remplace la norme IPSAS 13 (Contrats de location) et introduit le modèle de droit d'usage pour les contrats de location. Elle énonce les principes de comptabilisation, d'évaluation, de présentation et d'information des contrats de location. Cette nouvelle norme n'a actuellement pas d'incidence majeure sur les états financiers de l'UIT, l'Union n'ayant pas conclu de contrats de location à l'heure actuelle. Toutefois, compte tenu de l'évolution et du champ d'application de cette nouvelle norme, l'UIT examinera attentivement sa méthode et ses systèmes comptables afin d'être prête pour l'entrée en vigueur de cette norme.</w:t>
            </w:r>
          </w:p>
        </w:tc>
      </w:tr>
      <w:tr w:rsidR="00D26045" w:rsidRPr="00E52A4A" w14:paraId="5EEBA292" w14:textId="77777777" w:rsidTr="002F4EFC">
        <w:trPr>
          <w:trHeight w:val="300"/>
          <w:jc w:val="center"/>
        </w:trPr>
        <w:tc>
          <w:tcPr>
            <w:tcW w:w="545" w:type="pct"/>
          </w:tcPr>
          <w:p w14:paraId="58D17F22" w14:textId="77777777" w:rsidR="00D26045" w:rsidRPr="00E52A4A" w:rsidRDefault="00D26045" w:rsidP="002F4EFC">
            <w:pPr>
              <w:pStyle w:val="Tabletext"/>
              <w:rPr>
                <w:sz w:val="20"/>
                <w:szCs w:val="20"/>
                <w:lang w:eastAsia="zh-CN"/>
              </w:rPr>
            </w:pPr>
            <w:bookmarkStart w:id="68" w:name="lt_pId422"/>
            <w:r w:rsidRPr="00E52A4A">
              <w:rPr>
                <w:sz w:val="20"/>
                <w:szCs w:val="20"/>
                <w:lang w:eastAsia="zh-CN"/>
              </w:rPr>
              <w:t>IPSAS 44</w:t>
            </w:r>
            <w:bookmarkEnd w:id="68"/>
          </w:p>
        </w:tc>
        <w:tc>
          <w:tcPr>
            <w:tcW w:w="939" w:type="pct"/>
          </w:tcPr>
          <w:p w14:paraId="78072EBD" w14:textId="77777777" w:rsidR="00D26045" w:rsidRPr="00E52A4A" w:rsidRDefault="00D26045" w:rsidP="002F4EFC">
            <w:pPr>
              <w:pStyle w:val="Tabletext"/>
              <w:rPr>
                <w:sz w:val="20"/>
                <w:szCs w:val="20"/>
              </w:rPr>
            </w:pPr>
            <w:bookmarkStart w:id="69" w:name="lt_pId423"/>
            <w:r w:rsidRPr="00E52A4A">
              <w:rPr>
                <w:sz w:val="20"/>
                <w:szCs w:val="20"/>
              </w:rPr>
              <w:t>Actifs non courants détenus en vue de la vente et activités abandonnées</w:t>
            </w:r>
            <w:bookmarkEnd w:id="69"/>
          </w:p>
        </w:tc>
        <w:tc>
          <w:tcPr>
            <w:tcW w:w="860" w:type="pct"/>
          </w:tcPr>
          <w:p w14:paraId="4698FE5F" w14:textId="77777777" w:rsidR="00D26045" w:rsidRPr="00E52A4A" w:rsidRDefault="00D26045" w:rsidP="002F4EFC">
            <w:pPr>
              <w:pStyle w:val="Tabletext"/>
              <w:rPr>
                <w:sz w:val="20"/>
                <w:szCs w:val="20"/>
                <w:lang w:eastAsia="zh-CN"/>
              </w:rPr>
            </w:pPr>
            <w:r w:rsidRPr="00E52A4A">
              <w:rPr>
                <w:sz w:val="20"/>
                <w:szCs w:val="20"/>
                <w:lang w:eastAsia="zh-CN"/>
              </w:rPr>
              <w:t xml:space="preserve">1er janvier </w:t>
            </w:r>
            <w:bookmarkStart w:id="70" w:name="lt_pId425"/>
            <w:r w:rsidRPr="00E52A4A">
              <w:rPr>
                <w:sz w:val="20"/>
                <w:szCs w:val="20"/>
                <w:lang w:eastAsia="zh-CN"/>
              </w:rPr>
              <w:t>2025</w:t>
            </w:r>
            <w:bookmarkEnd w:id="70"/>
          </w:p>
        </w:tc>
        <w:tc>
          <w:tcPr>
            <w:tcW w:w="2656" w:type="pct"/>
          </w:tcPr>
          <w:p w14:paraId="76636A22" w14:textId="77777777" w:rsidR="00D26045" w:rsidRPr="00E52A4A" w:rsidRDefault="00D26045" w:rsidP="002F4EFC">
            <w:pPr>
              <w:pStyle w:val="Tabletext"/>
              <w:rPr>
                <w:rFonts w:eastAsia="Times New Roman" w:cs="Times New Roman"/>
                <w:sz w:val="20"/>
                <w:szCs w:val="20"/>
              </w:rPr>
            </w:pPr>
            <w:r w:rsidRPr="00E52A4A">
              <w:rPr>
                <w:rFonts w:eastAsia="Times New Roman" w:cs="Times New Roman"/>
                <w:sz w:val="20"/>
                <w:szCs w:val="20"/>
              </w:rPr>
              <w:t>Cette nouvelle norme spécifie la comptabilisation des actifs détenus en vue de la vente ainsi que la présentation et la divulgation des activités abandonnées.</w:t>
            </w:r>
          </w:p>
        </w:tc>
      </w:tr>
      <w:tr w:rsidR="00D26045" w:rsidRPr="00E52A4A" w14:paraId="2D80D811" w14:textId="77777777" w:rsidTr="002F4EFC">
        <w:trPr>
          <w:trHeight w:val="300"/>
          <w:jc w:val="center"/>
        </w:trPr>
        <w:tc>
          <w:tcPr>
            <w:tcW w:w="545" w:type="pct"/>
          </w:tcPr>
          <w:p w14:paraId="10C89D93" w14:textId="77777777" w:rsidR="00D26045" w:rsidRPr="00E52A4A" w:rsidRDefault="00D26045" w:rsidP="002F4EFC">
            <w:pPr>
              <w:pStyle w:val="Tabletext"/>
              <w:rPr>
                <w:sz w:val="20"/>
                <w:szCs w:val="20"/>
                <w:lang w:eastAsia="zh-CN"/>
              </w:rPr>
            </w:pPr>
            <w:bookmarkStart w:id="71" w:name="lt_pId428"/>
            <w:r w:rsidRPr="00E52A4A">
              <w:rPr>
                <w:sz w:val="20"/>
                <w:szCs w:val="20"/>
                <w:lang w:eastAsia="zh-CN"/>
              </w:rPr>
              <w:t>IPAS 45</w:t>
            </w:r>
            <w:bookmarkEnd w:id="71"/>
          </w:p>
        </w:tc>
        <w:tc>
          <w:tcPr>
            <w:tcW w:w="939" w:type="pct"/>
          </w:tcPr>
          <w:p w14:paraId="7B51BE68" w14:textId="77777777" w:rsidR="00D26045" w:rsidRPr="00E52A4A" w:rsidRDefault="00D26045" w:rsidP="002F4EFC">
            <w:pPr>
              <w:pStyle w:val="Tabletext"/>
              <w:rPr>
                <w:sz w:val="20"/>
                <w:szCs w:val="20"/>
              </w:rPr>
            </w:pPr>
            <w:r w:rsidRPr="00E52A4A">
              <w:rPr>
                <w:sz w:val="20"/>
                <w:szCs w:val="20"/>
              </w:rPr>
              <w:t>Immobilisations corporelles</w:t>
            </w:r>
          </w:p>
        </w:tc>
        <w:tc>
          <w:tcPr>
            <w:tcW w:w="860" w:type="pct"/>
          </w:tcPr>
          <w:p w14:paraId="0A0289DB" w14:textId="77777777" w:rsidR="00D26045" w:rsidRPr="00E52A4A" w:rsidRDefault="00D26045" w:rsidP="002F4EFC">
            <w:pPr>
              <w:pStyle w:val="Tabletext"/>
              <w:rPr>
                <w:sz w:val="20"/>
                <w:szCs w:val="20"/>
                <w:lang w:eastAsia="zh-CN"/>
              </w:rPr>
            </w:pPr>
            <w:r w:rsidRPr="00E52A4A">
              <w:rPr>
                <w:sz w:val="20"/>
                <w:szCs w:val="20"/>
                <w:lang w:eastAsia="zh-CN"/>
              </w:rPr>
              <w:t xml:space="preserve">1er janvier </w:t>
            </w:r>
            <w:bookmarkStart w:id="72" w:name="lt_pId431"/>
            <w:r w:rsidRPr="00E52A4A">
              <w:rPr>
                <w:sz w:val="20"/>
                <w:szCs w:val="20"/>
                <w:lang w:eastAsia="zh-CN"/>
              </w:rPr>
              <w:t>2025</w:t>
            </w:r>
            <w:bookmarkEnd w:id="72"/>
          </w:p>
        </w:tc>
        <w:tc>
          <w:tcPr>
            <w:tcW w:w="2656" w:type="pct"/>
          </w:tcPr>
          <w:p w14:paraId="1E6F4398" w14:textId="77777777" w:rsidR="00D26045" w:rsidRPr="00E52A4A" w:rsidRDefault="00D26045" w:rsidP="002F4EFC">
            <w:pPr>
              <w:pStyle w:val="Tabletext"/>
              <w:rPr>
                <w:color w:val="000000" w:themeColor="text1"/>
                <w:sz w:val="20"/>
                <w:szCs w:val="20"/>
              </w:rPr>
            </w:pPr>
            <w:r w:rsidRPr="00E52A4A">
              <w:rPr>
                <w:color w:val="000000" w:themeColor="text1"/>
                <w:sz w:val="20"/>
                <w:szCs w:val="20"/>
              </w:rPr>
              <w:t>La norme IPSAS 45, qui remplace la norme IPSAS 17, Immobilisations corporelles, ajoute la valeur opérationnelle actuelle comme base de mesure dans le modèle actualisé de la valeur actuelle des actifs relevant de son champ d'application, recense les caractéristiques des biens patrimoniaux et des infrastructures, et ajoute de nouvelles directives sur la manière de comptabiliser et d'évaluer ces importants types d'actifs du secteur public. L'UIT travaille actuellement à la quantification des incidences de cette norme sur ses comptes financiers.</w:t>
            </w:r>
          </w:p>
        </w:tc>
      </w:tr>
      <w:tr w:rsidR="00D26045" w:rsidRPr="00E52A4A" w14:paraId="5A8D05D7" w14:textId="77777777" w:rsidTr="002F4EFC">
        <w:trPr>
          <w:trHeight w:val="300"/>
          <w:jc w:val="center"/>
        </w:trPr>
        <w:tc>
          <w:tcPr>
            <w:tcW w:w="545" w:type="pct"/>
          </w:tcPr>
          <w:p w14:paraId="42EDC058" w14:textId="77777777" w:rsidR="00D26045" w:rsidRPr="00E52A4A" w:rsidRDefault="00D26045" w:rsidP="002F4EFC">
            <w:pPr>
              <w:pStyle w:val="Tabletext"/>
              <w:keepLines/>
              <w:rPr>
                <w:sz w:val="20"/>
                <w:szCs w:val="20"/>
                <w:lang w:eastAsia="zh-CN"/>
              </w:rPr>
            </w:pPr>
            <w:bookmarkStart w:id="73" w:name="lt_pId434"/>
            <w:r w:rsidRPr="00E52A4A">
              <w:rPr>
                <w:sz w:val="20"/>
                <w:szCs w:val="20"/>
                <w:lang w:eastAsia="zh-CN"/>
              </w:rPr>
              <w:t>IPSAS 46</w:t>
            </w:r>
            <w:bookmarkEnd w:id="73"/>
          </w:p>
        </w:tc>
        <w:tc>
          <w:tcPr>
            <w:tcW w:w="939" w:type="pct"/>
          </w:tcPr>
          <w:p w14:paraId="35F8C457" w14:textId="77777777" w:rsidR="00D26045" w:rsidRPr="00E52A4A" w:rsidRDefault="00D26045" w:rsidP="002F4EFC">
            <w:pPr>
              <w:pStyle w:val="Tabletext"/>
              <w:keepLines/>
              <w:rPr>
                <w:sz w:val="20"/>
                <w:szCs w:val="20"/>
              </w:rPr>
            </w:pPr>
            <w:r w:rsidRPr="00E52A4A">
              <w:rPr>
                <w:sz w:val="20"/>
                <w:szCs w:val="20"/>
              </w:rPr>
              <w:t>Mesure</w:t>
            </w:r>
          </w:p>
        </w:tc>
        <w:tc>
          <w:tcPr>
            <w:tcW w:w="860" w:type="pct"/>
          </w:tcPr>
          <w:p w14:paraId="23910550" w14:textId="77777777" w:rsidR="00D26045" w:rsidRPr="00E52A4A" w:rsidRDefault="00D26045" w:rsidP="002F4EFC">
            <w:pPr>
              <w:pStyle w:val="Tabletext"/>
              <w:keepLines/>
              <w:rPr>
                <w:sz w:val="20"/>
                <w:szCs w:val="20"/>
                <w:lang w:eastAsia="zh-CN"/>
              </w:rPr>
            </w:pPr>
            <w:r w:rsidRPr="00E52A4A">
              <w:rPr>
                <w:sz w:val="20"/>
                <w:szCs w:val="20"/>
                <w:lang w:eastAsia="zh-CN"/>
              </w:rPr>
              <w:t xml:space="preserve">1er janvier </w:t>
            </w:r>
            <w:bookmarkStart w:id="74" w:name="lt_pId437"/>
            <w:r w:rsidRPr="00E52A4A">
              <w:rPr>
                <w:sz w:val="20"/>
                <w:szCs w:val="20"/>
                <w:lang w:eastAsia="zh-CN"/>
              </w:rPr>
              <w:t>2025</w:t>
            </w:r>
            <w:bookmarkEnd w:id="74"/>
          </w:p>
        </w:tc>
        <w:tc>
          <w:tcPr>
            <w:tcW w:w="2656" w:type="pct"/>
          </w:tcPr>
          <w:p w14:paraId="0D85A163" w14:textId="77777777" w:rsidR="00D26045" w:rsidRPr="00E52A4A" w:rsidRDefault="00D26045" w:rsidP="002F4EFC">
            <w:pPr>
              <w:pStyle w:val="Tabletext"/>
              <w:keepLines/>
              <w:rPr>
                <w:color w:val="000000" w:themeColor="text1"/>
                <w:sz w:val="20"/>
                <w:szCs w:val="20"/>
              </w:rPr>
            </w:pPr>
            <w:r w:rsidRPr="00E52A4A">
              <w:rPr>
                <w:color w:val="000000" w:themeColor="text1"/>
                <w:sz w:val="20"/>
                <w:szCs w:val="20"/>
              </w:rPr>
              <w:t>La norme IPSAS 46 donne de nouvelles directives dans une norme unique portant sur la manière d'appliquer les bases de mesure couramment utilisées. Elle introduit pour la première fois des directives génériques sur la juste valeur et introduit la valeur opérationnelle actuelle, qui est une base d'évaluation de la valeur actuelle propre au secteur public élaborée en réponse aux parties prenantes qui considèrent qu'une base d'évaluation de la valeur actuelle autre que la juste valeur est nécessaire pour certains actifs du secteur public. L'UIT travaille actuellement à la quantification des incidences de cette norme sur ses comptes financiers.</w:t>
            </w:r>
          </w:p>
        </w:tc>
      </w:tr>
      <w:tr w:rsidR="00D26045" w:rsidRPr="00E52A4A" w14:paraId="7F883A41" w14:textId="77777777" w:rsidTr="002F4EFC">
        <w:trPr>
          <w:trHeight w:val="300"/>
          <w:jc w:val="center"/>
        </w:trPr>
        <w:tc>
          <w:tcPr>
            <w:tcW w:w="545" w:type="pct"/>
          </w:tcPr>
          <w:p w14:paraId="6F25EFC1" w14:textId="77777777" w:rsidR="00D26045" w:rsidRPr="00E52A4A" w:rsidRDefault="00D26045" w:rsidP="002F4EFC">
            <w:pPr>
              <w:pStyle w:val="Tabletext"/>
              <w:rPr>
                <w:sz w:val="20"/>
                <w:szCs w:val="20"/>
                <w:lang w:eastAsia="zh-CN"/>
              </w:rPr>
            </w:pPr>
            <w:bookmarkStart w:id="75" w:name="lt_pId441"/>
            <w:r w:rsidRPr="00E52A4A">
              <w:rPr>
                <w:sz w:val="20"/>
                <w:szCs w:val="20"/>
                <w:lang w:eastAsia="zh-CN"/>
              </w:rPr>
              <w:t>IPSAS 47</w:t>
            </w:r>
            <w:bookmarkEnd w:id="75"/>
          </w:p>
        </w:tc>
        <w:tc>
          <w:tcPr>
            <w:tcW w:w="939" w:type="pct"/>
          </w:tcPr>
          <w:p w14:paraId="1D6BB979" w14:textId="77777777" w:rsidR="00D26045" w:rsidRPr="00E52A4A" w:rsidRDefault="00D26045" w:rsidP="002F4EFC">
            <w:pPr>
              <w:pStyle w:val="Tabletext"/>
              <w:rPr>
                <w:sz w:val="20"/>
                <w:szCs w:val="20"/>
              </w:rPr>
            </w:pPr>
            <w:r w:rsidRPr="00E52A4A">
              <w:rPr>
                <w:sz w:val="20"/>
                <w:szCs w:val="20"/>
              </w:rPr>
              <w:t>Produits</w:t>
            </w:r>
          </w:p>
        </w:tc>
        <w:tc>
          <w:tcPr>
            <w:tcW w:w="860" w:type="pct"/>
          </w:tcPr>
          <w:p w14:paraId="48B72242" w14:textId="77777777" w:rsidR="00D26045" w:rsidRPr="00E52A4A" w:rsidRDefault="00D26045" w:rsidP="002F4EFC">
            <w:pPr>
              <w:pStyle w:val="Tabletext"/>
              <w:rPr>
                <w:sz w:val="20"/>
                <w:szCs w:val="20"/>
                <w:lang w:eastAsia="zh-CN"/>
              </w:rPr>
            </w:pPr>
            <w:r w:rsidRPr="00E52A4A">
              <w:rPr>
                <w:sz w:val="20"/>
                <w:szCs w:val="20"/>
                <w:lang w:eastAsia="zh-CN"/>
              </w:rPr>
              <w:t xml:space="preserve">1er janvier </w:t>
            </w:r>
            <w:bookmarkStart w:id="76" w:name="lt_pId444"/>
            <w:r w:rsidRPr="00E52A4A">
              <w:rPr>
                <w:sz w:val="20"/>
                <w:szCs w:val="20"/>
                <w:lang w:eastAsia="zh-CN"/>
              </w:rPr>
              <w:t>2026</w:t>
            </w:r>
            <w:bookmarkEnd w:id="76"/>
          </w:p>
        </w:tc>
        <w:tc>
          <w:tcPr>
            <w:tcW w:w="2656" w:type="pct"/>
          </w:tcPr>
          <w:p w14:paraId="34AA2CDF" w14:textId="77777777" w:rsidR="00D26045" w:rsidRPr="00E52A4A" w:rsidRDefault="00D26045" w:rsidP="002F4EFC">
            <w:pPr>
              <w:pStyle w:val="Tabletext"/>
              <w:rPr>
                <w:color w:val="000000" w:themeColor="text1"/>
                <w:sz w:val="20"/>
                <w:szCs w:val="20"/>
              </w:rPr>
            </w:pPr>
            <w:r w:rsidRPr="00E52A4A">
              <w:rPr>
                <w:color w:val="000000" w:themeColor="text1"/>
                <w:sz w:val="20"/>
                <w:szCs w:val="20"/>
              </w:rPr>
              <w:t xml:space="preserve">La norme IPSAS 47 intitulée "Produits" rassemble toutes les lignes directrices relatives à la comptabilité des produits dans le secteur public, et présente deux modèles comptables fondés sur l'existence d'un régime contraignant. Cette nouvelle norme fournit des lignes </w:t>
            </w:r>
            <w:r w:rsidRPr="00E52A4A">
              <w:rPr>
                <w:color w:val="000000" w:themeColor="text1"/>
                <w:sz w:val="20"/>
                <w:szCs w:val="20"/>
              </w:rPr>
              <w:lastRenderedPageBreak/>
              <w:t>directrices ciblées pour aider les entités à appliquer les principes pour comptabiliser les d'opérations génératrices de produits du secteur public. L'UIT travaille actuellement à la quantification des incidences de cette norme sur ses comptes financiers.</w:t>
            </w:r>
          </w:p>
        </w:tc>
      </w:tr>
      <w:tr w:rsidR="00D26045" w:rsidRPr="00E52A4A" w14:paraId="0FBDB778" w14:textId="77777777" w:rsidTr="002F4EFC">
        <w:trPr>
          <w:trHeight w:val="300"/>
          <w:jc w:val="center"/>
        </w:trPr>
        <w:tc>
          <w:tcPr>
            <w:tcW w:w="545" w:type="pct"/>
          </w:tcPr>
          <w:p w14:paraId="282FC840" w14:textId="77777777" w:rsidR="00D26045" w:rsidRPr="00E52A4A" w:rsidRDefault="00D26045" w:rsidP="002F4EFC">
            <w:pPr>
              <w:pStyle w:val="Tabletext"/>
              <w:rPr>
                <w:sz w:val="20"/>
                <w:szCs w:val="20"/>
                <w:lang w:eastAsia="zh-CN"/>
              </w:rPr>
            </w:pPr>
            <w:bookmarkStart w:id="77" w:name="lt_pId448"/>
            <w:r w:rsidRPr="00E52A4A">
              <w:rPr>
                <w:sz w:val="20"/>
                <w:szCs w:val="20"/>
                <w:lang w:eastAsia="zh-CN"/>
              </w:rPr>
              <w:lastRenderedPageBreak/>
              <w:t>IPSAS 48</w:t>
            </w:r>
            <w:bookmarkEnd w:id="77"/>
          </w:p>
        </w:tc>
        <w:tc>
          <w:tcPr>
            <w:tcW w:w="939" w:type="pct"/>
          </w:tcPr>
          <w:p w14:paraId="4C2203CF" w14:textId="77777777" w:rsidR="00D26045" w:rsidRPr="00E52A4A" w:rsidRDefault="00D26045" w:rsidP="002F4EFC">
            <w:pPr>
              <w:pStyle w:val="Tabletext"/>
              <w:rPr>
                <w:sz w:val="20"/>
                <w:szCs w:val="20"/>
              </w:rPr>
            </w:pPr>
            <w:r w:rsidRPr="00E52A4A">
              <w:rPr>
                <w:sz w:val="20"/>
                <w:szCs w:val="20"/>
              </w:rPr>
              <w:t>Charges de transfert</w:t>
            </w:r>
          </w:p>
        </w:tc>
        <w:tc>
          <w:tcPr>
            <w:tcW w:w="860" w:type="pct"/>
          </w:tcPr>
          <w:p w14:paraId="4FF8FDC1" w14:textId="77777777" w:rsidR="00D26045" w:rsidRPr="00E52A4A" w:rsidRDefault="00D26045" w:rsidP="002F4EFC">
            <w:pPr>
              <w:pStyle w:val="Tabletext"/>
              <w:rPr>
                <w:sz w:val="20"/>
                <w:szCs w:val="20"/>
                <w:lang w:eastAsia="zh-CN"/>
              </w:rPr>
            </w:pPr>
            <w:r w:rsidRPr="00E52A4A">
              <w:rPr>
                <w:sz w:val="20"/>
                <w:szCs w:val="20"/>
                <w:lang w:eastAsia="zh-CN"/>
              </w:rPr>
              <w:t xml:space="preserve">1er janvier </w:t>
            </w:r>
            <w:bookmarkStart w:id="78" w:name="lt_pId451"/>
            <w:r w:rsidRPr="00E52A4A">
              <w:rPr>
                <w:sz w:val="20"/>
                <w:szCs w:val="20"/>
                <w:lang w:eastAsia="zh-CN"/>
              </w:rPr>
              <w:t>2026</w:t>
            </w:r>
            <w:bookmarkEnd w:id="78"/>
          </w:p>
        </w:tc>
        <w:tc>
          <w:tcPr>
            <w:tcW w:w="2656" w:type="pct"/>
          </w:tcPr>
          <w:p w14:paraId="1E2BC1FD" w14:textId="77777777" w:rsidR="00D26045" w:rsidRPr="00E52A4A" w:rsidRDefault="00D26045" w:rsidP="002F4EFC">
            <w:pPr>
              <w:pStyle w:val="Tabletext"/>
              <w:rPr>
                <w:color w:val="000000" w:themeColor="text1"/>
                <w:sz w:val="20"/>
                <w:szCs w:val="20"/>
              </w:rPr>
            </w:pPr>
            <w:r w:rsidRPr="00E52A4A">
              <w:rPr>
                <w:color w:val="000000" w:themeColor="text1"/>
                <w:sz w:val="20"/>
                <w:szCs w:val="20"/>
              </w:rPr>
              <w:t>La norme IPSAS 48 intitulée "Charges de transfert" donne des indications comptables concernant les charges de transfert, qui représentent une part importante des charges de nombreuses entités du secteur public. Cette nouvelle norme comble une lacune importante dans la littérature de l'IPSASB et fournit des lignes directrices destinées à aider les entités à comptabiliser les opérations génératrices de charges de transfert du secteur public. L'UIT travaille actuellement à la quantification des incidences de cette norme sur ses comptes financiers.</w:t>
            </w:r>
          </w:p>
        </w:tc>
      </w:tr>
    </w:tbl>
    <w:p w14:paraId="7C341EAD" w14:textId="77777777" w:rsidR="00D26045" w:rsidRPr="00E52A4A" w:rsidRDefault="00D26045" w:rsidP="00D26045">
      <w:pPr>
        <w:spacing w:before="240"/>
      </w:pPr>
      <w:r w:rsidRPr="00E52A4A">
        <w:t>L'UIT continue d'évaluer les incidences de ces normes sur les états financiers futurs avant leur entrée en vigueur.</w:t>
      </w:r>
    </w:p>
    <w:p w14:paraId="7689D9DE" w14:textId="77777777" w:rsidR="00D26045" w:rsidRPr="00E52A4A" w:rsidRDefault="00D26045" w:rsidP="00D26045">
      <w:r w:rsidRPr="00E52A4A">
        <w:t>En outre, l'UIT suit la publication des exposés-sondages et participe activement aux travaux du Conseil de l'IPSAS par l'intermédiaire du Groupe d'étude des Nations Unies sur les normes comptables, notant que leur application peut avoir une incidence sur les états financiers futurs de l'UIT.</w:t>
      </w:r>
    </w:p>
    <w:p w14:paraId="2177FFC7" w14:textId="77777777" w:rsidR="00D26045" w:rsidRPr="00E52A4A" w:rsidRDefault="00D26045" w:rsidP="00D26045">
      <w:pPr>
        <w:pStyle w:val="Heading1"/>
        <w:rPr>
          <w:sz w:val="24"/>
          <w:szCs w:val="18"/>
        </w:rPr>
      </w:pPr>
      <w:bookmarkStart w:id="79" w:name="_Toc162331504"/>
      <w:bookmarkStart w:id="80" w:name="_Toc162331714"/>
      <w:r w:rsidRPr="00E52A4A">
        <w:rPr>
          <w:sz w:val="24"/>
          <w:szCs w:val="18"/>
        </w:rPr>
        <w:t>Note 3</w:t>
      </w:r>
      <w:r w:rsidRPr="00E52A4A">
        <w:rPr>
          <w:sz w:val="24"/>
          <w:szCs w:val="18"/>
        </w:rPr>
        <w:tab/>
        <w:t>Principales méthodes comptables</w:t>
      </w:r>
      <w:bookmarkEnd w:id="79"/>
      <w:bookmarkEnd w:id="80"/>
    </w:p>
    <w:p w14:paraId="139C3EF3" w14:textId="77777777" w:rsidR="00D26045" w:rsidRPr="00E52A4A" w:rsidRDefault="00D26045" w:rsidP="00D26045">
      <w:pPr>
        <w:pStyle w:val="Heading2"/>
        <w:tabs>
          <w:tab w:val="clear" w:pos="567"/>
        </w:tabs>
        <w:ind w:left="1134" w:hanging="1134"/>
      </w:pPr>
      <w:r w:rsidRPr="00E52A4A">
        <w:t>3.1</w:t>
      </w:r>
      <w:r w:rsidRPr="00E52A4A">
        <w:tab/>
        <w:t>Monnaies étrangères</w:t>
      </w:r>
    </w:p>
    <w:p w14:paraId="6C27B8F5" w14:textId="77777777" w:rsidR="00D26045" w:rsidRPr="00E52A4A" w:rsidRDefault="00D26045" w:rsidP="00D26045">
      <w:r w:rsidRPr="00E52A4A">
        <w:t>Le franc suisse (CHF) est la monnaie fonctionnelle de l'UIT et celle utilisée dans la présentation des états financiers. Les opérations en monnaies autres que le franc suisse sont converties en cette monnaie au taux de change opérationnel des Nations Unies (United Nations Operational Rates of Exchange, UNORE) pratiqué à la date de la transaction. Les avoirs et engagements monétaires libellés en monnaies étrangères sont convertis en franc suisse au taux de change UNORE en vigueur à la date de clôture de l'exercice. Les pertes et les gains de change, réalisés ou non, résultant du règlement de ces opérations et de la conversion à la date de clôture des avoirs et engagements libellés en devises sont comptabilisés dans l'état de la performance financière.</w:t>
      </w:r>
    </w:p>
    <w:p w14:paraId="4AEF7030" w14:textId="77777777" w:rsidR="00D26045" w:rsidRPr="00E52A4A" w:rsidRDefault="00D26045" w:rsidP="00D26045">
      <w:pPr>
        <w:pStyle w:val="Heading2"/>
        <w:tabs>
          <w:tab w:val="clear" w:pos="567"/>
        </w:tabs>
        <w:ind w:left="1134" w:hanging="1134"/>
      </w:pPr>
      <w:r w:rsidRPr="00E52A4A">
        <w:t>3.2</w:t>
      </w:r>
      <w:r w:rsidRPr="00E52A4A">
        <w:tab/>
        <w:t>Instruments financiers</w:t>
      </w:r>
    </w:p>
    <w:p w14:paraId="5EAFAB8A" w14:textId="77777777" w:rsidR="00D26045" w:rsidRPr="00E52A4A" w:rsidRDefault="00D26045" w:rsidP="00D26045">
      <w:r w:rsidRPr="00E52A4A">
        <w:t>Les instruments financiers de l'UIT se composent des caisses et des dépôts à court terme, des placements, des créances issues d'opérations avec contrepartie directe, des créances sans contrepartie directe, des comptes fournisseurs, des prêts et des emprunts.</w:t>
      </w:r>
    </w:p>
    <w:p w14:paraId="1454BFA0" w14:textId="77777777" w:rsidR="00D26045" w:rsidRPr="00E52A4A" w:rsidRDefault="00D26045" w:rsidP="00D26045">
      <w:pPr>
        <w:pStyle w:val="Heading3"/>
        <w:tabs>
          <w:tab w:val="clear" w:pos="567"/>
        </w:tabs>
        <w:ind w:left="1134" w:hanging="1134"/>
        <w:rPr>
          <w:b w:val="0"/>
          <w:bCs/>
        </w:rPr>
      </w:pPr>
      <w:r w:rsidRPr="00E52A4A">
        <w:rPr>
          <w:b w:val="0"/>
          <w:bCs/>
        </w:rPr>
        <w:t>3.2.1</w:t>
      </w:r>
      <w:r w:rsidRPr="00E52A4A">
        <w:rPr>
          <w:b w:val="0"/>
          <w:bCs/>
        </w:rPr>
        <w:tab/>
      </w:r>
      <w:r w:rsidRPr="00E52A4A">
        <w:rPr>
          <w:b w:val="0"/>
          <w:bCs/>
          <w:i/>
          <w:iCs/>
        </w:rPr>
        <w:t>Trésorerie et équivalents de trésorerie</w:t>
      </w:r>
    </w:p>
    <w:p w14:paraId="12482595" w14:textId="77777777" w:rsidR="00D26045" w:rsidRPr="00E52A4A" w:rsidRDefault="00D26045" w:rsidP="00D26045">
      <w:r w:rsidRPr="00E52A4A">
        <w:t>La trésorerie et les équivalents de trésorerie comprennent les fonds en caisse, les avoirs en banque et les comptes de dépôts.</w:t>
      </w:r>
    </w:p>
    <w:p w14:paraId="74D69167" w14:textId="77777777" w:rsidR="00D26045" w:rsidRPr="00E52A4A" w:rsidRDefault="00D26045" w:rsidP="00D26045">
      <w:pPr>
        <w:pStyle w:val="Heading3"/>
        <w:tabs>
          <w:tab w:val="clear" w:pos="567"/>
        </w:tabs>
        <w:ind w:left="1134" w:hanging="1134"/>
        <w:rPr>
          <w:b w:val="0"/>
          <w:bCs/>
        </w:rPr>
      </w:pPr>
      <w:r w:rsidRPr="00E52A4A">
        <w:rPr>
          <w:b w:val="0"/>
        </w:rPr>
        <w:lastRenderedPageBreak/>
        <w:t>3.2.2</w:t>
      </w:r>
      <w:r w:rsidRPr="00E52A4A">
        <w:rPr>
          <w:b w:val="0"/>
        </w:rPr>
        <w:tab/>
      </w:r>
      <w:r w:rsidRPr="00E52A4A">
        <w:rPr>
          <w:b w:val="0"/>
          <w:i/>
          <w:iCs/>
        </w:rPr>
        <w:t>Placements</w:t>
      </w:r>
    </w:p>
    <w:p w14:paraId="6695192C" w14:textId="77777777" w:rsidR="00D26045" w:rsidRPr="00E52A4A" w:rsidRDefault="00D26045" w:rsidP="00D26045">
      <w:r w:rsidRPr="00E52A4A">
        <w:t>Les placements à terme d'une durée de trois à neuf mois, très liquides qui sont convertibles en un montant connu de trésorerie et qui sont soumis à un risque négligeable de changement de valeur sont désignés comme actifs financiers à la juste valeur par le biais d'un excédent/déficit lors de la comptabilisation initiale. Les placements sont présentés au bilan en actifs et passifs courants ou non-courants selon que leur échéance est inférieure ou supérieure à un an.</w:t>
      </w:r>
    </w:p>
    <w:p w14:paraId="00F39776" w14:textId="77777777" w:rsidR="00D26045" w:rsidRPr="00E52A4A" w:rsidRDefault="00D26045" w:rsidP="00D26045">
      <w:r w:rsidRPr="00E52A4A">
        <w:t>Les fonds de l'UIT sont placés dans les objectifs suivants:</w:t>
      </w:r>
    </w:p>
    <w:p w14:paraId="1C06419E" w14:textId="77777777" w:rsidR="00D26045" w:rsidRPr="00E52A4A" w:rsidRDefault="00D26045" w:rsidP="00D26045">
      <w:pPr>
        <w:pStyle w:val="enumlev1"/>
      </w:pPr>
      <w:r w:rsidRPr="00E52A4A">
        <w:t>•</w:t>
      </w:r>
      <w:r w:rsidRPr="00E52A4A">
        <w:tab/>
        <w:t>préservation du capital. L'objectif de la préservation du capital est primordial et constitue l'objectif principal de la politique de placement;</w:t>
      </w:r>
    </w:p>
    <w:p w14:paraId="37100345" w14:textId="77777777" w:rsidR="00D26045" w:rsidRPr="00E52A4A" w:rsidRDefault="00D26045" w:rsidP="00D26045">
      <w:pPr>
        <w:pStyle w:val="enumlev1"/>
      </w:pPr>
      <w:r w:rsidRPr="00E52A4A">
        <w:t>•</w:t>
      </w:r>
      <w:r w:rsidRPr="00E52A4A">
        <w:tab/>
        <w:t>maintien de liquidités suffisantes pour effectuer tous les paiements des passifs à temps; et</w:t>
      </w:r>
    </w:p>
    <w:p w14:paraId="7C5A4E3C" w14:textId="77777777" w:rsidR="00D26045" w:rsidRPr="00E52A4A" w:rsidRDefault="00D26045" w:rsidP="00D26045">
      <w:pPr>
        <w:pStyle w:val="enumlev1"/>
      </w:pPr>
      <w:r w:rsidRPr="00E52A4A">
        <w:t>•</w:t>
      </w:r>
      <w:r w:rsidRPr="00E52A4A">
        <w:tab/>
        <w:t>optimisation du rendement des recettes, compte tenu des exigences susmentionnées en matière de préservation du capital et des liquidités.</w:t>
      </w:r>
    </w:p>
    <w:p w14:paraId="2F7845FD" w14:textId="77777777" w:rsidR="00D26045" w:rsidRPr="00E52A4A" w:rsidRDefault="00D26045" w:rsidP="00D26045">
      <w:r w:rsidRPr="00E52A4A">
        <w:t>La qualité, la sécurité et la liquidité des placements sont toujours prioritaires sur le taux de rendement des placements.</w:t>
      </w:r>
    </w:p>
    <w:p w14:paraId="3421CDDB" w14:textId="77777777" w:rsidR="00D26045" w:rsidRPr="00E52A4A" w:rsidRDefault="00D26045" w:rsidP="00D26045">
      <w:pPr>
        <w:pStyle w:val="Heading3"/>
        <w:tabs>
          <w:tab w:val="clear" w:pos="567"/>
        </w:tabs>
        <w:ind w:left="1134" w:hanging="1134"/>
        <w:rPr>
          <w:b w:val="0"/>
          <w:u w:val="single"/>
        </w:rPr>
      </w:pPr>
      <w:r w:rsidRPr="00E52A4A">
        <w:rPr>
          <w:b w:val="0"/>
        </w:rPr>
        <w:t>3.2.3</w:t>
      </w:r>
      <w:r w:rsidRPr="00E52A4A">
        <w:rPr>
          <w:b w:val="0"/>
        </w:rPr>
        <w:tab/>
      </w:r>
      <w:r w:rsidRPr="00E52A4A">
        <w:rPr>
          <w:b w:val="0"/>
          <w:i/>
          <w:iCs/>
        </w:rPr>
        <w:t>Dettes financières et emprunt auprès de la FIPOI</w:t>
      </w:r>
    </w:p>
    <w:p w14:paraId="0FE32753" w14:textId="77777777" w:rsidR="00D26045" w:rsidRPr="00E52A4A" w:rsidRDefault="00D26045" w:rsidP="00D26045">
      <w:r w:rsidRPr="00E52A4A">
        <w:t>Les dettes financières comprennent les emprunts, les autres financements, les fournisseurs et créanciers d'exploitation. Elles sont présentées au bilan en passifs courants ou non courants selon que leur échéance est respectivement inférieure ou supérieure à un an.</w:t>
      </w:r>
    </w:p>
    <w:p w14:paraId="186849B0" w14:textId="77777777" w:rsidR="00D26045" w:rsidRPr="00E52A4A" w:rsidRDefault="00D26045" w:rsidP="00D26045">
      <w:r w:rsidRPr="00E52A4A">
        <w:t>Les emprunts comptabilisés comme étant des emprunts dans ces états financiers se sont les emprunts sans intérêt contractés par l'UIT auprès de la FIPOI pour financer la construction des bâtiments de l'UIT.</w:t>
      </w:r>
    </w:p>
    <w:p w14:paraId="73DF90B1" w14:textId="77777777" w:rsidR="00D26045" w:rsidRPr="00E52A4A" w:rsidRDefault="00D26045" w:rsidP="00D26045">
      <w:r w:rsidRPr="00E52A4A">
        <w:t>En 2022, l'UIT a modifié la méthode comptable en matière de prêts. Auparavant, l'UIT comptabilisait les prêts à leur valeur nominale et non à leur juste valeur. La méthode comptable révisée pour les prêts concessionnels consiste à les évaluer initialement à la juste valeur. Le montant dû des prêts a été actualisé sur la base du taux des obligations à 30 ans de la Confédération suisse de 1,476% en décembre 2022 (–0,095% pour 2021). Cela a fait l'objet d'une révision en 2022 avec un retraitement ultérieur des opérations comptables afin de rendre compte de la juste valeur des prêts en cours pour l'UIT. On trouvera d'autres détails dans les Notes 17 et 30 (montrant les incidences du changement de méthode comptable).</w:t>
      </w:r>
    </w:p>
    <w:p w14:paraId="62BED980" w14:textId="77777777" w:rsidR="00D26045" w:rsidRPr="00E52A4A" w:rsidRDefault="00D26045" w:rsidP="00D26045">
      <w:r w:rsidRPr="00E52A4A">
        <w:t>Les bâtiments du siège de l'UIT sont situés sur un terrain appartenant au Canton de Genève, sur lequel l'UIT détient des droits de superficie. En vertu de l'accord sur les droits de superficie (les "droits de superficie"), l'UIT a le droit d'utiliser ce terrain jusqu'au 31 décembre 2079. L'UIT n'est pas propriétaire du terrain, et les droits de superficie ont été octroyés gratuitement. Aucune valeur foncière n'a été comptabilisée, car l'Organisation n'a pas la capacité de céder ces droits dans le cadre d'une transaction commerciale. La durée de vie utile utilisée pour calculer l'amortissement des bâtiments du siège de l'UIT est la durée de vie utile des éléments pertinents du bâtiment du siège de l'UIT ou la durée de l'accord sur les droits de superficie sous-jacents, la durée la plus courte étant retenue.</w:t>
      </w:r>
    </w:p>
    <w:p w14:paraId="4EAADF70" w14:textId="77777777" w:rsidR="00D26045" w:rsidRPr="00E52A4A" w:rsidRDefault="00D26045" w:rsidP="00D26045">
      <w:pPr>
        <w:pStyle w:val="Heading3"/>
        <w:tabs>
          <w:tab w:val="clear" w:pos="567"/>
        </w:tabs>
        <w:ind w:left="1134" w:hanging="1134"/>
        <w:rPr>
          <w:b w:val="0"/>
          <w:u w:val="single"/>
        </w:rPr>
      </w:pPr>
      <w:r w:rsidRPr="00E52A4A">
        <w:rPr>
          <w:b w:val="0"/>
        </w:rPr>
        <w:t>3.2.4</w:t>
      </w:r>
      <w:r w:rsidRPr="00E52A4A">
        <w:rPr>
          <w:b w:val="0"/>
        </w:rPr>
        <w:tab/>
      </w:r>
      <w:r w:rsidRPr="00E52A4A">
        <w:rPr>
          <w:b w:val="0"/>
          <w:i/>
          <w:iCs/>
        </w:rPr>
        <w:t>Créances</w:t>
      </w:r>
    </w:p>
    <w:p w14:paraId="0C4AA0A9" w14:textId="77777777" w:rsidR="00D26045" w:rsidRPr="00E52A4A" w:rsidRDefault="00D26045" w:rsidP="00D26045">
      <w:r w:rsidRPr="00E52A4A">
        <w:t xml:space="preserve">Les créances l'UIT sont considérées comme des actifs financiers non dérivés avec des échéances fixes ou déterminables qui ne sont pas cotés sur un marché actif. Elles prennent naissance lorsque l'UIT est engagée contractuellement avec un tiers et jusqu'à ce que les transferts de trésorerie liés </w:t>
      </w:r>
      <w:r w:rsidRPr="00E52A4A">
        <w:lastRenderedPageBreak/>
        <w:t>à ces actifs financiers aient été exécutés et que les risques et avantages liés à ces actifs aient également été transférés à l'UIT. Ces actifs sont inclus dans les actifs courants, hormis ceux dont l'échéance est supérieure à douze mois après la date de clôture, qui sont classés dans les actifs non courants.</w:t>
      </w:r>
    </w:p>
    <w:p w14:paraId="2602261F" w14:textId="77777777" w:rsidR="00D26045" w:rsidRPr="00E52A4A" w:rsidRDefault="00D26045" w:rsidP="00D26045">
      <w:r w:rsidRPr="00E52A4A">
        <w:t>Les créances sont classées en deux catégories distinctes: les créances issues d'opérations avec contrepartie directe, telles les créances issues de la vente de publications ou du traitement de fiches de notification de réseau à satellite, et les créances sans contrepartie directe, notamment celles liées aux contributions mises en recouvrement versées à l'UIT, mais aussi aux contributions volontaires et aux parrainages.</w:t>
      </w:r>
    </w:p>
    <w:p w14:paraId="3B7D4BFA" w14:textId="77777777" w:rsidR="00D26045" w:rsidRPr="00E52A4A" w:rsidRDefault="00D26045" w:rsidP="00D26045">
      <w:r w:rsidRPr="00E52A4A">
        <w:t>Les créances sont comptabilisées au coût amorti. Ce montant est ajusté en fonction de la provision pour créances douteuses lors de l'examen des créances douteuses au moment de la clôture annuelle des comptes.</w:t>
      </w:r>
    </w:p>
    <w:p w14:paraId="50D8920E" w14:textId="77777777" w:rsidR="00D26045" w:rsidRPr="00E52A4A" w:rsidRDefault="00D26045" w:rsidP="00D26045">
      <w:r w:rsidRPr="00E52A4A">
        <w:t>L'UIT évalue à chaque date de clôture s'il existe des preuves objectives de la dépréciation d'un actif financier. Un actif financier ou un groupe d'actifs financiers est réputé déprécié si, et seulement si, il existe des preuves objectives de dépréciation résultant d'un ou de plusieurs événements, survenus après la comptabilisation initiale de l'actif, ayant une incidence sur les flux de trésorerie futurs estimés de l'actif financier ou du groupe d'actifs financiers qui peut être estimée de manière fiable. La valeur comptable de l'actif est réduite par l'utilisation d'un compte de provision et le montant de la perte est comptabilisé en excédent ou en déficit. Si, lors d'un exercice ultérieur, le montant de la perte de valeur estimée augmente ou diminue en raison d'un événement survenant après la comptabilisation de la dépréciation, la perte de valeur comptabilisée antérieurement est augmentée ou diminuée par ajustement du compte de provision. Si une passation par pertes et profits est ultérieurement recouvrée, elle est créditée aux produits en excédent ou en déficit.</w:t>
      </w:r>
    </w:p>
    <w:p w14:paraId="1F6813EE" w14:textId="77777777" w:rsidR="00D26045" w:rsidRPr="00E52A4A" w:rsidRDefault="00D26045" w:rsidP="00D26045">
      <w:pPr>
        <w:pStyle w:val="Headingb"/>
        <w:rPr>
          <w:lang w:eastAsia="zh-CN"/>
        </w:rPr>
      </w:pPr>
      <w:bookmarkStart w:id="81" w:name="_Toc296007012"/>
      <w:bookmarkStart w:id="82" w:name="_Toc329178766"/>
      <w:bookmarkStart w:id="83" w:name="_Toc329181739"/>
      <w:bookmarkStart w:id="84" w:name="_Toc329202554"/>
      <w:bookmarkStart w:id="85" w:name="_Toc329204986"/>
      <w:bookmarkStart w:id="86" w:name="_Toc329206823"/>
      <w:bookmarkStart w:id="87" w:name="_Toc358379909"/>
      <w:bookmarkStart w:id="88" w:name="_Toc358380449"/>
      <w:bookmarkStart w:id="89" w:name="_Toc387166632"/>
      <w:bookmarkStart w:id="90" w:name="_Toc395260917"/>
      <w:bookmarkStart w:id="91" w:name="_Toc395511696"/>
      <w:bookmarkStart w:id="92" w:name="_Toc452138609"/>
      <w:bookmarkStart w:id="93" w:name="_Toc452139058"/>
      <w:bookmarkStart w:id="94" w:name="_Toc452139422"/>
      <w:bookmarkStart w:id="95" w:name="_Toc452139822"/>
      <w:bookmarkStart w:id="96" w:name="_Toc452140689"/>
      <w:bookmarkStart w:id="97" w:name="_Toc482801479"/>
      <w:bookmarkStart w:id="98" w:name="_Toc511649449"/>
      <w:bookmarkStart w:id="99" w:name="_Toc511649821"/>
      <w:bookmarkStart w:id="100" w:name="_Toc511649935"/>
      <w:bookmarkStart w:id="101" w:name="_Toc511651191"/>
      <w:bookmarkStart w:id="102" w:name="_Toc511724056"/>
      <w:bookmarkStart w:id="103" w:name="_Toc511739045"/>
      <w:bookmarkStart w:id="104" w:name="_Toc511741214"/>
      <w:bookmarkStart w:id="105" w:name="_Toc10450720"/>
      <w:bookmarkStart w:id="106" w:name="_Toc41566322"/>
      <w:bookmarkStart w:id="107" w:name="_Toc41567835"/>
      <w:bookmarkStart w:id="108" w:name="_Toc73356391"/>
      <w:r w:rsidRPr="00E52A4A">
        <w:t xml:space="preserve">Évaluation de la provision pour dépréciation </w:t>
      </w:r>
      <w:bookmarkEnd w:id="81"/>
      <w:bookmarkEnd w:id="82"/>
      <w:bookmarkEnd w:id="83"/>
      <w:bookmarkEnd w:id="84"/>
      <w:bookmarkEnd w:id="85"/>
      <w:bookmarkEnd w:id="86"/>
      <w:bookmarkEnd w:id="87"/>
      <w:bookmarkEnd w:id="88"/>
      <w:r w:rsidRPr="00E52A4A">
        <w:t>des créances</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76D15A10" w14:textId="77777777" w:rsidR="00D26045" w:rsidRPr="00E52A4A" w:rsidRDefault="00D26045" w:rsidP="00D26045">
      <w:r w:rsidRPr="00E52A4A">
        <w:t>L'évaluation du besoin de constituer ou de corriger une provision pour dépréciation d'actifs est réalisée selon la nature de la créance, sur la base des catégories de créances suivantes:</w:t>
      </w:r>
    </w:p>
    <w:p w14:paraId="58791863" w14:textId="77777777" w:rsidR="00D26045" w:rsidRPr="00E52A4A" w:rsidRDefault="00D26045" w:rsidP="00D26045">
      <w:r w:rsidRPr="00E52A4A">
        <w:t>1 – États Membres</w:t>
      </w:r>
    </w:p>
    <w:p w14:paraId="38A9827B" w14:textId="77777777" w:rsidR="00D26045" w:rsidRPr="00E52A4A" w:rsidRDefault="00D26045" w:rsidP="00D26045">
      <w:r w:rsidRPr="00E52A4A">
        <w:t>Conformément à l'article 28 paragraphe 169 de la Constitution, un État Membre en retard dans ses paiements à l'Union perd son droit de vote défini aux numéros 27 et 28 de la Constitution tant que le montant de ses arriérés est égal ou supérieur au montant des contributions dues pour les deux années précédentes.</w:t>
      </w:r>
    </w:p>
    <w:p w14:paraId="59FF6D77" w14:textId="77777777" w:rsidR="00D26045" w:rsidRPr="00E52A4A" w:rsidRDefault="00D26045" w:rsidP="00D26045">
      <w:r w:rsidRPr="00E52A4A">
        <w:t>Sur la base de ce paragraphe, une provision pour les États Membres ayant des arriérés de plus de deux ans est constituée. L'évaluation et le suivi se font sur la base de la notification financière. Cette notification est produite tous les trimestres. Le calcul de la dépréciation se fait sur la base de la notification du dernier trimestre de l'année. Celle-ci est produite en début de l'année suivante.</w:t>
      </w:r>
    </w:p>
    <w:p w14:paraId="371764B1" w14:textId="77777777" w:rsidR="00D26045" w:rsidRPr="00E52A4A" w:rsidRDefault="00D26045" w:rsidP="007A66CF">
      <w:r w:rsidRPr="00E52A4A">
        <w:t>Le montant des dépréciations est égal à 100% de la créance impayée, majoré des intérêts moratoires imputés depuis le début du retard de paiement pour tous les Membres dont les dettes sont égales ou supérieures au montant de la contribution due pour les deux années précédentes conformément à l'article 28 de la Constitution.</w:t>
      </w:r>
    </w:p>
    <w:p w14:paraId="177EBAD0" w14:textId="77777777" w:rsidR="00D26045" w:rsidRPr="00E52A4A" w:rsidRDefault="00D26045" w:rsidP="007A66CF">
      <w:pPr>
        <w:keepNext/>
        <w:keepLines/>
      </w:pPr>
      <w:r w:rsidRPr="00E52A4A">
        <w:lastRenderedPageBreak/>
        <w:t>2 – Membres de Secteur, Associés et établissements universitaires</w:t>
      </w:r>
    </w:p>
    <w:p w14:paraId="73D16F3D" w14:textId="77777777" w:rsidR="00D26045" w:rsidRPr="00E52A4A" w:rsidRDefault="00D26045" w:rsidP="007A66CF">
      <w:pPr>
        <w:keepNext/>
        <w:keepLines/>
      </w:pPr>
      <w:r w:rsidRPr="00E52A4A">
        <w:t xml:space="preserve">S'agissant des Membres de Secteur et des Associés, la Résolution 152 (Rév. Busan, 2014) prévoit, dans le point 6 du </w:t>
      </w:r>
      <w:r w:rsidRPr="00E52A4A">
        <w:rPr>
          <w:i/>
        </w:rPr>
        <w:t>décide</w:t>
      </w:r>
      <w:r w:rsidRPr="00E52A4A">
        <w:t>, que, en cas de retard de paiement, la participation aux travaux de l'UIT, sera suspendue six mois (180 jours) après l'expiration de l'échéance fixée pour le paiement de la contribution annuelle, et en cas d'absence d'un plan d'amortissement négocié et convenu, l'exclusion d'un Membre de Secteur ou d'un Associé pour défaut de paiement interviendra trois mois (90 jours) après la date de réception de la notification de sa suspension.</w:t>
      </w:r>
    </w:p>
    <w:p w14:paraId="44A56169" w14:textId="77777777" w:rsidR="00D26045" w:rsidRPr="00E52A4A" w:rsidRDefault="00D26045" w:rsidP="00D26045">
      <w:r w:rsidRPr="00E52A4A">
        <w:t>Toutes les créances impayées y compris les intérêts moratoires de plus de deux ans sont provisionnées à 100%.</w:t>
      </w:r>
    </w:p>
    <w:p w14:paraId="1796C281" w14:textId="77777777" w:rsidR="00D26045" w:rsidRPr="00E52A4A" w:rsidRDefault="00D26045" w:rsidP="00D26045">
      <w:r w:rsidRPr="00E52A4A">
        <w:t>3 – Produits provenant du traitement des fiches de notification de réseaux à satellite (SNF)</w:t>
      </w:r>
    </w:p>
    <w:p w14:paraId="0DB07BAC" w14:textId="77777777" w:rsidR="00D26045" w:rsidRPr="00E52A4A" w:rsidRDefault="00D26045" w:rsidP="00D26045">
      <w:r w:rsidRPr="00E52A4A">
        <w:t>L'Union constitue une provision pour les factures SNF, intérêts moratoires de 6% à partir de la date d'échéance en cas de retard de paiement. Les factures ayant une date d'échéance de six mois, une provision de 100% sera constituée au 31 décembre de l'année qui suit leur émission.</w:t>
      </w:r>
    </w:p>
    <w:p w14:paraId="468540CA" w14:textId="77777777" w:rsidR="00D26045" w:rsidRPr="00E52A4A" w:rsidRDefault="00D26045" w:rsidP="00D26045">
      <w:r w:rsidRPr="00E52A4A">
        <w:t>4 – Publications</w:t>
      </w:r>
    </w:p>
    <w:p w14:paraId="01134DEB" w14:textId="77777777" w:rsidR="00D26045" w:rsidRPr="00E52A4A" w:rsidRDefault="00D26045" w:rsidP="00D26045">
      <w:pPr>
        <w:spacing w:before="40"/>
      </w:pPr>
      <w:r w:rsidRPr="00E52A4A">
        <w:t>Les publications sont en majorité payées d'avance, sauf lorsque le client est l'administration d'un État Membre. La constitution de cette provision est identique au principe appliqué aux contributions des États Membres et Membres de Secteur.</w:t>
      </w:r>
    </w:p>
    <w:p w14:paraId="5CA0DD40" w14:textId="77777777" w:rsidR="00D26045" w:rsidRPr="00E52A4A" w:rsidRDefault="00D26045" w:rsidP="00D26045">
      <w:pPr>
        <w:pStyle w:val="Heading2"/>
        <w:tabs>
          <w:tab w:val="clear" w:pos="567"/>
        </w:tabs>
        <w:ind w:left="1134" w:hanging="1134"/>
      </w:pPr>
      <w:r w:rsidRPr="00E52A4A">
        <w:t>3.3</w:t>
      </w:r>
      <w:r w:rsidRPr="00E52A4A">
        <w:tab/>
        <w:t>Stocks</w:t>
      </w:r>
    </w:p>
    <w:p w14:paraId="2254D8E3" w14:textId="77777777" w:rsidR="00D26045" w:rsidRPr="00E52A4A" w:rsidRDefault="00D26045" w:rsidP="00D26045">
      <w:r w:rsidRPr="00E52A4A">
        <w:t>Les stocks se composent des publications et souvenirs marqués du logo de l'UIT, des magasins de consommables, des matières premières pour la maintenance et des réserves de pièces détachées non affectées à la maintenance d'actifs particuliers.</w:t>
      </w:r>
    </w:p>
    <w:p w14:paraId="2C114C57" w14:textId="77777777" w:rsidR="00D26045" w:rsidRPr="00E52A4A" w:rsidRDefault="00D26045" w:rsidP="00D26045">
      <w:r w:rsidRPr="00E52A4A">
        <w:t>Pour les biens consommables, la valeur des stocks est calculée en utilisant la méthode du coût moyen pondéré. La même méthode est utilisée pour tous les stocks présentant une nature et un usage similaire dans l'organisation.</w:t>
      </w:r>
    </w:p>
    <w:p w14:paraId="2EAA7136" w14:textId="77777777" w:rsidR="00D26045" w:rsidRPr="00E52A4A" w:rsidRDefault="00D26045" w:rsidP="00D26045">
      <w:r w:rsidRPr="00E52A4A">
        <w:t>Les publications sont valorisées selon un coût standard basé sur un barème mis à jour annuellement. Le coût standard ne comprend pas les coûts directs de personnel, toutefois, le coût du papier est augmenté de 253%, qui représentent les coûts directs liés à la reprographie. La valeur nette réalisable représente le prix de vente estimatif diminué des coûts estimés d'achèvement, de commercialisation, de vente et de distribution des publications.</w:t>
      </w:r>
    </w:p>
    <w:p w14:paraId="5BC5E2A8" w14:textId="77777777" w:rsidR="00D26045" w:rsidRPr="00E52A4A" w:rsidRDefault="00D26045" w:rsidP="00D26045">
      <w:r w:rsidRPr="00E52A4A">
        <w:t>Lorsque les stocks de publications sont distribués à un coût nul ou symbolique, ceux</w:t>
      </w:r>
      <w:r w:rsidRPr="00E52A4A">
        <w:noBreakHyphen/>
        <w:t>ci sont évalués au moindre des coûts ou de la valeur nette de réalisation.</w:t>
      </w:r>
    </w:p>
    <w:p w14:paraId="51953028" w14:textId="77777777" w:rsidR="00D26045" w:rsidRPr="00E52A4A" w:rsidRDefault="00D26045" w:rsidP="00D26045">
      <w:r w:rsidRPr="00E52A4A">
        <w:t>Un inventaire physique annuel de tous les stocks est réalisé. À chaque date de clôture, s'il existe un quelconque indice montrant que les stocks ont pu perdre de leur valeur, ceux</w:t>
      </w:r>
      <w:r w:rsidRPr="00E52A4A">
        <w:noBreakHyphen/>
        <w:t>ci sont dépréciés. L'évaluation des publications se fait en deux temps: tout d'abord sur la base des éventuels dommages identifiés lors de l'inventaire physique annuel et ensuite selon l'obsolescence des publications. L'organisation détermine également si une perte de valeur comptabilisée précédemment a diminué ou s'est éteinte. S'il existe un tel indice, la valeur nette de réalisation ou le coût de remplacement des stocks sont estimés et mis à jour.</w:t>
      </w:r>
    </w:p>
    <w:p w14:paraId="6365424D" w14:textId="77777777" w:rsidR="00D26045" w:rsidRPr="00E52A4A" w:rsidRDefault="00D26045" w:rsidP="00D26045">
      <w:r w:rsidRPr="00E52A4A">
        <w:t>Les publications et articles qui ne seront plus proposés à la vente ou destinés à la distribution gratuite verront leur valeur nette comptable réduite à zéro.</w:t>
      </w:r>
    </w:p>
    <w:p w14:paraId="3EAD60A9" w14:textId="77777777" w:rsidR="00D26045" w:rsidRPr="00E52A4A" w:rsidRDefault="00D26045" w:rsidP="00D26045">
      <w:pPr>
        <w:pStyle w:val="Heading2"/>
        <w:tabs>
          <w:tab w:val="clear" w:pos="567"/>
        </w:tabs>
        <w:ind w:left="1134" w:hanging="1134"/>
      </w:pPr>
      <w:r w:rsidRPr="00E52A4A">
        <w:lastRenderedPageBreak/>
        <w:t>3.4</w:t>
      </w:r>
      <w:r w:rsidRPr="00E52A4A">
        <w:tab/>
        <w:t>Immobilisations corporelles</w:t>
      </w:r>
    </w:p>
    <w:p w14:paraId="1C620153" w14:textId="77777777" w:rsidR="00D26045" w:rsidRPr="00E52A4A" w:rsidRDefault="00D26045" w:rsidP="00D26045">
      <w:r w:rsidRPr="00E52A4A">
        <w:t>Les immobilisations corporelles détenues par l'UIT sont évaluées à leur coût historique déduction faite du cumul des amortissements et des pertes de valeurs.</w:t>
      </w:r>
    </w:p>
    <w:p w14:paraId="76D97D07" w14:textId="77777777" w:rsidR="00D26045" w:rsidRPr="00E52A4A" w:rsidRDefault="00D26045" w:rsidP="00D26045">
      <w:pPr>
        <w:pStyle w:val="Headingi"/>
        <w:tabs>
          <w:tab w:val="clear" w:pos="567"/>
        </w:tabs>
        <w:ind w:left="1134" w:hanging="1134"/>
      </w:pPr>
      <w:r w:rsidRPr="00E52A4A">
        <w:tab/>
        <w:t>Ajouts</w:t>
      </w:r>
    </w:p>
    <w:p w14:paraId="109E785F" w14:textId="77777777" w:rsidR="00D26045" w:rsidRPr="00E52A4A" w:rsidRDefault="00D26045" w:rsidP="00D26045">
      <w:r w:rsidRPr="00E52A4A">
        <w:t>Le coût d'un élément d'immobilisation corporelle est comptabilisé comme un actif s'il est probable que des avantages économiques futurs ou un potentiel de service associés à cet élément seront acquis par l'UIT et si le coût de l'élément peut être mesuré de manière fiable. Lorsqu'un élément est un don, son coût initial est mesuré à la valeur juste de l'élément à la date d'acquisition.</w:t>
      </w:r>
    </w:p>
    <w:p w14:paraId="2A7C8DAF" w14:textId="77777777" w:rsidR="00D26045" w:rsidRPr="00E52A4A" w:rsidRDefault="00D26045" w:rsidP="00D26045">
      <w:pPr>
        <w:pStyle w:val="Headingi"/>
        <w:tabs>
          <w:tab w:val="clear" w:pos="567"/>
        </w:tabs>
        <w:ind w:left="1134" w:hanging="1134"/>
      </w:pPr>
      <w:r w:rsidRPr="00E52A4A">
        <w:tab/>
        <w:t>Cessions</w:t>
      </w:r>
    </w:p>
    <w:p w14:paraId="07543CC2" w14:textId="77777777" w:rsidR="00D26045" w:rsidRPr="00E52A4A" w:rsidRDefault="00D26045" w:rsidP="00D26045">
      <w:r w:rsidRPr="00E52A4A">
        <w:t>Les gains et pertes de cession sont déterminés en comparant le produit à la valeur comptable de l'actif et sont inclus dans l'état de la performance financière.</w:t>
      </w:r>
    </w:p>
    <w:p w14:paraId="45AB8B35" w14:textId="77777777" w:rsidR="00D26045" w:rsidRPr="00E52A4A" w:rsidRDefault="00D26045" w:rsidP="00D26045">
      <w:pPr>
        <w:pStyle w:val="Headingi"/>
        <w:tabs>
          <w:tab w:val="clear" w:pos="567"/>
        </w:tabs>
        <w:ind w:left="1134" w:hanging="1134"/>
      </w:pPr>
      <w:r w:rsidRPr="00E52A4A">
        <w:tab/>
        <w:t>Coûts ultérieurs</w:t>
      </w:r>
    </w:p>
    <w:p w14:paraId="61085AF3" w14:textId="77777777" w:rsidR="00D26045" w:rsidRPr="00E52A4A" w:rsidRDefault="00D26045" w:rsidP="00D26045">
      <w:r w:rsidRPr="00E52A4A">
        <w:t>Les coûts encourus après l'acquisition initiale ne sont capitalisés que lorsqu'il est probable que les avantages économiques futurs ou le potentiel de service associés à l'article reviendront à l'UIT et que le coût de l'article pourra être évalué de manière fiable.</w:t>
      </w:r>
    </w:p>
    <w:p w14:paraId="18960F4C" w14:textId="77777777" w:rsidR="00D26045" w:rsidRPr="00E52A4A" w:rsidRDefault="00D26045" w:rsidP="00D26045">
      <w:r w:rsidRPr="00E52A4A">
        <w:t>Les biens d'une valeur égale ou supérieure à 5 000 CHF sont capitalisés au moment de la réception du bien et amortis linéairement par la suite.</w:t>
      </w:r>
    </w:p>
    <w:p w14:paraId="4FD5831E" w14:textId="77777777" w:rsidR="00D26045" w:rsidRPr="00E52A4A" w:rsidRDefault="00D26045" w:rsidP="00D26045">
      <w:pPr>
        <w:keepNext/>
        <w:keepLines/>
      </w:pPr>
      <w:r w:rsidRPr="00E52A4A">
        <w:t>Lorsqu'une immobilisation se compose de plusieurs éléments significatifs ayant des durées d'utilité différentes, chaque élément est comptabilisé séparément. Les amortissements sont effectués de manière linéaire selon la durée d'utilité estimée de chaque objet, compte tenu d'une durée résiduelle finale, s'il y a lieu. Les valeurs résiduelles, durées d'utilité et modes d'amortissement des actifs sont revus, et modifiés si nécessaire, à chaque clôture annuelle.</w:t>
      </w:r>
    </w:p>
    <w:p w14:paraId="4D13EBB1" w14:textId="77777777" w:rsidR="00D26045" w:rsidRPr="00E52A4A" w:rsidRDefault="00D26045" w:rsidP="00D26045">
      <w:r w:rsidRPr="00E52A4A">
        <w:t>Les immobilisations corporelles acquises lors de projets menés dans le cadre d'activités extrabudgétaires (notamment les projets du Programme des Nations Unies pour le développement, les projets à exécution nationale et les contributions volontaires) sont entièrement comptabilisées en tant que charges dans l'état de la performance financière à la clôture mensuelle suivant l'acquisition, car ils ne sont pas contrôlés par l'UIT.</w:t>
      </w:r>
    </w:p>
    <w:p w14:paraId="1045BE52" w14:textId="77777777" w:rsidR="00D26045" w:rsidRPr="00E52A4A" w:rsidRDefault="00D26045" w:rsidP="00D26045">
      <w:pPr>
        <w:spacing w:after="240"/>
      </w:pPr>
      <w:r w:rsidRPr="00E52A4A">
        <w:t>Le tableau ci-dessous illustre la durée d'utilité effective des actifs.</w:t>
      </w:r>
    </w:p>
    <w:tbl>
      <w:tblPr>
        <w:tblStyle w:val="TableGrid"/>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63"/>
        <w:gridCol w:w="1701"/>
      </w:tblGrid>
      <w:tr w:rsidR="00D26045" w:rsidRPr="00E52A4A" w14:paraId="3B42A513" w14:textId="77777777" w:rsidTr="002F4EFC">
        <w:trPr>
          <w:jc w:val="center"/>
        </w:trPr>
        <w:tc>
          <w:tcPr>
            <w:tcW w:w="6663" w:type="dxa"/>
            <w:shd w:val="clear" w:color="auto" w:fill="548DD4" w:themeFill="text2" w:themeFillTint="99"/>
            <w:vAlign w:val="center"/>
          </w:tcPr>
          <w:p w14:paraId="5EA2FB2C" w14:textId="77777777" w:rsidR="00D26045" w:rsidRPr="00E52A4A" w:rsidRDefault="00D26045" w:rsidP="002F4EFC">
            <w:pPr>
              <w:pStyle w:val="TableHead0"/>
              <w:keepNext w:val="0"/>
              <w:tabs>
                <w:tab w:val="center" w:pos="2724"/>
                <w:tab w:val="right" w:pos="5449"/>
              </w:tabs>
              <w:spacing w:before="120" w:after="120"/>
              <w:rPr>
                <w:rFonts w:asciiTheme="minorHAnsi" w:hAnsiTheme="minorHAnsi" w:cstheme="minorHAnsi"/>
              </w:rPr>
            </w:pPr>
            <w:r w:rsidRPr="00E52A4A">
              <w:rPr>
                <w:rFonts w:asciiTheme="minorHAnsi" w:hAnsiTheme="minorHAnsi" w:cstheme="minorHAnsi"/>
              </w:rPr>
              <w:t>Catégories et sous-catégories d'actifs</w:t>
            </w:r>
          </w:p>
        </w:tc>
        <w:tc>
          <w:tcPr>
            <w:tcW w:w="1701" w:type="dxa"/>
            <w:shd w:val="clear" w:color="auto" w:fill="548DD4" w:themeFill="text2" w:themeFillTint="99"/>
            <w:vAlign w:val="center"/>
          </w:tcPr>
          <w:p w14:paraId="2D8AA758" w14:textId="77777777" w:rsidR="00D26045" w:rsidRPr="00E52A4A" w:rsidRDefault="00D26045" w:rsidP="002F4EFC">
            <w:pPr>
              <w:pStyle w:val="Tablehead"/>
              <w:ind w:right="99"/>
              <w:rPr>
                <w:rFonts w:asciiTheme="minorHAnsi" w:hAnsiTheme="minorHAnsi" w:cstheme="minorHAnsi"/>
              </w:rPr>
            </w:pPr>
            <w:r w:rsidRPr="00E52A4A">
              <w:t>Durée d'utilité estimée (en années)</w:t>
            </w:r>
          </w:p>
        </w:tc>
      </w:tr>
      <w:tr w:rsidR="00D26045" w:rsidRPr="00E52A4A" w14:paraId="21BFB110" w14:textId="77777777" w:rsidTr="002F4EFC">
        <w:trPr>
          <w:jc w:val="center"/>
        </w:trPr>
        <w:tc>
          <w:tcPr>
            <w:tcW w:w="6663" w:type="dxa"/>
          </w:tcPr>
          <w:p w14:paraId="06C39609" w14:textId="77777777" w:rsidR="00D26045" w:rsidRPr="00E52A4A" w:rsidRDefault="00D26045" w:rsidP="002F4EFC">
            <w:pPr>
              <w:pStyle w:val="TableText0"/>
              <w:rPr>
                <w:rFonts w:asciiTheme="minorHAnsi" w:hAnsiTheme="minorHAnsi" w:cstheme="minorHAnsi"/>
                <w:b/>
                <w:bCs/>
              </w:rPr>
            </w:pPr>
            <w:r w:rsidRPr="00E52A4A">
              <w:rPr>
                <w:rFonts w:asciiTheme="minorHAnsi" w:hAnsiTheme="minorHAnsi" w:cstheme="minorHAnsi"/>
                <w:b/>
                <w:bCs/>
              </w:rPr>
              <w:t>Bâtiments</w:t>
            </w:r>
          </w:p>
        </w:tc>
        <w:tc>
          <w:tcPr>
            <w:tcW w:w="1701" w:type="dxa"/>
          </w:tcPr>
          <w:p w14:paraId="185F795D" w14:textId="77777777" w:rsidR="00D26045" w:rsidRPr="00E52A4A" w:rsidRDefault="00D26045" w:rsidP="002F4EFC">
            <w:pPr>
              <w:pStyle w:val="TableText0"/>
              <w:ind w:right="99"/>
              <w:rPr>
                <w:rFonts w:asciiTheme="minorHAnsi" w:hAnsiTheme="minorHAnsi" w:cstheme="minorHAnsi"/>
              </w:rPr>
            </w:pPr>
          </w:p>
        </w:tc>
      </w:tr>
      <w:tr w:rsidR="00D26045" w:rsidRPr="00E52A4A" w14:paraId="14C44007" w14:textId="77777777" w:rsidTr="002F4EFC">
        <w:trPr>
          <w:jc w:val="center"/>
        </w:trPr>
        <w:tc>
          <w:tcPr>
            <w:tcW w:w="6663" w:type="dxa"/>
          </w:tcPr>
          <w:p w14:paraId="51F88934" w14:textId="77777777" w:rsidR="00D26045" w:rsidRPr="00E52A4A" w:rsidRDefault="00D26045" w:rsidP="002F4EFC">
            <w:pPr>
              <w:pStyle w:val="TableText0"/>
              <w:tabs>
                <w:tab w:val="clear" w:pos="284"/>
                <w:tab w:val="clear" w:pos="567"/>
              </w:tabs>
              <w:ind w:left="457" w:hanging="315"/>
              <w:rPr>
                <w:rFonts w:asciiTheme="minorHAnsi" w:hAnsiTheme="minorHAnsi" w:cstheme="minorHAnsi"/>
              </w:rPr>
            </w:pPr>
            <w:r w:rsidRPr="00E52A4A">
              <w:rPr>
                <w:rFonts w:asciiTheme="minorHAnsi" w:hAnsiTheme="minorHAnsi" w:cstheme="minorHAnsi"/>
              </w:rPr>
              <w:t>–</w:t>
            </w:r>
            <w:r w:rsidRPr="00E52A4A">
              <w:tab/>
            </w:r>
            <w:r w:rsidRPr="00E52A4A">
              <w:rPr>
                <w:rFonts w:asciiTheme="minorHAnsi" w:hAnsiTheme="minorHAnsi" w:cstheme="minorHAnsi"/>
              </w:rPr>
              <w:t>Structure</w:t>
            </w:r>
          </w:p>
        </w:tc>
        <w:tc>
          <w:tcPr>
            <w:tcW w:w="1701" w:type="dxa"/>
          </w:tcPr>
          <w:p w14:paraId="46B47A4A" w14:textId="77777777" w:rsidR="00D26045" w:rsidRPr="00E52A4A" w:rsidRDefault="00D26045" w:rsidP="002F4EFC">
            <w:pPr>
              <w:pStyle w:val="Tabletext"/>
              <w:spacing w:before="20" w:after="0"/>
              <w:ind w:right="99"/>
              <w:jc w:val="right"/>
              <w:rPr>
                <w:rFonts w:asciiTheme="minorHAnsi" w:hAnsiTheme="minorHAnsi" w:cstheme="minorHAnsi"/>
                <w:lang w:eastAsia="fr-FR"/>
              </w:rPr>
            </w:pPr>
            <w:r w:rsidRPr="00E52A4A">
              <w:rPr>
                <w:szCs w:val="18"/>
                <w:lang w:eastAsia="fr-FR"/>
              </w:rPr>
              <w:t>60</w:t>
            </w:r>
          </w:p>
        </w:tc>
      </w:tr>
      <w:tr w:rsidR="00D26045" w:rsidRPr="00E52A4A" w14:paraId="45E2C9EA" w14:textId="77777777" w:rsidTr="002F4EFC">
        <w:trPr>
          <w:jc w:val="center"/>
        </w:trPr>
        <w:tc>
          <w:tcPr>
            <w:tcW w:w="6663" w:type="dxa"/>
          </w:tcPr>
          <w:p w14:paraId="47D90989" w14:textId="77777777" w:rsidR="00D26045" w:rsidRPr="00E52A4A" w:rsidRDefault="00D26045" w:rsidP="002F4EFC">
            <w:pPr>
              <w:pStyle w:val="TableText0"/>
              <w:tabs>
                <w:tab w:val="clear" w:pos="284"/>
                <w:tab w:val="clear" w:pos="567"/>
              </w:tabs>
              <w:ind w:left="457" w:hanging="315"/>
              <w:rPr>
                <w:rFonts w:asciiTheme="minorHAnsi" w:hAnsiTheme="minorHAnsi" w:cstheme="minorHAnsi"/>
              </w:rPr>
            </w:pPr>
            <w:r w:rsidRPr="00E52A4A">
              <w:rPr>
                <w:rFonts w:asciiTheme="minorHAnsi" w:hAnsiTheme="minorHAnsi" w:cstheme="minorHAnsi"/>
              </w:rPr>
              <w:t>–</w:t>
            </w:r>
            <w:r w:rsidRPr="00E52A4A">
              <w:tab/>
            </w:r>
            <w:r w:rsidRPr="00E52A4A">
              <w:rPr>
                <w:rFonts w:asciiTheme="minorHAnsi" w:hAnsiTheme="minorHAnsi" w:cstheme="minorHAnsi"/>
              </w:rPr>
              <w:t>Enveloppe (toiture plate, isolation, étanchéité...)</w:t>
            </w:r>
          </w:p>
        </w:tc>
        <w:tc>
          <w:tcPr>
            <w:tcW w:w="1701" w:type="dxa"/>
          </w:tcPr>
          <w:p w14:paraId="6C4FA110" w14:textId="77777777" w:rsidR="00D26045" w:rsidRPr="00E52A4A" w:rsidRDefault="00D26045" w:rsidP="002F4EFC">
            <w:pPr>
              <w:pStyle w:val="Tabletext"/>
              <w:spacing w:before="20" w:after="0"/>
              <w:ind w:right="99"/>
              <w:jc w:val="right"/>
              <w:rPr>
                <w:rFonts w:asciiTheme="minorHAnsi" w:hAnsiTheme="minorHAnsi" w:cstheme="minorHAnsi"/>
                <w:lang w:eastAsia="fr-FR"/>
              </w:rPr>
            </w:pPr>
            <w:r w:rsidRPr="00E52A4A">
              <w:rPr>
                <w:szCs w:val="18"/>
                <w:lang w:eastAsia="fr-FR"/>
              </w:rPr>
              <w:t>40</w:t>
            </w:r>
          </w:p>
        </w:tc>
      </w:tr>
      <w:tr w:rsidR="00D26045" w:rsidRPr="00E52A4A" w14:paraId="7065D6C0" w14:textId="77777777" w:rsidTr="002F4EFC">
        <w:trPr>
          <w:jc w:val="center"/>
        </w:trPr>
        <w:tc>
          <w:tcPr>
            <w:tcW w:w="6663" w:type="dxa"/>
          </w:tcPr>
          <w:p w14:paraId="2868ED73" w14:textId="77777777" w:rsidR="00D26045" w:rsidRPr="00E52A4A" w:rsidRDefault="00D26045" w:rsidP="002F4EFC">
            <w:pPr>
              <w:pStyle w:val="TableText0"/>
              <w:tabs>
                <w:tab w:val="clear" w:pos="284"/>
                <w:tab w:val="clear" w:pos="567"/>
              </w:tabs>
              <w:ind w:left="457" w:hanging="315"/>
              <w:rPr>
                <w:rFonts w:asciiTheme="minorHAnsi" w:hAnsiTheme="minorHAnsi" w:cstheme="minorHAnsi"/>
              </w:rPr>
            </w:pPr>
            <w:r w:rsidRPr="00E52A4A">
              <w:rPr>
                <w:rFonts w:asciiTheme="minorHAnsi" w:hAnsiTheme="minorHAnsi" w:cstheme="minorHAnsi"/>
              </w:rPr>
              <w:t>–</w:t>
            </w:r>
            <w:r w:rsidRPr="00E52A4A">
              <w:tab/>
            </w:r>
            <w:r w:rsidRPr="00E52A4A">
              <w:rPr>
                <w:rFonts w:asciiTheme="minorHAnsi" w:hAnsiTheme="minorHAnsi" w:cstheme="minorHAnsi"/>
              </w:rPr>
              <w:t>Enveloppe (façades métalliques, vitrages aluminium...)</w:t>
            </w:r>
          </w:p>
        </w:tc>
        <w:tc>
          <w:tcPr>
            <w:tcW w:w="1701" w:type="dxa"/>
          </w:tcPr>
          <w:p w14:paraId="5C6A2DA4" w14:textId="77777777" w:rsidR="00D26045" w:rsidRPr="00E52A4A" w:rsidRDefault="00D26045" w:rsidP="002F4EFC">
            <w:pPr>
              <w:pStyle w:val="Tabletext"/>
              <w:spacing w:before="20" w:after="0"/>
              <w:ind w:right="99"/>
              <w:jc w:val="right"/>
              <w:rPr>
                <w:rFonts w:asciiTheme="minorHAnsi" w:hAnsiTheme="minorHAnsi" w:cstheme="minorHAnsi"/>
                <w:lang w:eastAsia="fr-FR"/>
              </w:rPr>
            </w:pPr>
            <w:r w:rsidRPr="00E52A4A">
              <w:rPr>
                <w:szCs w:val="18"/>
                <w:lang w:eastAsia="fr-FR"/>
              </w:rPr>
              <w:t>40</w:t>
            </w:r>
          </w:p>
        </w:tc>
      </w:tr>
      <w:tr w:rsidR="00D26045" w:rsidRPr="00E52A4A" w14:paraId="685AFFE4" w14:textId="77777777" w:rsidTr="002F4EFC">
        <w:trPr>
          <w:jc w:val="center"/>
        </w:trPr>
        <w:tc>
          <w:tcPr>
            <w:tcW w:w="6663" w:type="dxa"/>
          </w:tcPr>
          <w:p w14:paraId="0DEC6C5A" w14:textId="77777777" w:rsidR="00D26045" w:rsidRPr="00E52A4A" w:rsidRDefault="00D26045" w:rsidP="002F4EFC">
            <w:pPr>
              <w:pStyle w:val="TableText0"/>
              <w:tabs>
                <w:tab w:val="clear" w:pos="284"/>
                <w:tab w:val="clear" w:pos="567"/>
              </w:tabs>
              <w:ind w:left="457" w:hanging="315"/>
              <w:rPr>
                <w:rFonts w:asciiTheme="minorHAnsi" w:hAnsiTheme="minorHAnsi" w:cstheme="minorHAnsi"/>
              </w:rPr>
            </w:pPr>
            <w:r w:rsidRPr="00E52A4A">
              <w:rPr>
                <w:rFonts w:asciiTheme="minorHAnsi" w:hAnsiTheme="minorHAnsi" w:cstheme="minorHAnsi"/>
              </w:rPr>
              <w:t>–</w:t>
            </w:r>
            <w:r w:rsidRPr="00E52A4A">
              <w:tab/>
            </w:r>
            <w:r w:rsidRPr="00E52A4A">
              <w:rPr>
                <w:rFonts w:asciiTheme="minorHAnsi" w:hAnsiTheme="minorHAnsi" w:cstheme="minorHAnsi"/>
              </w:rPr>
              <w:t>Aménagements intérieurs (faux-planchers, partitions...)</w:t>
            </w:r>
          </w:p>
        </w:tc>
        <w:tc>
          <w:tcPr>
            <w:tcW w:w="1701" w:type="dxa"/>
          </w:tcPr>
          <w:p w14:paraId="4205820D" w14:textId="77777777" w:rsidR="00D26045" w:rsidRPr="00E52A4A" w:rsidRDefault="00D26045" w:rsidP="002F4EFC">
            <w:pPr>
              <w:pStyle w:val="Tabletext"/>
              <w:spacing w:before="20" w:after="0"/>
              <w:ind w:right="99"/>
              <w:jc w:val="right"/>
              <w:rPr>
                <w:rFonts w:asciiTheme="minorHAnsi" w:hAnsiTheme="minorHAnsi" w:cstheme="minorHAnsi"/>
                <w:lang w:eastAsia="fr-FR"/>
              </w:rPr>
            </w:pPr>
            <w:r w:rsidRPr="00E52A4A">
              <w:rPr>
                <w:szCs w:val="18"/>
                <w:lang w:eastAsia="fr-FR"/>
              </w:rPr>
              <w:t>25</w:t>
            </w:r>
          </w:p>
        </w:tc>
      </w:tr>
      <w:tr w:rsidR="00D26045" w:rsidRPr="00E52A4A" w14:paraId="003CFA5F" w14:textId="77777777" w:rsidTr="002F4EFC">
        <w:trPr>
          <w:jc w:val="center"/>
        </w:trPr>
        <w:tc>
          <w:tcPr>
            <w:tcW w:w="6663" w:type="dxa"/>
          </w:tcPr>
          <w:p w14:paraId="0617BF80" w14:textId="77777777" w:rsidR="00D26045" w:rsidRPr="00E52A4A" w:rsidRDefault="00D26045" w:rsidP="002F4EFC">
            <w:pPr>
              <w:pStyle w:val="TableText0"/>
              <w:tabs>
                <w:tab w:val="clear" w:pos="284"/>
                <w:tab w:val="clear" w:pos="567"/>
              </w:tabs>
              <w:ind w:left="457" w:hanging="315"/>
              <w:rPr>
                <w:rFonts w:asciiTheme="minorHAnsi" w:hAnsiTheme="minorHAnsi" w:cstheme="minorHAnsi"/>
              </w:rPr>
            </w:pPr>
            <w:r w:rsidRPr="00E52A4A">
              <w:rPr>
                <w:rFonts w:asciiTheme="minorHAnsi" w:hAnsiTheme="minorHAnsi" w:cstheme="minorHAnsi"/>
              </w:rPr>
              <w:t>–</w:t>
            </w:r>
            <w:r w:rsidRPr="00E52A4A">
              <w:tab/>
            </w:r>
            <w:r w:rsidRPr="00E52A4A">
              <w:rPr>
                <w:rFonts w:asciiTheme="minorHAnsi" w:hAnsiTheme="minorHAnsi" w:cstheme="minorHAnsi"/>
              </w:rPr>
              <w:t>Aménagements intérieurs (revêtements sols, murs et plafonds...)</w:t>
            </w:r>
          </w:p>
        </w:tc>
        <w:tc>
          <w:tcPr>
            <w:tcW w:w="1701" w:type="dxa"/>
          </w:tcPr>
          <w:p w14:paraId="581A33AB" w14:textId="77777777" w:rsidR="00D26045" w:rsidRPr="00E52A4A" w:rsidRDefault="00D26045" w:rsidP="002F4EFC">
            <w:pPr>
              <w:pStyle w:val="Tabletext"/>
              <w:spacing w:before="20" w:after="0"/>
              <w:ind w:right="99"/>
              <w:jc w:val="right"/>
              <w:rPr>
                <w:rFonts w:asciiTheme="minorHAnsi" w:hAnsiTheme="minorHAnsi" w:cstheme="minorHAnsi"/>
                <w:lang w:eastAsia="fr-FR"/>
              </w:rPr>
            </w:pPr>
            <w:r w:rsidRPr="00E52A4A">
              <w:rPr>
                <w:szCs w:val="18"/>
                <w:lang w:eastAsia="fr-FR"/>
              </w:rPr>
              <w:t>25</w:t>
            </w:r>
          </w:p>
        </w:tc>
      </w:tr>
      <w:tr w:rsidR="00D26045" w:rsidRPr="00E52A4A" w14:paraId="30A4ECF3" w14:textId="77777777" w:rsidTr="002F4EFC">
        <w:trPr>
          <w:jc w:val="center"/>
        </w:trPr>
        <w:tc>
          <w:tcPr>
            <w:tcW w:w="6663" w:type="dxa"/>
          </w:tcPr>
          <w:p w14:paraId="3E5DBA6C" w14:textId="77777777" w:rsidR="00D26045" w:rsidRPr="00E52A4A" w:rsidRDefault="00D26045" w:rsidP="002F4EFC">
            <w:pPr>
              <w:pStyle w:val="TableText0"/>
              <w:tabs>
                <w:tab w:val="clear" w:pos="284"/>
                <w:tab w:val="clear" w:pos="567"/>
              </w:tabs>
              <w:ind w:left="457" w:hanging="315"/>
              <w:rPr>
                <w:rFonts w:asciiTheme="minorHAnsi" w:hAnsiTheme="minorHAnsi" w:cstheme="minorHAnsi"/>
              </w:rPr>
            </w:pPr>
            <w:r w:rsidRPr="00E52A4A">
              <w:rPr>
                <w:rFonts w:asciiTheme="minorHAnsi" w:hAnsiTheme="minorHAnsi" w:cstheme="minorHAnsi"/>
              </w:rPr>
              <w:t>–</w:t>
            </w:r>
            <w:r w:rsidRPr="00E52A4A">
              <w:tab/>
            </w:r>
            <w:r w:rsidRPr="00E52A4A">
              <w:rPr>
                <w:rFonts w:asciiTheme="minorHAnsi" w:hAnsiTheme="minorHAnsi" w:cstheme="minorHAnsi"/>
              </w:rPr>
              <w:t>Équipements spéciaux</w:t>
            </w:r>
          </w:p>
        </w:tc>
        <w:tc>
          <w:tcPr>
            <w:tcW w:w="1701" w:type="dxa"/>
          </w:tcPr>
          <w:p w14:paraId="2CC585A6" w14:textId="77777777" w:rsidR="00D26045" w:rsidRPr="00E52A4A" w:rsidRDefault="00D26045" w:rsidP="002F4EFC">
            <w:pPr>
              <w:pStyle w:val="Tabletext"/>
              <w:spacing w:before="20" w:after="0"/>
              <w:ind w:right="99"/>
              <w:jc w:val="right"/>
              <w:rPr>
                <w:rFonts w:asciiTheme="minorHAnsi" w:hAnsiTheme="minorHAnsi" w:cstheme="minorHAnsi"/>
                <w:lang w:eastAsia="fr-FR"/>
              </w:rPr>
            </w:pPr>
            <w:r w:rsidRPr="00E52A4A">
              <w:rPr>
                <w:szCs w:val="18"/>
                <w:lang w:eastAsia="fr-FR"/>
              </w:rPr>
              <w:t>25</w:t>
            </w:r>
          </w:p>
        </w:tc>
      </w:tr>
      <w:tr w:rsidR="00D26045" w:rsidRPr="00E52A4A" w14:paraId="7478199B" w14:textId="77777777" w:rsidTr="002F4EFC">
        <w:trPr>
          <w:jc w:val="center"/>
        </w:trPr>
        <w:tc>
          <w:tcPr>
            <w:tcW w:w="6663" w:type="dxa"/>
          </w:tcPr>
          <w:p w14:paraId="4222F03B" w14:textId="77777777" w:rsidR="00D26045" w:rsidRPr="00E52A4A" w:rsidRDefault="00D26045" w:rsidP="002F4EFC">
            <w:pPr>
              <w:pStyle w:val="TableText0"/>
              <w:tabs>
                <w:tab w:val="clear" w:pos="284"/>
                <w:tab w:val="clear" w:pos="567"/>
              </w:tabs>
              <w:ind w:left="457" w:hanging="315"/>
              <w:rPr>
                <w:rFonts w:asciiTheme="minorHAnsi" w:hAnsiTheme="minorHAnsi" w:cstheme="minorHAnsi"/>
              </w:rPr>
            </w:pPr>
            <w:r w:rsidRPr="00E52A4A">
              <w:rPr>
                <w:rFonts w:asciiTheme="minorHAnsi" w:hAnsiTheme="minorHAnsi" w:cstheme="minorHAnsi"/>
              </w:rPr>
              <w:t>–</w:t>
            </w:r>
            <w:r w:rsidRPr="00E52A4A">
              <w:tab/>
            </w:r>
            <w:r w:rsidRPr="00E52A4A">
              <w:rPr>
                <w:rFonts w:asciiTheme="minorHAnsi" w:hAnsiTheme="minorHAnsi" w:cstheme="minorHAnsi"/>
              </w:rPr>
              <w:t>Installations techniques (électricité)</w:t>
            </w:r>
          </w:p>
        </w:tc>
        <w:tc>
          <w:tcPr>
            <w:tcW w:w="1701" w:type="dxa"/>
          </w:tcPr>
          <w:p w14:paraId="5166EBFD" w14:textId="77777777" w:rsidR="00D26045" w:rsidRPr="00E52A4A" w:rsidRDefault="00D26045" w:rsidP="002F4EFC">
            <w:pPr>
              <w:pStyle w:val="Tabletext"/>
              <w:spacing w:before="20" w:after="0"/>
              <w:ind w:right="99"/>
              <w:jc w:val="right"/>
              <w:rPr>
                <w:rFonts w:asciiTheme="minorHAnsi" w:hAnsiTheme="minorHAnsi" w:cstheme="minorHAnsi"/>
                <w:lang w:eastAsia="fr-FR"/>
              </w:rPr>
            </w:pPr>
            <w:r w:rsidRPr="00E52A4A">
              <w:rPr>
                <w:szCs w:val="18"/>
                <w:lang w:eastAsia="fr-FR"/>
              </w:rPr>
              <w:t>50</w:t>
            </w:r>
          </w:p>
        </w:tc>
      </w:tr>
      <w:tr w:rsidR="00D26045" w:rsidRPr="00E52A4A" w14:paraId="098DB09E" w14:textId="77777777" w:rsidTr="002F4EFC">
        <w:trPr>
          <w:jc w:val="center"/>
        </w:trPr>
        <w:tc>
          <w:tcPr>
            <w:tcW w:w="6663" w:type="dxa"/>
          </w:tcPr>
          <w:p w14:paraId="3E7B4133" w14:textId="77777777" w:rsidR="00D26045" w:rsidRPr="00E52A4A" w:rsidRDefault="00D26045" w:rsidP="002F4EFC">
            <w:pPr>
              <w:pStyle w:val="TableText0"/>
              <w:tabs>
                <w:tab w:val="clear" w:pos="284"/>
                <w:tab w:val="clear" w:pos="567"/>
              </w:tabs>
              <w:ind w:left="457" w:hanging="315"/>
              <w:rPr>
                <w:rFonts w:asciiTheme="minorHAnsi" w:hAnsiTheme="minorHAnsi" w:cstheme="minorHAnsi"/>
              </w:rPr>
            </w:pPr>
            <w:r w:rsidRPr="00E52A4A">
              <w:rPr>
                <w:rFonts w:asciiTheme="minorHAnsi" w:hAnsiTheme="minorHAnsi" w:cstheme="minorHAnsi"/>
              </w:rPr>
              <w:lastRenderedPageBreak/>
              <w:t>–</w:t>
            </w:r>
            <w:r w:rsidRPr="00E52A4A">
              <w:tab/>
            </w:r>
            <w:r w:rsidRPr="00E52A4A">
              <w:rPr>
                <w:rFonts w:asciiTheme="minorHAnsi" w:hAnsiTheme="minorHAnsi" w:cstheme="minorHAnsi"/>
              </w:rPr>
              <w:t>Installations techniques (sanitaires)</w:t>
            </w:r>
          </w:p>
        </w:tc>
        <w:tc>
          <w:tcPr>
            <w:tcW w:w="1701" w:type="dxa"/>
          </w:tcPr>
          <w:p w14:paraId="19811EF7" w14:textId="77777777" w:rsidR="00D26045" w:rsidRPr="00E52A4A" w:rsidRDefault="00D26045" w:rsidP="002F4EFC">
            <w:pPr>
              <w:pStyle w:val="Tabletext"/>
              <w:spacing w:before="20" w:after="0"/>
              <w:ind w:right="99"/>
              <w:jc w:val="right"/>
              <w:rPr>
                <w:rFonts w:asciiTheme="minorHAnsi" w:hAnsiTheme="minorHAnsi" w:cstheme="minorHAnsi"/>
                <w:lang w:eastAsia="fr-FR"/>
              </w:rPr>
            </w:pPr>
            <w:r w:rsidRPr="00E52A4A">
              <w:rPr>
                <w:szCs w:val="18"/>
                <w:lang w:eastAsia="fr-FR"/>
              </w:rPr>
              <w:t>40</w:t>
            </w:r>
          </w:p>
        </w:tc>
      </w:tr>
      <w:tr w:rsidR="00D26045" w:rsidRPr="00E52A4A" w14:paraId="0DA6DA28" w14:textId="77777777" w:rsidTr="002F4EFC">
        <w:trPr>
          <w:jc w:val="center"/>
        </w:trPr>
        <w:tc>
          <w:tcPr>
            <w:tcW w:w="6663" w:type="dxa"/>
          </w:tcPr>
          <w:p w14:paraId="1BBD4A6F" w14:textId="77777777" w:rsidR="00D26045" w:rsidRPr="00E52A4A" w:rsidRDefault="00D26045" w:rsidP="002F4EFC">
            <w:pPr>
              <w:pStyle w:val="TableText0"/>
              <w:tabs>
                <w:tab w:val="clear" w:pos="284"/>
                <w:tab w:val="clear" w:pos="567"/>
              </w:tabs>
              <w:ind w:left="457" w:hanging="315"/>
              <w:rPr>
                <w:rFonts w:asciiTheme="minorHAnsi" w:hAnsiTheme="minorHAnsi" w:cstheme="minorHAnsi"/>
              </w:rPr>
            </w:pPr>
            <w:r w:rsidRPr="00E52A4A">
              <w:rPr>
                <w:rFonts w:asciiTheme="minorHAnsi" w:hAnsiTheme="minorHAnsi" w:cstheme="minorHAnsi"/>
              </w:rPr>
              <w:t>–</w:t>
            </w:r>
            <w:r w:rsidRPr="00E52A4A">
              <w:tab/>
            </w:r>
            <w:r w:rsidRPr="00E52A4A">
              <w:rPr>
                <w:rFonts w:asciiTheme="minorHAnsi" w:hAnsiTheme="minorHAnsi" w:cstheme="minorHAnsi"/>
              </w:rPr>
              <w:t>Installations techniques (chauffage, ventilation)</w:t>
            </w:r>
          </w:p>
        </w:tc>
        <w:tc>
          <w:tcPr>
            <w:tcW w:w="1701" w:type="dxa"/>
          </w:tcPr>
          <w:p w14:paraId="47DD3E2B" w14:textId="77777777" w:rsidR="00D26045" w:rsidRPr="00E52A4A" w:rsidRDefault="00D26045" w:rsidP="002F4EFC">
            <w:pPr>
              <w:pStyle w:val="Tabletext"/>
              <w:spacing w:before="20" w:after="0"/>
              <w:ind w:right="99"/>
              <w:jc w:val="right"/>
              <w:rPr>
                <w:rFonts w:asciiTheme="minorHAnsi" w:hAnsiTheme="minorHAnsi" w:cstheme="minorHAnsi"/>
                <w:lang w:eastAsia="fr-FR"/>
              </w:rPr>
            </w:pPr>
            <w:r w:rsidRPr="00E52A4A">
              <w:rPr>
                <w:szCs w:val="18"/>
                <w:lang w:eastAsia="fr-FR"/>
              </w:rPr>
              <w:t>30</w:t>
            </w:r>
          </w:p>
        </w:tc>
      </w:tr>
      <w:tr w:rsidR="00D26045" w:rsidRPr="00E52A4A" w14:paraId="18E9DA6E" w14:textId="77777777" w:rsidTr="002F4EFC">
        <w:trPr>
          <w:jc w:val="center"/>
        </w:trPr>
        <w:tc>
          <w:tcPr>
            <w:tcW w:w="6663" w:type="dxa"/>
          </w:tcPr>
          <w:p w14:paraId="550BDE89" w14:textId="77777777" w:rsidR="00D26045" w:rsidRPr="00E52A4A" w:rsidRDefault="00D26045" w:rsidP="002F4EFC">
            <w:pPr>
              <w:pStyle w:val="TableText0"/>
              <w:tabs>
                <w:tab w:val="clear" w:pos="284"/>
                <w:tab w:val="clear" w:pos="567"/>
              </w:tabs>
              <w:ind w:left="457" w:hanging="315"/>
              <w:rPr>
                <w:rFonts w:asciiTheme="minorHAnsi" w:hAnsiTheme="minorHAnsi" w:cstheme="minorHAnsi"/>
              </w:rPr>
            </w:pPr>
            <w:r w:rsidRPr="00E52A4A">
              <w:rPr>
                <w:rFonts w:asciiTheme="minorHAnsi" w:hAnsiTheme="minorHAnsi" w:cstheme="minorHAnsi"/>
              </w:rPr>
              <w:t>–</w:t>
            </w:r>
            <w:r w:rsidRPr="00E52A4A">
              <w:tab/>
            </w:r>
            <w:r w:rsidRPr="00E52A4A">
              <w:rPr>
                <w:rFonts w:asciiTheme="minorHAnsi" w:hAnsiTheme="minorHAnsi" w:cstheme="minorHAnsi"/>
              </w:rPr>
              <w:t>Éléments transports</w:t>
            </w:r>
          </w:p>
        </w:tc>
        <w:tc>
          <w:tcPr>
            <w:tcW w:w="1701" w:type="dxa"/>
          </w:tcPr>
          <w:p w14:paraId="43651BD7" w14:textId="77777777" w:rsidR="00D26045" w:rsidRPr="00E52A4A" w:rsidRDefault="00D26045" w:rsidP="002F4EFC">
            <w:pPr>
              <w:pStyle w:val="Tabletext"/>
              <w:spacing w:before="20" w:after="0"/>
              <w:ind w:right="99"/>
              <w:jc w:val="right"/>
              <w:rPr>
                <w:rFonts w:asciiTheme="minorHAnsi" w:hAnsiTheme="minorHAnsi" w:cstheme="minorHAnsi"/>
                <w:lang w:eastAsia="fr-FR"/>
              </w:rPr>
            </w:pPr>
            <w:r w:rsidRPr="00E52A4A">
              <w:rPr>
                <w:szCs w:val="18"/>
                <w:lang w:eastAsia="fr-FR"/>
              </w:rPr>
              <w:t>40</w:t>
            </w:r>
          </w:p>
        </w:tc>
      </w:tr>
      <w:tr w:rsidR="00D26045" w:rsidRPr="00E52A4A" w14:paraId="2B026EB0" w14:textId="77777777" w:rsidTr="002F4EFC">
        <w:trPr>
          <w:jc w:val="center"/>
        </w:trPr>
        <w:tc>
          <w:tcPr>
            <w:tcW w:w="6663" w:type="dxa"/>
          </w:tcPr>
          <w:p w14:paraId="5E6D60D6" w14:textId="77777777" w:rsidR="00D26045" w:rsidRPr="00E52A4A" w:rsidRDefault="00D26045" w:rsidP="002F4EFC">
            <w:pPr>
              <w:pStyle w:val="TableText0"/>
              <w:tabs>
                <w:tab w:val="clear" w:pos="284"/>
                <w:tab w:val="clear" w:pos="567"/>
              </w:tabs>
              <w:ind w:left="457" w:hanging="315"/>
              <w:rPr>
                <w:rFonts w:asciiTheme="minorHAnsi" w:hAnsiTheme="minorHAnsi" w:cstheme="minorHAnsi"/>
              </w:rPr>
            </w:pPr>
            <w:r w:rsidRPr="00E52A4A">
              <w:rPr>
                <w:rFonts w:asciiTheme="minorHAnsi" w:hAnsiTheme="minorHAnsi" w:cstheme="minorHAnsi"/>
              </w:rPr>
              <w:t>–</w:t>
            </w:r>
            <w:r w:rsidRPr="00E52A4A">
              <w:tab/>
            </w:r>
            <w:r w:rsidRPr="00E52A4A">
              <w:rPr>
                <w:rFonts w:asciiTheme="minorHAnsi" w:hAnsiTheme="minorHAnsi" w:cstheme="minorHAnsi"/>
              </w:rPr>
              <w:t>Autres actifs liés aux bâtiments</w:t>
            </w:r>
          </w:p>
        </w:tc>
        <w:tc>
          <w:tcPr>
            <w:tcW w:w="1701" w:type="dxa"/>
          </w:tcPr>
          <w:p w14:paraId="2528D865" w14:textId="77777777" w:rsidR="00D26045" w:rsidRPr="00E52A4A" w:rsidRDefault="00D26045" w:rsidP="002F4EFC">
            <w:pPr>
              <w:pStyle w:val="Tabletext"/>
              <w:spacing w:before="20" w:after="0"/>
              <w:ind w:right="99"/>
              <w:jc w:val="right"/>
              <w:rPr>
                <w:rFonts w:asciiTheme="minorHAnsi" w:hAnsiTheme="minorHAnsi" w:cstheme="minorHAnsi"/>
                <w:lang w:eastAsia="fr-FR"/>
              </w:rPr>
            </w:pPr>
          </w:p>
        </w:tc>
      </w:tr>
      <w:tr w:rsidR="00D26045" w:rsidRPr="00E52A4A" w14:paraId="031B5272" w14:textId="77777777" w:rsidTr="002F4EFC">
        <w:trPr>
          <w:jc w:val="center"/>
        </w:trPr>
        <w:tc>
          <w:tcPr>
            <w:tcW w:w="6663" w:type="dxa"/>
          </w:tcPr>
          <w:p w14:paraId="175D212B" w14:textId="77777777" w:rsidR="00D26045" w:rsidRPr="00E52A4A" w:rsidRDefault="00D26045" w:rsidP="002F4EFC">
            <w:pPr>
              <w:pStyle w:val="TableText0"/>
              <w:spacing w:before="200" w:after="200"/>
              <w:rPr>
                <w:rFonts w:asciiTheme="minorHAnsi" w:hAnsiTheme="minorHAnsi" w:cstheme="minorHAnsi"/>
                <w:b/>
                <w:bCs/>
              </w:rPr>
            </w:pPr>
            <w:r w:rsidRPr="00E52A4A">
              <w:rPr>
                <w:rFonts w:asciiTheme="minorHAnsi" w:hAnsiTheme="minorHAnsi" w:cstheme="minorHAnsi"/>
                <w:b/>
                <w:bCs/>
              </w:rPr>
              <w:t>Machineries et équipements</w:t>
            </w:r>
          </w:p>
        </w:tc>
        <w:tc>
          <w:tcPr>
            <w:tcW w:w="1701" w:type="dxa"/>
          </w:tcPr>
          <w:p w14:paraId="6ACE302E" w14:textId="77777777" w:rsidR="00D26045" w:rsidRPr="00E52A4A" w:rsidRDefault="00D26045" w:rsidP="002F4EFC">
            <w:pPr>
              <w:pStyle w:val="Tabletext"/>
              <w:spacing w:before="200" w:after="200"/>
              <w:ind w:right="99"/>
              <w:jc w:val="right"/>
              <w:rPr>
                <w:rFonts w:asciiTheme="minorHAnsi" w:hAnsiTheme="minorHAnsi" w:cstheme="minorHAnsi"/>
                <w:lang w:eastAsia="fr-FR"/>
              </w:rPr>
            </w:pPr>
            <w:r w:rsidRPr="00E52A4A">
              <w:rPr>
                <w:szCs w:val="18"/>
                <w:lang w:eastAsia="fr-FR"/>
              </w:rPr>
              <w:t>5</w:t>
            </w:r>
          </w:p>
        </w:tc>
      </w:tr>
      <w:tr w:rsidR="00D26045" w:rsidRPr="00E52A4A" w14:paraId="24A14844" w14:textId="77777777" w:rsidTr="002F4EFC">
        <w:trPr>
          <w:jc w:val="center"/>
        </w:trPr>
        <w:tc>
          <w:tcPr>
            <w:tcW w:w="6663" w:type="dxa"/>
          </w:tcPr>
          <w:p w14:paraId="4A368B19" w14:textId="77777777" w:rsidR="00D26045" w:rsidRPr="00E52A4A" w:rsidRDefault="00D26045" w:rsidP="002F4EFC">
            <w:pPr>
              <w:pStyle w:val="TableText0"/>
              <w:spacing w:before="200" w:after="200"/>
              <w:rPr>
                <w:rFonts w:asciiTheme="minorHAnsi" w:hAnsiTheme="minorHAnsi" w:cstheme="minorHAnsi"/>
                <w:b/>
                <w:bCs/>
              </w:rPr>
            </w:pPr>
            <w:r w:rsidRPr="00E52A4A">
              <w:rPr>
                <w:rFonts w:asciiTheme="minorHAnsi" w:hAnsiTheme="minorHAnsi" w:cstheme="minorHAnsi"/>
                <w:b/>
                <w:bCs/>
              </w:rPr>
              <w:t>Mobilier et agencement</w:t>
            </w:r>
          </w:p>
        </w:tc>
        <w:tc>
          <w:tcPr>
            <w:tcW w:w="1701" w:type="dxa"/>
          </w:tcPr>
          <w:p w14:paraId="298313F4" w14:textId="77777777" w:rsidR="00D26045" w:rsidRPr="00E52A4A" w:rsidRDefault="00D26045" w:rsidP="002F4EFC">
            <w:pPr>
              <w:pStyle w:val="Tabletext"/>
              <w:spacing w:before="200" w:after="200"/>
              <w:ind w:right="99"/>
              <w:jc w:val="right"/>
              <w:rPr>
                <w:rFonts w:asciiTheme="minorHAnsi" w:hAnsiTheme="minorHAnsi" w:cstheme="minorHAnsi"/>
                <w:lang w:eastAsia="fr-FR"/>
              </w:rPr>
            </w:pPr>
            <w:r w:rsidRPr="00E52A4A">
              <w:rPr>
                <w:szCs w:val="18"/>
                <w:lang w:eastAsia="fr-FR"/>
              </w:rPr>
              <w:t>5</w:t>
            </w:r>
          </w:p>
        </w:tc>
      </w:tr>
      <w:tr w:rsidR="00D26045" w:rsidRPr="00E52A4A" w14:paraId="6BB2620F" w14:textId="77777777" w:rsidTr="002F4EFC">
        <w:trPr>
          <w:jc w:val="center"/>
        </w:trPr>
        <w:tc>
          <w:tcPr>
            <w:tcW w:w="6663" w:type="dxa"/>
          </w:tcPr>
          <w:p w14:paraId="5A5E1D43" w14:textId="77777777" w:rsidR="00D26045" w:rsidRPr="00E52A4A" w:rsidRDefault="00D26045" w:rsidP="002F4EFC">
            <w:pPr>
              <w:pStyle w:val="TableText0"/>
              <w:spacing w:before="200" w:after="200"/>
              <w:rPr>
                <w:rFonts w:asciiTheme="minorHAnsi" w:hAnsiTheme="minorHAnsi" w:cstheme="minorHAnsi"/>
                <w:b/>
                <w:bCs/>
              </w:rPr>
            </w:pPr>
            <w:r w:rsidRPr="00E52A4A">
              <w:rPr>
                <w:rFonts w:asciiTheme="minorHAnsi" w:hAnsiTheme="minorHAnsi" w:cstheme="minorHAnsi"/>
                <w:b/>
                <w:bCs/>
              </w:rPr>
              <w:t>Véhicules</w:t>
            </w:r>
          </w:p>
        </w:tc>
        <w:tc>
          <w:tcPr>
            <w:tcW w:w="1701" w:type="dxa"/>
          </w:tcPr>
          <w:p w14:paraId="679574E5" w14:textId="77777777" w:rsidR="00D26045" w:rsidRPr="00E52A4A" w:rsidRDefault="00D26045" w:rsidP="002F4EFC">
            <w:pPr>
              <w:pStyle w:val="Tabletext"/>
              <w:spacing w:before="200" w:after="200"/>
              <w:ind w:right="99"/>
              <w:jc w:val="right"/>
              <w:rPr>
                <w:rFonts w:asciiTheme="minorHAnsi" w:hAnsiTheme="minorHAnsi" w:cstheme="minorHAnsi"/>
                <w:lang w:eastAsia="fr-FR"/>
              </w:rPr>
            </w:pPr>
            <w:r w:rsidRPr="00E52A4A">
              <w:rPr>
                <w:szCs w:val="18"/>
                <w:lang w:eastAsia="fr-FR"/>
              </w:rPr>
              <w:t>5</w:t>
            </w:r>
          </w:p>
        </w:tc>
      </w:tr>
      <w:tr w:rsidR="00D26045" w:rsidRPr="00E52A4A" w14:paraId="07B69A43" w14:textId="77777777" w:rsidTr="002F4EFC">
        <w:trPr>
          <w:jc w:val="center"/>
        </w:trPr>
        <w:tc>
          <w:tcPr>
            <w:tcW w:w="6663" w:type="dxa"/>
          </w:tcPr>
          <w:p w14:paraId="3568D6BB" w14:textId="77777777" w:rsidR="00D26045" w:rsidRPr="00E52A4A" w:rsidRDefault="00D26045" w:rsidP="002F4EFC">
            <w:pPr>
              <w:pStyle w:val="TableText0"/>
              <w:spacing w:before="200" w:after="200"/>
              <w:rPr>
                <w:rFonts w:asciiTheme="minorHAnsi" w:hAnsiTheme="minorHAnsi" w:cstheme="minorHAnsi"/>
                <w:b/>
                <w:bCs/>
              </w:rPr>
            </w:pPr>
            <w:r w:rsidRPr="00E52A4A">
              <w:rPr>
                <w:rFonts w:asciiTheme="minorHAnsi" w:hAnsiTheme="minorHAnsi" w:cstheme="minorHAnsi"/>
                <w:b/>
                <w:bCs/>
              </w:rPr>
              <w:t>Matériel informatique</w:t>
            </w:r>
          </w:p>
        </w:tc>
        <w:tc>
          <w:tcPr>
            <w:tcW w:w="1701" w:type="dxa"/>
          </w:tcPr>
          <w:p w14:paraId="12029263" w14:textId="77777777" w:rsidR="00D26045" w:rsidRPr="00E52A4A" w:rsidRDefault="00D26045" w:rsidP="002F4EFC">
            <w:pPr>
              <w:pStyle w:val="Tabletext"/>
              <w:spacing w:before="200" w:after="200"/>
              <w:ind w:right="99"/>
              <w:jc w:val="right"/>
              <w:rPr>
                <w:rFonts w:asciiTheme="minorHAnsi" w:hAnsiTheme="minorHAnsi" w:cstheme="minorHAnsi"/>
                <w:lang w:eastAsia="fr-FR"/>
              </w:rPr>
            </w:pPr>
            <w:r w:rsidRPr="00E52A4A">
              <w:rPr>
                <w:szCs w:val="18"/>
                <w:lang w:eastAsia="fr-FR"/>
              </w:rPr>
              <w:t>3</w:t>
            </w:r>
          </w:p>
        </w:tc>
      </w:tr>
      <w:tr w:rsidR="00D26045" w:rsidRPr="00E52A4A" w14:paraId="1E31E743" w14:textId="77777777" w:rsidTr="002F4EFC">
        <w:trPr>
          <w:jc w:val="center"/>
        </w:trPr>
        <w:tc>
          <w:tcPr>
            <w:tcW w:w="6663" w:type="dxa"/>
          </w:tcPr>
          <w:p w14:paraId="0348BBF5" w14:textId="77777777" w:rsidR="00D26045" w:rsidRPr="00E52A4A" w:rsidRDefault="00D26045" w:rsidP="002F4EFC">
            <w:pPr>
              <w:pStyle w:val="TableText0"/>
              <w:spacing w:before="200" w:after="200"/>
              <w:rPr>
                <w:rFonts w:asciiTheme="minorHAnsi" w:hAnsiTheme="minorHAnsi" w:cstheme="minorHAnsi"/>
                <w:b/>
                <w:bCs/>
              </w:rPr>
            </w:pPr>
            <w:r w:rsidRPr="00E52A4A">
              <w:rPr>
                <w:rFonts w:asciiTheme="minorHAnsi" w:hAnsiTheme="minorHAnsi" w:cstheme="minorHAnsi"/>
                <w:b/>
                <w:bCs/>
              </w:rPr>
              <w:t>Licences et progiciels</w:t>
            </w:r>
          </w:p>
        </w:tc>
        <w:tc>
          <w:tcPr>
            <w:tcW w:w="1701" w:type="dxa"/>
          </w:tcPr>
          <w:p w14:paraId="185F61A6" w14:textId="77777777" w:rsidR="00D26045" w:rsidRPr="00E52A4A" w:rsidRDefault="00D26045" w:rsidP="002F4EFC">
            <w:pPr>
              <w:pStyle w:val="Tabletext"/>
              <w:spacing w:before="200" w:after="200"/>
              <w:ind w:right="99"/>
              <w:jc w:val="right"/>
              <w:rPr>
                <w:rFonts w:asciiTheme="minorHAnsi" w:hAnsiTheme="minorHAnsi" w:cstheme="minorHAnsi"/>
                <w:lang w:eastAsia="fr-FR"/>
              </w:rPr>
            </w:pPr>
            <w:r w:rsidRPr="00E52A4A">
              <w:rPr>
                <w:szCs w:val="18"/>
                <w:lang w:eastAsia="fr-FR"/>
              </w:rPr>
              <w:t>3</w:t>
            </w:r>
          </w:p>
        </w:tc>
      </w:tr>
    </w:tbl>
    <w:p w14:paraId="7B81CA88" w14:textId="77777777" w:rsidR="00D26045" w:rsidRPr="00E52A4A" w:rsidRDefault="00D26045" w:rsidP="00D26045">
      <w:pPr>
        <w:spacing w:before="240"/>
      </w:pPr>
      <w:r w:rsidRPr="00E52A4A">
        <w:t>L'UIT examine à chaque date de clôture annuelle s'il existe un indice révélant qu'un actif a pu perdre de sa valeur. Si un tel indice existe, la valeur recouvrable de l'actif est estimée et une perte de valeur est inscrite dans l'état de la performance financière lorsque la valeur comptable est supérieure à la valeur recouvrable. Aucun indice de perte de valeur n'a été relevé durant l'année 2022.</w:t>
      </w:r>
    </w:p>
    <w:p w14:paraId="3D43B167" w14:textId="77777777" w:rsidR="00D26045" w:rsidRPr="00E52A4A" w:rsidRDefault="00D26045" w:rsidP="00D26045">
      <w:pPr>
        <w:pStyle w:val="Heading2"/>
        <w:tabs>
          <w:tab w:val="clear" w:pos="567"/>
        </w:tabs>
        <w:ind w:left="1134" w:hanging="1134"/>
        <w:rPr>
          <w:u w:val="single"/>
        </w:rPr>
      </w:pPr>
      <w:r w:rsidRPr="00E52A4A">
        <w:t>3.5</w:t>
      </w:r>
      <w:r w:rsidRPr="00E52A4A">
        <w:tab/>
        <w:t>Immobilisations incorporelles</w:t>
      </w:r>
    </w:p>
    <w:p w14:paraId="68F988C5" w14:textId="77777777" w:rsidR="00D26045" w:rsidRPr="00E52A4A" w:rsidRDefault="00D26045" w:rsidP="00D26045">
      <w:pPr>
        <w:keepNext/>
        <w:keepLines/>
      </w:pPr>
      <w:r w:rsidRPr="00E52A4A">
        <w:t xml:space="preserve">Les immobilisations incorporelles, les licences informatiques et les logiciels d'une valeur supérieure à 50 000 CHF sont comptabilisés sur la base de leur coût historique déduction faite du cumul des amortissements et des pertes de valeur éventuelles. Les licences, progiciels, </w:t>
      </w:r>
      <w:r w:rsidRPr="00E52A4A">
        <w:rPr>
          <w:color w:val="000000" w:themeColor="text1"/>
        </w:rPr>
        <w:t>patentes, et droits</w:t>
      </w:r>
      <w:r w:rsidRPr="00E52A4A">
        <w:t xml:space="preserve"> sont amortis linéairement sur une durée de trois ans. Les immobilisations incorporelles sont capitalisées dans les états financiers s'il est probable que des avantages économiques ou un potentiel de service futurs attendus reviendront à l'UIT et si le montant en question peut être évalué de manière fiable.</w:t>
      </w:r>
    </w:p>
    <w:p w14:paraId="4800CAED" w14:textId="77777777" w:rsidR="00D26045" w:rsidRPr="00E52A4A" w:rsidRDefault="00D26045" w:rsidP="00D26045">
      <w:pPr>
        <w:rPr>
          <w:b/>
        </w:rPr>
      </w:pPr>
      <w:r w:rsidRPr="00E52A4A">
        <w:t>Tous les coûts égaux ou inférieurs à 50 000 CHF sont capitalisés au moment de la réception des biens et comptabilisés entièrement en tant que dépenses dans l'état de la performance financière à la clôture mensuelle suivant l'acquisition.</w:t>
      </w:r>
    </w:p>
    <w:p w14:paraId="6175CC60" w14:textId="77777777" w:rsidR="00D26045" w:rsidRPr="00E52A4A" w:rsidRDefault="00D26045" w:rsidP="00D26045">
      <w:r w:rsidRPr="00E52A4A">
        <w:t>Les logiciels développés en interne sont capitalisés si l'UIT peut espérer bénéficier des avantages économiques ou des possibilités de service qui leur sont associés. Les coûts de développement directement liés à la conception et à l'essai de produits logiciels reconnaissables et uniques gérés par l'UIT sont comptabilisés comme des immobilisations incorporelles lorsque les critères ci</w:t>
      </w:r>
      <w:r w:rsidRPr="00E52A4A">
        <w:rPr>
          <w:rFonts w:cs="Arial"/>
          <w:color w:val="000000"/>
          <w:szCs w:val="24"/>
          <w:lang w:eastAsia="fr-FR"/>
        </w:rPr>
        <w:t>-</w:t>
      </w:r>
      <w:r w:rsidRPr="00E52A4A">
        <w:t>après sont satisfaits à la date de clôture:</w:t>
      </w:r>
    </w:p>
    <w:p w14:paraId="7F2E5663" w14:textId="77777777" w:rsidR="00D26045" w:rsidRPr="00E52A4A" w:rsidRDefault="00D26045" w:rsidP="00D26045">
      <w:pPr>
        <w:pStyle w:val="enumlev1"/>
      </w:pPr>
      <w:r w:rsidRPr="00E52A4A">
        <w:t>–</w:t>
      </w:r>
      <w:r w:rsidRPr="00E52A4A">
        <w:tab/>
        <w:t>Il est techniquement possible d'achever le développement du produit logiciel qui pourra ainsi être utilisé.</w:t>
      </w:r>
    </w:p>
    <w:p w14:paraId="2FB51A2A" w14:textId="77777777" w:rsidR="00D26045" w:rsidRPr="00E52A4A" w:rsidRDefault="00D26045" w:rsidP="00D26045">
      <w:pPr>
        <w:pStyle w:val="enumlev1"/>
      </w:pPr>
      <w:r w:rsidRPr="00E52A4A">
        <w:t>–</w:t>
      </w:r>
      <w:r w:rsidRPr="00E52A4A">
        <w:tab/>
        <w:t>La direction a l'intention d'achever le développement du produit logiciel et de l'utiliser ou de le mettre en vente.</w:t>
      </w:r>
    </w:p>
    <w:p w14:paraId="51B97D05" w14:textId="77777777" w:rsidR="00D26045" w:rsidRPr="00E52A4A" w:rsidRDefault="00D26045" w:rsidP="00D26045">
      <w:pPr>
        <w:pStyle w:val="enumlev1"/>
      </w:pPr>
      <w:r w:rsidRPr="00E52A4A">
        <w:t>–</w:t>
      </w:r>
      <w:r w:rsidRPr="00E52A4A">
        <w:tab/>
        <w:t>Il est possible d'utiliser ou de vendre le produit logiciel.</w:t>
      </w:r>
    </w:p>
    <w:p w14:paraId="53FE18C2" w14:textId="77777777" w:rsidR="00D26045" w:rsidRPr="00E52A4A" w:rsidRDefault="00D26045" w:rsidP="00D26045">
      <w:pPr>
        <w:pStyle w:val="enumlev1"/>
      </w:pPr>
      <w:r w:rsidRPr="00E52A4A">
        <w:lastRenderedPageBreak/>
        <w:t>–</w:t>
      </w:r>
      <w:r w:rsidRPr="00E52A4A">
        <w:tab/>
        <w:t>Il est possible de prouver que le produit logiciel générera vraisemblablement des bénéfices économiques dans l'avenir.</w:t>
      </w:r>
    </w:p>
    <w:p w14:paraId="5608B28D" w14:textId="77777777" w:rsidR="00D26045" w:rsidRPr="00E52A4A" w:rsidRDefault="00D26045" w:rsidP="00D26045">
      <w:pPr>
        <w:pStyle w:val="enumlev1"/>
      </w:pPr>
      <w:r w:rsidRPr="00E52A4A">
        <w:t>–</w:t>
      </w:r>
      <w:r w:rsidRPr="00E52A4A">
        <w:tab/>
        <w:t>Des ressources appropriées sur les plans technique, financier ou autre sont disponibles pour achever le développement du produit logiciel et l'utiliser ou le vendre; les charges liées au développement du produit logiciel peuvent être évaluées de façon fiable.</w:t>
      </w:r>
    </w:p>
    <w:p w14:paraId="26B6B087" w14:textId="77777777" w:rsidR="00D26045" w:rsidRPr="00E52A4A" w:rsidRDefault="00D26045" w:rsidP="00D26045">
      <w:r w:rsidRPr="00E52A4A">
        <w:t>Les coûts directement liés au produit logiciel, qui sont capitalisés en tant qu'élément de ce produit, comprennent les dépenses de personnel liées au développement du logiciel et une part appropriée des charges indirectes correspondantes.</w:t>
      </w:r>
    </w:p>
    <w:p w14:paraId="499EF4B2" w14:textId="77777777" w:rsidR="00D26045" w:rsidRPr="00E52A4A" w:rsidRDefault="00D26045" w:rsidP="00D26045">
      <w:r w:rsidRPr="00E52A4A">
        <w:t>D'autres dépenses liées au développement, qui ne satisfont pas à ces critères, sont comptabilisées comme des charges lorsqu'elles sont engagées. Les coûts de développement qui ont été comptabilisés au préalable comme des charges ne sont pas comptabilisés dans l'actif de l'exercice suivant.</w:t>
      </w:r>
    </w:p>
    <w:p w14:paraId="721E3FB4" w14:textId="77777777" w:rsidR="00D26045" w:rsidRPr="00E52A4A" w:rsidRDefault="00D26045" w:rsidP="00D26045">
      <w:r w:rsidRPr="00E52A4A">
        <w:t>Les coûts de développement de logiciels comptabilisés comme des actifs sont amortis pendant leur durée de vie utile estimée (trois ans maximum).</w:t>
      </w:r>
    </w:p>
    <w:p w14:paraId="0D7EE3F0" w14:textId="77777777" w:rsidR="00D26045" w:rsidRPr="00E52A4A" w:rsidRDefault="00D26045" w:rsidP="00D26045">
      <w:r w:rsidRPr="00E52A4A">
        <w:t>Les coûts associés à l'entretien des progiciels informatiques sont comptabilisés comme des charges lorsqu'ils sont engagés.</w:t>
      </w:r>
    </w:p>
    <w:p w14:paraId="57FB384A" w14:textId="77777777" w:rsidR="00D26045" w:rsidRPr="00E52A4A" w:rsidRDefault="00D26045" w:rsidP="00D26045">
      <w:pPr>
        <w:pStyle w:val="Heading2"/>
        <w:tabs>
          <w:tab w:val="clear" w:pos="567"/>
        </w:tabs>
        <w:ind w:left="1134" w:hanging="1134"/>
      </w:pPr>
      <w:bookmarkStart w:id="109" w:name="_Toc269839074"/>
      <w:bookmarkStart w:id="110" w:name="_Toc329178772"/>
      <w:bookmarkStart w:id="111" w:name="_Toc329181745"/>
      <w:bookmarkStart w:id="112" w:name="_Toc329202561"/>
      <w:bookmarkStart w:id="113" w:name="_Toc329204993"/>
      <w:bookmarkStart w:id="114" w:name="_Toc329206830"/>
      <w:bookmarkStart w:id="115" w:name="_Toc358379916"/>
      <w:bookmarkStart w:id="116" w:name="_Toc358380456"/>
      <w:bookmarkStart w:id="117" w:name="_Toc387166638"/>
      <w:bookmarkStart w:id="118" w:name="_Toc395260923"/>
      <w:bookmarkStart w:id="119" w:name="_Toc395511702"/>
      <w:bookmarkStart w:id="120" w:name="_Toc452138615"/>
      <w:bookmarkStart w:id="121" w:name="_Toc452139064"/>
      <w:bookmarkStart w:id="122" w:name="_Toc452139428"/>
      <w:bookmarkStart w:id="123" w:name="_Toc452139828"/>
      <w:bookmarkStart w:id="124" w:name="_Toc452140695"/>
      <w:bookmarkStart w:id="125" w:name="_Toc482801485"/>
      <w:bookmarkStart w:id="126" w:name="_Toc511649455"/>
      <w:bookmarkStart w:id="127" w:name="_Toc511649827"/>
      <w:bookmarkStart w:id="128" w:name="_Toc511649941"/>
      <w:bookmarkStart w:id="129" w:name="_Toc511651197"/>
      <w:bookmarkStart w:id="130" w:name="_Toc511724062"/>
      <w:bookmarkStart w:id="131" w:name="_Toc511739051"/>
      <w:bookmarkStart w:id="132" w:name="_Toc511741220"/>
      <w:bookmarkStart w:id="133" w:name="_Toc10450726"/>
      <w:bookmarkStart w:id="134" w:name="_Toc41566328"/>
      <w:bookmarkStart w:id="135" w:name="_Toc41567841"/>
      <w:bookmarkStart w:id="136" w:name="_Toc73356397"/>
      <w:r w:rsidRPr="00E52A4A">
        <w:t>3.6</w:t>
      </w:r>
      <w:r w:rsidRPr="00E52A4A">
        <w:tab/>
        <w:t>Provisions</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5BAB615F" w14:textId="77777777" w:rsidR="00D26045" w:rsidRPr="00E52A4A" w:rsidRDefault="00D26045" w:rsidP="00D26045">
      <w:pPr>
        <w:keepNext/>
        <w:keepLines/>
      </w:pPr>
      <w:r w:rsidRPr="00E52A4A">
        <w:t>Les provisions comprennent les engagements dont l'issue, l'échéance ou le montant à payer est incertain. Elles sont comptabilisées lorsque l'UIT a une obligation juridique ou implicite résultant d'un événement passé, lorsqu'il est probable qu'une sortie de ressources sera nécessaire pour éteindre l'obligation et lorsque le montant de l'obligation peut être estimé de manière fiable.</w:t>
      </w:r>
    </w:p>
    <w:p w14:paraId="58C36854" w14:textId="77777777" w:rsidR="00D26045" w:rsidRPr="00E52A4A" w:rsidRDefault="00D26045" w:rsidP="00D26045">
      <w:pPr>
        <w:pStyle w:val="Heading2"/>
        <w:tabs>
          <w:tab w:val="clear" w:pos="567"/>
        </w:tabs>
        <w:ind w:left="1134" w:hanging="1134"/>
      </w:pPr>
      <w:bookmarkStart w:id="137" w:name="_Toc269839075"/>
      <w:bookmarkStart w:id="138" w:name="_Toc329178773"/>
      <w:bookmarkStart w:id="139" w:name="_Toc329181746"/>
      <w:bookmarkStart w:id="140" w:name="_Toc329202562"/>
      <w:bookmarkStart w:id="141" w:name="_Toc329204994"/>
      <w:bookmarkStart w:id="142" w:name="_Toc329206831"/>
      <w:bookmarkStart w:id="143" w:name="_Toc358379917"/>
      <w:bookmarkStart w:id="144" w:name="_Toc358380457"/>
      <w:bookmarkStart w:id="145" w:name="_Toc387166639"/>
      <w:bookmarkStart w:id="146" w:name="_Toc395260924"/>
      <w:bookmarkStart w:id="147" w:name="_Toc395511703"/>
      <w:bookmarkStart w:id="148" w:name="_Toc452138616"/>
      <w:bookmarkStart w:id="149" w:name="_Toc452139065"/>
      <w:bookmarkStart w:id="150" w:name="_Toc452139429"/>
      <w:bookmarkStart w:id="151" w:name="_Toc452139829"/>
      <w:bookmarkStart w:id="152" w:name="_Toc452140696"/>
      <w:bookmarkStart w:id="153" w:name="_Toc482801486"/>
      <w:bookmarkStart w:id="154" w:name="_Toc511649456"/>
      <w:bookmarkStart w:id="155" w:name="_Toc511649828"/>
      <w:bookmarkStart w:id="156" w:name="_Toc511649942"/>
      <w:bookmarkStart w:id="157" w:name="_Toc511651198"/>
      <w:bookmarkStart w:id="158" w:name="_Toc511724063"/>
      <w:bookmarkStart w:id="159" w:name="_Toc511739052"/>
      <w:bookmarkStart w:id="160" w:name="_Toc511741221"/>
      <w:bookmarkStart w:id="161" w:name="_Toc10450727"/>
      <w:bookmarkStart w:id="162" w:name="_Toc41566329"/>
      <w:bookmarkStart w:id="163" w:name="_Toc41567842"/>
      <w:bookmarkStart w:id="164" w:name="_Toc73356398"/>
      <w:r w:rsidRPr="00E52A4A">
        <w:t>3.7</w:t>
      </w:r>
      <w:r w:rsidRPr="00E52A4A">
        <w:tab/>
        <w:t>Actifs et passifs éventuels</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5B865128" w14:textId="77777777" w:rsidR="00D26045" w:rsidRPr="00E52A4A" w:rsidRDefault="00D26045" w:rsidP="00D26045">
      <w:r w:rsidRPr="00E52A4A">
        <w:t>Les actifs et passifs éventuels sont des droits ou des engagements possibles qui résultent d'événements passés et dont l'existence sera confirmée uniquement par la survenance ou la non</w:t>
      </w:r>
      <w:r w:rsidRPr="00E52A4A">
        <w:noBreakHyphen/>
        <w:t>occurrence d'un ou de plusieurs événements futurs incertains sur lesquels l'UIT n'exerce pas un contrôle total.</w:t>
      </w:r>
    </w:p>
    <w:p w14:paraId="4AE441EC" w14:textId="77777777" w:rsidR="00D26045" w:rsidRPr="00E52A4A" w:rsidRDefault="00D26045" w:rsidP="00D26045">
      <w:r w:rsidRPr="00E52A4A">
        <w:t>Les passifs éventuels sont indiqués lorsqu'un éventuel engagement est incertain, mais peut être mesuré, ou lorsque l'UIT a un engagement actuel, mais ne peut pas mesurer de manière fiable les sorties possibles de ressources. Au 31 décembre 2022, l'UIT ne disposait à sa connaissance d'aucun passif éventuel.</w:t>
      </w:r>
    </w:p>
    <w:p w14:paraId="31C1E522" w14:textId="77777777" w:rsidR="00D26045" w:rsidRPr="00E52A4A" w:rsidRDefault="00D26045" w:rsidP="00D26045">
      <w:pPr>
        <w:pStyle w:val="Heading2"/>
        <w:tabs>
          <w:tab w:val="clear" w:pos="567"/>
        </w:tabs>
        <w:ind w:left="1134" w:hanging="1134"/>
      </w:pPr>
      <w:bookmarkStart w:id="165" w:name="_Toc329178774"/>
      <w:bookmarkStart w:id="166" w:name="_Toc329181747"/>
      <w:bookmarkStart w:id="167" w:name="_Toc329202563"/>
      <w:bookmarkStart w:id="168" w:name="_Toc329204995"/>
      <w:bookmarkStart w:id="169" w:name="_Toc329206832"/>
      <w:bookmarkStart w:id="170" w:name="_Toc358379918"/>
      <w:bookmarkStart w:id="171" w:name="_Toc358380458"/>
      <w:bookmarkStart w:id="172" w:name="_Toc387166640"/>
      <w:bookmarkStart w:id="173" w:name="_Toc395260925"/>
      <w:bookmarkStart w:id="174" w:name="_Toc395511704"/>
      <w:bookmarkStart w:id="175" w:name="_Toc452138617"/>
      <w:bookmarkStart w:id="176" w:name="_Toc452139066"/>
      <w:bookmarkStart w:id="177" w:name="_Toc452139430"/>
      <w:bookmarkStart w:id="178" w:name="_Toc452139830"/>
      <w:bookmarkStart w:id="179" w:name="_Toc452140697"/>
      <w:bookmarkStart w:id="180" w:name="_Toc482801487"/>
      <w:bookmarkStart w:id="181" w:name="_Toc511649457"/>
      <w:bookmarkStart w:id="182" w:name="_Toc511649829"/>
      <w:bookmarkStart w:id="183" w:name="_Toc511649943"/>
      <w:bookmarkStart w:id="184" w:name="_Toc511651199"/>
      <w:bookmarkStart w:id="185" w:name="_Toc511724064"/>
      <w:bookmarkStart w:id="186" w:name="_Toc511739053"/>
      <w:bookmarkStart w:id="187" w:name="_Toc511741222"/>
      <w:bookmarkStart w:id="188" w:name="_Toc10450728"/>
      <w:bookmarkStart w:id="189" w:name="_Toc41566330"/>
      <w:bookmarkStart w:id="190" w:name="_Toc41567843"/>
      <w:bookmarkStart w:id="191" w:name="_Toc73356399"/>
      <w:r w:rsidRPr="00E52A4A">
        <w:t>3.8</w:t>
      </w:r>
      <w:r w:rsidRPr="00E52A4A">
        <w:tab/>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52A4A">
        <w:t>Avantages du personnel</w:t>
      </w:r>
    </w:p>
    <w:p w14:paraId="7680207D" w14:textId="77777777" w:rsidR="00D26045" w:rsidRPr="00E52A4A" w:rsidRDefault="00D26045" w:rsidP="00D26045">
      <w:r w:rsidRPr="00E52A4A">
        <w:t>Les avantages du personnel suivants sont comptabilisées:</w:t>
      </w:r>
    </w:p>
    <w:p w14:paraId="2C6B6521" w14:textId="77777777" w:rsidR="00D26045" w:rsidRPr="00E52A4A" w:rsidRDefault="00D26045" w:rsidP="00D26045">
      <w:pPr>
        <w:pStyle w:val="enumlev1"/>
      </w:pPr>
      <w:r w:rsidRPr="00E52A4A">
        <w:t>–</w:t>
      </w:r>
      <w:r w:rsidRPr="00E52A4A">
        <w:tab/>
        <w:t>les prestations à court terme qui doivent être réglées dans les 12 mois suivant la date de clôture et sont évalués à leur valeur nominale sur la base des droits accumulés aux taux de rémunération actuels. Les prestations à court terme comprennent les prestations versées pour la première fois (primes d'affectation), les prestations mensuelles ordinaires (salaires, traitements, indemnités) et autres prestations (indemnité pour frais d'études, congé dans les foyers, etc.). Une charge est comptabilisée lorsque des fonctionnaires rendent des services à l'UIT et un passif est comptabilisé pour des droits qui n'ont pas été réglés à la date de clôture;</w:t>
      </w:r>
    </w:p>
    <w:p w14:paraId="2F13776F" w14:textId="77777777" w:rsidR="00D26045" w:rsidRPr="00E52A4A" w:rsidRDefault="00D26045" w:rsidP="00D26045">
      <w:pPr>
        <w:pStyle w:val="enumlev1"/>
      </w:pPr>
      <w:r w:rsidRPr="00E52A4A">
        <w:lastRenderedPageBreak/>
        <w:t>–</w:t>
      </w:r>
      <w:r w:rsidRPr="00E52A4A">
        <w:tab/>
        <w:t>les prestations à long terme dues au report possible d'avantages acquis pendant l'exercice ou les exercices précédents;</w:t>
      </w:r>
    </w:p>
    <w:p w14:paraId="18D9AC00" w14:textId="77777777" w:rsidR="00D26045" w:rsidRPr="00E52A4A" w:rsidRDefault="00D26045" w:rsidP="00D26045">
      <w:pPr>
        <w:pStyle w:val="enumlev1"/>
      </w:pPr>
      <w:r w:rsidRPr="00E52A4A">
        <w:t>–</w:t>
      </w:r>
      <w:r w:rsidRPr="00E52A4A">
        <w:tab/>
        <w:t>les prestations à long terme dues après la cessation de service.</w:t>
      </w:r>
    </w:p>
    <w:p w14:paraId="71A84B32" w14:textId="77777777" w:rsidR="00D26045" w:rsidRPr="00E52A4A" w:rsidRDefault="00D26045" w:rsidP="00D26045">
      <w:r w:rsidRPr="00E52A4A">
        <w:t>Les prestations à long terme comprennent:</w:t>
      </w:r>
    </w:p>
    <w:p w14:paraId="6059BD24" w14:textId="77777777" w:rsidR="00D26045" w:rsidRPr="00E52A4A" w:rsidRDefault="00D26045" w:rsidP="00D26045">
      <w:pPr>
        <w:pStyle w:val="enumlev1"/>
      </w:pPr>
      <w:r w:rsidRPr="00E52A4A">
        <w:t>–</w:t>
      </w:r>
      <w:r w:rsidRPr="00E52A4A">
        <w:tab/>
        <w:t>les autres prestations à long terme dues au personnel sont des prestations qui devraient être réglées plus de 12 mois après la fin de la période considérée; elles concernent les primes de rapatriement et les congés accumulés. Le passif comptabilisé pour les primes de rapatriement correspond à la valeur actuelle des engagements au titre des prestations définies à la date de clôture. Ce passif est calculé par un actuaire indépendant selon la méthode des unités de crédit projetées. Les frais d'intérêts, les frais de services rendus au cours des services courants et les gains ou pertes actuariels résultant de changements d'hypothèses actuarielles ou d'ajustements dus à l'expérience sont comptabilisés dans l'état de la performance financière;</w:t>
      </w:r>
    </w:p>
    <w:p w14:paraId="6DB9F135" w14:textId="77777777" w:rsidR="00D26045" w:rsidRPr="00E52A4A" w:rsidRDefault="00D26045" w:rsidP="00D26045">
      <w:pPr>
        <w:pStyle w:val="enumlev1"/>
        <w:keepNext/>
        <w:keepLines/>
      </w:pPr>
      <w:r w:rsidRPr="00E52A4A">
        <w:t>–</w:t>
      </w:r>
      <w:r w:rsidRPr="00E52A4A">
        <w:tab/>
        <w:t>les engagements concernant l'assurance maladie après la cessation de service (ASHI); et</w:t>
      </w:r>
    </w:p>
    <w:p w14:paraId="11676402" w14:textId="77777777" w:rsidR="00D26045" w:rsidRPr="00E52A4A" w:rsidRDefault="00D26045" w:rsidP="00D26045">
      <w:pPr>
        <w:pStyle w:val="enumlev1"/>
        <w:keepNext/>
        <w:keepLines/>
      </w:pPr>
      <w:r w:rsidRPr="00E52A4A">
        <w:t>–</w:t>
      </w:r>
      <w:r w:rsidRPr="00E52A4A">
        <w:tab/>
        <w:t>les engagements pour l'ancien plan de pension afin de définir les engagements de l'UIT à la date de clôture de l'exercice.</w:t>
      </w:r>
    </w:p>
    <w:p w14:paraId="46746DFA" w14:textId="77777777" w:rsidR="00D26045" w:rsidRPr="00E52A4A" w:rsidRDefault="00D26045" w:rsidP="00D26045">
      <w:r w:rsidRPr="00E52A4A">
        <w:t>L'UIT est une organisation membre de la Caisse commune des pensions du personnel des Nations Unies (CCPPNU), créée par l'Assemblée générale des Nations Unies pour assurer aux employés des prestations de retraite, de décès, d'invalidité et des prestations connexes. La Caisse est un régime multi-employeurs capitalisé à prestations définies. Comme indiqué dans l'Article 3b) des Statuts de la Caisse, peuvent s'affilier à la Caisse les institutions spécialisées, ainsi que toute autre organisation intergouvernementale internationale qui applique le régime commun de traitements, indemnités et autres conditions d'emploi de l'Organisation des Nations Unies et des institutions spécialisées.</w:t>
      </w:r>
    </w:p>
    <w:p w14:paraId="7BABF412" w14:textId="77777777" w:rsidR="00D26045" w:rsidRPr="00E52A4A" w:rsidRDefault="00D26045" w:rsidP="00D26045">
      <w:r w:rsidRPr="00E52A4A">
        <w:t xml:space="preserve">Le plan expose les organisations affiliées aux risques actuariels liés aux employés en activité et aux anciens employés d'autres organisations participant à la Caisse, de sorte qu'il n'existe aucune base cohérente et fiable permettant de répartir les engagements, les actifs du régime et les coûts entre les différentes organisations participant au régime. L'UIT et la CCPPNU, tout comme les autres organisations affiliées à la Caisse, ne sont pas en mesure de déterminer la quote-part de l'UIT dans les engagements au titre des prestations définies, les actifs du régime et les coûts associés au régime de façon suffisamment fiable aux fins de comptabilisation. En conséquence, l'UIT assimile ce régime à un régime à cotisations définies, conformément aux dispositions de la norme IPSAS 39 sur </w:t>
      </w:r>
      <w:r w:rsidRPr="00E52A4A">
        <w:rPr>
          <w:color w:val="000000"/>
        </w:rPr>
        <w:t>les avantages du personnel</w:t>
      </w:r>
      <w:r w:rsidRPr="00E52A4A">
        <w:t>. Les cotisations de l'UIT au plan pendant l'exercice sont comptabilisées en charges dans l'état de la performance financière.</w:t>
      </w:r>
    </w:p>
    <w:p w14:paraId="0EBF5818" w14:textId="77777777" w:rsidR="00D26045" w:rsidRPr="00E52A4A" w:rsidRDefault="00D26045" w:rsidP="00D26045">
      <w:r w:rsidRPr="00E52A4A">
        <w:t>Depuis le 1er janvier 2020, l'UIT a intégré l'Assurance mutuelle contre la maladie et les accidents du personnel des Nations Unies (UNSMIS). Les engagements concernant l'ASHI font l'objet d'une étude actuarielle selon la norme IPSAS 39 afin de définir et de comptabiliser le montant des engagements futurs de l'UIT relatif à ces prestations.</w:t>
      </w:r>
    </w:p>
    <w:p w14:paraId="249F258F" w14:textId="77777777" w:rsidR="007A66CF" w:rsidRPr="00E52A4A" w:rsidRDefault="00D26045" w:rsidP="00D26045">
      <w:r w:rsidRPr="00E52A4A">
        <w:t xml:space="preserve">Les engagements concernant l'ASHI de l'UIT donnent le droit de bénéficier de la couverture ASHI acquise et accumulée par les retraités de l'Organisation pendant leur service actif. Le passif comptabilisé pour ce régime est la valeur actualisée des engagements au titre des prestations définies à la date de clôture. Ce passif est calculé par un actuaire indépendant selon la méthode des unités de crédit projetées. Les intérêts et les frais de service courant sont comptabilisés dans </w:t>
      </w:r>
      <w:r w:rsidR="007A66CF" w:rsidRPr="00E52A4A">
        <w:br w:type="page"/>
      </w:r>
    </w:p>
    <w:p w14:paraId="5DA34671" w14:textId="064BCA5E" w:rsidR="00D26045" w:rsidRPr="00E52A4A" w:rsidRDefault="00D26045" w:rsidP="00D26045">
      <w:r w:rsidRPr="00E52A4A">
        <w:lastRenderedPageBreak/>
        <w:t>l'état de la performance financière en tant que composantes des charges de personnel. Les gains ou pertes actuariels résultant de changements d'hypothèses actuarielles ou d'ajustements liés à l'expérience sont directement comptabilisés dans l'actif net.</w:t>
      </w:r>
    </w:p>
    <w:p w14:paraId="5BD23FF4" w14:textId="77777777" w:rsidR="00D26045" w:rsidRPr="00E52A4A" w:rsidRDefault="00D26045" w:rsidP="00D26045">
      <w:r w:rsidRPr="00E52A4A">
        <w:t>Les hypothèses concernant l'UIT sont décrites dans les notes relatives aux avantages du personnel.</w:t>
      </w:r>
    </w:p>
    <w:p w14:paraId="5BA81907" w14:textId="77777777" w:rsidR="009A7F28" w:rsidRPr="00E52A4A" w:rsidRDefault="009A7F28" w:rsidP="009A7F28">
      <w:pPr>
        <w:pStyle w:val="Heading2"/>
        <w:rPr>
          <w:u w:val="single"/>
        </w:rPr>
      </w:pPr>
      <w:r w:rsidRPr="00E52A4A">
        <w:t>3.9</w:t>
      </w:r>
      <w:r w:rsidRPr="00E52A4A">
        <w:tab/>
        <w:t>Comptabilisation des produits</w:t>
      </w:r>
    </w:p>
    <w:p w14:paraId="5AD500ED" w14:textId="77777777" w:rsidR="009A7F28" w:rsidRPr="00E52A4A" w:rsidRDefault="009A7F28" w:rsidP="009A7F28">
      <w:pPr>
        <w:pStyle w:val="Headingb"/>
      </w:pPr>
      <w:r w:rsidRPr="00E52A4A">
        <w:t>Produits sans contrepartie directe</w:t>
      </w:r>
    </w:p>
    <w:p w14:paraId="389166B4" w14:textId="77777777" w:rsidR="009A7F28" w:rsidRPr="00E52A4A" w:rsidRDefault="009A7F28" w:rsidP="009A7F28">
      <w:pPr>
        <w:keepNext/>
        <w:keepLines/>
      </w:pPr>
      <w:r w:rsidRPr="00E52A4A">
        <w:t>Conformément aux normes IPSAS, les produits tirés des contributions mises en recouvrement, des contributions volontaires et des parrainages reçus ou confirmés dans le cadre d'un accord contraignant sont comptabilisés en tant qu'opérations sans contrepartie directe selon la norme IPSAS 23 (Produits des opérations sans contrepartie directe).</w:t>
      </w:r>
    </w:p>
    <w:p w14:paraId="3D1DE2BB" w14:textId="77777777" w:rsidR="009A7F28" w:rsidRPr="00E52A4A" w:rsidRDefault="009A7F28" w:rsidP="009A7F28">
      <w:r w:rsidRPr="00E52A4A">
        <w:t>–</w:t>
      </w:r>
      <w:r w:rsidRPr="00E52A4A">
        <w:tab/>
        <w:t>Contributions mises en recouvrement:</w:t>
      </w:r>
    </w:p>
    <w:p w14:paraId="3E8FE385" w14:textId="77777777" w:rsidR="009A7F28" w:rsidRPr="00E52A4A" w:rsidRDefault="009A7F28" w:rsidP="009A7F28">
      <w:r w:rsidRPr="00E52A4A">
        <w:t>Il s'agit principalement des contributions provenant des États Membres, des Membres de Secteur ainsi que des Associés. La Conférence de plénipotentiaires fixe la limite supérieure de l'unité contributive qui servira de base dans le calcul des produits de l'Union pour les budgets biennaux des quatre années à venir. Les États Membres et les Membres de Secteur choisissent librement la classe de contribution selon laquelle ils entendent participer aux charges de l'Union conformément aux dispositions pertinentes de la Constitution de l'UIT et acquittent, au titre de l'année de leur adhésion ou admission, une contribution calculée, pour les Membres, à partir du premier jour du mois de l'adhésion ou de l'admission. Ces produits servent à mettre en application les activités de l'Union définies par cette même Conférence de plénipotentiaires.</w:t>
      </w:r>
    </w:p>
    <w:p w14:paraId="31183903" w14:textId="77777777" w:rsidR="009A7F28" w:rsidRPr="00E52A4A" w:rsidRDefault="009A7F28" w:rsidP="009A7F28">
      <w:r w:rsidRPr="00E52A4A">
        <w:t>Les contributions mises en recouvrement sont comptabilisées en tant que produits sur une base annuelle, le premier jour de l'année à laquelle elles se rapportent.</w:t>
      </w:r>
    </w:p>
    <w:p w14:paraId="094FFDD0" w14:textId="77777777" w:rsidR="009A7F28" w:rsidRPr="00E52A4A" w:rsidRDefault="009A7F28" w:rsidP="009A7F28">
      <w:r w:rsidRPr="00E52A4A">
        <w:t>–</w:t>
      </w:r>
      <w:r w:rsidRPr="00E52A4A">
        <w:tab/>
        <w:t>Contributions volontaires et parrainages:</w:t>
      </w:r>
    </w:p>
    <w:p w14:paraId="5CC8C03F" w14:textId="77777777" w:rsidR="009A7F28" w:rsidRPr="00E52A4A" w:rsidRDefault="009A7F28" w:rsidP="009A7F28">
      <w:r w:rsidRPr="00E52A4A">
        <w:t>Les contributions volontaires et parrainages sont comptabilisés initialement en tant que produits au moment où l'accord entre l'UIT et le bailleur de fonds devient contraignant et lorsque le contrôle de l'actif sous-jacent est obtenu, sauf si l'accord comporte des restrictions conformément aux définitions de la norme IPSAS 23.</w:t>
      </w:r>
    </w:p>
    <w:p w14:paraId="1C8406C2" w14:textId="77777777" w:rsidR="009A7F28" w:rsidRPr="00E52A4A" w:rsidRDefault="009A7F28" w:rsidP="009A7F28">
      <w:r w:rsidRPr="00E52A4A">
        <w:t>Les accords contenant de telles conditions exigent la comptabilisation initiale d'un passif et le report de la comptabilisation des produits jusqu'à ce que le passif soit acquitté par l'exécution des conditions spécifiques incluses dans l'accord et d'une obligation exécutoire de restitution des montants s'ils ne sont pas utilisés de la manière spécifiée. Le montant comptabilisé comme passif est la meilleure estimation du montant qui serait nécessaire pour régler l'obligation à la date de clôture.</w:t>
      </w:r>
    </w:p>
    <w:p w14:paraId="1003FA1A" w14:textId="77777777" w:rsidR="009A7F28" w:rsidRPr="00E52A4A" w:rsidRDefault="009A7F28" w:rsidP="009A7F28">
      <w:r w:rsidRPr="00E52A4A">
        <w:t>Lorsque des accords sont signés, qu'aucune contribution n'est reçue et que l'accord porte sur des exercices financiers futurs, le passif est alors comptabilisé en produits différés.</w:t>
      </w:r>
    </w:p>
    <w:p w14:paraId="039E5EB6" w14:textId="77777777" w:rsidR="009A7F28" w:rsidRPr="00E52A4A" w:rsidRDefault="009A7F28" w:rsidP="009A7F28">
      <w:pPr>
        <w:pStyle w:val="Headingb"/>
      </w:pPr>
      <w:r w:rsidRPr="00E52A4A">
        <w:t>Produits avec contrepartie directe</w:t>
      </w:r>
    </w:p>
    <w:p w14:paraId="6DA4267C" w14:textId="77777777" w:rsidR="009A7F28" w:rsidRPr="00E52A4A" w:rsidRDefault="009A7F28" w:rsidP="009A7F28">
      <w:r w:rsidRPr="00E52A4A">
        <w:t>Les produits suivants répondent à la définition d'opérations avec contrepartie directe selon la norme IPSAS 9 – Les produits des opérations avec contrepartie directe sont comptabilisés conformément à cette norme.</w:t>
      </w:r>
    </w:p>
    <w:p w14:paraId="4D654FFE" w14:textId="77777777" w:rsidR="009A7F28" w:rsidRPr="00E52A4A" w:rsidRDefault="009A7F28" w:rsidP="009A7F28">
      <w:r w:rsidRPr="00E52A4A">
        <w:lastRenderedPageBreak/>
        <w:t>Les produits des opérations avec contrepartie directe dégagés par l'UIT sont évalués à la juste valeur de la contrepartie reçue ou à recevoir et sont comptabilisés au fur et à mesure de la livraison des biens et services.</w:t>
      </w:r>
    </w:p>
    <w:p w14:paraId="42BAA14F" w14:textId="77777777" w:rsidR="009A7F28" w:rsidRPr="00E52A4A" w:rsidRDefault="009A7F28" w:rsidP="009A7F28">
      <w:pPr>
        <w:keepNext/>
        <w:keepLines/>
      </w:pPr>
      <w:r w:rsidRPr="00E52A4A">
        <w:t>Les produits avec contrepartie directe comprennent les produits et services pour lesquels l'UIT applique le principe du recouvrement des coûts, à savoir:</w:t>
      </w:r>
    </w:p>
    <w:p w14:paraId="0CCB2BF8" w14:textId="77777777" w:rsidR="009A7F28" w:rsidRPr="00E52A4A" w:rsidRDefault="009A7F28" w:rsidP="009A7F28">
      <w:pPr>
        <w:pStyle w:val="enumlev1"/>
        <w:keepNext/>
        <w:keepLines/>
      </w:pPr>
      <w:r w:rsidRPr="00E52A4A">
        <w:t>–</w:t>
      </w:r>
      <w:r w:rsidRPr="00E52A4A">
        <w:tab/>
        <w:t>la vente de publications: les produits tirés de la vente de publications sont comptabilisés au moment de leur expédition et ceux des ventes de services d'accès aux statistiques de l'UIT et aux données sur support électronique sont comptabilisés au moment où ces données deviennent accessibles;</w:t>
      </w:r>
    </w:p>
    <w:p w14:paraId="69627B85" w14:textId="77777777" w:rsidR="009A7F28" w:rsidRPr="00E52A4A" w:rsidRDefault="009A7F28" w:rsidP="009A7F28">
      <w:pPr>
        <w:pStyle w:val="enumlev1"/>
      </w:pPr>
      <w:r w:rsidRPr="00E52A4A">
        <w:t>–</w:t>
      </w:r>
      <w:r w:rsidRPr="00E52A4A">
        <w:tab/>
        <w:t>le traitement des fiches de notification de réseaux à satellite: les produits tirés du traitement des fiches de notification de réseaux à satellite sont comptabilisés au moment de la publication finale des fiches de notification dans la Circulaire internationale d'information sur les fréquences du BR (BR IFIC); lorsqu'une publication dans la Circulaire BR IFIC n'est pas effective l'année de la facturation initiale, le service est considéré comme non finalisé et le produit sera donc reporté jusqu'à la publication finale dans la Circulaire BR IFIC;</w:t>
      </w:r>
    </w:p>
    <w:p w14:paraId="02298087" w14:textId="77777777" w:rsidR="009A7F28" w:rsidRPr="00E52A4A" w:rsidRDefault="009A7F28" w:rsidP="009A7F28">
      <w:pPr>
        <w:pStyle w:val="enumlev1"/>
      </w:pPr>
      <w:r w:rsidRPr="00E52A4A">
        <w:t>–</w:t>
      </w:r>
      <w:r w:rsidRPr="00E52A4A">
        <w:tab/>
        <w:t>l'enregistrement des numéros universels de libre appel international (UIFN): l'UIT perçoit par avance des contributions pour fournir des prestations pour l'enregistrement des numéros universels de libre appel international (UIFN), ainsi que pour l'enregistrement des numéros de kiosque internationaux universels (UIPRN) et des numéros internationaux universels à coût partagé (UISCN).</w:t>
      </w:r>
    </w:p>
    <w:p w14:paraId="0D345B0A" w14:textId="77777777" w:rsidR="009A7F28" w:rsidRPr="00E52A4A" w:rsidRDefault="009A7F28" w:rsidP="009A7F28">
      <w:pPr>
        <w:pStyle w:val="Heading2"/>
      </w:pPr>
      <w:r w:rsidRPr="00E52A4A">
        <w:t>3.10</w:t>
      </w:r>
      <w:r w:rsidRPr="00E52A4A">
        <w:tab/>
        <w:t>Fonds de réserve</w:t>
      </w:r>
    </w:p>
    <w:p w14:paraId="2C95579E" w14:textId="77777777" w:rsidR="009A7F28" w:rsidRPr="00E52A4A" w:rsidRDefault="009A7F28" w:rsidP="009A7F28">
      <w:pPr>
        <w:rPr>
          <w:b/>
        </w:rPr>
      </w:pPr>
      <w:r w:rsidRPr="00E52A4A">
        <w:t>Conformément au numéro 485 de la Convention et à l'Article 27 du Règlement financier, le Fonds de réserve est alimenté principalement par des crédits budgétaires inutilisés. Son évolution est décrite en détail dans l'état de variation de l'actif net de l'Union. Le Fonds de réserve est constitué des éléments suivants:</w:t>
      </w:r>
    </w:p>
    <w:p w14:paraId="784F0FB8" w14:textId="77777777" w:rsidR="009A7F28" w:rsidRPr="00E52A4A" w:rsidRDefault="009A7F28" w:rsidP="009A7F28">
      <w:pPr>
        <w:pStyle w:val="enumlev1"/>
      </w:pPr>
      <w:r w:rsidRPr="00E52A4A">
        <w:t>a)</w:t>
      </w:r>
      <w:r w:rsidRPr="00E52A4A">
        <w:tab/>
        <w:t>Le solde net positif/négatif de la mise en œuvre du budget ordinaire de chaque exercice.</w:t>
      </w:r>
    </w:p>
    <w:p w14:paraId="0C1AF3CE" w14:textId="77777777" w:rsidR="009A7F28" w:rsidRPr="00E52A4A" w:rsidRDefault="009A7F28" w:rsidP="009A7F28">
      <w:pPr>
        <w:pStyle w:val="enumlev1"/>
      </w:pPr>
      <w:r w:rsidRPr="00E52A4A">
        <w:t>b)</w:t>
      </w:r>
      <w:r w:rsidRPr="00E52A4A">
        <w:tab/>
        <w:t>Les transferts provenant d'autres fonds et/ou réserves, sur décision du Conseil.</w:t>
      </w:r>
    </w:p>
    <w:p w14:paraId="0107DB90" w14:textId="77777777" w:rsidR="009A7F28" w:rsidRPr="00E52A4A" w:rsidRDefault="009A7F28" w:rsidP="009A7F28">
      <w:pPr>
        <w:pStyle w:val="enumlev1"/>
      </w:pPr>
      <w:r w:rsidRPr="00E52A4A">
        <w:t>c)</w:t>
      </w:r>
      <w:r w:rsidRPr="00E52A4A">
        <w:tab/>
        <w:t>Les autres augmentations du Fonds de réserve prescrites par les normes comptables communes aux organisations du système des Nations Unies.</w:t>
      </w:r>
    </w:p>
    <w:p w14:paraId="257EDFDB" w14:textId="77777777" w:rsidR="009A7F28" w:rsidRPr="00E52A4A" w:rsidRDefault="009A7F28" w:rsidP="009A7F28">
      <w:pPr>
        <w:rPr>
          <w:b/>
        </w:rPr>
      </w:pPr>
      <w:r w:rsidRPr="00E52A4A">
        <w:t>Nonobstant la disposition 4b) de l'Article 13 du Règlement financier de l'UIT, compte tenu de la nécessité de maintenir le Fonds de réserve à un niveau minimal fixé par la Conférence de plénipotentiaires, le Conseil, par décision spéciale, peut effectuer des prélèvements sur le Fonds de réserve, afin, notamment, de procéder aux opérations suivantes:</w:t>
      </w:r>
    </w:p>
    <w:p w14:paraId="0F5EA569" w14:textId="77777777" w:rsidR="009A7F28" w:rsidRPr="00E52A4A" w:rsidRDefault="009A7F28" w:rsidP="009A7F28">
      <w:pPr>
        <w:pStyle w:val="enumlev1"/>
      </w:pPr>
      <w:r w:rsidRPr="00E52A4A">
        <w:t>a)</w:t>
      </w:r>
      <w:r w:rsidRPr="00E52A4A">
        <w:tab/>
        <w:t>réduire le montant de l'unité contributive;</w:t>
      </w:r>
    </w:p>
    <w:p w14:paraId="3CFC6BBF" w14:textId="77777777" w:rsidR="009A7F28" w:rsidRPr="00E52A4A" w:rsidRDefault="009A7F28" w:rsidP="009A7F28">
      <w:pPr>
        <w:pStyle w:val="enumlev1"/>
      </w:pPr>
      <w:r w:rsidRPr="00E52A4A">
        <w:t>b)</w:t>
      </w:r>
      <w:r w:rsidRPr="00E52A4A">
        <w:tab/>
        <w:t>équilibrer le budget de l'Union;</w:t>
      </w:r>
    </w:p>
    <w:p w14:paraId="3ABE623B" w14:textId="77777777" w:rsidR="009A7F28" w:rsidRPr="00E52A4A" w:rsidRDefault="009A7F28" w:rsidP="009A7F28">
      <w:pPr>
        <w:pStyle w:val="enumlev1"/>
      </w:pPr>
      <w:r w:rsidRPr="00E52A4A">
        <w:t>c)</w:t>
      </w:r>
      <w:r w:rsidRPr="00E52A4A">
        <w:tab/>
        <w:t>effectuer des transferts sur d'autres fonds et/ou réserves; ou</w:t>
      </w:r>
    </w:p>
    <w:p w14:paraId="34CB3984" w14:textId="77777777" w:rsidR="009A7F28" w:rsidRPr="00E52A4A" w:rsidRDefault="009A7F28" w:rsidP="009A7F28">
      <w:pPr>
        <w:pStyle w:val="enumlev1"/>
      </w:pPr>
      <w:r w:rsidRPr="00E52A4A">
        <w:t>d)</w:t>
      </w:r>
      <w:r w:rsidRPr="00E52A4A">
        <w:tab/>
        <w:t>débiter du Fonds de réserve tout montant prescrit par les normes comptables communes aux organisations du système des Nations Unies.</w:t>
      </w:r>
    </w:p>
    <w:p w14:paraId="736A4CC0" w14:textId="77777777" w:rsidR="009A7F28" w:rsidRPr="00E52A4A" w:rsidRDefault="009A7F28" w:rsidP="009A7F28">
      <w:pPr>
        <w:pStyle w:val="Heading2"/>
      </w:pPr>
      <w:bookmarkStart w:id="192" w:name="_Toc452140702"/>
      <w:bookmarkStart w:id="193" w:name="_Toc482801492"/>
      <w:bookmarkStart w:id="194" w:name="_Toc511649462"/>
      <w:bookmarkStart w:id="195" w:name="_Toc511649834"/>
      <w:bookmarkStart w:id="196" w:name="_Toc511649948"/>
      <w:bookmarkStart w:id="197" w:name="_Toc511651204"/>
      <w:bookmarkStart w:id="198" w:name="_Toc511724069"/>
      <w:bookmarkStart w:id="199" w:name="_Toc511739058"/>
      <w:bookmarkStart w:id="200" w:name="_Toc511741227"/>
      <w:bookmarkStart w:id="201" w:name="_Toc10450733"/>
      <w:bookmarkStart w:id="202" w:name="_Toc41566335"/>
      <w:bookmarkStart w:id="203" w:name="_Toc41567846"/>
      <w:bookmarkStart w:id="204" w:name="_Toc73356404"/>
      <w:r w:rsidRPr="00E52A4A">
        <w:lastRenderedPageBreak/>
        <w:t>3.11</w:t>
      </w:r>
      <w:r w:rsidRPr="00E52A4A">
        <w:tab/>
        <w:t xml:space="preserve">Autres </w:t>
      </w:r>
      <w:bookmarkEnd w:id="192"/>
      <w:bookmarkEnd w:id="193"/>
      <w:bookmarkEnd w:id="194"/>
      <w:bookmarkEnd w:id="195"/>
      <w:bookmarkEnd w:id="196"/>
      <w:bookmarkEnd w:id="197"/>
      <w:bookmarkEnd w:id="198"/>
      <w:bookmarkEnd w:id="199"/>
      <w:bookmarkEnd w:id="200"/>
      <w:bookmarkEnd w:id="201"/>
      <w:bookmarkEnd w:id="202"/>
      <w:bookmarkEnd w:id="203"/>
      <w:bookmarkEnd w:id="204"/>
      <w:r w:rsidRPr="00E52A4A">
        <w:t>réserves</w:t>
      </w:r>
    </w:p>
    <w:p w14:paraId="500F4CBF" w14:textId="77777777" w:rsidR="009A7F28" w:rsidRPr="00E52A4A" w:rsidRDefault="009A7F28" w:rsidP="009A7F28">
      <w:pPr>
        <w:keepNext/>
        <w:keepLines/>
      </w:pPr>
      <w:r w:rsidRPr="00E52A4A">
        <w:t>Les autres réserves incluent:</w:t>
      </w:r>
    </w:p>
    <w:p w14:paraId="760023E9" w14:textId="77777777" w:rsidR="009A7F28" w:rsidRPr="00E52A4A" w:rsidRDefault="009A7F28" w:rsidP="009A7F28">
      <w:pPr>
        <w:pStyle w:val="enumlev1"/>
        <w:keepNext/>
        <w:keepLines/>
      </w:pPr>
      <w:r w:rsidRPr="00E52A4A">
        <w:t>–</w:t>
      </w:r>
      <w:r w:rsidRPr="00E52A4A">
        <w:tab/>
        <w:t>Les économies réalisées au cours de l'année précédente.</w:t>
      </w:r>
    </w:p>
    <w:p w14:paraId="7E6E8A64" w14:textId="77777777" w:rsidR="009A7F28" w:rsidRPr="00E52A4A" w:rsidRDefault="009A7F28" w:rsidP="009A7F28">
      <w:pPr>
        <w:pStyle w:val="enumlev1"/>
        <w:keepNext/>
        <w:keepLines/>
      </w:pPr>
      <w:r w:rsidRPr="00E52A4A">
        <w:t>–</w:t>
      </w:r>
      <w:r w:rsidRPr="00E52A4A">
        <w:tab/>
        <w:t>Le Fonds de placement, qui comprend le Fonds d'entretien des bâtiments et le Fonds TIC.</w:t>
      </w:r>
    </w:p>
    <w:p w14:paraId="71C01C21" w14:textId="77777777" w:rsidR="009A7F28" w:rsidRPr="00E52A4A" w:rsidRDefault="009A7F28" w:rsidP="009A7F28">
      <w:pPr>
        <w:pStyle w:val="enumlev1"/>
      </w:pPr>
      <w:r w:rsidRPr="00E52A4A">
        <w:t>–</w:t>
      </w:r>
      <w:r w:rsidRPr="00E52A4A">
        <w:tab/>
        <w:t>Le Fonds pour le nouveau bâtiment:</w:t>
      </w:r>
    </w:p>
    <w:p w14:paraId="72041D4A" w14:textId="77777777" w:rsidR="009A7F28" w:rsidRPr="00E52A4A" w:rsidRDefault="009A7F28" w:rsidP="009A7F28">
      <w:r w:rsidRPr="00E52A4A">
        <w:t xml:space="preserve">Par sa </w:t>
      </w:r>
      <w:hyperlink r:id="rId38" w:history="1">
        <w:r w:rsidRPr="00E52A4A">
          <w:rPr>
            <w:rStyle w:val="Hyperlink"/>
            <w:rFonts w:asciiTheme="minorHAnsi" w:hAnsiTheme="minorHAnsi"/>
          </w:rPr>
          <w:t>Décision 588</w:t>
        </w:r>
      </w:hyperlink>
      <w:r w:rsidRPr="00E52A4A">
        <w:t>, le Conseil, à sa session de 2016, a décidé de remplacer le bâtiment Varembé par une nouvelle construction (ci-après dénommée "nouveau bâtiment") incluant aussi les bureaux et les installations de la Tour, en complément du bâtiment Montbrillant, qui sera conservé et réaménagé. Un prêt sans intérêt à hauteur de 150 millions CHF a été accordé par la Confédération suisse pour financer ce projet.</w:t>
      </w:r>
    </w:p>
    <w:p w14:paraId="22E4911A" w14:textId="77777777" w:rsidR="009A7F28" w:rsidRPr="00E52A4A" w:rsidRDefault="009A7F28" w:rsidP="009A7F28">
      <w:pPr>
        <w:pStyle w:val="enumlev1"/>
      </w:pPr>
      <w:r w:rsidRPr="00E52A4A">
        <w:t>–</w:t>
      </w:r>
      <w:r w:rsidRPr="00E52A4A">
        <w:tab/>
        <w:t>Le Fonds de réserve pour le nouveau bâtiment:</w:t>
      </w:r>
    </w:p>
    <w:p w14:paraId="359F579B" w14:textId="77777777" w:rsidR="009A7F28" w:rsidRPr="00E52A4A" w:rsidRDefault="009A7F28" w:rsidP="009A7F28">
      <w:r w:rsidRPr="00E52A4A">
        <w:t xml:space="preserve">Cette réserve a été créée pour compléter le budget financé au moyen du prêt consenti par le pays hôte. Ce budget supplémentaire représente 20,14 millions CHF provenant des parrainages, des dons et des économies provenant de l'excédent enregistré de 2018. En 2021, lors de la consultation virtuelle des Conseillers (VCC), le point 4 du </w:t>
      </w:r>
      <w:r w:rsidRPr="00E52A4A">
        <w:rPr>
          <w:i/>
          <w:iCs/>
        </w:rPr>
        <w:t>décide</w:t>
      </w:r>
      <w:r w:rsidRPr="00E52A4A">
        <w:t xml:space="preserve"> de la Décision 619 a été révisé, afin de rendre possibles les futurs parrainages ou dons selon des conditions prédéfinies.</w:t>
      </w:r>
    </w:p>
    <w:p w14:paraId="3CF0A1E3" w14:textId="77777777" w:rsidR="009A7F28" w:rsidRPr="00E52A4A" w:rsidRDefault="009A7F28" w:rsidP="009A7F28">
      <w:pPr>
        <w:pStyle w:val="enumlev1"/>
      </w:pPr>
      <w:r w:rsidRPr="00E52A4A">
        <w:t>–</w:t>
      </w:r>
      <w:r w:rsidRPr="00E52A4A">
        <w:tab/>
        <w:t>Le Fonds pour le registre des risques:</w:t>
      </w:r>
    </w:p>
    <w:p w14:paraId="767F4D5D" w14:textId="77777777" w:rsidR="009A7F28" w:rsidRPr="00E52A4A" w:rsidRDefault="009A7F28" w:rsidP="009A7F28">
      <w:r w:rsidRPr="00E52A4A">
        <w:t>Le Fonds pour le registre des risques a été créé pour couvrir les coûts supplémentaires non prévus. Au 31 décembre 2022, le Fonds pour le registre des risques se chiffrait à 3,43 millions CHF.</w:t>
      </w:r>
    </w:p>
    <w:p w14:paraId="0CC7E911" w14:textId="77777777" w:rsidR="009A7F28" w:rsidRPr="00E52A4A" w:rsidRDefault="009A7F28" w:rsidP="009A7F28">
      <w:pPr>
        <w:pStyle w:val="enumlev1"/>
      </w:pPr>
      <w:r w:rsidRPr="00E52A4A">
        <w:t>–</w:t>
      </w:r>
      <w:r w:rsidRPr="00E52A4A">
        <w:tab/>
        <w:t>Le Fonds de bien-être du personnel.</w:t>
      </w:r>
    </w:p>
    <w:p w14:paraId="6C44E373" w14:textId="77777777" w:rsidR="009A7F28" w:rsidRPr="00E52A4A" w:rsidRDefault="009A7F28" w:rsidP="009A7F28">
      <w:pPr>
        <w:pStyle w:val="enumlev1"/>
      </w:pPr>
      <w:r w:rsidRPr="00E52A4A">
        <w:t>–</w:t>
      </w:r>
      <w:r w:rsidRPr="00E52A4A">
        <w:tab/>
        <w:t>Le Fonds du centenaire.</w:t>
      </w:r>
    </w:p>
    <w:p w14:paraId="29D6AE69" w14:textId="77777777" w:rsidR="009A7F28" w:rsidRPr="00E52A4A" w:rsidRDefault="009A7F28" w:rsidP="009A7F28">
      <w:pPr>
        <w:pStyle w:val="enumlev1"/>
      </w:pPr>
      <w:r w:rsidRPr="00E52A4A">
        <w:t>–</w:t>
      </w:r>
      <w:r w:rsidRPr="00E52A4A">
        <w:tab/>
        <w:t>La Caisse d'assurance du personnel de l'UIT recouvrant deux fonds, à savoir le Fonds des pensions et le Fonds d'intervention:</w:t>
      </w:r>
    </w:p>
    <w:p w14:paraId="2BEDC0E5" w14:textId="77777777" w:rsidR="009A7F28" w:rsidRPr="00E52A4A" w:rsidRDefault="009A7F28" w:rsidP="009A7F28">
      <w:r w:rsidRPr="00E52A4A">
        <w:t>Ces fonds servent à assurer le paiement des pensions des membres du personnel qui étaient en service avant le 1er janvier 1960, date à laquelle l'UIT a été affiliée à la Caisse commune des pensions du personnel des Nations Unies (CCPPNU). En 2022, le Fonds de réserve et des compléments a assuré le paiement de 13 pensions de retraite et de 12 pensions de réversion. Le Fonds d'intervention a servi à aider les fonctionnaires pensionnés ou en service qui se trouvent en difficulté financière. Le dernier calcul des engagements à provisionner pour les bénéficiaires de la Caisse d'assurance du personnel de l'UIT a été effectué le 31 décembre 2011.</w:t>
      </w:r>
    </w:p>
    <w:p w14:paraId="5B0DE75C" w14:textId="77777777" w:rsidR="009A7F28" w:rsidRPr="00E52A4A" w:rsidRDefault="009A7F28" w:rsidP="009A7F28">
      <w:r w:rsidRPr="00E52A4A">
        <w:t>Conformément à la Résolution 7 (Genève, 1959) de la Conférence de plénipotentiaires, le personnel de l'UIT est affilié, à compter du 1er janvier 1960, à la CCPPNU. Aux termes de l'Article 86 de ses Statuts, la Caisse d'assurance du personnel de l'UIT est administrée par l'Union. La fortune de la Caisse d'assurance est à placer en valeurs pupillaires.</w:t>
      </w:r>
    </w:p>
    <w:p w14:paraId="3F7189EA" w14:textId="77777777" w:rsidR="009A7F28" w:rsidRPr="00E52A4A" w:rsidRDefault="009A7F28" w:rsidP="009A7F28">
      <w:r w:rsidRPr="00E52A4A">
        <w:t>Depuis 2013, les autres fonds incluent également un fonds destiné au financement à long terme des engagements non financés au titre de l'assurance maladie après la cessation d'activité (ASHI), ainsi qu'une nouvelle caisse d'assurance maladie, laquelle sert de fonds de garantie pour le nouveau régime d'assurance maladie de l'UIT depuis 2014.</w:t>
      </w:r>
    </w:p>
    <w:p w14:paraId="01C4B984" w14:textId="77777777" w:rsidR="009A7F28" w:rsidRPr="00E52A4A" w:rsidRDefault="009A7F28" w:rsidP="007A66CF">
      <w:pPr>
        <w:pStyle w:val="Heading2"/>
      </w:pPr>
      <w:r w:rsidRPr="00E52A4A">
        <w:lastRenderedPageBreak/>
        <w:t>3.12</w:t>
      </w:r>
      <w:r w:rsidRPr="00E52A4A">
        <w:tab/>
        <w:t>Réserves extrabudgétaires</w:t>
      </w:r>
    </w:p>
    <w:p w14:paraId="730DB8D1" w14:textId="77777777" w:rsidR="009A7F28" w:rsidRPr="00E52A4A" w:rsidRDefault="009A7F28" w:rsidP="007A66CF">
      <w:pPr>
        <w:pStyle w:val="enumlev1"/>
        <w:keepNext/>
        <w:keepLines/>
      </w:pPr>
      <w:r w:rsidRPr="00E52A4A">
        <w:t>–</w:t>
      </w:r>
      <w:r w:rsidRPr="00E52A4A">
        <w:tab/>
        <w:t>Réserves extrabudgétaires affectées:</w:t>
      </w:r>
    </w:p>
    <w:p w14:paraId="70782F26" w14:textId="77777777" w:rsidR="009A7F28" w:rsidRPr="00E52A4A" w:rsidRDefault="009A7F28" w:rsidP="007A66CF">
      <w:pPr>
        <w:keepNext/>
        <w:keepLines/>
      </w:pPr>
      <w:r w:rsidRPr="00E52A4A">
        <w:t>L'Union a constitué un compte de réserve qui est alimenté par les reliquats éventuels de projets internes en cours. Les mouvements de cette réserve représentent les charges liées à la mise en œuvre des projets ainsi qu'à l'affectation des fonds internes provenant du budget ordinaire ou du Fonds pour le développement des technologies de l'information et de la communication (FDTIC).</w:t>
      </w:r>
    </w:p>
    <w:p w14:paraId="4DB5B413" w14:textId="77777777" w:rsidR="009A7F28" w:rsidRPr="00E52A4A" w:rsidRDefault="009A7F28" w:rsidP="009A7F28">
      <w:pPr>
        <w:pStyle w:val="enumlev1"/>
      </w:pPr>
      <w:r w:rsidRPr="00E52A4A">
        <w:t>–</w:t>
      </w:r>
      <w:r w:rsidRPr="00E52A4A">
        <w:tab/>
        <w:t>Réserves extrabudgétaires non affectées:</w:t>
      </w:r>
    </w:p>
    <w:p w14:paraId="4ECA0CB3" w14:textId="77777777" w:rsidR="009A7F28" w:rsidRPr="00E52A4A" w:rsidRDefault="009A7F28" w:rsidP="009A7F28">
      <w:r w:rsidRPr="00E52A4A">
        <w:t>L'Union a constitué un compte de réserve qui est alimenté par les reliquats éventuels de projets internes clôturés. Cette réserve servira à financer de nouveaux projets ou de nouvelles initiatives régionales mais également à combler certains projets déficitaires. Cette réserve concerne principalement le Fonds FDTIC.</w:t>
      </w:r>
    </w:p>
    <w:p w14:paraId="38561A07" w14:textId="77777777" w:rsidR="009A7F28" w:rsidRPr="00E52A4A" w:rsidRDefault="009A7F28" w:rsidP="009A7F28">
      <w:pPr>
        <w:pStyle w:val="Headingb"/>
      </w:pPr>
      <w:r w:rsidRPr="00E52A4A">
        <w:t>Fonds pour le développement des technologies de l'information et de la communication</w:t>
      </w:r>
    </w:p>
    <w:p w14:paraId="5A3140B4" w14:textId="77777777" w:rsidR="009A7F28" w:rsidRPr="00E52A4A" w:rsidRDefault="009A7F28" w:rsidP="009A7F28">
      <w:r w:rsidRPr="00E52A4A">
        <w:t>Conformément à la mission de l'UIT, qui est d'encourager l'expansion des services modernes de communication dans le monde, le Conseil attribue une part des excédents de produits tirés de manifestations ITU TELECOM au Fonds pour le développement des technologies de l'information et de la communication (FDTIC) et utilisée pour financer divers projets nationaux et régionaux de développement. Dans le cadre d'un financement de projet à travers le Fonds FDTIC, seules les charges sont comptabilisées dans le compte de résultat. Ce même principe s'applique pour les projets financés par le plan d'action de développement. En effet, les fonds disponibles pour ces programmes ont déjà été comptabilisés comme des produits lors des exercices budgétaires précédents.</w:t>
      </w:r>
    </w:p>
    <w:p w14:paraId="2E8C2224" w14:textId="77777777" w:rsidR="009A7F28" w:rsidRPr="00E52A4A" w:rsidRDefault="009A7F28" w:rsidP="009A7F28">
      <w:r w:rsidRPr="00E52A4A">
        <w:t>Le Fonds FDTIC enregistre également des contributions versées par des membres ou des tiers pour financer divers projets de développement des TIC.</w:t>
      </w:r>
    </w:p>
    <w:p w14:paraId="5106965E" w14:textId="77777777" w:rsidR="009A7F28" w:rsidRPr="00E52A4A" w:rsidRDefault="009A7F28" w:rsidP="009A7F28">
      <w:r w:rsidRPr="00E52A4A">
        <w:t>Le Fonds de roulement des expositions de l'UIT: Lors de la Conférence de plénipotentiaires tenue à Bucarest en 2022, la Résolution 11 a été abrogée et il a été décidé de transférer le solde disponible du Fonds de roulement des expositions (EWCF) vers le Fonds FDTIC, une fois toutes les obligations envers le personnel de Telecom entièrement acquittées.</w:t>
      </w:r>
    </w:p>
    <w:p w14:paraId="04C38572" w14:textId="77777777" w:rsidR="009A7F28" w:rsidRPr="00E52A4A" w:rsidRDefault="009A7F28" w:rsidP="009A7F28">
      <w:pPr>
        <w:pStyle w:val="Heading2"/>
      </w:pPr>
      <w:r w:rsidRPr="00E52A4A">
        <w:t>3.13</w:t>
      </w:r>
      <w:r w:rsidRPr="00E52A4A">
        <w:tab/>
        <w:t>Fonds extrabudgétaires</w:t>
      </w:r>
    </w:p>
    <w:p w14:paraId="5BE30C1A" w14:textId="77777777" w:rsidR="009A7F28" w:rsidRPr="00E52A4A" w:rsidRDefault="009A7F28" w:rsidP="009A7F28">
      <w:r w:rsidRPr="00E52A4A">
        <w:t>Outre les réserves indiquées ci-dessus, l'UIT dispose de soldes de donateurs liés aux activités extrabudgétaires:</w:t>
      </w:r>
    </w:p>
    <w:p w14:paraId="3054294C" w14:textId="77777777" w:rsidR="009A7F28" w:rsidRPr="00E52A4A" w:rsidRDefault="009A7F28" w:rsidP="009A7F28">
      <w:pPr>
        <w:rPr>
          <w:i/>
          <w:iCs/>
        </w:rPr>
      </w:pPr>
      <w:r w:rsidRPr="00E52A4A">
        <w:rPr>
          <w:i/>
          <w:iCs/>
        </w:rPr>
        <w:t>–</w:t>
      </w:r>
      <w:r w:rsidRPr="00E52A4A">
        <w:rPr>
          <w:i/>
          <w:iCs/>
        </w:rPr>
        <w:tab/>
        <w:t>Fonds de tiers affectés:</w:t>
      </w:r>
    </w:p>
    <w:p w14:paraId="27C11902" w14:textId="77777777" w:rsidR="009A7F28" w:rsidRPr="00E52A4A" w:rsidRDefault="009A7F28" w:rsidP="009A7F28">
      <w:r w:rsidRPr="00E52A4A">
        <w:t>Il s'agit de financements provenant de tiers pour appuyer l'Union dans la mise en œuvre de projets en faveur des pays en développement et des pays les moins avancés, ou de projets menés dans ces pays. Ces contributions sont assorties de conditions contractuelles. Ces financements ne sont comptabilisés en tant que produits que lorsque les donateurs se sont engagés par écrit et au fur et à mesure des charges encourues. Les projets financés ne débutent que lorsque les fonds ont été versés à l'UIT. À la clôture de l'exercice budgétaire, le solde non utilisé de ces financements est comptabilisé dans la balance des fonds affectés dans l'état de la situation financière. Dans certains cas particuliers, les fonds sont versés à l'UIT en remboursement des charges déjà engagées.</w:t>
      </w:r>
    </w:p>
    <w:p w14:paraId="35E937BF" w14:textId="77777777" w:rsidR="009A7F28" w:rsidRPr="00E52A4A" w:rsidRDefault="009A7F28" w:rsidP="007A66CF">
      <w:pPr>
        <w:keepNext/>
        <w:keepLines/>
      </w:pPr>
      <w:r w:rsidRPr="00E52A4A">
        <w:lastRenderedPageBreak/>
        <w:t>Ces fonds de tiers affectés se répartissent de la manière suivante:</w:t>
      </w:r>
    </w:p>
    <w:p w14:paraId="4F0C61F1" w14:textId="77777777" w:rsidR="009A7F28" w:rsidRPr="00E52A4A" w:rsidRDefault="009A7F28" w:rsidP="007A66CF">
      <w:pPr>
        <w:pStyle w:val="enumlev1"/>
        <w:keepNext/>
        <w:keepLines/>
        <w:rPr>
          <w:b/>
          <w:bCs/>
          <w:i/>
          <w:iCs/>
        </w:rPr>
      </w:pPr>
      <w:r w:rsidRPr="00E52A4A">
        <w:rPr>
          <w:b/>
          <w:bCs/>
          <w:i/>
          <w:iCs/>
        </w:rPr>
        <w:t>i)</w:t>
      </w:r>
      <w:r w:rsidRPr="00E52A4A">
        <w:rPr>
          <w:b/>
          <w:bCs/>
          <w:i/>
          <w:iCs/>
        </w:rPr>
        <w:tab/>
        <w:t>Fonds d'affectation spéciale:</w:t>
      </w:r>
    </w:p>
    <w:p w14:paraId="2916464D" w14:textId="77777777" w:rsidR="009A7F28" w:rsidRPr="00E52A4A" w:rsidRDefault="009A7F28" w:rsidP="007A66CF">
      <w:pPr>
        <w:pStyle w:val="enumlev1"/>
        <w:keepNext/>
        <w:keepLines/>
      </w:pPr>
      <w:r w:rsidRPr="00E52A4A">
        <w:tab/>
        <w:t>Les fonds d'affectation spéciale (FAS) servent à exécuter des projets qui sont financés par des contributions réservées, par le Fonds FDTIC ou par les gouvernements. Dans tous les cas, les fonds doivent être crédités aux projets avant que les charges ne soient engagées. Les fonds d'affection spéciale sont constitués de contributions volontaires dont l'utilisation est spécifique et restreinte. Ces contributions engendrent des charges d'appui pendant l'exécution et la mise en œuvre des projets.</w:t>
      </w:r>
    </w:p>
    <w:p w14:paraId="5693B317" w14:textId="77777777" w:rsidR="009A7F28" w:rsidRPr="00E52A4A" w:rsidRDefault="009A7F28" w:rsidP="009A7F28">
      <w:pPr>
        <w:pStyle w:val="enumlev1"/>
        <w:rPr>
          <w:b/>
          <w:bCs/>
          <w:i/>
          <w:iCs/>
        </w:rPr>
      </w:pPr>
      <w:r w:rsidRPr="00E52A4A">
        <w:rPr>
          <w:b/>
          <w:bCs/>
          <w:i/>
          <w:iCs/>
        </w:rPr>
        <w:t>ii)</w:t>
      </w:r>
      <w:r w:rsidRPr="00E52A4A">
        <w:rPr>
          <w:b/>
          <w:bCs/>
          <w:i/>
          <w:iCs/>
        </w:rPr>
        <w:tab/>
        <w:t>Contributions volontaires:</w:t>
      </w:r>
    </w:p>
    <w:p w14:paraId="7B4A5F41" w14:textId="77777777" w:rsidR="009A7F28" w:rsidRPr="00E52A4A" w:rsidRDefault="009A7F28" w:rsidP="009A7F28">
      <w:pPr>
        <w:pStyle w:val="enumlev1"/>
      </w:pPr>
      <w:r w:rsidRPr="00E52A4A">
        <w:tab/>
        <w:t>Les contributions volontaires proviennent de donateurs et viennent compléter le financement des activités spécifiques inscrites au budget ordinaire, telles que les séminaires, les groupes de travail, les commissions d'études, les formations et les bourses. Elles peuvent servir à financer des activités à long terme et n'engendrent pas de dépenses d'appui.</w:t>
      </w:r>
    </w:p>
    <w:p w14:paraId="6F354203" w14:textId="77777777" w:rsidR="009A7F28" w:rsidRPr="00E52A4A" w:rsidRDefault="009A7F28" w:rsidP="009A7F28">
      <w:r w:rsidRPr="00E52A4A">
        <w:t>L'Union tient une comptabilité des contributions volontaires dans la devise dans laquelle celles-ci sont versées, et gère les projets fondés sur le budget alloué dans cette même devise, sauf indication contraire.</w:t>
      </w:r>
    </w:p>
    <w:p w14:paraId="6932619A" w14:textId="77777777" w:rsidR="009A7F28" w:rsidRPr="00E52A4A" w:rsidRDefault="009A7F28" w:rsidP="009A7F28">
      <w:pPr>
        <w:pStyle w:val="enumlev1"/>
        <w:rPr>
          <w:i/>
          <w:iCs/>
        </w:rPr>
      </w:pPr>
      <w:r w:rsidRPr="00E52A4A">
        <w:rPr>
          <w:i/>
          <w:iCs/>
        </w:rPr>
        <w:t>–</w:t>
      </w:r>
      <w:r w:rsidRPr="00E52A4A">
        <w:rPr>
          <w:i/>
          <w:iCs/>
        </w:rPr>
        <w:tab/>
        <w:t>Fonds de tiers en cours d'affectation:</w:t>
      </w:r>
    </w:p>
    <w:p w14:paraId="4CD73C2B" w14:textId="77777777" w:rsidR="009A7F28" w:rsidRPr="00E52A4A" w:rsidRDefault="009A7F28" w:rsidP="009A7F28">
      <w:r w:rsidRPr="00E52A4A">
        <w:t>Il s'agit de fonds reçus de tiers (y compris des membres, des Membres de Secteur et des Associés, des fondations, d'entités des Nations Unies et d'autres contributeurs) qui n'ont pas encore été entièrement affectés et qui ne peuvent en conséquence pas encore être dépensés.</w:t>
      </w:r>
    </w:p>
    <w:p w14:paraId="782C14AF" w14:textId="77777777" w:rsidR="009A7F28" w:rsidRPr="00E52A4A" w:rsidRDefault="009A7F28" w:rsidP="009A7F28">
      <w:pPr>
        <w:pStyle w:val="Heading2"/>
      </w:pPr>
      <w:bookmarkStart w:id="205" w:name="_Toc329202569"/>
      <w:bookmarkStart w:id="206" w:name="_Toc329205001"/>
      <w:bookmarkStart w:id="207" w:name="_Toc329206838"/>
      <w:bookmarkStart w:id="208" w:name="_Toc358379924"/>
      <w:bookmarkStart w:id="209" w:name="_Toc358380464"/>
      <w:bookmarkStart w:id="210" w:name="_Toc452140705"/>
      <w:bookmarkStart w:id="211" w:name="_Toc482801495"/>
      <w:bookmarkStart w:id="212" w:name="_Toc511649465"/>
      <w:bookmarkStart w:id="213" w:name="_Toc511649837"/>
      <w:bookmarkStart w:id="214" w:name="_Toc511649951"/>
      <w:bookmarkStart w:id="215" w:name="_Toc511651208"/>
      <w:bookmarkStart w:id="216" w:name="_Toc511724073"/>
      <w:bookmarkStart w:id="217" w:name="_Toc511739062"/>
      <w:bookmarkStart w:id="218" w:name="_Toc511741231"/>
      <w:bookmarkStart w:id="219" w:name="_Toc10450737"/>
      <w:bookmarkStart w:id="220" w:name="_Toc41566339"/>
      <w:bookmarkStart w:id="221" w:name="_Toc41567850"/>
      <w:bookmarkStart w:id="222" w:name="_Toc73356408"/>
      <w:r w:rsidRPr="00E52A4A">
        <w:t>3.14</w:t>
      </w:r>
      <w:r w:rsidRPr="00E52A4A">
        <w:tab/>
        <w:t>Présentation de l'information sectorielle</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4E228053" w14:textId="77777777" w:rsidR="009A7F28" w:rsidRPr="00E52A4A" w:rsidRDefault="009A7F28" w:rsidP="009A7F28">
      <w:r w:rsidRPr="00E52A4A">
        <w:t>L'information sectorielle est basée sur les principales activités et sources de financement de l'UIT et est reportée d'une manière cohérente avec les structures constitutionnelles de l'organisation et d'autres fonds établis pour gérer ses ressources financières. Ces secteurs sont conformes au programme de travail de l'UIT pour les années 2021-2022:</w:t>
      </w:r>
    </w:p>
    <w:p w14:paraId="1CA1C8A5" w14:textId="77777777" w:rsidR="009A7F28" w:rsidRPr="00E52A4A" w:rsidRDefault="009A7F28" w:rsidP="009A7F28">
      <w:pPr>
        <w:pStyle w:val="enumlev1"/>
      </w:pPr>
      <w:r w:rsidRPr="00E52A4A">
        <w:t>–</w:t>
      </w:r>
      <w:r w:rsidRPr="00E52A4A">
        <w:tab/>
        <w:t>Secrétariat général.</w:t>
      </w:r>
    </w:p>
    <w:p w14:paraId="059B2947" w14:textId="77777777" w:rsidR="009A7F28" w:rsidRPr="00E52A4A" w:rsidRDefault="009A7F28" w:rsidP="009A7F28">
      <w:pPr>
        <w:pStyle w:val="enumlev1"/>
      </w:pPr>
      <w:r w:rsidRPr="00E52A4A">
        <w:t>–</w:t>
      </w:r>
      <w:r w:rsidRPr="00E52A4A">
        <w:tab/>
        <w:t>Secteur des radiocommunications (UIT-R): Gestion des ressources internationales que constituent le spectre des fréquences radioélectriques et les orbites de satellites.</w:t>
      </w:r>
    </w:p>
    <w:p w14:paraId="2C8B3946" w14:textId="77777777" w:rsidR="009A7F28" w:rsidRPr="00E52A4A" w:rsidRDefault="009A7F28" w:rsidP="009A7F28">
      <w:pPr>
        <w:pStyle w:val="enumlev1"/>
      </w:pPr>
      <w:r w:rsidRPr="00E52A4A">
        <w:t>–</w:t>
      </w:r>
      <w:r w:rsidRPr="00E52A4A">
        <w:tab/>
        <w:t>Secteur de la normalisation des télécommunications (UIT-T): Adaptation de méthodes de travail harmonisées et mise en place de modalités de collaboration souples pour répondre aux besoins de marchés.</w:t>
      </w:r>
    </w:p>
    <w:p w14:paraId="7420F9E9" w14:textId="77777777" w:rsidR="009A7F28" w:rsidRPr="00E52A4A" w:rsidRDefault="009A7F28" w:rsidP="009A7F28">
      <w:pPr>
        <w:pStyle w:val="enumlev1"/>
      </w:pPr>
      <w:r w:rsidRPr="00E52A4A">
        <w:t>–</w:t>
      </w:r>
      <w:r w:rsidRPr="00E52A4A">
        <w:tab/>
        <w:t>Secteur du développement des télécommunications (UIT-D): Donner, à des conditions abordables, un accès équitable et durable aux technologies de l'information et de la communication.</w:t>
      </w:r>
    </w:p>
    <w:p w14:paraId="3020446D" w14:textId="77777777" w:rsidR="009A7F28" w:rsidRPr="00E52A4A" w:rsidRDefault="009A7F28" w:rsidP="009A7F28">
      <w:pPr>
        <w:pStyle w:val="enumlev1"/>
      </w:pPr>
      <w:r w:rsidRPr="00E52A4A">
        <w:t>–</w:t>
      </w:r>
      <w:r w:rsidRPr="00E52A4A">
        <w:tab/>
        <w:t>Fonds pour le nouveau bâtiment: Correspond au projet de construction des nouveaux locaux du siège.</w:t>
      </w:r>
    </w:p>
    <w:p w14:paraId="60EDC8E9" w14:textId="77777777" w:rsidR="009A7F28" w:rsidRPr="00E52A4A" w:rsidRDefault="009A7F28" w:rsidP="009A7F28">
      <w:pPr>
        <w:pStyle w:val="enumlev1"/>
      </w:pPr>
      <w:r w:rsidRPr="00E52A4A">
        <w:t>–</w:t>
      </w:r>
      <w:r w:rsidRPr="00E52A4A">
        <w:tab/>
        <w:t>Ancienne Caisse des pensions: Regroupe le Fonds de pensions et le Fonds d'intervention.</w:t>
      </w:r>
    </w:p>
    <w:p w14:paraId="1D417F25" w14:textId="77777777" w:rsidR="009A7F28" w:rsidRPr="00E52A4A" w:rsidRDefault="009A7F28" w:rsidP="009A7F28">
      <w:pPr>
        <w:pStyle w:val="enumlev1"/>
      </w:pPr>
      <w:r w:rsidRPr="00E52A4A">
        <w:t>–</w:t>
      </w:r>
      <w:r w:rsidRPr="00E52A4A">
        <w:tab/>
        <w:t>Fonds extrabudgétaires: Comprennent les fonds PNUD, les fonds d'affectation spéciale, les Fonds FDTIC et les contributions volontaires.</w:t>
      </w:r>
    </w:p>
    <w:p w14:paraId="74B76284" w14:textId="77777777" w:rsidR="009A7F28" w:rsidRPr="00E52A4A" w:rsidRDefault="009A7F28" w:rsidP="009A7F28">
      <w:pPr>
        <w:pStyle w:val="enumlev1"/>
      </w:pPr>
      <w:r w:rsidRPr="00E52A4A">
        <w:t>–</w:t>
      </w:r>
      <w:r w:rsidRPr="00E52A4A">
        <w:tab/>
        <w:t>ITU TELECOM.</w:t>
      </w:r>
    </w:p>
    <w:p w14:paraId="3A4B4502" w14:textId="77777777" w:rsidR="009A7F28" w:rsidRPr="00E52A4A" w:rsidRDefault="009A7F28" w:rsidP="009A7F28">
      <w:r w:rsidRPr="00E52A4A">
        <w:lastRenderedPageBreak/>
        <w:t>En raison de la nature des activités de l'UIT et des contributions des États Membres, les immobilisations corporelles et incorporelles sont utilisées conjointement par l'ensemble des Secteurs et ne sont pas gérées par les différents Secteurs.</w:t>
      </w:r>
    </w:p>
    <w:p w14:paraId="74A33CA8" w14:textId="77777777" w:rsidR="009A7F28" w:rsidRPr="00E52A4A" w:rsidRDefault="009A7F28" w:rsidP="009A7F28">
      <w:r w:rsidRPr="00E52A4A">
        <w:t>Les transferts intersectoriels comprennent les produits et les charges découlant des transferts entre secteurs. Ces transferts sont comptabilisés au coût de chaque secteur et éliminés lors de la consolidation.</w:t>
      </w:r>
    </w:p>
    <w:p w14:paraId="355AFE8E" w14:textId="77777777" w:rsidR="009A7F28" w:rsidRPr="00E52A4A" w:rsidRDefault="009A7F28" w:rsidP="009A7F28">
      <w:r w:rsidRPr="00E52A4A">
        <w:t>En 2022, la présentation de l'information sectorielle a été modifiée afin de mieux affecter les produits et les charges aux différents secteurs et de consolider la présentation des activités extrabudgétaires. La présentation de l'information sectorielle pour 2021 a été retraitée pour permettre une comparaison.</w:t>
      </w:r>
    </w:p>
    <w:p w14:paraId="7EE45B6F" w14:textId="77777777" w:rsidR="009A7F28" w:rsidRPr="00E52A4A" w:rsidRDefault="009A7F28" w:rsidP="009A7F28">
      <w:r w:rsidRPr="00E52A4A">
        <w:t>Aux fins de la présentation de l'information sectorielle, ces produits et charges ont été imputés aux quatre secteurs de l'UIT (y compris le Secrétariat général) sur la base des chiffres figurant dans le budget. L'ajustement annuel de l'ASHI a été attribué en fonction de l'effectif de chaque secteur.</w:t>
      </w:r>
    </w:p>
    <w:p w14:paraId="1994A6F7" w14:textId="77777777" w:rsidR="009A7F28" w:rsidRPr="00E52A4A" w:rsidRDefault="009A7F28" w:rsidP="009A7F28">
      <w:r w:rsidRPr="00E52A4A">
        <w:t>En effet, les actifs et passifs de l'Union autres que ceux représentant l'actif net sont la propriété ou relève</w:t>
      </w:r>
      <w:r w:rsidRPr="00E52A4A">
        <w:rPr>
          <w:color w:val="000000" w:themeColor="text1"/>
        </w:rPr>
        <w:t xml:space="preserve">nt </w:t>
      </w:r>
      <w:r w:rsidRPr="00E52A4A">
        <w:t>de la responsabilité de l'organisation dans son ensemble et ne représentent pas des actifs et passifs relatifs à des segments. Les fonds extrabudgétaires ne possèdent pas d'immobilisations. Les actifs et les passifs représentent de nombreuses activités qui sont communes aux segments de l'Union. L'affectation des actifs et passifs aux différents Secteurs ne pourrait être qu'arbitraire et sans cohérence. Ce qui serait contraire aux principes de la norme IPSAS 18. C'est pourquoi les passifs et actifs individuels ne sont pas détaillés au niveau des segments.</w:t>
      </w:r>
    </w:p>
    <w:p w14:paraId="76D60C19" w14:textId="77777777" w:rsidR="009A7F28" w:rsidRPr="00E52A4A" w:rsidRDefault="009A7F28" w:rsidP="009A7F28">
      <w:pPr>
        <w:pStyle w:val="Heading2"/>
      </w:pPr>
      <w:bookmarkStart w:id="223" w:name="_Toc329178776"/>
      <w:bookmarkStart w:id="224" w:name="_Toc329181749"/>
      <w:bookmarkStart w:id="225" w:name="_Toc329202570"/>
      <w:bookmarkStart w:id="226" w:name="_Toc329205002"/>
      <w:bookmarkStart w:id="227" w:name="_Toc329206839"/>
      <w:bookmarkStart w:id="228" w:name="_Toc358379925"/>
      <w:bookmarkStart w:id="229" w:name="_Toc358380465"/>
      <w:bookmarkStart w:id="230" w:name="_Toc387166647"/>
      <w:bookmarkStart w:id="231" w:name="_Toc395260932"/>
      <w:bookmarkStart w:id="232" w:name="_Toc395511711"/>
      <w:bookmarkStart w:id="233" w:name="_Toc452140706"/>
      <w:bookmarkStart w:id="234" w:name="_Toc482801496"/>
      <w:bookmarkStart w:id="235" w:name="_Toc511649466"/>
      <w:bookmarkStart w:id="236" w:name="_Toc511649838"/>
      <w:bookmarkStart w:id="237" w:name="_Toc511649952"/>
      <w:bookmarkStart w:id="238" w:name="_Toc511651209"/>
      <w:bookmarkStart w:id="239" w:name="_Toc511724074"/>
      <w:bookmarkStart w:id="240" w:name="_Toc511739063"/>
      <w:bookmarkStart w:id="241" w:name="_Toc511741232"/>
      <w:bookmarkStart w:id="242" w:name="_Toc10450738"/>
      <w:bookmarkStart w:id="243" w:name="_Toc41566340"/>
      <w:bookmarkStart w:id="244" w:name="_Toc41567851"/>
      <w:bookmarkStart w:id="245" w:name="_Toc73356409"/>
      <w:r w:rsidRPr="00E52A4A">
        <w:t>3.15</w:t>
      </w:r>
      <w:r w:rsidRPr="00E52A4A">
        <w:tab/>
        <w:t>Comparaison budgétaire</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0C9B0808" w14:textId="77777777" w:rsidR="009A7F28" w:rsidRPr="00E52A4A" w:rsidRDefault="009A7F28" w:rsidP="009A7F28">
      <w:pPr>
        <w:keepLines/>
      </w:pPr>
      <w:r w:rsidRPr="00E52A4A">
        <w:t>Le budget de l'Union pour la période 2022-2023 est fondé sur la Décision 5 (Rév. Dubaï, 2018), "Produits et charges de l'Union pour la période 2020-2023", et sur le Plan stratégique de l'Union pour la période 2020-2023 figurant dans la Résolution 71 (Rév. Dubaï, 2018) de la Conférence de plénipotentiaires.</w:t>
      </w:r>
    </w:p>
    <w:p w14:paraId="328FD294" w14:textId="77777777" w:rsidR="009A7F28" w:rsidRPr="00E52A4A" w:rsidRDefault="009A7F28" w:rsidP="009A7F28">
      <w:pPr>
        <w:keepLines/>
      </w:pPr>
      <w:r w:rsidRPr="00E52A4A">
        <w:t>En outre, le budget-programme est coordonné avec les plans opérationnels des Secteurs et du Secrétariat général.</w:t>
      </w:r>
    </w:p>
    <w:p w14:paraId="528E5008" w14:textId="77777777" w:rsidR="009A7F28" w:rsidRPr="00E52A4A" w:rsidRDefault="009A7F28" w:rsidP="009A7F28">
      <w:r w:rsidRPr="00E52A4A">
        <w:t>En vertu de la norme IPSAS 24, une comparaison des montants budgétés avec les montants réels doit être intégrée dans les états financiers annuels. Le projet de budget de l'Union pour 2022-2023 se compose de deux budgets annuels. Une estimation du budget a été faite pour chacun des exercices.</w:t>
      </w:r>
    </w:p>
    <w:p w14:paraId="38A11BB2" w14:textId="7A8D105B" w:rsidR="009A7F28" w:rsidRPr="00E52A4A" w:rsidRDefault="009A7F28" w:rsidP="009A7F28">
      <w:r w:rsidRPr="00E52A4A">
        <w:t>Le budget définitif pour l'exercice 2022 a été approuvé par le Conseil à sa session de 2021 par l'adoption de la Résolution 1405 (Document C21/97). L'État V contient une comparaison du budget définitif et des montants effectifs. Le budget et les états financiers n'étant pas préparés sur la même base, l'État V contient un rapprochement des montants figurant dans le budget et des montants figurant dans l'État II (État de la performance financière). La différence relative aux entités représente l'intégration dans les états financiers de l'Union des fonds extrabudgétaires.</w:t>
      </w:r>
    </w:p>
    <w:p w14:paraId="0688D8E5" w14:textId="77777777" w:rsidR="00320CD0" w:rsidRPr="00E52A4A" w:rsidRDefault="00320CD0" w:rsidP="00FB37F1">
      <w:pPr>
        <w:pStyle w:val="Heading1"/>
        <w:rPr>
          <w:sz w:val="24"/>
          <w:szCs w:val="24"/>
        </w:rPr>
      </w:pPr>
      <w:bookmarkStart w:id="246" w:name="_Toc268007535"/>
      <w:bookmarkStart w:id="247" w:name="_Toc329178777"/>
      <w:bookmarkStart w:id="248" w:name="_Toc329181750"/>
      <w:bookmarkStart w:id="249" w:name="_Toc329202571"/>
      <w:bookmarkStart w:id="250" w:name="_Toc329205003"/>
      <w:bookmarkStart w:id="251" w:name="_Toc329206840"/>
      <w:bookmarkStart w:id="252" w:name="_Toc358379926"/>
      <w:bookmarkStart w:id="253" w:name="_Toc358380466"/>
      <w:bookmarkStart w:id="254" w:name="_Toc452140707"/>
      <w:bookmarkStart w:id="255" w:name="_Toc482801497"/>
      <w:bookmarkStart w:id="256" w:name="_Toc511649467"/>
      <w:bookmarkStart w:id="257" w:name="_Toc511649839"/>
      <w:bookmarkStart w:id="258" w:name="_Toc511649953"/>
      <w:bookmarkStart w:id="259" w:name="_Toc511651210"/>
      <w:bookmarkStart w:id="260" w:name="_Toc511724075"/>
      <w:bookmarkStart w:id="261" w:name="_Toc511739064"/>
      <w:bookmarkStart w:id="262" w:name="_Toc511741233"/>
      <w:bookmarkStart w:id="263" w:name="_Toc10450739"/>
      <w:bookmarkStart w:id="264" w:name="_Toc41566341"/>
      <w:bookmarkStart w:id="265" w:name="_Toc41567347"/>
      <w:bookmarkStart w:id="266" w:name="_Toc41567852"/>
      <w:bookmarkStart w:id="267" w:name="_Toc41814947"/>
      <w:bookmarkStart w:id="268" w:name="_Toc73354436"/>
      <w:bookmarkStart w:id="269" w:name="_Toc73356410"/>
      <w:bookmarkStart w:id="270" w:name="_Toc162331505"/>
      <w:bookmarkStart w:id="271" w:name="_Toc162331715"/>
      <w:r w:rsidRPr="00E52A4A">
        <w:rPr>
          <w:sz w:val="24"/>
          <w:szCs w:val="24"/>
        </w:rPr>
        <w:lastRenderedPageBreak/>
        <w:t>Note 4</w:t>
      </w:r>
      <w:r w:rsidRPr="00E52A4A">
        <w:rPr>
          <w:sz w:val="24"/>
          <w:szCs w:val="24"/>
        </w:rPr>
        <w:tab/>
        <w:t>G</w:t>
      </w:r>
      <w:bookmarkEnd w:id="246"/>
      <w:r w:rsidRPr="00E52A4A">
        <w:rPr>
          <w:sz w:val="24"/>
          <w:szCs w:val="24"/>
        </w:rPr>
        <w:t xml:space="preserve">estion </w:t>
      </w:r>
      <w:r w:rsidRPr="00FB37F1">
        <w:rPr>
          <w:sz w:val="24"/>
          <w:szCs w:val="24"/>
        </w:rPr>
        <w:t>de</w:t>
      </w:r>
      <w:r w:rsidRPr="00E52A4A">
        <w:rPr>
          <w:sz w:val="24"/>
          <w:szCs w:val="24"/>
        </w:rPr>
        <w:t xml:space="preserve"> l'actif net</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4AF57014" w14:textId="77777777" w:rsidR="00320CD0" w:rsidRPr="00E52A4A" w:rsidRDefault="00320CD0" w:rsidP="007A66CF">
      <w:pPr>
        <w:keepNext/>
        <w:keepLines/>
      </w:pPr>
      <w:r w:rsidRPr="00E52A4A">
        <w:t>L'actif net de l'Union se compose:</w:t>
      </w:r>
    </w:p>
    <w:p w14:paraId="44D99385" w14:textId="77777777" w:rsidR="00320CD0" w:rsidRPr="00E52A4A" w:rsidRDefault="00320CD0" w:rsidP="007A66CF">
      <w:pPr>
        <w:pStyle w:val="enumlev1"/>
        <w:keepNext/>
        <w:keepLines/>
      </w:pPr>
      <w:r w:rsidRPr="00E52A4A">
        <w:t>•</w:t>
      </w:r>
      <w:r w:rsidRPr="00E52A4A">
        <w:tab/>
        <w:t>du Fonds de réserve de l'UIT;</w:t>
      </w:r>
    </w:p>
    <w:p w14:paraId="69FD3080" w14:textId="77777777" w:rsidR="00320CD0" w:rsidRPr="00E52A4A" w:rsidRDefault="00320CD0" w:rsidP="007A66CF">
      <w:pPr>
        <w:pStyle w:val="enumlev1"/>
        <w:keepNext/>
        <w:keepLines/>
      </w:pPr>
      <w:r w:rsidRPr="00E52A4A">
        <w:t>•</w:t>
      </w:r>
      <w:r w:rsidRPr="00E52A4A">
        <w:tab/>
        <w:t>des autres réserves et fonds;</w:t>
      </w:r>
    </w:p>
    <w:p w14:paraId="313AA0E0" w14:textId="77777777" w:rsidR="00320CD0" w:rsidRPr="00E52A4A" w:rsidRDefault="00320CD0" w:rsidP="00320CD0">
      <w:pPr>
        <w:pStyle w:val="enumlev1"/>
      </w:pPr>
      <w:r w:rsidRPr="00E52A4A">
        <w:t>•</w:t>
      </w:r>
      <w:r w:rsidRPr="00E52A4A">
        <w:tab/>
        <w:t>des réserves extrabudgétaires;</w:t>
      </w:r>
    </w:p>
    <w:p w14:paraId="313A8D50" w14:textId="77777777" w:rsidR="00320CD0" w:rsidRPr="00E52A4A" w:rsidRDefault="00320CD0" w:rsidP="00320CD0">
      <w:pPr>
        <w:pStyle w:val="enumlev1"/>
      </w:pPr>
      <w:r w:rsidRPr="00E52A4A">
        <w:t>•</w:t>
      </w:r>
      <w:r w:rsidRPr="00E52A4A">
        <w:tab/>
        <w:t>des gains/(pertes) actuariels ASHI par actif net;</w:t>
      </w:r>
    </w:p>
    <w:p w14:paraId="2E4C0B08" w14:textId="77777777" w:rsidR="00320CD0" w:rsidRPr="00E52A4A" w:rsidRDefault="00320CD0" w:rsidP="00320CD0">
      <w:pPr>
        <w:pStyle w:val="enumlev1"/>
      </w:pPr>
      <w:r w:rsidRPr="00E52A4A">
        <w:t>•</w:t>
      </w:r>
      <w:r w:rsidRPr="00E52A4A">
        <w:tab/>
        <w:t>de l'excédent/(du déficit) accumulé.</w:t>
      </w:r>
    </w:p>
    <w:p w14:paraId="36500AFF" w14:textId="77777777" w:rsidR="00320CD0" w:rsidRPr="00E52A4A" w:rsidRDefault="00320CD0" w:rsidP="00320CD0">
      <w:pPr>
        <w:pStyle w:val="enumlev1"/>
      </w:pPr>
      <w:r w:rsidRPr="00E52A4A">
        <w:t>Les mouvements du Fonds de réserve de l'UIT sont indiqués dans le tableau ci-dessous.</w:t>
      </w:r>
    </w:p>
    <w:p w14:paraId="37C2B15A" w14:textId="77777777" w:rsidR="00320CD0" w:rsidRPr="00E52A4A" w:rsidRDefault="00320CD0" w:rsidP="00320CD0">
      <w:pPr>
        <w:pStyle w:val="Figure"/>
      </w:pPr>
      <w:r w:rsidRPr="00E52A4A">
        <w:rPr>
          <w:noProof/>
        </w:rPr>
        <w:drawing>
          <wp:inline distT="0" distB="0" distL="0" distR="0" wp14:anchorId="2C2A7DA5" wp14:editId="7522ECE5">
            <wp:extent cx="6120765" cy="13309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765" cy="1330960"/>
                    </a:xfrm>
                    <a:prstGeom prst="rect">
                      <a:avLst/>
                    </a:prstGeom>
                    <a:noFill/>
                    <a:ln>
                      <a:noFill/>
                    </a:ln>
                  </pic:spPr>
                </pic:pic>
              </a:graphicData>
            </a:graphic>
          </wp:inline>
        </w:drawing>
      </w:r>
    </w:p>
    <w:p w14:paraId="431AA5EF" w14:textId="77777777" w:rsidR="00320CD0" w:rsidRPr="00E52A4A" w:rsidRDefault="00320CD0" w:rsidP="00320CD0">
      <w:r w:rsidRPr="00E52A4A">
        <w:t>Au 31 décembre 2022, l'avoir du Fonds de réserve s'élevait à 28,4 millions CHF (contre 29,4 millions CHF en 2021). L'avoir du Fonds de réserve représente 15,5% du budget 2022, pourcentage très largement supérieur au seuil de 6% fixé par la Conférence de plénipotentiaires dans sa Décision 5 (Rév. Dubaï, 2022).</w:t>
      </w:r>
    </w:p>
    <w:p w14:paraId="705C8C4D" w14:textId="77777777" w:rsidR="00320CD0" w:rsidRPr="00E52A4A" w:rsidRDefault="00320CD0" w:rsidP="00320CD0">
      <w:r w:rsidRPr="00E52A4A">
        <w:t>Les mouvements des autres réserves et fonds de l'UIT sont indiqués dans le tableau ci-dessous.</w:t>
      </w:r>
    </w:p>
    <w:p w14:paraId="297F54F1" w14:textId="77777777" w:rsidR="00320CD0" w:rsidRPr="00E52A4A" w:rsidRDefault="00320CD0" w:rsidP="00320CD0">
      <w:pPr>
        <w:pStyle w:val="Figure"/>
        <w:keepNext w:val="0"/>
        <w:keepLines w:val="0"/>
      </w:pPr>
      <w:r w:rsidRPr="00E52A4A">
        <w:rPr>
          <w:noProof/>
        </w:rPr>
        <w:drawing>
          <wp:inline distT="0" distB="0" distL="0" distR="0" wp14:anchorId="57E6F1BE" wp14:editId="51D4FD3C">
            <wp:extent cx="6120765" cy="34956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765" cy="3495675"/>
                    </a:xfrm>
                    <a:prstGeom prst="rect">
                      <a:avLst/>
                    </a:prstGeom>
                    <a:noFill/>
                    <a:ln>
                      <a:noFill/>
                    </a:ln>
                  </pic:spPr>
                </pic:pic>
              </a:graphicData>
            </a:graphic>
          </wp:inline>
        </w:drawing>
      </w:r>
    </w:p>
    <w:p w14:paraId="14EA7BD8" w14:textId="77777777" w:rsidR="00320CD0" w:rsidRPr="00E52A4A" w:rsidRDefault="00320CD0" w:rsidP="00320CD0">
      <w:r w:rsidRPr="00E52A4A">
        <w:t>Le solde du Fonds pour le développement des TIC, qui est comptabilisé sous la rubrique "Fonds d'investissement" indiquée dans le tableau ci-dessus, s'élève à 2,6 millions CHF au 31 décembre 2022 (contre 2,9 millions CHF au 31 décembre 2021).</w:t>
      </w:r>
    </w:p>
    <w:p w14:paraId="029DBC3A" w14:textId="77777777" w:rsidR="00320CD0" w:rsidRPr="00E52A4A" w:rsidRDefault="00320CD0" w:rsidP="003B3C62">
      <w:pPr>
        <w:keepNext/>
        <w:keepLines/>
      </w:pPr>
      <w:r w:rsidRPr="00E52A4A">
        <w:lastRenderedPageBreak/>
        <w:t>Les mouvements des réserves extrabudgétaires de l'UIT sont indiqués dans le tableau ci-dessous.</w:t>
      </w:r>
    </w:p>
    <w:p w14:paraId="784ABDBB" w14:textId="77777777" w:rsidR="00320CD0" w:rsidRPr="00E52A4A" w:rsidRDefault="00320CD0" w:rsidP="003B3C62">
      <w:pPr>
        <w:pStyle w:val="Figure"/>
      </w:pPr>
      <w:r w:rsidRPr="00E52A4A">
        <w:rPr>
          <w:noProof/>
        </w:rPr>
        <w:drawing>
          <wp:inline distT="0" distB="0" distL="0" distR="0" wp14:anchorId="7303C042" wp14:editId="71F39F88">
            <wp:extent cx="6120765" cy="1616710"/>
            <wp:effectExtent l="0" t="0" r="0" b="2540"/>
            <wp:docPr id="138500223" name="Picture 13850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765" cy="1616710"/>
                    </a:xfrm>
                    <a:prstGeom prst="rect">
                      <a:avLst/>
                    </a:prstGeom>
                    <a:noFill/>
                    <a:ln>
                      <a:noFill/>
                    </a:ln>
                  </pic:spPr>
                </pic:pic>
              </a:graphicData>
            </a:graphic>
          </wp:inline>
        </w:drawing>
      </w:r>
    </w:p>
    <w:p w14:paraId="665DA5C5" w14:textId="77777777" w:rsidR="00320CD0" w:rsidRPr="00E52A4A" w:rsidRDefault="00320CD0" w:rsidP="00320CD0">
      <w:pPr>
        <w:pStyle w:val="Heading1"/>
        <w:spacing w:before="240"/>
        <w:rPr>
          <w:sz w:val="24"/>
          <w:szCs w:val="18"/>
        </w:rPr>
      </w:pPr>
      <w:bookmarkStart w:id="272" w:name="_Toc387166648"/>
      <w:bookmarkStart w:id="273" w:name="_Toc395260933"/>
      <w:bookmarkStart w:id="274" w:name="_Toc395511712"/>
      <w:bookmarkStart w:id="275" w:name="_Toc452138622"/>
      <w:bookmarkStart w:id="276" w:name="_Toc452139071"/>
      <w:bookmarkStart w:id="277" w:name="_Toc452139435"/>
      <w:bookmarkStart w:id="278" w:name="_Toc452139835"/>
      <w:bookmarkStart w:id="279" w:name="_Toc452140708"/>
      <w:bookmarkStart w:id="280" w:name="_Toc482801498"/>
      <w:bookmarkStart w:id="281" w:name="_Toc511649468"/>
      <w:bookmarkStart w:id="282" w:name="_Toc511649840"/>
      <w:bookmarkStart w:id="283" w:name="_Toc511649954"/>
      <w:bookmarkStart w:id="284" w:name="_Toc511651211"/>
      <w:bookmarkStart w:id="285" w:name="_Toc511724076"/>
      <w:bookmarkStart w:id="286" w:name="_Toc511739065"/>
      <w:bookmarkStart w:id="287" w:name="_Toc511741234"/>
      <w:bookmarkStart w:id="288" w:name="_Toc10450740"/>
      <w:bookmarkStart w:id="289" w:name="_Toc41566342"/>
      <w:bookmarkStart w:id="290" w:name="_Toc41567348"/>
      <w:bookmarkStart w:id="291" w:name="_Toc41567853"/>
      <w:bookmarkStart w:id="292" w:name="_Toc41814948"/>
      <w:bookmarkStart w:id="293" w:name="_Toc73354437"/>
      <w:bookmarkStart w:id="294" w:name="_Toc73356411"/>
      <w:bookmarkStart w:id="295" w:name="_Toc162331506"/>
      <w:bookmarkStart w:id="296" w:name="_Toc162331716"/>
      <w:r w:rsidRPr="00E52A4A">
        <w:rPr>
          <w:sz w:val="24"/>
          <w:szCs w:val="18"/>
        </w:rPr>
        <w:t>Note 5</w:t>
      </w:r>
      <w:r w:rsidRPr="00E52A4A">
        <w:rPr>
          <w:sz w:val="24"/>
          <w:szCs w:val="18"/>
        </w:rPr>
        <w:tab/>
        <w:t>Gestion des risques financiers</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14:paraId="31AD6AA2" w14:textId="77777777" w:rsidR="00320CD0" w:rsidRPr="00E52A4A" w:rsidRDefault="00320CD0" w:rsidP="00320CD0">
      <w:pPr>
        <w:keepNext/>
        <w:keepLines/>
        <w:spacing w:before="60" w:after="60"/>
      </w:pPr>
      <w:r w:rsidRPr="00E52A4A">
        <w:t>Dans le cadre de ses activités, l'UIT est exposée à un certain nombre de risques financiers, à savoir le risque de crédit, le risque de marché (risque de change), le risque de taux d'intérêt et le risque de liquidité. Cette Note présente des informations concernant l'exposition de l'UIT à chacun des risques précédents, et expose les principes adoptés par l'UIT pour gérer les risques financiers et maintenir son capital. La gestion des risques financiers est organisée centralement sous la responsabilité du Secrétaire général.</w:t>
      </w:r>
    </w:p>
    <w:p w14:paraId="64E08A30" w14:textId="77777777" w:rsidR="00320CD0" w:rsidRPr="00E52A4A" w:rsidRDefault="00320CD0" w:rsidP="00320CD0">
      <w:pPr>
        <w:pStyle w:val="headingb0"/>
      </w:pPr>
      <w:bookmarkStart w:id="297" w:name="_Toc387167464"/>
      <w:bookmarkStart w:id="298" w:name="_Toc482888032"/>
      <w:bookmarkStart w:id="299" w:name="_Toc482888066"/>
      <w:bookmarkStart w:id="300" w:name="_Toc482888375"/>
      <w:bookmarkStart w:id="301" w:name="_Toc482888754"/>
      <w:bookmarkStart w:id="302" w:name="_Toc511649469"/>
      <w:bookmarkStart w:id="303" w:name="_Toc511649955"/>
      <w:bookmarkStart w:id="304" w:name="_Toc511650073"/>
      <w:bookmarkStart w:id="305" w:name="_Toc511650567"/>
      <w:bookmarkStart w:id="306" w:name="_Toc511651212"/>
      <w:bookmarkStart w:id="307" w:name="_Toc511724077"/>
      <w:bookmarkStart w:id="308" w:name="_Toc511739066"/>
      <w:bookmarkStart w:id="309" w:name="_Toc511740818"/>
      <w:bookmarkStart w:id="310" w:name="_Toc511741235"/>
      <w:bookmarkStart w:id="311" w:name="_Toc10450741"/>
      <w:bookmarkStart w:id="312" w:name="_Toc41567349"/>
      <w:bookmarkStart w:id="313" w:name="_Toc73356412"/>
      <w:r w:rsidRPr="00E52A4A">
        <w:t>Juste valeur</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15223C44" w14:textId="77777777" w:rsidR="00320CD0" w:rsidRPr="00E52A4A" w:rsidRDefault="00320CD0" w:rsidP="00320CD0">
      <w:pPr>
        <w:spacing w:after="120"/>
      </w:pPr>
      <w:r w:rsidRPr="00E52A4A">
        <w:t>À l'exception des emprunts, il n'y a pas de différence entre la juste valeur et la valeur comptable des instruments financiers de l'UIT.</w:t>
      </w:r>
    </w:p>
    <w:p w14:paraId="5D6EB499" w14:textId="77777777" w:rsidR="00320CD0" w:rsidRPr="00E52A4A" w:rsidRDefault="00320CD0" w:rsidP="00320CD0">
      <w:r w:rsidRPr="00E52A4A">
        <w:t>La juste valeur des actifs et des passifs financiers correspond à la valeur à laquelle ces instruments pourraient s'échanger dans le cadre d'une transaction courante entre des parties consentantes, autre qu'une vente forcée ou une liquidation.</w:t>
      </w:r>
    </w:p>
    <w:p w14:paraId="7B133EC0" w14:textId="77777777" w:rsidR="00320CD0" w:rsidRPr="00E52A4A" w:rsidRDefault="00320CD0" w:rsidP="00320CD0">
      <w:r w:rsidRPr="00E52A4A">
        <w:t>Les méthodes et hypothèses suivantes ont été utilisées pour évaluer la juste valeur:</w:t>
      </w:r>
    </w:p>
    <w:p w14:paraId="2C5B3E8B" w14:textId="77777777" w:rsidR="00320CD0" w:rsidRPr="00E52A4A" w:rsidRDefault="00320CD0" w:rsidP="00320CD0">
      <w:pPr>
        <w:pStyle w:val="enumlev1"/>
      </w:pPr>
      <w:r w:rsidRPr="00E52A4A">
        <w:t>–</w:t>
      </w:r>
      <w:r w:rsidRPr="00E52A4A">
        <w:tab/>
        <w:t>La trésorerie et les équivalents de trésorerie, les dépôts à court terme, les créances provenant d'opérations avec contrepartie directe, les autres créances, les dettes provenant d'opérations avec contrepartie directe et les autres dettes, sont approximativement équivalents à leur valeur comptable, essentiellement en raison de leur échéance à court terme.</w:t>
      </w:r>
    </w:p>
    <w:p w14:paraId="437B1876" w14:textId="77777777" w:rsidR="00320CD0" w:rsidRPr="00E52A4A" w:rsidRDefault="00320CD0" w:rsidP="00320CD0">
      <w:pPr>
        <w:pStyle w:val="enumlev1"/>
      </w:pPr>
      <w:r w:rsidRPr="00E52A4A">
        <w:t>–</w:t>
      </w:r>
      <w:r w:rsidRPr="00E52A4A">
        <w:tab/>
        <w:t>Les créances à court terme et à long terme sont évaluées comme indiqué dans la Note 9.</w:t>
      </w:r>
    </w:p>
    <w:p w14:paraId="64664905" w14:textId="77777777" w:rsidR="00320CD0" w:rsidRPr="00E52A4A" w:rsidRDefault="00320CD0" w:rsidP="00320CD0">
      <w:pPr>
        <w:pStyle w:val="headingb0"/>
      </w:pPr>
      <w:bookmarkStart w:id="314" w:name="_Toc387167465"/>
      <w:bookmarkStart w:id="315" w:name="_Toc482888033"/>
      <w:bookmarkStart w:id="316" w:name="_Toc482888067"/>
      <w:bookmarkStart w:id="317" w:name="_Toc482888376"/>
      <w:bookmarkStart w:id="318" w:name="_Toc482888755"/>
      <w:bookmarkStart w:id="319" w:name="_Toc511649470"/>
      <w:bookmarkStart w:id="320" w:name="_Toc511649956"/>
      <w:bookmarkStart w:id="321" w:name="_Toc511650074"/>
      <w:bookmarkStart w:id="322" w:name="_Toc511650568"/>
      <w:bookmarkStart w:id="323" w:name="_Toc511651213"/>
      <w:bookmarkStart w:id="324" w:name="_Toc511724078"/>
      <w:bookmarkStart w:id="325" w:name="_Toc511739067"/>
      <w:bookmarkStart w:id="326" w:name="_Toc511740819"/>
      <w:bookmarkStart w:id="327" w:name="_Toc511741236"/>
      <w:bookmarkStart w:id="328" w:name="_Toc10450742"/>
      <w:bookmarkStart w:id="329" w:name="_Toc41567350"/>
      <w:bookmarkStart w:id="330" w:name="_Toc73356413"/>
      <w:r w:rsidRPr="00E52A4A">
        <w:t>Hiérarchie de juste valeur</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14:paraId="430C4312" w14:textId="77777777" w:rsidR="00320CD0" w:rsidRPr="00E52A4A" w:rsidRDefault="00320CD0" w:rsidP="00320CD0">
      <w:r w:rsidRPr="00E52A4A">
        <w:t>L'UIT utilise la hiérarchie suivante pour déterminer et faire connaître la juste valeur des instruments financiers à l'aide de techniques d'évaluation.</w:t>
      </w:r>
    </w:p>
    <w:p w14:paraId="4875E5DA" w14:textId="77777777" w:rsidR="00320CD0" w:rsidRPr="00E52A4A" w:rsidRDefault="00320CD0" w:rsidP="00320CD0">
      <w:pPr>
        <w:spacing w:before="100"/>
      </w:pPr>
      <w:r w:rsidRPr="00E52A4A">
        <w:t>Niveau 1: Prix cotés sur les marchés actifs pour des actifs ou des passifs identiques.</w:t>
      </w:r>
    </w:p>
    <w:p w14:paraId="6DFFADA4" w14:textId="77777777" w:rsidR="00320CD0" w:rsidRPr="00E52A4A" w:rsidRDefault="00320CD0" w:rsidP="00320CD0">
      <w:pPr>
        <w:spacing w:before="100"/>
      </w:pPr>
      <w:r w:rsidRPr="00E52A4A">
        <w:t>Niveau 2: Données d'entrée autres que les prix cotés inclus dans les données d'entrée de niveau 1, qui sont observables pour l'actif ou le passif, soit directement, soit indirectement.</w:t>
      </w:r>
    </w:p>
    <w:p w14:paraId="04B5576E" w14:textId="77777777" w:rsidR="00320CD0" w:rsidRPr="00E52A4A" w:rsidRDefault="00320CD0" w:rsidP="00320CD0">
      <w:pPr>
        <w:spacing w:before="100"/>
      </w:pPr>
      <w:r w:rsidRPr="00E52A4A">
        <w:t>Niveau 3: Techniques qui utilisent des données d'entrées ayant une incidence importante sur la juste valeur comptabilisée, mais qui ne sont pas fondées sur des données de marché observables.</w:t>
      </w:r>
    </w:p>
    <w:p w14:paraId="3BE7CB56" w14:textId="77777777" w:rsidR="00320CD0" w:rsidRPr="00E52A4A" w:rsidRDefault="00320CD0" w:rsidP="003B3C62">
      <w:pPr>
        <w:keepNext/>
        <w:keepLines/>
      </w:pPr>
      <w:r w:rsidRPr="00E52A4A">
        <w:lastRenderedPageBreak/>
        <w:t>Au 31 décembre 2022, la juste valeur de tous les placements (dépôts bancaires et investissements bancaires à court terme) est proche de leur valeur comptable enregistrée en raison de leur caractère à court terme. La juste valeur des dettes fournisseurs, ainsi que d'autres passifs courants et des contributions volontaires se rapproche de leur valeur comptable enregistrée en raison de leur caractère à court terme.</w:t>
      </w:r>
    </w:p>
    <w:p w14:paraId="46707ACF" w14:textId="77777777" w:rsidR="00320CD0" w:rsidRPr="00E52A4A" w:rsidRDefault="00320CD0" w:rsidP="00320CD0">
      <w:r w:rsidRPr="00E52A4A">
        <w:t>Les emprunts (prêts) sont comptabilisés sur la base des coûts amortis. Les méthodes comptables antérieures ont été mises à jour et de plus amples renseignements sont donnés dans la Note 17. Tous les instruments financiers de l'UIT sont évalués au Niveau 1 de la hiérarchie de juste valeur.</w:t>
      </w:r>
    </w:p>
    <w:p w14:paraId="6424257F" w14:textId="77777777" w:rsidR="00320CD0" w:rsidRPr="00E52A4A" w:rsidRDefault="00320CD0" w:rsidP="00320CD0">
      <w:pPr>
        <w:pStyle w:val="enumlev1"/>
        <w:spacing w:before="120"/>
      </w:pPr>
      <w:r w:rsidRPr="00E52A4A">
        <w:rPr>
          <w:i/>
          <w:iCs/>
        </w:rPr>
        <w:t>a)</w:t>
      </w:r>
      <w:r w:rsidRPr="00E52A4A">
        <w:rPr>
          <w:i/>
          <w:iCs/>
        </w:rPr>
        <w:tab/>
        <w:t>Risque de crédit</w:t>
      </w:r>
    </w:p>
    <w:p w14:paraId="59BF7238" w14:textId="77777777" w:rsidR="00320CD0" w:rsidRPr="00E52A4A" w:rsidRDefault="00320CD0" w:rsidP="00320CD0">
      <w:pPr>
        <w:pStyle w:val="enumlev1"/>
        <w:spacing w:before="120" w:after="120"/>
      </w:pPr>
      <w:r w:rsidRPr="00E52A4A">
        <w:tab/>
        <w:t>Le risque de crédit est le risque de perte financière encouru par l'UIT dans le cas où des clients ou des contreparties à des instruments financiers ne remplissent pas leurs obligations contractuelles. Ce risque provient principalement des placements, des créances, et de la trésorerie et des équivalents de trésorerie. La valeur comptable des actifs financiers représente l'exposition maximale au risque de crédit. Au 31 décembre, la situation en ce qui concerne l'exposition maximale au risque de crédit était la suivante:</w:t>
      </w:r>
    </w:p>
    <w:p w14:paraId="208DBC91" w14:textId="77777777" w:rsidR="00320CD0" w:rsidRPr="00E52A4A" w:rsidRDefault="00320CD0" w:rsidP="00320CD0">
      <w:pPr>
        <w:pStyle w:val="Figure"/>
      </w:pPr>
      <w:r w:rsidRPr="00E52A4A">
        <w:rPr>
          <w:noProof/>
        </w:rPr>
        <w:drawing>
          <wp:inline distT="0" distB="0" distL="0" distR="0" wp14:anchorId="2A3C127A" wp14:editId="5D9DA5B7">
            <wp:extent cx="5248910" cy="1894205"/>
            <wp:effectExtent l="0" t="0" r="8890" b="0"/>
            <wp:docPr id="2039641539" name="Picture 203964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48910" cy="1894205"/>
                    </a:xfrm>
                    <a:prstGeom prst="rect">
                      <a:avLst/>
                    </a:prstGeom>
                    <a:noFill/>
                    <a:ln>
                      <a:noFill/>
                    </a:ln>
                  </pic:spPr>
                </pic:pic>
              </a:graphicData>
            </a:graphic>
          </wp:inline>
        </w:drawing>
      </w:r>
    </w:p>
    <w:p w14:paraId="7887C191" w14:textId="77777777" w:rsidR="00320CD0" w:rsidRPr="00E52A4A" w:rsidRDefault="00320CD0" w:rsidP="00320CD0">
      <w:pPr>
        <w:pStyle w:val="enumlev1"/>
        <w:spacing w:before="240"/>
      </w:pPr>
      <w:r w:rsidRPr="00E52A4A">
        <w:rPr>
          <w:i/>
          <w:iCs/>
        </w:rPr>
        <w:t>b)</w:t>
      </w:r>
      <w:r w:rsidRPr="00E52A4A">
        <w:rPr>
          <w:i/>
          <w:iCs/>
        </w:rPr>
        <w:tab/>
        <w:t>Qualité de crédit</w:t>
      </w:r>
    </w:p>
    <w:p w14:paraId="0B19CF0A" w14:textId="77777777" w:rsidR="00320CD0" w:rsidRPr="00E52A4A" w:rsidRDefault="00320CD0" w:rsidP="00320CD0">
      <w:pPr>
        <w:pStyle w:val="enumlev1"/>
      </w:pPr>
      <w:r w:rsidRPr="00E52A4A">
        <w:tab/>
        <w:t>La qualité de crédit est l'évaluation du risque de défaut de paiement afférent aux contreparties auxquelles l'UIT accorde des crédits, ainsi qu'aux parties avec lesquelles elle investit. L'UIT procède actuellement à des examens des niveaux des comptes débiteurs provenant des contributions mises en recouvrement et d'autres sources. Le vieillissement de ces montants suscite des inquiétudes, d'où une passation par pertes et profits d'un montant de 2,9 millions CHF en 2023. Il s'agit de poursuivre les travaux pour faire en sorte que l'UIT recouvre ses créances en temps voulu à l'avenir.</w:t>
      </w:r>
    </w:p>
    <w:p w14:paraId="782873BE" w14:textId="77777777" w:rsidR="00320CD0" w:rsidRPr="00E52A4A" w:rsidRDefault="00320CD0" w:rsidP="00320CD0">
      <w:pPr>
        <w:pStyle w:val="enumlev1"/>
      </w:pPr>
      <w:r w:rsidRPr="00E52A4A">
        <w:tab/>
        <w:t>Des mesures, telles que l'envoi trimestriel d'un relevé de compte et la suspension de la participation aux travaux de l'UIT, ont été instaurées pour aider à s'assurer que les États Membres, les Membres des Secteurs et les Associés règlent leurs arriérés. En outre, la possibilité de perdre le droit de vote a été instaurée pour inciter les États Membres à régler leurs arriérés dans les délais.</w:t>
      </w:r>
    </w:p>
    <w:p w14:paraId="42ED3A4E" w14:textId="77777777" w:rsidR="00320CD0" w:rsidRPr="00E52A4A" w:rsidRDefault="00320CD0" w:rsidP="00320CD0">
      <w:pPr>
        <w:pStyle w:val="enumlev1"/>
      </w:pPr>
      <w:r w:rsidRPr="00E52A4A">
        <w:tab/>
        <w:t xml:space="preserve">L'UIT diminue les risques de crédit sur la trésorerie et les équivalents de trésorerie et les placements en les répartissant entre plusieurs institutions bancaires ayant une cote de solvabilité élevée. En vertu de l'Article 16 du Règlement financier et des règles financières, le Secrétaire général choisit les banques ou autres institutions dans lesquelles sont déposés les fonds de l'Union. À cet égard, le Secrétaire général veille à ce que les fonds soient investis avant tout de façon à minimiser le risque sur les fonds principaux, tout en faisant en sorte </w:t>
      </w:r>
      <w:r w:rsidRPr="00E52A4A">
        <w:lastRenderedPageBreak/>
        <w:t>que l'Union dispose des liquidités nécessaires pour faire face à ses besoins de trésorerie. L'UIT ne dépose pas de fonds dans des banques dont la cote de solvabilité est inférieure à A3.</w:t>
      </w:r>
    </w:p>
    <w:p w14:paraId="21E2ACF6" w14:textId="77777777" w:rsidR="00320CD0" w:rsidRPr="00E52A4A" w:rsidRDefault="00320CD0" w:rsidP="00320CD0">
      <w:pPr>
        <w:pStyle w:val="enumlev1"/>
      </w:pPr>
      <w:r w:rsidRPr="00E52A4A">
        <w:tab/>
        <w:t>Ces critères mis à part, les investissements sont choisis sur la base des rendements raisonnablement les plus élevés et dans le respect des principes des Nations Unies.</w:t>
      </w:r>
    </w:p>
    <w:p w14:paraId="10121F0E" w14:textId="77777777" w:rsidR="00320CD0" w:rsidRPr="00E52A4A" w:rsidRDefault="00320CD0" w:rsidP="00320CD0">
      <w:pPr>
        <w:pStyle w:val="enumlev1"/>
      </w:pPr>
      <w:r w:rsidRPr="00E52A4A">
        <w:tab/>
        <w:t>Le Secrétaire général désigne les banques dans lesquelles les fonds de l'Union doivent être déposés, ouvre tous les comptes en banque nécessaires aux activités de l'Union et désigne les fonctionnaires autorisés à signer tous ordres relatifs auxdits comptes. Il autorise également toutes les fermetures de comptes en banque.</w:t>
      </w:r>
    </w:p>
    <w:p w14:paraId="223E0CB7" w14:textId="77777777" w:rsidR="00320CD0" w:rsidRPr="00E52A4A" w:rsidRDefault="00320CD0" w:rsidP="00320CD0">
      <w:pPr>
        <w:pStyle w:val="enumlev1"/>
        <w:spacing w:before="120"/>
      </w:pPr>
      <w:r w:rsidRPr="00E52A4A">
        <w:rPr>
          <w:i/>
          <w:iCs/>
        </w:rPr>
        <w:t>c)</w:t>
      </w:r>
      <w:r w:rsidRPr="00E52A4A">
        <w:rPr>
          <w:i/>
          <w:iCs/>
        </w:rPr>
        <w:tab/>
        <w:t>Risque de taux d'intérêt</w:t>
      </w:r>
    </w:p>
    <w:p w14:paraId="417A9DE6" w14:textId="77777777" w:rsidR="00320CD0" w:rsidRPr="00E52A4A" w:rsidRDefault="00320CD0" w:rsidP="00320CD0">
      <w:pPr>
        <w:pStyle w:val="enumlev1"/>
      </w:pPr>
      <w:r w:rsidRPr="00E52A4A">
        <w:tab/>
        <w:t>L'UIT est exposée aux risques de taux d'intérêt du fait de ses placements à court terme. Les taux d'intérêt négatifs introduits en 2015 ont été suspendus en septembre 2022.</w:t>
      </w:r>
    </w:p>
    <w:p w14:paraId="18085D18" w14:textId="77777777" w:rsidR="00320CD0" w:rsidRPr="00E52A4A" w:rsidRDefault="00320CD0" w:rsidP="00320CD0">
      <w:pPr>
        <w:pStyle w:val="enumlev1"/>
        <w:keepNext/>
        <w:keepLines/>
      </w:pPr>
      <w:r w:rsidRPr="00E52A4A">
        <w:tab/>
        <w:t>En 2022, nous pouvons également noter une augmentation du taux d'intérêt pour les dépôts à court terme en dollars des États-Unis. Cette augmentation, combinée à l'utilisation de nouveaux produits de dépôt, a permis à l'UIT de générer 1,5 million CHF d'intérêts (contre 241 000 CHF en 2021).</w:t>
      </w:r>
    </w:p>
    <w:p w14:paraId="13E821B6" w14:textId="77777777" w:rsidR="00320CD0" w:rsidRPr="00E52A4A" w:rsidRDefault="00320CD0" w:rsidP="00320CD0">
      <w:pPr>
        <w:pStyle w:val="enumlev1"/>
      </w:pPr>
      <w:r w:rsidRPr="00E52A4A">
        <w:tab/>
        <w:t>La trésorerie et l'équivalent de trésorerie, ainsi que les placements (dépôts à court terme) de l'UIT restent sûrs, car ils sont constitués d'actifs de haute qualité visant à préserver le capital.</w:t>
      </w:r>
    </w:p>
    <w:p w14:paraId="4B61FB3D" w14:textId="77777777" w:rsidR="00320CD0" w:rsidRPr="00E52A4A" w:rsidRDefault="00320CD0" w:rsidP="00320CD0">
      <w:pPr>
        <w:pStyle w:val="enumlev1"/>
        <w:spacing w:before="120"/>
        <w:rPr>
          <w:i/>
          <w:iCs/>
        </w:rPr>
      </w:pPr>
      <w:r w:rsidRPr="00E52A4A">
        <w:rPr>
          <w:i/>
          <w:iCs/>
        </w:rPr>
        <w:t>d)</w:t>
      </w:r>
      <w:r w:rsidRPr="00E52A4A">
        <w:rPr>
          <w:i/>
          <w:iCs/>
        </w:rPr>
        <w:tab/>
        <w:t>Risque de liquidité</w:t>
      </w:r>
    </w:p>
    <w:p w14:paraId="08F02EE0" w14:textId="77777777" w:rsidR="00320CD0" w:rsidRPr="00E52A4A" w:rsidRDefault="00320CD0" w:rsidP="00320CD0">
      <w:pPr>
        <w:pStyle w:val="enumlev1"/>
      </w:pPr>
      <w:r w:rsidRPr="00E52A4A">
        <w:tab/>
        <w:t>Le risque de liquidité est le risque que l'UIT ne soit pas en mesure de remplir ses engagements lorsqu'ils arrivent à échéance. L'approche adoptée par l'UIT pour gérer le risque de liquidité consiste à faire en sorte de disposer de liquidités suffisantes pour remplir ses engagements à leur échéance. Pour veiller à disposer de liquidités suffisantes pour faire face aux charges opérationnelles prévues, l'UIT utilise des prévisions de flux de trésorerie.</w:t>
      </w:r>
    </w:p>
    <w:p w14:paraId="01430771" w14:textId="77777777" w:rsidR="00320CD0" w:rsidRPr="00E52A4A" w:rsidRDefault="00320CD0" w:rsidP="00320CD0">
      <w:pPr>
        <w:pStyle w:val="enumlev1"/>
      </w:pPr>
      <w:r w:rsidRPr="00E52A4A">
        <w:tab/>
        <w:t>Le principal objectif de la gestion du capital de l'UIT est de faire en sorte que les liquidités disponibles soient suffisantes pour répondre aux besoins de financement de l'organisation, y compris les dépenses d'investissement, afin de garantir la solidité financière de l'Union.</w:t>
      </w:r>
    </w:p>
    <w:p w14:paraId="03813925" w14:textId="77777777" w:rsidR="00320CD0" w:rsidRPr="00E52A4A" w:rsidRDefault="00320CD0" w:rsidP="00320CD0">
      <w:pPr>
        <w:pStyle w:val="enumlev1"/>
        <w:keepNext/>
        <w:keepLines/>
        <w:spacing w:before="120"/>
        <w:rPr>
          <w:i/>
          <w:iCs/>
        </w:rPr>
      </w:pPr>
      <w:r w:rsidRPr="00E52A4A">
        <w:rPr>
          <w:i/>
          <w:iCs/>
        </w:rPr>
        <w:t>e)</w:t>
      </w:r>
      <w:r w:rsidRPr="00E52A4A">
        <w:rPr>
          <w:i/>
          <w:iCs/>
        </w:rPr>
        <w:tab/>
        <w:t>Risque de change</w:t>
      </w:r>
    </w:p>
    <w:p w14:paraId="0F79F1AC" w14:textId="77777777" w:rsidR="00320CD0" w:rsidRPr="00E52A4A" w:rsidRDefault="00320CD0" w:rsidP="00320CD0">
      <w:pPr>
        <w:pStyle w:val="enumlev1"/>
        <w:keepLines/>
      </w:pPr>
      <w:r w:rsidRPr="00E52A4A">
        <w:tab/>
        <w:t>L'UIT perçoit les contributions des États Membres et les contributions au titre du budget ordinaire en francs suisses, et les contributions extrabudgétaires dans des devises autres que le franc suisse. L'UIT n'a pas recours à des contrats de change à terme, des opérations à terme, des swaps ou des options de change pour couvrir les gains ou pertes de change réalisés ou non réalisés. Lorsque cela est possible, l'UIT pratique la couverture naturelle, en allouant directement les devises nécessaires sur les comptes bancaires appropriés.</w:t>
      </w:r>
    </w:p>
    <w:p w14:paraId="54391F6B" w14:textId="77777777" w:rsidR="00320CD0" w:rsidRPr="00E52A4A" w:rsidRDefault="00320CD0" w:rsidP="00320CD0">
      <w:pPr>
        <w:pStyle w:val="enumlev1"/>
      </w:pPr>
      <w:r w:rsidRPr="00E52A4A">
        <w:tab/>
        <w:t>Il y a lieu de noter que le nouveau régime d'assurance maladie est géré en francs suisses, ce qui réduit considérablement l'exposition aux variations des taux de change. L'Union est toujours exposée à des gains ou à des pertes de change résultant du versement des cotisations en dollars des États-Unis à la CCPPNU. Toutefois, étant donné que les cotisations des fonctionnaires de la catégorie professionnelle sont libellées en dollars des États-Unis alors que celles des fonctionnaires de la catégorie des services généraux sont libellées en francs suisses, et que le nombre de fonctionnaires dans ces deux catégories est équitablement réparti, les fluctuations du taux de change ont tendance à s'équilibrer.</w:t>
      </w:r>
    </w:p>
    <w:p w14:paraId="2E7734D4" w14:textId="77777777" w:rsidR="00320CD0" w:rsidRPr="00E52A4A" w:rsidRDefault="00320CD0" w:rsidP="00320CD0">
      <w:pPr>
        <w:pStyle w:val="enumlev1"/>
      </w:pPr>
      <w:r w:rsidRPr="00E52A4A">
        <w:lastRenderedPageBreak/>
        <w:tab/>
        <w:t>Les contributions extrabudgétaires sont gérées dans la devise de la contribution et converties en francs suisses à des fins de présentation. Le tableau ci-dessous présente les principaux montants détenus en devises étrangères, nos banques étant en euros et en dollars des États-Unis.</w:t>
      </w:r>
    </w:p>
    <w:p w14:paraId="2E3276B8" w14:textId="77777777" w:rsidR="00320CD0" w:rsidRPr="00E52A4A" w:rsidRDefault="00320CD0" w:rsidP="00320CD0">
      <w:pPr>
        <w:pStyle w:val="Figure"/>
      </w:pPr>
      <w:r w:rsidRPr="00E52A4A">
        <w:rPr>
          <w:noProof/>
        </w:rPr>
        <w:drawing>
          <wp:inline distT="0" distB="0" distL="0" distR="0" wp14:anchorId="03EB3DB1" wp14:editId="72AA6B77">
            <wp:extent cx="5438775" cy="2092960"/>
            <wp:effectExtent l="0" t="0" r="9525" b="2540"/>
            <wp:docPr id="291974677" name="Picture 29197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38775" cy="2092960"/>
                    </a:xfrm>
                    <a:prstGeom prst="rect">
                      <a:avLst/>
                    </a:prstGeom>
                    <a:noFill/>
                    <a:ln>
                      <a:noFill/>
                    </a:ln>
                  </pic:spPr>
                </pic:pic>
              </a:graphicData>
            </a:graphic>
          </wp:inline>
        </w:drawing>
      </w:r>
    </w:p>
    <w:p w14:paraId="6101322E" w14:textId="77777777" w:rsidR="00320CD0" w:rsidRPr="00E52A4A" w:rsidRDefault="00320CD0" w:rsidP="00320CD0">
      <w:pPr>
        <w:pStyle w:val="enumlev1"/>
        <w:spacing w:before="240"/>
        <w:rPr>
          <w:i/>
          <w:iCs/>
        </w:rPr>
      </w:pPr>
      <w:r w:rsidRPr="00E52A4A">
        <w:rPr>
          <w:i/>
          <w:iCs/>
        </w:rPr>
        <w:t>f)</w:t>
      </w:r>
      <w:r w:rsidRPr="00E52A4A">
        <w:rPr>
          <w:i/>
          <w:iCs/>
        </w:rPr>
        <w:tab/>
        <w:t>Risque de marché</w:t>
      </w:r>
    </w:p>
    <w:p w14:paraId="05EEF78A" w14:textId="77777777" w:rsidR="00320CD0" w:rsidRPr="00E52A4A" w:rsidRDefault="00320CD0" w:rsidP="00320CD0">
      <w:pPr>
        <w:pStyle w:val="enumlev1"/>
      </w:pPr>
      <w:r w:rsidRPr="00E52A4A">
        <w:tab/>
        <w:t>Le risque de marché est le risque afférent aux variations des prix de marché, notamment en ce qui concerne les taux de change et les taux d'intérêt, variations qui peuvent avoir des répercussions sur les recettes de l'UIT ou sur la valeur de ses instruments financiers. La gestion du risque de marché a pour objet de gérer l'exposition au risque de marché et de la maintenir dans des limites acceptables, tout en optimisant la rentabilité du risque.</w:t>
      </w:r>
    </w:p>
    <w:p w14:paraId="3B9B2108" w14:textId="77777777" w:rsidR="00320CD0" w:rsidRPr="00E52A4A" w:rsidRDefault="00320CD0" w:rsidP="00320CD0">
      <w:pPr>
        <w:pStyle w:val="enumlev1"/>
      </w:pPr>
      <w:r w:rsidRPr="00E52A4A">
        <w:tab/>
        <w:t>Tous les instruments financiers détenus par l'UIT ont des prix cotés sur les marchés actifs classés au Niveau 1.</w:t>
      </w:r>
    </w:p>
    <w:p w14:paraId="494EF6B7" w14:textId="77777777" w:rsidR="00320CD0" w:rsidRPr="00E52A4A" w:rsidRDefault="00320CD0" w:rsidP="00320CD0">
      <w:r w:rsidRPr="00E52A4A">
        <w:t>La structure des échéances des instruments financiers au 31 décembre 2022 est la suivante:</w:t>
      </w:r>
    </w:p>
    <w:p w14:paraId="755B96E8" w14:textId="77777777" w:rsidR="00320CD0" w:rsidRPr="00E52A4A" w:rsidRDefault="00320CD0" w:rsidP="00320CD0">
      <w:pPr>
        <w:pStyle w:val="Figure"/>
        <w:keepNext w:val="0"/>
        <w:keepLines w:val="0"/>
        <w:rPr>
          <w:sz w:val="20"/>
          <w:u w:val="single"/>
        </w:rPr>
      </w:pPr>
      <w:r w:rsidRPr="00E52A4A">
        <w:rPr>
          <w:noProof/>
        </w:rPr>
        <w:drawing>
          <wp:inline distT="0" distB="0" distL="0" distR="0" wp14:anchorId="0EE9AEF7" wp14:editId="35EA0196">
            <wp:extent cx="4831080" cy="2124710"/>
            <wp:effectExtent l="0" t="0" r="762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31080" cy="2124710"/>
                    </a:xfrm>
                    <a:prstGeom prst="rect">
                      <a:avLst/>
                    </a:prstGeom>
                    <a:noFill/>
                    <a:ln>
                      <a:noFill/>
                    </a:ln>
                  </pic:spPr>
                </pic:pic>
              </a:graphicData>
            </a:graphic>
          </wp:inline>
        </w:drawing>
      </w:r>
    </w:p>
    <w:p w14:paraId="55B9269C" w14:textId="77777777" w:rsidR="00320CD0" w:rsidRPr="00E52A4A" w:rsidRDefault="00320CD0" w:rsidP="00320CD0">
      <w:pPr>
        <w:pStyle w:val="Heading1"/>
        <w:rPr>
          <w:sz w:val="24"/>
          <w:szCs w:val="24"/>
        </w:rPr>
      </w:pPr>
      <w:bookmarkStart w:id="331" w:name="_Toc329178778"/>
      <w:bookmarkStart w:id="332" w:name="_Toc329181751"/>
      <w:bookmarkStart w:id="333" w:name="_Toc329202572"/>
      <w:bookmarkStart w:id="334" w:name="_Toc329205004"/>
      <w:bookmarkStart w:id="335" w:name="_Toc329206841"/>
      <w:bookmarkStart w:id="336" w:name="_Toc358379927"/>
      <w:bookmarkStart w:id="337" w:name="_Toc358380467"/>
      <w:bookmarkStart w:id="338" w:name="_Toc452139836"/>
      <w:bookmarkStart w:id="339" w:name="_Toc452140709"/>
      <w:bookmarkStart w:id="340" w:name="_Toc482801499"/>
      <w:bookmarkStart w:id="341" w:name="_Toc511649471"/>
      <w:bookmarkStart w:id="342" w:name="_Toc511649841"/>
      <w:bookmarkStart w:id="343" w:name="_Toc511649957"/>
      <w:bookmarkStart w:id="344" w:name="_Toc511651214"/>
      <w:bookmarkStart w:id="345" w:name="_Toc511724079"/>
      <w:bookmarkStart w:id="346" w:name="_Toc511739068"/>
      <w:bookmarkStart w:id="347" w:name="_Toc511741237"/>
      <w:bookmarkStart w:id="348" w:name="_Toc10450743"/>
      <w:bookmarkStart w:id="349" w:name="_Toc41566343"/>
      <w:bookmarkStart w:id="350" w:name="_Toc41567351"/>
      <w:bookmarkStart w:id="351" w:name="_Toc41567854"/>
      <w:bookmarkStart w:id="352" w:name="_Toc41814949"/>
      <w:bookmarkStart w:id="353" w:name="_Toc73354438"/>
      <w:bookmarkStart w:id="354" w:name="_Toc73356414"/>
      <w:bookmarkStart w:id="355" w:name="_Toc162331507"/>
      <w:bookmarkStart w:id="356" w:name="_Toc162331717"/>
      <w:bookmarkStart w:id="357" w:name="_Toc268007536"/>
      <w:r w:rsidRPr="00E52A4A">
        <w:rPr>
          <w:sz w:val="24"/>
          <w:szCs w:val="24"/>
        </w:rPr>
        <w:lastRenderedPageBreak/>
        <w:t>Note 6</w:t>
      </w:r>
      <w:r w:rsidRPr="00E52A4A">
        <w:rPr>
          <w:sz w:val="24"/>
          <w:szCs w:val="24"/>
        </w:rPr>
        <w:tab/>
        <w:t>Jugement et estimations comptables</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3B0B10E7" w14:textId="5C96C7AA" w:rsidR="00320CD0" w:rsidRPr="00E52A4A" w:rsidRDefault="00320CD0" w:rsidP="00320CD0">
      <w:pPr>
        <w:keepNext/>
        <w:keepLines/>
      </w:pPr>
      <w:r w:rsidRPr="00E52A4A">
        <w:t>La préparation des états financiers selon les normes IPSAS implique le recours à des estimations et/ou à des hypothèses ayant une influence, d'une part, sur les montants des actifs et des passifs présentés, sur la présentation des imprévus et engagements conditionnels à la date du bilan et, d'autre part, sur le montant des produits et des charges de la période comptable. Bien que les estimations soient fondées sur l'expérience passée ainsi que sur divers autres facteurs jugés raisonnables au regard des circonstances, les résultats effectivement obtenus peuvent différer de ceux prévus lorsque ces estimations ont été établies.</w:t>
      </w:r>
    </w:p>
    <w:p w14:paraId="32944CC7" w14:textId="77777777" w:rsidR="00320CD0" w:rsidRPr="00E52A4A" w:rsidRDefault="00320CD0" w:rsidP="00320CD0">
      <w:r w:rsidRPr="00E52A4A">
        <w:t>Les domaines impliquant un haut degré de jugement et de complexité ou ceux dont les hypothèses et estimations ont un impact significatif sur l'établissement des États financiers sont:</w:t>
      </w:r>
    </w:p>
    <w:p w14:paraId="7E52467B" w14:textId="77777777" w:rsidR="00320CD0" w:rsidRPr="00E52A4A" w:rsidRDefault="00320CD0" w:rsidP="00320CD0">
      <w:pPr>
        <w:pStyle w:val="enumlev1"/>
      </w:pPr>
      <w:r w:rsidRPr="00E52A4A">
        <w:t>•</w:t>
      </w:r>
      <w:r w:rsidRPr="00E52A4A">
        <w:tab/>
        <w:t>Les avantages postérieurs à l'emploi, notamment concernant le plan ASHI (voir la Note 18).</w:t>
      </w:r>
    </w:p>
    <w:p w14:paraId="3566D4DF" w14:textId="77777777" w:rsidR="00320CD0" w:rsidRPr="00E52A4A" w:rsidRDefault="00320CD0" w:rsidP="00320CD0">
      <w:pPr>
        <w:pStyle w:val="enumlev1"/>
      </w:pPr>
      <w:r w:rsidRPr="00E52A4A">
        <w:t>•</w:t>
      </w:r>
      <w:r w:rsidRPr="00E52A4A">
        <w:tab/>
        <w:t>Les durées d'utilité des immobilisations incorporelles et leur perte éventuelle de valeur (voir les Notes 3.3, 3.4 et 12-13).</w:t>
      </w:r>
    </w:p>
    <w:p w14:paraId="45012FF9" w14:textId="77777777" w:rsidR="00320CD0" w:rsidRPr="00E52A4A" w:rsidRDefault="00320CD0" w:rsidP="00320CD0">
      <w:pPr>
        <w:pStyle w:val="enumlev1"/>
      </w:pPr>
      <w:r w:rsidRPr="00E52A4A">
        <w:t>•</w:t>
      </w:r>
      <w:r w:rsidRPr="00E52A4A">
        <w:tab/>
        <w:t>La dépréciation des créances (voir la Note 9).</w:t>
      </w:r>
    </w:p>
    <w:p w14:paraId="599A4FCD" w14:textId="77777777" w:rsidR="00320CD0" w:rsidRPr="00E52A4A" w:rsidRDefault="00320CD0" w:rsidP="00320CD0">
      <w:pPr>
        <w:pStyle w:val="enumlev1"/>
      </w:pPr>
      <w:r w:rsidRPr="00E52A4A">
        <w:t>•</w:t>
      </w:r>
      <w:r w:rsidRPr="00E52A4A">
        <w:tab/>
        <w:t>Les probabilités de vente des publications en stock (voir la Note 10).</w:t>
      </w:r>
    </w:p>
    <w:p w14:paraId="0FF45E57" w14:textId="77777777" w:rsidR="00320CD0" w:rsidRPr="00E52A4A" w:rsidRDefault="00320CD0" w:rsidP="00320CD0">
      <w:pPr>
        <w:pStyle w:val="enumlev1"/>
      </w:pPr>
      <w:r w:rsidRPr="00E52A4A">
        <w:t>•</w:t>
      </w:r>
      <w:r w:rsidRPr="00E52A4A">
        <w:tab/>
        <w:t>Les produits différés des fiches de notifications des réseaux à satellite (voir la Note 16).</w:t>
      </w:r>
    </w:p>
    <w:p w14:paraId="2CD3F48A" w14:textId="77777777" w:rsidR="00320CD0" w:rsidRPr="00E52A4A" w:rsidRDefault="00320CD0" w:rsidP="00320CD0">
      <w:pPr>
        <w:pStyle w:val="enumlev1"/>
      </w:pPr>
      <w:r w:rsidRPr="00E52A4A">
        <w:t>•</w:t>
      </w:r>
      <w:r w:rsidRPr="00E52A4A">
        <w:tab/>
        <w:t>Les provisions pour les fiches de notification de réseaux à satellite et pour les litiges (voir la Note 19).</w:t>
      </w:r>
    </w:p>
    <w:p w14:paraId="5A59302B" w14:textId="77777777" w:rsidR="00320CD0" w:rsidRPr="00E52A4A" w:rsidRDefault="00320CD0" w:rsidP="00320CD0">
      <w:pPr>
        <w:pStyle w:val="Heading1"/>
        <w:spacing w:before="240" w:after="120"/>
        <w:rPr>
          <w:sz w:val="24"/>
          <w:szCs w:val="24"/>
        </w:rPr>
      </w:pPr>
      <w:bookmarkStart w:id="358" w:name="_Toc269839081"/>
      <w:bookmarkStart w:id="359" w:name="_Toc268007537"/>
      <w:bookmarkStart w:id="360" w:name="_Toc329178779"/>
      <w:bookmarkStart w:id="361" w:name="_Toc329181752"/>
      <w:bookmarkStart w:id="362" w:name="_Toc329202573"/>
      <w:bookmarkStart w:id="363" w:name="_Toc329205005"/>
      <w:bookmarkStart w:id="364" w:name="_Toc329206842"/>
      <w:bookmarkStart w:id="365" w:name="_Toc358379928"/>
      <w:bookmarkStart w:id="366" w:name="_Toc358380468"/>
      <w:bookmarkStart w:id="367" w:name="_Toc387166649"/>
      <w:bookmarkStart w:id="368" w:name="_Toc395260934"/>
      <w:bookmarkStart w:id="369" w:name="_Toc395511713"/>
      <w:bookmarkStart w:id="370" w:name="_Toc452138623"/>
      <w:bookmarkStart w:id="371" w:name="_Toc452139072"/>
      <w:bookmarkStart w:id="372" w:name="_Toc452139436"/>
      <w:bookmarkStart w:id="373" w:name="_Toc452139837"/>
      <w:bookmarkStart w:id="374" w:name="_Toc452140710"/>
      <w:bookmarkStart w:id="375" w:name="_Toc482801500"/>
      <w:bookmarkStart w:id="376" w:name="_Toc511649472"/>
      <w:bookmarkStart w:id="377" w:name="_Toc511649842"/>
      <w:bookmarkStart w:id="378" w:name="_Toc511649958"/>
      <w:bookmarkStart w:id="379" w:name="_Toc511651215"/>
      <w:bookmarkStart w:id="380" w:name="_Toc511724080"/>
      <w:bookmarkStart w:id="381" w:name="_Toc511739069"/>
      <w:bookmarkStart w:id="382" w:name="_Toc511741238"/>
      <w:bookmarkStart w:id="383" w:name="_Toc10450744"/>
      <w:bookmarkStart w:id="384" w:name="_Toc41566344"/>
      <w:bookmarkStart w:id="385" w:name="_Toc41567352"/>
      <w:bookmarkStart w:id="386" w:name="_Toc41567855"/>
      <w:bookmarkStart w:id="387" w:name="_Toc41814950"/>
      <w:bookmarkStart w:id="388" w:name="_Toc73354439"/>
      <w:bookmarkStart w:id="389" w:name="_Toc73356415"/>
      <w:bookmarkStart w:id="390" w:name="_Toc162331508"/>
      <w:bookmarkStart w:id="391" w:name="_Toc162331718"/>
      <w:bookmarkEnd w:id="357"/>
      <w:r w:rsidRPr="00E52A4A">
        <w:rPr>
          <w:sz w:val="24"/>
          <w:szCs w:val="24"/>
        </w:rPr>
        <w:t>Note 7</w:t>
      </w:r>
      <w:r w:rsidRPr="00E52A4A">
        <w:rPr>
          <w:sz w:val="24"/>
          <w:szCs w:val="24"/>
        </w:rPr>
        <w:tab/>
        <w:t>Trésorerie et équivalents de trésorerie</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2A99B9E3" w14:textId="77777777" w:rsidR="00320CD0" w:rsidRPr="00E52A4A" w:rsidRDefault="00320CD0" w:rsidP="00320CD0">
      <w:pPr>
        <w:pStyle w:val="Figure"/>
      </w:pPr>
      <w:r w:rsidRPr="00E52A4A">
        <w:rPr>
          <w:noProof/>
        </w:rPr>
        <w:drawing>
          <wp:inline distT="0" distB="0" distL="0" distR="0" wp14:anchorId="6D4BB8BF" wp14:editId="0CFB6EC0">
            <wp:extent cx="5210175" cy="1786255"/>
            <wp:effectExtent l="0" t="0" r="952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10175" cy="1786255"/>
                    </a:xfrm>
                    <a:prstGeom prst="rect">
                      <a:avLst/>
                    </a:prstGeom>
                    <a:noFill/>
                    <a:ln>
                      <a:noFill/>
                    </a:ln>
                  </pic:spPr>
                </pic:pic>
              </a:graphicData>
            </a:graphic>
          </wp:inline>
        </w:drawing>
      </w:r>
    </w:p>
    <w:p w14:paraId="667D1241" w14:textId="77777777" w:rsidR="00320CD0" w:rsidRPr="00E52A4A" w:rsidRDefault="00320CD0" w:rsidP="00320CD0">
      <w:bookmarkStart w:id="392" w:name="_MON_1401623178"/>
      <w:bookmarkEnd w:id="392"/>
      <w:r w:rsidRPr="00E52A4A">
        <w:t>Le tableau ci-dessus indique les soldes de trésorerie au 31 décembre 2022 et au 31 décembre 2021 et le tableau ci-dessous montre le niveau des restrictions pour l'utilisation immédiate dans l'exercice normal des activités. Les caisses dont l'utilisation est restreinte se composent du prêt obtenu auprès de la FIPOI et des dons destinés au nouveau bâtiment et de l'ancienne Caisse des pensions de l'UIT.</w:t>
      </w:r>
    </w:p>
    <w:p w14:paraId="67322AD1" w14:textId="77777777" w:rsidR="00320CD0" w:rsidRPr="00E52A4A" w:rsidRDefault="00320CD0" w:rsidP="00320CD0">
      <w:pPr>
        <w:pStyle w:val="Figure"/>
      </w:pPr>
      <w:r w:rsidRPr="00E52A4A">
        <w:rPr>
          <w:noProof/>
        </w:rPr>
        <w:lastRenderedPageBreak/>
        <w:drawing>
          <wp:inline distT="0" distB="0" distL="0" distR="0" wp14:anchorId="24D47CDD" wp14:editId="06C6FE35">
            <wp:extent cx="4752975" cy="2679700"/>
            <wp:effectExtent l="0" t="0" r="952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52975" cy="2679700"/>
                    </a:xfrm>
                    <a:prstGeom prst="rect">
                      <a:avLst/>
                    </a:prstGeom>
                    <a:noFill/>
                    <a:ln>
                      <a:noFill/>
                    </a:ln>
                  </pic:spPr>
                </pic:pic>
              </a:graphicData>
            </a:graphic>
          </wp:inline>
        </w:drawing>
      </w:r>
    </w:p>
    <w:p w14:paraId="0AA180A6" w14:textId="77777777" w:rsidR="00320CD0" w:rsidRPr="00E52A4A" w:rsidRDefault="00320CD0" w:rsidP="00320CD0">
      <w:pPr>
        <w:pStyle w:val="Heading1"/>
        <w:spacing w:before="240"/>
        <w:rPr>
          <w:sz w:val="24"/>
          <w:szCs w:val="24"/>
        </w:rPr>
      </w:pPr>
      <w:bookmarkStart w:id="393" w:name="_Toc268007538"/>
      <w:bookmarkStart w:id="394" w:name="_Toc269839082"/>
      <w:bookmarkStart w:id="395" w:name="_Toc329178781"/>
      <w:bookmarkStart w:id="396" w:name="_Toc329181754"/>
      <w:bookmarkStart w:id="397" w:name="_Toc329202574"/>
      <w:bookmarkStart w:id="398" w:name="_Toc329205006"/>
      <w:bookmarkStart w:id="399" w:name="_Toc329206843"/>
      <w:bookmarkStart w:id="400" w:name="_Toc358379929"/>
      <w:bookmarkStart w:id="401" w:name="_Toc358380469"/>
      <w:bookmarkStart w:id="402" w:name="_Toc452140711"/>
      <w:bookmarkStart w:id="403" w:name="_Toc482801501"/>
      <w:bookmarkStart w:id="404" w:name="_Toc511649473"/>
      <w:bookmarkStart w:id="405" w:name="_Toc511649843"/>
      <w:bookmarkStart w:id="406" w:name="_Toc511649959"/>
      <w:bookmarkStart w:id="407" w:name="_Toc511651216"/>
      <w:bookmarkStart w:id="408" w:name="_Toc511724081"/>
      <w:bookmarkStart w:id="409" w:name="_Toc511739070"/>
      <w:bookmarkStart w:id="410" w:name="_Toc511741239"/>
      <w:bookmarkStart w:id="411" w:name="_Toc10450745"/>
      <w:bookmarkStart w:id="412" w:name="_Toc41566345"/>
      <w:bookmarkStart w:id="413" w:name="_Toc41567353"/>
      <w:bookmarkStart w:id="414" w:name="_Toc41567856"/>
      <w:bookmarkStart w:id="415" w:name="_Toc41814951"/>
      <w:bookmarkStart w:id="416" w:name="_Toc73354440"/>
      <w:bookmarkStart w:id="417" w:name="_Toc73356416"/>
      <w:bookmarkStart w:id="418" w:name="_Toc162331509"/>
      <w:bookmarkStart w:id="419" w:name="_Toc162331719"/>
      <w:r w:rsidRPr="00E52A4A">
        <w:rPr>
          <w:sz w:val="24"/>
          <w:szCs w:val="24"/>
        </w:rPr>
        <w:t>Note 8</w:t>
      </w:r>
      <w:r w:rsidRPr="00E52A4A">
        <w:rPr>
          <w:sz w:val="24"/>
          <w:szCs w:val="24"/>
        </w:rPr>
        <w:tab/>
        <w:t>Placement</w:t>
      </w:r>
      <w:bookmarkEnd w:id="393"/>
      <w:r w:rsidRPr="00E52A4A">
        <w:rPr>
          <w:sz w:val="24"/>
          <w:szCs w:val="24"/>
        </w:rPr>
        <w:t>s</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70D12948" w14:textId="77777777" w:rsidR="00320CD0" w:rsidRPr="00E52A4A" w:rsidRDefault="00320CD0" w:rsidP="003B3C62">
      <w:r w:rsidRPr="00E52A4A">
        <w:t>Les placements à terme sont rémunérés aux taux du marché et rangés dans la catégorie des i</w:t>
      </w:r>
      <w:r w:rsidRPr="00E52A4A">
        <w:rPr>
          <w:szCs w:val="22"/>
        </w:rPr>
        <w:t>nstruments financiers à la juste valeur par résultat</w:t>
      </w:r>
      <w:r w:rsidRPr="00E52A4A">
        <w:t>. La juste valeur des dépôts en espèces est équivalente à leur valeur comptable.</w:t>
      </w:r>
    </w:p>
    <w:p w14:paraId="2329AC37" w14:textId="77777777" w:rsidR="00320CD0" w:rsidRPr="00E52A4A" w:rsidRDefault="00320CD0" w:rsidP="003B3C62">
      <w:r w:rsidRPr="00E52A4A">
        <w:t>La diminution des placements est principalement due à l'augmentation du taux d'exécution des produits tirés des projets extrabudgétaires reçus en 2021, qui se traduit également par la diminution des fonds de tiers (voir la Note 21). En outre, les produits effectifs inscrits au budget</w:t>
      </w:r>
      <w:r w:rsidRPr="00E52A4A">
        <w:noBreakHyphen/>
        <w:t>programme ont été inférieurs aux montants budgétés, ce qui a encore réduit les fonds disponibles pour les placements.</w:t>
      </w:r>
    </w:p>
    <w:p w14:paraId="10C0739B" w14:textId="77777777" w:rsidR="00320CD0" w:rsidRPr="00E52A4A" w:rsidRDefault="00320CD0" w:rsidP="003B3C62">
      <w:bookmarkStart w:id="420" w:name="_MON_1388229814"/>
      <w:bookmarkStart w:id="421" w:name="_MON_1388239922"/>
      <w:bookmarkEnd w:id="420"/>
      <w:bookmarkEnd w:id="421"/>
      <w:r w:rsidRPr="00E52A4A">
        <w:t>Le détail des placements à terme par échéance (échéance restante), ainsi que par devise, est donné ci-après:</w:t>
      </w:r>
    </w:p>
    <w:p w14:paraId="421FA892" w14:textId="77777777" w:rsidR="00320CD0" w:rsidRPr="00E52A4A" w:rsidRDefault="00320CD0" w:rsidP="00320CD0">
      <w:pPr>
        <w:pStyle w:val="Figure"/>
        <w:keepNext w:val="0"/>
        <w:keepLines w:val="0"/>
        <w:rPr>
          <w:lang w:eastAsia="fr-FR"/>
        </w:rPr>
      </w:pPr>
      <w:bookmarkStart w:id="422" w:name="_MON_1397396454"/>
      <w:bookmarkStart w:id="423" w:name="_MON_1395746156"/>
      <w:bookmarkStart w:id="424" w:name="_Toc268007539"/>
      <w:bookmarkStart w:id="425" w:name="_Toc329178782"/>
      <w:bookmarkStart w:id="426" w:name="_Toc329181755"/>
      <w:bookmarkStart w:id="427" w:name="_Toc329202575"/>
      <w:bookmarkStart w:id="428" w:name="_Toc329205007"/>
      <w:bookmarkStart w:id="429" w:name="_Toc329206844"/>
      <w:bookmarkEnd w:id="422"/>
      <w:bookmarkEnd w:id="423"/>
      <w:r w:rsidRPr="00E52A4A">
        <w:rPr>
          <w:noProof/>
        </w:rPr>
        <w:drawing>
          <wp:inline distT="0" distB="0" distL="0" distR="0" wp14:anchorId="1B12FB84" wp14:editId="4247BCA3">
            <wp:extent cx="3493770" cy="15646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93770" cy="1564640"/>
                    </a:xfrm>
                    <a:prstGeom prst="rect">
                      <a:avLst/>
                    </a:prstGeom>
                    <a:noFill/>
                    <a:ln>
                      <a:noFill/>
                    </a:ln>
                  </pic:spPr>
                </pic:pic>
              </a:graphicData>
            </a:graphic>
          </wp:inline>
        </w:drawing>
      </w:r>
    </w:p>
    <w:p w14:paraId="5392C9C5" w14:textId="77777777" w:rsidR="00320CD0" w:rsidRPr="00E52A4A" w:rsidRDefault="00320CD0" w:rsidP="00320CD0">
      <w:pPr>
        <w:pStyle w:val="Heading1"/>
        <w:spacing w:before="240"/>
        <w:rPr>
          <w:sz w:val="24"/>
          <w:szCs w:val="24"/>
        </w:rPr>
      </w:pPr>
      <w:bookmarkStart w:id="430" w:name="_Toc358379930"/>
      <w:bookmarkStart w:id="431" w:name="_Toc358380470"/>
      <w:bookmarkStart w:id="432" w:name="_Toc387166650"/>
      <w:bookmarkStart w:id="433" w:name="_Toc395260935"/>
      <w:bookmarkStart w:id="434" w:name="_Toc395511714"/>
      <w:bookmarkStart w:id="435" w:name="_Toc452138624"/>
      <w:bookmarkStart w:id="436" w:name="_Toc452139073"/>
      <w:bookmarkStart w:id="437" w:name="_Toc452139437"/>
      <w:bookmarkStart w:id="438" w:name="_Toc452139838"/>
      <w:bookmarkStart w:id="439" w:name="_Toc452140712"/>
      <w:bookmarkStart w:id="440" w:name="_Toc482801502"/>
      <w:bookmarkStart w:id="441" w:name="_Toc511649474"/>
      <w:bookmarkStart w:id="442" w:name="_Toc511649844"/>
      <w:bookmarkStart w:id="443" w:name="_Toc511649960"/>
      <w:bookmarkStart w:id="444" w:name="_Toc511651217"/>
      <w:bookmarkStart w:id="445" w:name="_Toc511724082"/>
      <w:bookmarkStart w:id="446" w:name="_Toc511739071"/>
      <w:bookmarkStart w:id="447" w:name="_Toc511741240"/>
      <w:bookmarkStart w:id="448" w:name="_Toc10450746"/>
      <w:bookmarkStart w:id="449" w:name="_Toc41566346"/>
      <w:bookmarkStart w:id="450" w:name="_Toc41567354"/>
      <w:bookmarkStart w:id="451" w:name="_Toc41567857"/>
      <w:bookmarkStart w:id="452" w:name="_Toc41814952"/>
      <w:bookmarkStart w:id="453" w:name="_Toc73354441"/>
      <w:bookmarkStart w:id="454" w:name="_Toc73356417"/>
      <w:bookmarkStart w:id="455" w:name="_Toc162331510"/>
      <w:bookmarkStart w:id="456" w:name="_Toc162331720"/>
      <w:r w:rsidRPr="00E52A4A">
        <w:rPr>
          <w:sz w:val="24"/>
          <w:szCs w:val="24"/>
        </w:rPr>
        <w:lastRenderedPageBreak/>
        <w:t>Note 9</w:t>
      </w:r>
      <w:r w:rsidRPr="00E52A4A">
        <w:rPr>
          <w:sz w:val="24"/>
          <w:szCs w:val="24"/>
        </w:rPr>
        <w:tab/>
        <w:t>C</w:t>
      </w:r>
      <w:bookmarkEnd w:id="424"/>
      <w:r w:rsidRPr="00E52A4A">
        <w:rPr>
          <w:sz w:val="24"/>
          <w:szCs w:val="24"/>
        </w:rPr>
        <w:t>réances</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14:paraId="41537783" w14:textId="77777777" w:rsidR="00320CD0" w:rsidRPr="00E52A4A" w:rsidRDefault="00320CD0" w:rsidP="00320CD0">
      <w:pPr>
        <w:pStyle w:val="Figure"/>
        <w:rPr>
          <w:sz w:val="20"/>
          <w:highlight w:val="yellow"/>
        </w:rPr>
      </w:pPr>
      <w:r w:rsidRPr="00E52A4A">
        <w:rPr>
          <w:noProof/>
        </w:rPr>
        <w:drawing>
          <wp:inline distT="0" distB="0" distL="0" distR="0" wp14:anchorId="551C9035" wp14:editId="43D516AC">
            <wp:extent cx="6120765" cy="35610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765" cy="3561080"/>
                    </a:xfrm>
                    <a:prstGeom prst="rect">
                      <a:avLst/>
                    </a:prstGeom>
                    <a:noFill/>
                    <a:ln>
                      <a:noFill/>
                    </a:ln>
                  </pic:spPr>
                </pic:pic>
              </a:graphicData>
            </a:graphic>
          </wp:inline>
        </w:drawing>
      </w:r>
    </w:p>
    <w:p w14:paraId="3A1CBA7A" w14:textId="77777777" w:rsidR="00320CD0" w:rsidRPr="00E52A4A" w:rsidRDefault="00320CD0" w:rsidP="00320CD0">
      <w:pPr>
        <w:keepNext/>
        <w:keepLines/>
      </w:pPr>
      <w:r w:rsidRPr="00E52A4A">
        <w:t>Les créances non courantes sans contrepartie directe représentent des créances liées aux plans d'amortissement de la dette de certains membres qui se sont engagés à rembourser cette dette dans le cadre d'un accord couvrant plusieurs exercices.</w:t>
      </w:r>
    </w:p>
    <w:p w14:paraId="7B2AA4A5" w14:textId="77777777" w:rsidR="00320CD0" w:rsidRPr="00E52A4A" w:rsidRDefault="00320CD0" w:rsidP="00320CD0">
      <w:r w:rsidRPr="00E52A4A">
        <w:t>Les autres créances représentent les produits non encaissés pour les services liés à ITU TELECOM et les contributions volontaires.</w:t>
      </w:r>
      <w:bookmarkStart w:id="457" w:name="_Toc268007540"/>
    </w:p>
    <w:p w14:paraId="2DFB5557" w14:textId="77777777" w:rsidR="00320CD0" w:rsidRPr="00E52A4A" w:rsidRDefault="00320CD0" w:rsidP="00320CD0">
      <w:pPr>
        <w:keepNext/>
        <w:keepLines/>
        <w:spacing w:after="120"/>
      </w:pPr>
      <w:r w:rsidRPr="00E52A4A">
        <w:t>Après le paiement de créances pour un montant de 4,8 millions CHF pour lesquelles une dépréciation avait été effectuée ces dernières années, la dépréciation pour créances douteuses a été réduite en conséquence. En fin d'exercice, un ajustement a été comptabilisé, d'un montant de 1,8 million CHF pour le budget ordinaire.</w:t>
      </w:r>
    </w:p>
    <w:p w14:paraId="1E05A6C6" w14:textId="77777777" w:rsidR="00320CD0" w:rsidRPr="00E52A4A" w:rsidRDefault="00320CD0" w:rsidP="00320CD0">
      <w:pPr>
        <w:keepNext/>
        <w:keepLines/>
        <w:spacing w:after="120"/>
      </w:pPr>
      <w:r w:rsidRPr="00E52A4A">
        <w:t>En 2022, les intérêts moratoires calculés conformément au numéro 474 (article 33) de la Convention, se sont élevés à 1,5 million CHF (contre 1,8 million CHF en 2021).</w:t>
      </w:r>
    </w:p>
    <w:p w14:paraId="59DBCE4C" w14:textId="440891BC" w:rsidR="00320CD0" w:rsidRPr="00E52A4A" w:rsidRDefault="00320CD0" w:rsidP="00320CD0">
      <w:pPr>
        <w:spacing w:after="120"/>
      </w:pPr>
      <w:bookmarkStart w:id="458" w:name="_Toc329202576"/>
      <w:bookmarkStart w:id="459" w:name="_Toc329205008"/>
      <w:bookmarkStart w:id="460" w:name="_Toc329206845"/>
      <w:bookmarkStart w:id="461" w:name="_Toc358379931"/>
      <w:bookmarkStart w:id="462" w:name="_Toc358380471"/>
      <w:r w:rsidRPr="00E52A4A">
        <w:t xml:space="preserve">La situation des arriérés dans le budget ordinaire de l'Union au 31 décembre 2022 est donnée dans le Document </w:t>
      </w:r>
      <w:hyperlink r:id="rId49" w:history="1">
        <w:r w:rsidRPr="00223264">
          <w:rPr>
            <w:rStyle w:val="Hyperlink"/>
          </w:rPr>
          <w:t>C23/INF/4</w:t>
        </w:r>
      </w:hyperlink>
      <w:r w:rsidRPr="00E52A4A">
        <w:t>.</w:t>
      </w:r>
    </w:p>
    <w:p w14:paraId="608627AD" w14:textId="77777777" w:rsidR="00320CD0" w:rsidRPr="00E52A4A" w:rsidRDefault="00320CD0" w:rsidP="00320CD0">
      <w:pPr>
        <w:pStyle w:val="Heading1"/>
        <w:spacing w:before="240"/>
        <w:rPr>
          <w:sz w:val="24"/>
          <w:szCs w:val="24"/>
        </w:rPr>
      </w:pPr>
      <w:bookmarkStart w:id="463" w:name="_Toc387166651"/>
      <w:bookmarkStart w:id="464" w:name="_Toc395260936"/>
      <w:bookmarkStart w:id="465" w:name="_Toc395511715"/>
      <w:bookmarkStart w:id="466" w:name="_Toc452138625"/>
      <w:bookmarkStart w:id="467" w:name="_Toc452139074"/>
      <w:bookmarkStart w:id="468" w:name="_Toc452139438"/>
      <w:bookmarkStart w:id="469" w:name="_Toc452139839"/>
      <w:bookmarkStart w:id="470" w:name="_Toc452140713"/>
      <w:bookmarkStart w:id="471" w:name="_Toc482801503"/>
      <w:bookmarkStart w:id="472" w:name="_Toc511649475"/>
      <w:bookmarkStart w:id="473" w:name="_Toc511649845"/>
      <w:bookmarkStart w:id="474" w:name="_Toc511649961"/>
      <w:bookmarkStart w:id="475" w:name="_Toc511651218"/>
      <w:bookmarkStart w:id="476" w:name="_Toc511724083"/>
      <w:bookmarkStart w:id="477" w:name="_Toc511739072"/>
      <w:bookmarkStart w:id="478" w:name="_Toc511741241"/>
      <w:bookmarkStart w:id="479" w:name="_Toc10450747"/>
      <w:bookmarkStart w:id="480" w:name="_Toc41566347"/>
      <w:bookmarkStart w:id="481" w:name="_Toc41567355"/>
      <w:bookmarkStart w:id="482" w:name="_Toc41567858"/>
      <w:bookmarkStart w:id="483" w:name="_Toc41814953"/>
      <w:bookmarkStart w:id="484" w:name="_Toc73354442"/>
      <w:bookmarkStart w:id="485" w:name="_Toc73356418"/>
      <w:bookmarkStart w:id="486" w:name="_Toc162331511"/>
      <w:bookmarkStart w:id="487" w:name="_Toc162331721"/>
      <w:r w:rsidRPr="00E52A4A">
        <w:rPr>
          <w:sz w:val="24"/>
          <w:szCs w:val="24"/>
        </w:rPr>
        <w:lastRenderedPageBreak/>
        <w:t>Note 10</w:t>
      </w:r>
      <w:r w:rsidRPr="00E52A4A">
        <w:rPr>
          <w:sz w:val="24"/>
          <w:szCs w:val="24"/>
        </w:rPr>
        <w:tab/>
        <w:t>Stocks</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15AD1189" w14:textId="77777777" w:rsidR="00320CD0" w:rsidRPr="00E52A4A" w:rsidRDefault="00320CD0" w:rsidP="00320CD0">
      <w:pPr>
        <w:pStyle w:val="Figure"/>
      </w:pPr>
      <w:r w:rsidRPr="00E52A4A">
        <w:rPr>
          <w:noProof/>
        </w:rPr>
        <w:drawing>
          <wp:inline distT="0" distB="0" distL="0" distR="0" wp14:anchorId="60D3A105" wp14:editId="31D5232B">
            <wp:extent cx="4249420" cy="127381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49420" cy="1273810"/>
                    </a:xfrm>
                    <a:prstGeom prst="rect">
                      <a:avLst/>
                    </a:prstGeom>
                    <a:noFill/>
                    <a:ln>
                      <a:noFill/>
                    </a:ln>
                  </pic:spPr>
                </pic:pic>
              </a:graphicData>
            </a:graphic>
          </wp:inline>
        </w:drawing>
      </w:r>
    </w:p>
    <w:p w14:paraId="2B8667A6" w14:textId="77777777" w:rsidR="00320CD0" w:rsidRPr="00E52A4A" w:rsidRDefault="00320CD0" w:rsidP="00320CD0">
      <w:pPr>
        <w:pStyle w:val="Heading1"/>
        <w:spacing w:after="120"/>
        <w:rPr>
          <w:sz w:val="24"/>
          <w:szCs w:val="24"/>
        </w:rPr>
      </w:pPr>
      <w:bookmarkStart w:id="488" w:name="_Toc268007541"/>
      <w:bookmarkStart w:id="489" w:name="_Toc329178783"/>
      <w:bookmarkStart w:id="490" w:name="_Toc329181756"/>
      <w:bookmarkStart w:id="491" w:name="_Toc329202577"/>
      <w:bookmarkStart w:id="492" w:name="_Toc329205009"/>
      <w:bookmarkStart w:id="493" w:name="_Toc329206846"/>
      <w:bookmarkStart w:id="494" w:name="_Toc358379932"/>
      <w:bookmarkStart w:id="495" w:name="_Toc358380472"/>
      <w:bookmarkStart w:id="496" w:name="_Toc387166652"/>
      <w:bookmarkStart w:id="497" w:name="_Toc395260937"/>
      <w:bookmarkStart w:id="498" w:name="_Toc395511716"/>
      <w:bookmarkStart w:id="499" w:name="_Toc452138626"/>
      <w:bookmarkStart w:id="500" w:name="_Toc452139075"/>
      <w:bookmarkStart w:id="501" w:name="_Toc452139439"/>
      <w:bookmarkStart w:id="502" w:name="_Toc452139840"/>
      <w:bookmarkStart w:id="503" w:name="_Toc452140714"/>
      <w:bookmarkStart w:id="504" w:name="_Toc482801504"/>
      <w:bookmarkStart w:id="505" w:name="_Toc511649476"/>
      <w:bookmarkStart w:id="506" w:name="_Toc511649846"/>
      <w:bookmarkStart w:id="507" w:name="_Toc511649962"/>
      <w:bookmarkStart w:id="508" w:name="_Toc511651219"/>
      <w:bookmarkStart w:id="509" w:name="_Toc511724084"/>
      <w:bookmarkStart w:id="510" w:name="_Toc511739073"/>
      <w:bookmarkStart w:id="511" w:name="_Toc511741242"/>
      <w:bookmarkStart w:id="512" w:name="_Toc10450748"/>
      <w:bookmarkStart w:id="513" w:name="_Toc41566348"/>
      <w:bookmarkStart w:id="514" w:name="_Toc41567356"/>
      <w:bookmarkStart w:id="515" w:name="_Toc41567859"/>
      <w:bookmarkStart w:id="516" w:name="_Toc41814954"/>
      <w:bookmarkStart w:id="517" w:name="_Toc73354443"/>
      <w:bookmarkStart w:id="518" w:name="_Toc73356419"/>
      <w:bookmarkStart w:id="519" w:name="_Toc162331512"/>
      <w:bookmarkStart w:id="520" w:name="_Toc162331722"/>
      <w:r w:rsidRPr="00E52A4A">
        <w:rPr>
          <w:sz w:val="24"/>
          <w:szCs w:val="24"/>
        </w:rPr>
        <w:t>Note 11</w:t>
      </w:r>
      <w:r w:rsidRPr="00E52A4A">
        <w:rPr>
          <w:sz w:val="24"/>
          <w:szCs w:val="24"/>
        </w:rPr>
        <w:tab/>
        <w:t>Autres c</w:t>
      </w:r>
      <w:bookmarkEnd w:id="488"/>
      <w:r w:rsidRPr="00E52A4A">
        <w:rPr>
          <w:sz w:val="24"/>
          <w:szCs w:val="24"/>
        </w:rPr>
        <w:t>réances</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14:paraId="5E430B97" w14:textId="77777777" w:rsidR="00320CD0" w:rsidRPr="00E52A4A" w:rsidRDefault="00320CD0" w:rsidP="00320CD0">
      <w:pPr>
        <w:pStyle w:val="Figure"/>
      </w:pPr>
      <w:r w:rsidRPr="00E52A4A">
        <w:rPr>
          <w:noProof/>
        </w:rPr>
        <w:drawing>
          <wp:inline distT="0" distB="0" distL="0" distR="0" wp14:anchorId="58B3071B" wp14:editId="67247285">
            <wp:extent cx="5303520" cy="17373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03520" cy="1737360"/>
                    </a:xfrm>
                    <a:prstGeom prst="rect">
                      <a:avLst/>
                    </a:prstGeom>
                    <a:noFill/>
                    <a:ln>
                      <a:noFill/>
                    </a:ln>
                  </pic:spPr>
                </pic:pic>
              </a:graphicData>
            </a:graphic>
          </wp:inline>
        </w:drawing>
      </w:r>
    </w:p>
    <w:p w14:paraId="4D209A36" w14:textId="77777777" w:rsidR="00320CD0" w:rsidRPr="00E52A4A" w:rsidRDefault="00320CD0" w:rsidP="00320CD0">
      <w:pPr>
        <w:pStyle w:val="Heading1"/>
        <w:spacing w:before="240"/>
        <w:rPr>
          <w:sz w:val="24"/>
          <w:szCs w:val="24"/>
        </w:rPr>
      </w:pPr>
      <w:bookmarkStart w:id="521" w:name="_Toc268007545"/>
      <w:bookmarkStart w:id="522" w:name="_Toc329178784"/>
      <w:bookmarkStart w:id="523" w:name="_Toc329181757"/>
      <w:bookmarkStart w:id="524" w:name="_Toc329202578"/>
      <w:bookmarkStart w:id="525" w:name="_Toc329205010"/>
      <w:bookmarkStart w:id="526" w:name="_Toc329206847"/>
      <w:bookmarkStart w:id="527" w:name="_Toc358379933"/>
      <w:bookmarkStart w:id="528" w:name="_Toc358380473"/>
      <w:bookmarkStart w:id="529" w:name="_Toc387166653"/>
      <w:bookmarkStart w:id="530" w:name="_Toc395260938"/>
      <w:bookmarkStart w:id="531" w:name="_Toc395511717"/>
      <w:bookmarkStart w:id="532" w:name="_Toc452138627"/>
      <w:bookmarkStart w:id="533" w:name="_Toc452139076"/>
      <w:bookmarkStart w:id="534" w:name="_Toc452139440"/>
      <w:bookmarkStart w:id="535" w:name="_Toc452139841"/>
      <w:bookmarkStart w:id="536" w:name="_Toc452140715"/>
      <w:bookmarkStart w:id="537" w:name="_Toc482801505"/>
      <w:bookmarkStart w:id="538" w:name="_Toc511649477"/>
      <w:bookmarkStart w:id="539" w:name="_Toc511649847"/>
      <w:bookmarkStart w:id="540" w:name="_Toc511649963"/>
      <w:bookmarkStart w:id="541" w:name="_Toc511651220"/>
      <w:bookmarkStart w:id="542" w:name="_Toc511724085"/>
      <w:bookmarkStart w:id="543" w:name="_Toc511739074"/>
      <w:bookmarkStart w:id="544" w:name="_Toc511741243"/>
      <w:bookmarkStart w:id="545" w:name="_Toc10450749"/>
      <w:bookmarkStart w:id="546" w:name="_Toc41566349"/>
      <w:bookmarkStart w:id="547" w:name="_Toc41567357"/>
      <w:bookmarkStart w:id="548" w:name="_Toc41567860"/>
      <w:bookmarkStart w:id="549" w:name="_Toc41814955"/>
      <w:bookmarkStart w:id="550" w:name="_Toc73354444"/>
      <w:bookmarkStart w:id="551" w:name="_Toc73356420"/>
      <w:bookmarkStart w:id="552" w:name="_Toc162331513"/>
      <w:bookmarkStart w:id="553" w:name="_Toc162331723"/>
      <w:r w:rsidRPr="00E52A4A">
        <w:rPr>
          <w:sz w:val="24"/>
          <w:szCs w:val="24"/>
        </w:rPr>
        <w:t>Note 12</w:t>
      </w:r>
      <w:r w:rsidRPr="00E52A4A">
        <w:rPr>
          <w:sz w:val="24"/>
          <w:szCs w:val="24"/>
        </w:rPr>
        <w:tab/>
        <w:t>Immobilisations corporelles</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14:paraId="76C8FB35" w14:textId="77777777" w:rsidR="00320CD0" w:rsidRPr="00E52A4A" w:rsidRDefault="00320CD0" w:rsidP="00320CD0">
      <w:pPr>
        <w:keepNext/>
        <w:keepLines/>
      </w:pPr>
      <w:r w:rsidRPr="00E52A4A">
        <w:t>Les bâtiments de l'UIT se composent:</w:t>
      </w:r>
    </w:p>
    <w:p w14:paraId="175A082F" w14:textId="77777777" w:rsidR="00320CD0" w:rsidRPr="00E52A4A" w:rsidRDefault="00320CD0" w:rsidP="00320CD0">
      <w:pPr>
        <w:pStyle w:val="enumlev1"/>
        <w:keepNext/>
        <w:keepLines/>
      </w:pPr>
      <w:r w:rsidRPr="00E52A4A">
        <w:t>–</w:t>
      </w:r>
      <w:r w:rsidRPr="00E52A4A">
        <w:tab/>
        <w:t>de la Tour, rue de Varembé à Genève;</w:t>
      </w:r>
    </w:p>
    <w:p w14:paraId="73F8A426" w14:textId="77777777" w:rsidR="00320CD0" w:rsidRPr="00E52A4A" w:rsidRDefault="00320CD0" w:rsidP="00320CD0">
      <w:pPr>
        <w:pStyle w:val="enumlev1"/>
        <w:keepNext/>
        <w:keepLines/>
      </w:pPr>
      <w:r w:rsidRPr="00E52A4A">
        <w:t>–</w:t>
      </w:r>
      <w:r w:rsidRPr="00E52A4A">
        <w:tab/>
        <w:t>du Bâtiment Varembé, rue de Varembé à Genève. Ce bâtiment a été entièrement amorti au 31 décembre 2022 (*voir le tableau ci-dessous) en prévision du début des travaux de construction du nouveau bâtiment (actuellement, ce bâtiment est toujours utilisé);</w:t>
      </w:r>
    </w:p>
    <w:p w14:paraId="24BE4509" w14:textId="77777777" w:rsidR="00320CD0" w:rsidRPr="00E52A4A" w:rsidRDefault="00320CD0" w:rsidP="00320CD0">
      <w:pPr>
        <w:pStyle w:val="enumlev1"/>
      </w:pPr>
      <w:r w:rsidRPr="00E52A4A">
        <w:t>–</w:t>
      </w:r>
      <w:r w:rsidRPr="00E52A4A">
        <w:tab/>
        <w:t>de l'Extension C et de la Cafétéria, rue de Varembé à Genève;</w:t>
      </w:r>
    </w:p>
    <w:p w14:paraId="326B2E3B" w14:textId="77777777" w:rsidR="00320CD0" w:rsidRPr="00E52A4A" w:rsidRDefault="00320CD0" w:rsidP="00320CD0">
      <w:pPr>
        <w:pStyle w:val="enumlev1"/>
      </w:pPr>
      <w:r w:rsidRPr="00E52A4A">
        <w:t>–</w:t>
      </w:r>
      <w:r w:rsidRPr="00E52A4A">
        <w:tab/>
        <w:t>du Bâtiment Montbrillant, rue de Varembé à Genève.</w:t>
      </w:r>
    </w:p>
    <w:p w14:paraId="54D95D9B" w14:textId="77777777" w:rsidR="00320CD0" w:rsidRPr="00E52A4A" w:rsidRDefault="00320CD0" w:rsidP="00320CD0">
      <w:pPr>
        <w:snapToGrid w:val="0"/>
        <w:rPr>
          <w:color w:val="000000"/>
        </w:rPr>
      </w:pPr>
      <w:r w:rsidRPr="00E52A4A">
        <w:rPr>
          <w:color w:val="000000"/>
        </w:rPr>
        <w:t>Au 31 décembre 2022, aucune immobilisation corporelle n'a été donnée en garantie de dette. L'UIT tient à jour un tableau complet des immobilisations corporelles. Celui-ci comprend les actifs qui ont été entièrement amortis, mais qui sont toujours utilisés au sein de l'organisation. La valeur comptable brute des immobilisations corporelles entièrement amorties qui étaient encore utilisées au 31 décembre 2022 s'établit comme suit:</w:t>
      </w:r>
    </w:p>
    <w:p w14:paraId="31E8EAC9" w14:textId="77777777" w:rsidR="00320CD0" w:rsidRPr="00E52A4A" w:rsidRDefault="00320CD0" w:rsidP="00320CD0">
      <w:pPr>
        <w:pStyle w:val="Figure"/>
        <w:keepNext w:val="0"/>
        <w:keepLines w:val="0"/>
        <w:rPr>
          <w:b/>
          <w:bCs/>
          <w:sz w:val="20"/>
        </w:rPr>
      </w:pPr>
      <w:r w:rsidRPr="00E52A4A">
        <w:rPr>
          <w:noProof/>
        </w:rPr>
        <w:drawing>
          <wp:inline distT="0" distB="0" distL="0" distR="0" wp14:anchorId="7C4A3EBD" wp14:editId="4755E47A">
            <wp:extent cx="3434080" cy="13506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34080" cy="1350645"/>
                    </a:xfrm>
                    <a:prstGeom prst="rect">
                      <a:avLst/>
                    </a:prstGeom>
                    <a:noFill/>
                    <a:ln>
                      <a:noFill/>
                    </a:ln>
                  </pic:spPr>
                </pic:pic>
              </a:graphicData>
            </a:graphic>
          </wp:inline>
        </w:drawing>
      </w:r>
    </w:p>
    <w:p w14:paraId="4F83F4F0" w14:textId="77777777" w:rsidR="00320CD0" w:rsidRPr="00E52A4A" w:rsidRDefault="00320CD0" w:rsidP="00320CD0">
      <w:pPr>
        <w:pStyle w:val="Figuretitle"/>
        <w:spacing w:after="240"/>
      </w:pPr>
      <w:r w:rsidRPr="00E52A4A">
        <w:lastRenderedPageBreak/>
        <w:t>2022</w:t>
      </w:r>
    </w:p>
    <w:p w14:paraId="145885D0" w14:textId="77777777" w:rsidR="00320CD0" w:rsidRPr="00E52A4A" w:rsidRDefault="00320CD0" w:rsidP="00320CD0">
      <w:pPr>
        <w:pStyle w:val="Figure"/>
      </w:pPr>
      <w:r w:rsidRPr="00E52A4A">
        <w:rPr>
          <w:noProof/>
        </w:rPr>
        <w:drawing>
          <wp:inline distT="0" distB="0" distL="0" distR="0" wp14:anchorId="452AF410" wp14:editId="1BE1D831">
            <wp:extent cx="6120765" cy="29489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765" cy="2948940"/>
                    </a:xfrm>
                    <a:prstGeom prst="rect">
                      <a:avLst/>
                    </a:prstGeom>
                    <a:noFill/>
                    <a:ln>
                      <a:noFill/>
                    </a:ln>
                  </pic:spPr>
                </pic:pic>
              </a:graphicData>
            </a:graphic>
          </wp:inline>
        </w:drawing>
      </w:r>
    </w:p>
    <w:p w14:paraId="2312423F" w14:textId="77777777" w:rsidR="00320CD0" w:rsidRPr="00E52A4A" w:rsidRDefault="00320CD0" w:rsidP="00320CD0">
      <w:pPr>
        <w:pStyle w:val="Figuretitle"/>
        <w:spacing w:after="240"/>
      </w:pPr>
      <w:r w:rsidRPr="00E52A4A">
        <w:t>2021</w:t>
      </w:r>
    </w:p>
    <w:p w14:paraId="0E8441E2" w14:textId="77777777" w:rsidR="00320CD0" w:rsidRPr="00E52A4A" w:rsidRDefault="00320CD0" w:rsidP="00320CD0">
      <w:pPr>
        <w:pStyle w:val="Figure"/>
        <w:spacing w:after="360"/>
      </w:pPr>
      <w:r w:rsidRPr="00E52A4A">
        <w:rPr>
          <w:noProof/>
        </w:rPr>
        <w:drawing>
          <wp:inline distT="0" distB="0" distL="0" distR="0" wp14:anchorId="422F8320" wp14:editId="33C64CB9">
            <wp:extent cx="6120765" cy="344678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765" cy="3446780"/>
                    </a:xfrm>
                    <a:prstGeom prst="rect">
                      <a:avLst/>
                    </a:prstGeom>
                    <a:noFill/>
                    <a:ln>
                      <a:noFill/>
                    </a:ln>
                  </pic:spPr>
                </pic:pic>
              </a:graphicData>
            </a:graphic>
          </wp:inline>
        </w:drawing>
      </w:r>
    </w:p>
    <w:p w14:paraId="02E02A29" w14:textId="77777777" w:rsidR="00320CD0" w:rsidRPr="00E52A4A" w:rsidRDefault="00320CD0" w:rsidP="00320CD0">
      <w:pPr>
        <w:pStyle w:val="Heading1"/>
        <w:spacing w:before="240" w:after="240"/>
        <w:rPr>
          <w:sz w:val="24"/>
          <w:szCs w:val="24"/>
        </w:rPr>
      </w:pPr>
      <w:bookmarkStart w:id="554" w:name="_MON_1395746645"/>
      <w:bookmarkStart w:id="555" w:name="_MON_1395746659"/>
      <w:bookmarkStart w:id="556" w:name="_MON_1395746618"/>
      <w:bookmarkStart w:id="557" w:name="_MON_1401092855"/>
      <w:bookmarkStart w:id="558" w:name="_Toc329202579"/>
      <w:bookmarkStart w:id="559" w:name="_Toc329205011"/>
      <w:bookmarkStart w:id="560" w:name="_Toc329206848"/>
      <w:bookmarkStart w:id="561" w:name="_Toc358379934"/>
      <w:bookmarkStart w:id="562" w:name="_Toc358380474"/>
      <w:bookmarkStart w:id="563" w:name="_Toc387166654"/>
      <w:bookmarkStart w:id="564" w:name="_Toc395260939"/>
      <w:bookmarkStart w:id="565" w:name="_Toc395511718"/>
      <w:bookmarkStart w:id="566" w:name="_Toc452138628"/>
      <w:bookmarkStart w:id="567" w:name="_Toc452139077"/>
      <w:bookmarkStart w:id="568" w:name="_Toc452139441"/>
      <w:bookmarkStart w:id="569" w:name="_Toc452139842"/>
      <w:bookmarkStart w:id="570" w:name="_Toc452140716"/>
      <w:bookmarkStart w:id="571" w:name="_Toc482801506"/>
      <w:bookmarkStart w:id="572" w:name="_Toc511649478"/>
      <w:bookmarkStart w:id="573" w:name="_Toc511649848"/>
      <w:bookmarkStart w:id="574" w:name="_Toc511649964"/>
      <w:bookmarkStart w:id="575" w:name="_Toc511651221"/>
      <w:bookmarkStart w:id="576" w:name="_Toc511724086"/>
      <w:bookmarkStart w:id="577" w:name="_Toc511739075"/>
      <w:bookmarkStart w:id="578" w:name="_Toc511741244"/>
      <w:bookmarkStart w:id="579" w:name="_Toc10450750"/>
      <w:bookmarkStart w:id="580" w:name="_Toc41566350"/>
      <w:bookmarkStart w:id="581" w:name="_Toc41567358"/>
      <w:bookmarkStart w:id="582" w:name="_Toc41567861"/>
      <w:bookmarkStart w:id="583" w:name="_Toc41814956"/>
      <w:bookmarkStart w:id="584" w:name="_Toc73354445"/>
      <w:bookmarkStart w:id="585" w:name="_Toc73356421"/>
      <w:bookmarkStart w:id="586" w:name="_Toc162331514"/>
      <w:bookmarkStart w:id="587" w:name="_Toc162331724"/>
      <w:bookmarkEnd w:id="554"/>
      <w:bookmarkEnd w:id="555"/>
      <w:bookmarkEnd w:id="556"/>
      <w:bookmarkEnd w:id="557"/>
      <w:r w:rsidRPr="00E52A4A">
        <w:rPr>
          <w:sz w:val="24"/>
          <w:szCs w:val="24"/>
        </w:rPr>
        <w:t>Note 13</w:t>
      </w:r>
      <w:r w:rsidRPr="00E52A4A">
        <w:rPr>
          <w:sz w:val="24"/>
          <w:szCs w:val="24"/>
        </w:rPr>
        <w:tab/>
      </w:r>
      <w:bookmarkStart w:id="588" w:name="_Toc268007546"/>
      <w:bookmarkStart w:id="589" w:name="_Toc329178785"/>
      <w:bookmarkStart w:id="590" w:name="_Toc329181758"/>
      <w:r w:rsidRPr="00E52A4A">
        <w:rPr>
          <w:sz w:val="24"/>
          <w:szCs w:val="24"/>
        </w:rPr>
        <w:t>Immobilisations incorporelles</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8"/>
      <w:bookmarkEnd w:id="589"/>
      <w:bookmarkEnd w:id="590"/>
      <w:bookmarkEnd w:id="586"/>
      <w:bookmarkEnd w:id="587"/>
    </w:p>
    <w:p w14:paraId="6CBE1D11" w14:textId="77777777" w:rsidR="00320CD0" w:rsidRPr="00E52A4A" w:rsidRDefault="00320CD0" w:rsidP="00320CD0">
      <w:pPr>
        <w:spacing w:after="240"/>
      </w:pPr>
      <w:bookmarkStart w:id="591" w:name="_MON_1395747403"/>
      <w:bookmarkStart w:id="592" w:name="_MON_1401093284"/>
      <w:bookmarkStart w:id="593" w:name="_MON_1395747409"/>
      <w:bookmarkStart w:id="594" w:name="_MON_1395747428"/>
      <w:bookmarkStart w:id="595" w:name="_MON_1395746989"/>
      <w:bookmarkStart w:id="596" w:name="_MON_1395747377"/>
      <w:bookmarkStart w:id="597" w:name="_MON_1396454112"/>
      <w:bookmarkEnd w:id="591"/>
      <w:bookmarkEnd w:id="592"/>
      <w:bookmarkEnd w:id="593"/>
      <w:bookmarkEnd w:id="594"/>
      <w:bookmarkEnd w:id="595"/>
      <w:bookmarkEnd w:id="596"/>
      <w:bookmarkEnd w:id="597"/>
      <w:r w:rsidRPr="00E52A4A">
        <w:t xml:space="preserve">Conformément à nos pratiques en matière de présentation de l'information financière, nous avons évalué le niveau d'importance relative pour l'enregistrement des immobilisations incorporelles et recensé les projets dont le seuil d'importance relative est de 100 000 CHF. Au 31 décembre 2022, notre évaluation a abouti à l'identification de 8 projets dans la catégorie des immobilisations incorporelles dont la durée de vie économique utile est de près de deux ans et qui sont évalués </w:t>
      </w:r>
      <w:r w:rsidRPr="00E52A4A">
        <w:lastRenderedPageBreak/>
        <w:t>à 2,468 millions CHF. Ces projets comprennent l'élaboration de modules d'administration de l'espace, du système SAP et de modules de recrutement. En outre, il n'y avait pas d'engagements contractuels significatifs concernant les immobilisations incorporelles au 31 décembre 2022.</w:t>
      </w:r>
    </w:p>
    <w:p w14:paraId="546DFB87" w14:textId="77777777" w:rsidR="00320CD0" w:rsidRPr="00E52A4A" w:rsidRDefault="00320CD0" w:rsidP="00320CD0">
      <w:pPr>
        <w:pStyle w:val="Figure"/>
        <w:rPr>
          <w:rFonts w:eastAsiaTheme="minorEastAsia"/>
        </w:rPr>
      </w:pPr>
      <w:r w:rsidRPr="00E52A4A">
        <w:rPr>
          <w:noProof/>
        </w:rPr>
        <w:drawing>
          <wp:inline distT="0" distB="0" distL="0" distR="0" wp14:anchorId="597A36D6" wp14:editId="4096A395">
            <wp:extent cx="5998845" cy="3821430"/>
            <wp:effectExtent l="0" t="0" r="190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98845" cy="3821430"/>
                    </a:xfrm>
                    <a:prstGeom prst="rect">
                      <a:avLst/>
                    </a:prstGeom>
                    <a:noFill/>
                    <a:ln>
                      <a:noFill/>
                    </a:ln>
                  </pic:spPr>
                </pic:pic>
              </a:graphicData>
            </a:graphic>
          </wp:inline>
        </w:drawing>
      </w:r>
    </w:p>
    <w:p w14:paraId="1A575F9C" w14:textId="77777777" w:rsidR="00320CD0" w:rsidRPr="00E52A4A" w:rsidRDefault="00320CD0" w:rsidP="00320CD0">
      <w:pPr>
        <w:rPr>
          <w:rFonts w:eastAsiaTheme="minorEastAsia"/>
          <w:szCs w:val="24"/>
        </w:rPr>
      </w:pPr>
      <w:r w:rsidRPr="00E52A4A">
        <w:rPr>
          <w:rFonts w:eastAsiaTheme="minorEastAsia"/>
          <w:szCs w:val="24"/>
        </w:rPr>
        <w:t>Au 31 décembre 2022, l'UIT dispose d'un tableau complet des immobilisations incorporelles. Ce tableau comprend les actifs qui ont été entièrement amortis, mais qui sont toujours utilisés au sein de l'organisation. La valeur comptable brute des immobilisations incorporelles entièrement amorties encore utilisées au 31 décembre 2022 s'établit comme suit:</w:t>
      </w:r>
    </w:p>
    <w:p w14:paraId="24FB96ED" w14:textId="77777777" w:rsidR="00320CD0" w:rsidRPr="00E52A4A" w:rsidRDefault="00320CD0" w:rsidP="00320CD0">
      <w:pPr>
        <w:pStyle w:val="Figure"/>
        <w:rPr>
          <w:rFonts w:eastAsiaTheme="minorEastAsia"/>
        </w:rPr>
      </w:pPr>
      <w:r w:rsidRPr="00E52A4A">
        <w:rPr>
          <w:noProof/>
        </w:rPr>
        <w:drawing>
          <wp:inline distT="0" distB="0" distL="0" distR="0" wp14:anchorId="6E0E5DEC" wp14:editId="38361BEC">
            <wp:extent cx="3707796" cy="1351915"/>
            <wp:effectExtent l="0" t="0" r="698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11562" cy="1353288"/>
                    </a:xfrm>
                    <a:prstGeom prst="rect">
                      <a:avLst/>
                    </a:prstGeom>
                    <a:noFill/>
                    <a:ln>
                      <a:noFill/>
                    </a:ln>
                  </pic:spPr>
                </pic:pic>
              </a:graphicData>
            </a:graphic>
          </wp:inline>
        </w:drawing>
      </w:r>
    </w:p>
    <w:p w14:paraId="62D9BEDD" w14:textId="77777777" w:rsidR="00320CD0" w:rsidRPr="00E52A4A" w:rsidRDefault="00320CD0" w:rsidP="00320CD0">
      <w:pPr>
        <w:pStyle w:val="Heading1"/>
        <w:spacing w:before="240" w:after="240"/>
        <w:rPr>
          <w:sz w:val="24"/>
          <w:szCs w:val="24"/>
        </w:rPr>
      </w:pPr>
      <w:bookmarkStart w:id="598" w:name="_Toc329178786"/>
      <w:bookmarkStart w:id="599" w:name="_Toc329181759"/>
      <w:bookmarkStart w:id="600" w:name="_Toc329202580"/>
      <w:bookmarkStart w:id="601" w:name="_Toc329205012"/>
      <w:bookmarkStart w:id="602" w:name="_Toc329206849"/>
      <w:bookmarkStart w:id="603" w:name="_Toc358380475"/>
      <w:bookmarkStart w:id="604" w:name="_Toc387166655"/>
      <w:bookmarkStart w:id="605" w:name="_Toc395260940"/>
      <w:bookmarkStart w:id="606" w:name="_Toc395511719"/>
      <w:bookmarkStart w:id="607" w:name="_Toc452138629"/>
      <w:bookmarkStart w:id="608" w:name="_Toc452139078"/>
      <w:bookmarkStart w:id="609" w:name="_Toc452139442"/>
      <w:bookmarkStart w:id="610" w:name="_Toc452139843"/>
      <w:bookmarkStart w:id="611" w:name="_Toc452140717"/>
      <w:bookmarkStart w:id="612" w:name="_Toc482801507"/>
      <w:bookmarkStart w:id="613" w:name="_Toc511649479"/>
      <w:bookmarkStart w:id="614" w:name="_Toc511649849"/>
      <w:bookmarkStart w:id="615" w:name="_Toc511649965"/>
      <w:bookmarkStart w:id="616" w:name="_Toc511651222"/>
      <w:bookmarkStart w:id="617" w:name="_Toc511724087"/>
      <w:bookmarkStart w:id="618" w:name="_Toc511739076"/>
      <w:bookmarkStart w:id="619" w:name="_Toc511741245"/>
      <w:bookmarkStart w:id="620" w:name="_Toc10450751"/>
      <w:bookmarkStart w:id="621" w:name="_Toc41566351"/>
      <w:bookmarkStart w:id="622" w:name="_Toc41567359"/>
      <w:bookmarkStart w:id="623" w:name="_Toc41567862"/>
      <w:bookmarkStart w:id="624" w:name="_Toc41814957"/>
      <w:bookmarkStart w:id="625" w:name="_Toc73354446"/>
      <w:bookmarkStart w:id="626" w:name="_Toc73356422"/>
      <w:bookmarkStart w:id="627" w:name="_Toc162331515"/>
      <w:bookmarkStart w:id="628" w:name="_Toc162331725"/>
      <w:r w:rsidRPr="00E52A4A">
        <w:rPr>
          <w:sz w:val="24"/>
          <w:szCs w:val="24"/>
        </w:rPr>
        <w:t>Note 14</w:t>
      </w:r>
      <w:r w:rsidRPr="00E52A4A">
        <w:rPr>
          <w:sz w:val="24"/>
          <w:szCs w:val="24"/>
        </w:rPr>
        <w:tab/>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r w:rsidRPr="00E52A4A">
        <w:rPr>
          <w:sz w:val="24"/>
          <w:szCs w:val="24"/>
        </w:rPr>
        <w:t>Biens en construction</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14:paraId="567C0A09" w14:textId="77777777" w:rsidR="00320CD0" w:rsidRPr="00E52A4A" w:rsidRDefault="00320CD0" w:rsidP="00320CD0">
      <w:pPr>
        <w:spacing w:before="240"/>
      </w:pPr>
      <w:bookmarkStart w:id="629" w:name="_Toc511651223"/>
      <w:bookmarkStart w:id="630" w:name="_Toc511724088"/>
      <w:bookmarkStart w:id="631" w:name="_Toc511739077"/>
      <w:bookmarkStart w:id="632" w:name="_Toc511741246"/>
      <w:r w:rsidRPr="00E52A4A">
        <w:t>Il a été décidé de publier séparément les biens en construction en prévision du projet concernant le nouveau bâtiment, de façon à permettre le suivi transparent du projet pendant la phase de construction. Au 31 décembre 2022, il n'y avait pas d'engagements contractuels significatifs.</w:t>
      </w:r>
    </w:p>
    <w:p w14:paraId="6F99EEBB" w14:textId="77777777" w:rsidR="00320CD0" w:rsidRPr="00E52A4A" w:rsidRDefault="00320CD0" w:rsidP="00320CD0">
      <w:pPr>
        <w:pStyle w:val="Figure"/>
      </w:pPr>
      <w:r w:rsidRPr="00E52A4A">
        <w:rPr>
          <w:noProof/>
        </w:rPr>
        <w:lastRenderedPageBreak/>
        <w:drawing>
          <wp:inline distT="0" distB="0" distL="0" distR="0" wp14:anchorId="0EDA09E0" wp14:editId="5DB98162">
            <wp:extent cx="5852160" cy="14630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52160" cy="1463040"/>
                    </a:xfrm>
                    <a:prstGeom prst="rect">
                      <a:avLst/>
                    </a:prstGeom>
                    <a:noFill/>
                    <a:ln>
                      <a:noFill/>
                    </a:ln>
                  </pic:spPr>
                </pic:pic>
              </a:graphicData>
            </a:graphic>
          </wp:inline>
        </w:drawing>
      </w:r>
    </w:p>
    <w:p w14:paraId="7F68789C" w14:textId="77777777" w:rsidR="00320CD0" w:rsidRPr="00E52A4A" w:rsidRDefault="00320CD0" w:rsidP="00320CD0">
      <w:pPr>
        <w:pStyle w:val="Heading1"/>
        <w:spacing w:before="240" w:after="240"/>
        <w:rPr>
          <w:sz w:val="24"/>
          <w:szCs w:val="24"/>
        </w:rPr>
      </w:pPr>
      <w:bookmarkStart w:id="633" w:name="_Toc10450752"/>
      <w:bookmarkStart w:id="634" w:name="_Toc41566352"/>
      <w:bookmarkStart w:id="635" w:name="_Toc41567360"/>
      <w:bookmarkStart w:id="636" w:name="_Toc41567863"/>
      <w:bookmarkStart w:id="637" w:name="_Toc41814958"/>
      <w:bookmarkStart w:id="638" w:name="_Toc73354447"/>
      <w:bookmarkStart w:id="639" w:name="_Toc73356423"/>
      <w:bookmarkStart w:id="640" w:name="_Toc162331516"/>
      <w:bookmarkStart w:id="641" w:name="_Toc162331726"/>
      <w:r w:rsidRPr="00E52A4A">
        <w:rPr>
          <w:sz w:val="24"/>
          <w:szCs w:val="24"/>
        </w:rPr>
        <w:t>Note 15</w:t>
      </w:r>
      <w:r w:rsidRPr="00E52A4A">
        <w:rPr>
          <w:sz w:val="24"/>
          <w:szCs w:val="24"/>
        </w:rPr>
        <w:tab/>
        <w:t>Fournisseurs et autres créanciers</w:t>
      </w:r>
      <w:bookmarkEnd w:id="629"/>
      <w:bookmarkEnd w:id="630"/>
      <w:bookmarkEnd w:id="631"/>
      <w:bookmarkEnd w:id="632"/>
      <w:bookmarkEnd w:id="633"/>
      <w:bookmarkEnd w:id="634"/>
      <w:bookmarkEnd w:id="635"/>
      <w:bookmarkEnd w:id="636"/>
      <w:bookmarkEnd w:id="637"/>
      <w:bookmarkEnd w:id="638"/>
      <w:bookmarkEnd w:id="639"/>
      <w:bookmarkEnd w:id="640"/>
      <w:bookmarkEnd w:id="641"/>
    </w:p>
    <w:p w14:paraId="65E80277" w14:textId="77777777" w:rsidR="00320CD0" w:rsidRPr="00E52A4A" w:rsidRDefault="00320CD0" w:rsidP="00320CD0">
      <w:pPr>
        <w:pStyle w:val="Figure"/>
        <w:rPr>
          <w:sz w:val="20"/>
        </w:rPr>
      </w:pPr>
      <w:r w:rsidRPr="00E52A4A">
        <w:rPr>
          <w:noProof/>
        </w:rPr>
        <w:drawing>
          <wp:inline distT="0" distB="0" distL="0" distR="0" wp14:anchorId="30A5707B" wp14:editId="55D8FD64">
            <wp:extent cx="5079365" cy="1363980"/>
            <wp:effectExtent l="0" t="0" r="698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79365" cy="1363980"/>
                    </a:xfrm>
                    <a:prstGeom prst="rect">
                      <a:avLst/>
                    </a:prstGeom>
                    <a:noFill/>
                    <a:ln>
                      <a:noFill/>
                    </a:ln>
                  </pic:spPr>
                </pic:pic>
              </a:graphicData>
            </a:graphic>
          </wp:inline>
        </w:drawing>
      </w:r>
    </w:p>
    <w:p w14:paraId="10B36A92" w14:textId="77777777" w:rsidR="00320CD0" w:rsidRPr="00E52A4A" w:rsidRDefault="00320CD0" w:rsidP="00320CD0">
      <w:pPr>
        <w:spacing w:before="240"/>
      </w:pPr>
      <w:r w:rsidRPr="00E52A4A">
        <w:t>Le montant des fournisseurs porte essentiellement sur les factures non payées, sur les décomptes du personnel ainsi que sur les factures IOV en attente de régularisation avec le PNUD.</w:t>
      </w:r>
    </w:p>
    <w:p w14:paraId="4E0C26A0" w14:textId="77777777" w:rsidR="00320CD0" w:rsidRPr="00E52A4A" w:rsidRDefault="00320CD0" w:rsidP="00320CD0">
      <w:r w:rsidRPr="00E52A4A">
        <w:t>Des avances de paiement de clients ont été reçus pour le traitement des fiches de notification de réseaux à satellite ainsi que pour de futurs achats ou factures relatives à des publications. Ces montants seront remboursés aux bénéficiaires ou utilisés pour le paiement des futures factures relatives à des fiches de notification de réseaux à satellite et à des publications. À la demande d'un État Membre, certains fonds reçus, précédemment comptabilisés dans les fonds non affectés, ont été reclassés dans les dépôts reçus, ce qui explique l'augmentation enregistrée dans cette catégorie.</w:t>
      </w:r>
    </w:p>
    <w:p w14:paraId="43329BD2" w14:textId="77777777" w:rsidR="00320CD0" w:rsidRPr="00E52A4A" w:rsidRDefault="00320CD0" w:rsidP="00320CD0">
      <w:r w:rsidRPr="00E52A4A">
        <w:t>Les avances pour conférences correspondent aux paiements que les pays hôtes ont versés à l'Union pour l'organisation de manifestations telles que les conférences mondiales. Après la clôture des comptes de la manifestation, le solde est remboursé aux pays hôtes conformément aux accords signés.</w:t>
      </w:r>
    </w:p>
    <w:p w14:paraId="07909D03" w14:textId="77777777" w:rsidR="00320CD0" w:rsidRPr="00E52A4A" w:rsidRDefault="00320CD0" w:rsidP="00320CD0">
      <w:pPr>
        <w:pStyle w:val="Heading1"/>
        <w:spacing w:before="240" w:after="240"/>
        <w:rPr>
          <w:sz w:val="24"/>
          <w:szCs w:val="24"/>
        </w:rPr>
      </w:pPr>
      <w:bookmarkStart w:id="642" w:name="_Toc329202581"/>
      <w:bookmarkStart w:id="643" w:name="_Toc329205013"/>
      <w:bookmarkStart w:id="644" w:name="_Toc329206850"/>
      <w:bookmarkStart w:id="645" w:name="_Toc358379935"/>
      <w:bookmarkStart w:id="646" w:name="_Toc358380476"/>
      <w:bookmarkStart w:id="647" w:name="_Toc387166656"/>
      <w:bookmarkStart w:id="648" w:name="_Toc395260941"/>
      <w:bookmarkStart w:id="649" w:name="_Toc395511720"/>
      <w:bookmarkStart w:id="650" w:name="_Toc452138630"/>
      <w:bookmarkStart w:id="651" w:name="_Toc452139079"/>
      <w:bookmarkStart w:id="652" w:name="_Toc452139443"/>
      <w:bookmarkStart w:id="653" w:name="_Toc452139844"/>
      <w:bookmarkStart w:id="654" w:name="_Toc452140718"/>
      <w:bookmarkStart w:id="655" w:name="_Toc482801508"/>
      <w:bookmarkStart w:id="656" w:name="_Toc511649480"/>
      <w:bookmarkStart w:id="657" w:name="_Toc511649850"/>
      <w:bookmarkStart w:id="658" w:name="_Toc511649966"/>
      <w:bookmarkStart w:id="659" w:name="_Toc511651224"/>
      <w:bookmarkStart w:id="660" w:name="_Toc511724089"/>
      <w:bookmarkStart w:id="661" w:name="_Toc511739078"/>
      <w:bookmarkStart w:id="662" w:name="_Toc511741247"/>
      <w:bookmarkStart w:id="663" w:name="_Toc10450753"/>
      <w:bookmarkStart w:id="664" w:name="_Toc41566353"/>
      <w:bookmarkStart w:id="665" w:name="_Toc41567361"/>
      <w:bookmarkStart w:id="666" w:name="_Toc41567864"/>
      <w:bookmarkStart w:id="667" w:name="_Toc41814959"/>
      <w:bookmarkStart w:id="668" w:name="_Toc73354448"/>
      <w:bookmarkStart w:id="669" w:name="_Toc73356424"/>
      <w:bookmarkStart w:id="670" w:name="_Toc162331517"/>
      <w:bookmarkStart w:id="671" w:name="_Toc162331727"/>
      <w:r w:rsidRPr="00E52A4A">
        <w:rPr>
          <w:sz w:val="24"/>
          <w:szCs w:val="24"/>
        </w:rPr>
        <w:t>Note 16</w:t>
      </w:r>
      <w:r w:rsidRPr="00E52A4A">
        <w:rPr>
          <w:sz w:val="24"/>
          <w:szCs w:val="24"/>
        </w:rPr>
        <w:tab/>
        <w:t>Contributions reçues d'avance et produits différés</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14:paraId="51E427C6" w14:textId="77777777" w:rsidR="00320CD0" w:rsidRPr="00E52A4A" w:rsidRDefault="00320CD0" w:rsidP="00320CD0">
      <w:pPr>
        <w:pStyle w:val="Figure"/>
      </w:pPr>
      <w:r w:rsidRPr="00E52A4A">
        <w:rPr>
          <w:noProof/>
        </w:rPr>
        <w:drawing>
          <wp:inline distT="0" distB="0" distL="0" distR="0" wp14:anchorId="007DD5F3" wp14:editId="76857EFA">
            <wp:extent cx="4667250" cy="155384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67250" cy="1553845"/>
                    </a:xfrm>
                    <a:prstGeom prst="rect">
                      <a:avLst/>
                    </a:prstGeom>
                    <a:noFill/>
                    <a:ln>
                      <a:noFill/>
                    </a:ln>
                  </pic:spPr>
                </pic:pic>
              </a:graphicData>
            </a:graphic>
          </wp:inline>
        </w:drawing>
      </w:r>
    </w:p>
    <w:p w14:paraId="38D6ACCC" w14:textId="77777777" w:rsidR="00320CD0" w:rsidRPr="00E52A4A" w:rsidRDefault="00320CD0" w:rsidP="00320CD0">
      <w:bookmarkStart w:id="672" w:name="_Toc329178787"/>
      <w:bookmarkStart w:id="673" w:name="_Toc329181760"/>
      <w:r w:rsidRPr="00E52A4A">
        <w:t>Le montant des contributions reçues d'avance concerne principalement les paiements reçus des États Membres en 2022 au titre de leurs contributions mises en recouvrement pour 2023.</w:t>
      </w:r>
    </w:p>
    <w:p w14:paraId="1EAFEE18" w14:textId="77777777" w:rsidR="00320CD0" w:rsidRPr="00E52A4A" w:rsidRDefault="00320CD0" w:rsidP="00320CD0">
      <w:pPr>
        <w:pStyle w:val="Figure"/>
        <w:rPr>
          <w:bCs/>
        </w:rPr>
      </w:pPr>
      <w:r w:rsidRPr="00E52A4A">
        <w:rPr>
          <w:noProof/>
        </w:rPr>
        <w:lastRenderedPageBreak/>
        <w:drawing>
          <wp:inline distT="0" distB="0" distL="0" distR="0" wp14:anchorId="7A652365" wp14:editId="150BD8B3">
            <wp:extent cx="3964305" cy="13423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64305" cy="1342390"/>
                    </a:xfrm>
                    <a:prstGeom prst="rect">
                      <a:avLst/>
                    </a:prstGeom>
                    <a:noFill/>
                    <a:ln>
                      <a:noFill/>
                    </a:ln>
                  </pic:spPr>
                </pic:pic>
              </a:graphicData>
            </a:graphic>
          </wp:inline>
        </w:drawing>
      </w:r>
    </w:p>
    <w:p w14:paraId="5E4DDC58" w14:textId="77777777" w:rsidR="00320CD0" w:rsidRPr="00E52A4A" w:rsidRDefault="00320CD0" w:rsidP="00320CD0">
      <w:pPr>
        <w:rPr>
          <w:b/>
        </w:rPr>
      </w:pPr>
      <w:r w:rsidRPr="00E52A4A">
        <w:t>En 2022, les produits différés concernent principalement les fiches de notification de réseaux à satellite relatives aux demandes traitées et facturées en 2022 pour lesquelles la publication finale dans la Circulaire internationale d'information sur les fréquences du BR (BR IFIC) n'a pas encore été effectuée. Les produits différés liés aux contributions volontaires concernent un accord contraignant signé pour lequel le produit correspondant n'a pas été reçu en 2022.</w:t>
      </w:r>
    </w:p>
    <w:p w14:paraId="6C0AFCB3" w14:textId="77777777" w:rsidR="00320CD0" w:rsidRPr="00E52A4A" w:rsidRDefault="00320CD0" w:rsidP="00320CD0">
      <w:pPr>
        <w:pStyle w:val="Heading1"/>
        <w:spacing w:before="240" w:after="240"/>
        <w:rPr>
          <w:sz w:val="24"/>
          <w:szCs w:val="24"/>
        </w:rPr>
      </w:pPr>
      <w:bookmarkStart w:id="674" w:name="_Toc329178788"/>
      <w:bookmarkStart w:id="675" w:name="_Toc329181761"/>
      <w:bookmarkStart w:id="676" w:name="_Toc329202582"/>
      <w:bookmarkStart w:id="677" w:name="_Toc329205014"/>
      <w:bookmarkStart w:id="678" w:name="_Toc329206851"/>
      <w:bookmarkStart w:id="679" w:name="_Toc358379936"/>
      <w:bookmarkStart w:id="680" w:name="_Toc358380477"/>
      <w:bookmarkStart w:id="681" w:name="_Toc387166657"/>
      <w:bookmarkStart w:id="682" w:name="_Toc395260942"/>
      <w:bookmarkStart w:id="683" w:name="_Toc395511721"/>
      <w:bookmarkStart w:id="684" w:name="_Toc452138631"/>
      <w:bookmarkStart w:id="685" w:name="_Toc452139080"/>
      <w:bookmarkStart w:id="686" w:name="_Toc452139444"/>
      <w:bookmarkStart w:id="687" w:name="_Toc452139845"/>
      <w:bookmarkStart w:id="688" w:name="_Toc452140719"/>
      <w:bookmarkStart w:id="689" w:name="_Toc482801509"/>
      <w:bookmarkStart w:id="690" w:name="_Toc511649481"/>
      <w:bookmarkStart w:id="691" w:name="_Toc511649851"/>
      <w:bookmarkStart w:id="692" w:name="_Toc511649967"/>
      <w:bookmarkStart w:id="693" w:name="_Toc511651225"/>
      <w:bookmarkStart w:id="694" w:name="_Toc511724090"/>
      <w:bookmarkStart w:id="695" w:name="_Toc511739079"/>
      <w:bookmarkStart w:id="696" w:name="_Toc511741248"/>
      <w:bookmarkStart w:id="697" w:name="_Toc10450754"/>
      <w:bookmarkStart w:id="698" w:name="_Toc41566354"/>
      <w:bookmarkStart w:id="699" w:name="_Toc41567362"/>
      <w:bookmarkStart w:id="700" w:name="_Toc41567865"/>
      <w:bookmarkStart w:id="701" w:name="_Toc41814960"/>
      <w:bookmarkStart w:id="702" w:name="_Toc73354449"/>
      <w:bookmarkStart w:id="703" w:name="_Toc73356425"/>
      <w:bookmarkStart w:id="704" w:name="_Toc162331518"/>
      <w:bookmarkStart w:id="705" w:name="_Toc162331728"/>
      <w:bookmarkEnd w:id="672"/>
      <w:bookmarkEnd w:id="673"/>
      <w:r w:rsidRPr="00E52A4A">
        <w:rPr>
          <w:sz w:val="24"/>
          <w:szCs w:val="24"/>
        </w:rPr>
        <w:t>Note 17</w:t>
      </w:r>
      <w:r w:rsidRPr="00E52A4A">
        <w:rPr>
          <w:sz w:val="24"/>
          <w:szCs w:val="24"/>
        </w:rPr>
        <w:tab/>
        <w:t>Emprunts et autres dettes financières</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14:paraId="7C8D4BF8" w14:textId="77777777" w:rsidR="00320CD0" w:rsidRPr="00E52A4A" w:rsidRDefault="00320CD0" w:rsidP="00320CD0">
      <w:pPr>
        <w:pStyle w:val="Figure"/>
      </w:pPr>
      <w:r w:rsidRPr="00E52A4A">
        <w:rPr>
          <w:noProof/>
        </w:rPr>
        <w:drawing>
          <wp:inline distT="0" distB="0" distL="0" distR="0" wp14:anchorId="0284FA03" wp14:editId="4277F44B">
            <wp:extent cx="5057775" cy="20764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57775" cy="2076450"/>
                    </a:xfrm>
                    <a:prstGeom prst="rect">
                      <a:avLst/>
                    </a:prstGeom>
                    <a:noFill/>
                    <a:ln>
                      <a:noFill/>
                    </a:ln>
                  </pic:spPr>
                </pic:pic>
              </a:graphicData>
            </a:graphic>
          </wp:inline>
        </w:drawing>
      </w:r>
    </w:p>
    <w:p w14:paraId="53A86D7E" w14:textId="77777777" w:rsidR="00320CD0" w:rsidRPr="00E52A4A" w:rsidRDefault="00320CD0" w:rsidP="00320CD0">
      <w:pPr>
        <w:spacing w:before="240"/>
      </w:pPr>
      <w:r w:rsidRPr="00E52A4A">
        <w:t>Conformément à la norme IPSAS 29 (Instruments financiers – mesure et reconnaissance), les prêts sans intérêt de la FIPOI mentionnés dans le tableau ci-dessus sont comptabilisés à la juste valeur représentant la différence entre un prêt au taux d'intérêt de 1,476% et le prêt sans intérêt (6,2 millions CHF). L'encours des emprunts au 31 décembre 2022 s'élève à 48,3 millions CHF (contre 53,4 millions CHF en 2021).</w:t>
      </w:r>
    </w:p>
    <w:p w14:paraId="7F7D531C" w14:textId="77777777" w:rsidR="00320CD0" w:rsidRPr="00E52A4A" w:rsidRDefault="00320CD0" w:rsidP="003B3C62">
      <w:r w:rsidRPr="00E52A4A">
        <w:t>En raison de ce changement de méthode comptable, il a été nécessaire de retraiter tous les prêts en cours au 31 décembre 2022, comme indiqué dans le tableau ci-dessus, ce qui a pour effet de réduire les prêts en cours dans l'État I de la situation financière au 31 décembre 2022 uniquement sous la forme de taux d'intérêt négatifs appliqués au 31 décembre 2021. Les incidences de ce changement de méthode comptable sont indiquées dans la Note 30.</w:t>
      </w:r>
    </w:p>
    <w:p w14:paraId="05EA5F4C" w14:textId="77777777" w:rsidR="00320CD0" w:rsidRPr="00E52A4A" w:rsidRDefault="00320CD0" w:rsidP="003B3C62">
      <w:r w:rsidRPr="00E52A4A">
        <w:t xml:space="preserve">En 2017, un nouveau prêt sans intérêt d'un montant de 150 millions CHF a été accordé pour le projet de nouveau bâtiment de l'UIT. Au 31 décembre 2022, un montant de 19 472 000 CHF avait déjà été reçu. Le remboursement du prêt accordé pour la construction des nouveaux locaux de l'UIT débutera </w:t>
      </w:r>
      <w:r w:rsidRPr="00E52A4A">
        <w:rPr>
          <w:color w:val="000000"/>
        </w:rPr>
        <w:t>après réception du nouveau bâtiment seulement.</w:t>
      </w:r>
      <w:r w:rsidRPr="00E52A4A">
        <w:t xml:space="preserve"> </w:t>
      </w:r>
      <w:r w:rsidRPr="00E52A4A">
        <w:rPr>
          <w:color w:val="000000"/>
        </w:rPr>
        <w:t>Ce prêt est comptabilisé initialement à la juste valeur puis est évalué aux coûts amortis. Ce prêt sera traité suivant une approche similaire à celle des autres prêts concessionnels de la FIPOI. Le projet de construction de bâtiment de l'UIT n'a pas encore débuté et aucun plan d'amortissement n'a donc été prévu. Dès que de nouvelles informations seront disponibles, l'UIT rendra compte de ces décisions dans ses états financiers.</w:t>
      </w:r>
    </w:p>
    <w:p w14:paraId="0B569F7C" w14:textId="77777777" w:rsidR="00320CD0" w:rsidRPr="00E52A4A" w:rsidRDefault="00320CD0" w:rsidP="00320CD0">
      <w:pPr>
        <w:pStyle w:val="Heading1"/>
        <w:spacing w:before="240"/>
        <w:rPr>
          <w:sz w:val="24"/>
          <w:szCs w:val="24"/>
        </w:rPr>
      </w:pPr>
      <w:bookmarkStart w:id="706" w:name="_Toc268007553"/>
      <w:bookmarkStart w:id="707" w:name="_Toc329178789"/>
      <w:bookmarkStart w:id="708" w:name="_Toc329181762"/>
      <w:bookmarkStart w:id="709" w:name="_Toc329202583"/>
      <w:bookmarkStart w:id="710" w:name="_Toc329205015"/>
      <w:bookmarkStart w:id="711" w:name="_Toc329206852"/>
      <w:bookmarkStart w:id="712" w:name="_Toc358379937"/>
      <w:bookmarkStart w:id="713" w:name="_Toc358380478"/>
      <w:bookmarkStart w:id="714" w:name="_Toc387166658"/>
      <w:bookmarkStart w:id="715" w:name="_Toc395260943"/>
      <w:bookmarkStart w:id="716" w:name="_Toc395511722"/>
      <w:bookmarkStart w:id="717" w:name="_Toc452138632"/>
      <w:bookmarkStart w:id="718" w:name="_Toc452139081"/>
      <w:bookmarkStart w:id="719" w:name="_Toc452139445"/>
      <w:bookmarkStart w:id="720" w:name="_Toc452139846"/>
      <w:bookmarkStart w:id="721" w:name="_Toc452140720"/>
      <w:bookmarkStart w:id="722" w:name="_Toc482801510"/>
      <w:bookmarkStart w:id="723" w:name="_Toc511649482"/>
      <w:bookmarkStart w:id="724" w:name="_Toc511649852"/>
      <w:bookmarkStart w:id="725" w:name="_Toc511649968"/>
      <w:bookmarkStart w:id="726" w:name="_Toc511651226"/>
      <w:bookmarkStart w:id="727" w:name="_Toc511724091"/>
      <w:bookmarkStart w:id="728" w:name="_Toc511739080"/>
      <w:bookmarkStart w:id="729" w:name="_Toc511741249"/>
      <w:bookmarkStart w:id="730" w:name="_Toc10450755"/>
      <w:bookmarkStart w:id="731" w:name="_Toc41566355"/>
      <w:bookmarkStart w:id="732" w:name="_Toc41567363"/>
      <w:bookmarkStart w:id="733" w:name="_Toc41567866"/>
      <w:bookmarkStart w:id="734" w:name="_Toc41814961"/>
      <w:bookmarkStart w:id="735" w:name="_Toc73354450"/>
      <w:bookmarkStart w:id="736" w:name="_Toc73356426"/>
      <w:bookmarkStart w:id="737" w:name="_Toc162331519"/>
      <w:bookmarkStart w:id="738" w:name="_Toc162331729"/>
      <w:r w:rsidRPr="00E52A4A">
        <w:rPr>
          <w:sz w:val="24"/>
          <w:szCs w:val="24"/>
        </w:rPr>
        <w:lastRenderedPageBreak/>
        <w:t>Note 18</w:t>
      </w:r>
      <w:r w:rsidRPr="00E52A4A">
        <w:rPr>
          <w:sz w:val="24"/>
          <w:szCs w:val="24"/>
        </w:rPr>
        <w:tab/>
        <w:t>Avantages du personnel</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14:paraId="1531065B" w14:textId="77777777" w:rsidR="00320CD0" w:rsidRPr="00E52A4A" w:rsidRDefault="00320CD0" w:rsidP="00320CD0">
      <w:r w:rsidRPr="00E52A4A">
        <w:t>Les avantages du personnel désignent toutes formes de contreparties données par l'UIT au titre des services rendus par ses employés. Ces avantages sont comptabilisés à mesure qu'ils sont acquis par les membres du personnel.</w:t>
      </w:r>
    </w:p>
    <w:p w14:paraId="14CD8E47" w14:textId="77777777" w:rsidR="00320CD0" w:rsidRPr="00E52A4A" w:rsidRDefault="00320CD0" w:rsidP="00320CD0">
      <w:pPr>
        <w:pStyle w:val="Figure"/>
        <w:keepNext w:val="0"/>
        <w:keepLines w:val="0"/>
      </w:pPr>
      <w:r w:rsidRPr="00E52A4A">
        <w:rPr>
          <w:noProof/>
        </w:rPr>
        <w:drawing>
          <wp:inline distT="0" distB="0" distL="0" distR="0" wp14:anchorId="0EE3CBBA" wp14:editId="540B46F5">
            <wp:extent cx="5705475" cy="23717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05475" cy="2371725"/>
                    </a:xfrm>
                    <a:prstGeom prst="rect">
                      <a:avLst/>
                    </a:prstGeom>
                    <a:noFill/>
                    <a:ln>
                      <a:noFill/>
                    </a:ln>
                  </pic:spPr>
                </pic:pic>
              </a:graphicData>
            </a:graphic>
          </wp:inline>
        </w:drawing>
      </w:r>
    </w:p>
    <w:p w14:paraId="2CD7FCA1" w14:textId="77777777" w:rsidR="00320CD0" w:rsidRPr="00E52A4A" w:rsidRDefault="00320CD0" w:rsidP="00320CD0">
      <w:pPr>
        <w:pStyle w:val="Heading2"/>
        <w:keepNext w:val="0"/>
        <w:keepLines w:val="0"/>
        <w:tabs>
          <w:tab w:val="clear" w:pos="567"/>
        </w:tabs>
        <w:ind w:left="1134" w:hanging="1134"/>
      </w:pPr>
      <w:r w:rsidRPr="00E52A4A">
        <w:t>18.1</w:t>
      </w:r>
      <w:r w:rsidRPr="00E52A4A">
        <w:tab/>
        <w:t>Assurance maladie après la cessation de service</w:t>
      </w:r>
    </w:p>
    <w:p w14:paraId="75038739" w14:textId="77777777" w:rsidR="00320CD0" w:rsidRPr="00E52A4A" w:rsidRDefault="00320CD0" w:rsidP="00320CD0">
      <w:pPr>
        <w:pStyle w:val="Heading3"/>
        <w:keepNext w:val="0"/>
        <w:keepLines w:val="0"/>
        <w:ind w:left="1134" w:hanging="1134"/>
        <w:rPr>
          <w:b w:val="0"/>
          <w:bCs/>
          <w:i/>
          <w:iCs/>
        </w:rPr>
      </w:pPr>
      <w:bookmarkStart w:id="739" w:name="_Toc395511726"/>
      <w:bookmarkStart w:id="740" w:name="_Toc10450759"/>
      <w:bookmarkStart w:id="741" w:name="_Toc73354454"/>
      <w:bookmarkStart w:id="742" w:name="_Toc73356430"/>
      <w:r w:rsidRPr="00E52A4A">
        <w:rPr>
          <w:b w:val="0"/>
          <w:bCs/>
          <w:i/>
          <w:iCs/>
        </w:rPr>
        <w:t>18.1.1</w:t>
      </w:r>
      <w:r w:rsidRPr="00E52A4A">
        <w:rPr>
          <w:b w:val="0"/>
          <w:bCs/>
          <w:i/>
          <w:iCs/>
        </w:rPr>
        <w:tab/>
        <w:t>Évaluation actuarielle des prestations dues après la cessation de service au titre du plan ASHI</w:t>
      </w:r>
      <w:bookmarkEnd w:id="739"/>
      <w:bookmarkEnd w:id="740"/>
      <w:bookmarkEnd w:id="741"/>
      <w:bookmarkEnd w:id="742"/>
    </w:p>
    <w:p w14:paraId="236794A3" w14:textId="77777777" w:rsidR="00320CD0" w:rsidRPr="00E52A4A" w:rsidRDefault="00320CD0" w:rsidP="00320CD0">
      <w:r w:rsidRPr="00E52A4A">
        <w:t>Le montant des engagements liés à l'assurance maladie après la cessation de service (ASHI) est déterminé sur la base d'une étude actuarielle annuelle conduite par un cabinet indépendant. La dernière évaluation a été effectuée en janvier 2023 et a établi à 344,1 millions CHF les engagements de l'UIT au titre des prestations en cas de maladie après la cessation de service dues aux fonctionnaires remplissant les conditions requises au 31 décembre 2022 (545,6 millions CHF en 2021). L'étude actuarielle a été conduite sur la base des données (remboursement des frais médicaux/cotisations payées/</w:t>
      </w:r>
      <w:r w:rsidRPr="00FB37F1">
        <w:t>population éligible</w:t>
      </w:r>
      <w:r w:rsidRPr="00E52A4A">
        <w:t>) fournies par l'UIT.</w:t>
      </w:r>
    </w:p>
    <w:p w14:paraId="57BDFFAA" w14:textId="77777777" w:rsidR="00320CD0" w:rsidRPr="00E52A4A" w:rsidRDefault="00320CD0" w:rsidP="00320CD0">
      <w:pPr>
        <w:pStyle w:val="Heading3"/>
        <w:rPr>
          <w:b w:val="0"/>
          <w:bCs/>
          <w:i/>
          <w:iCs/>
        </w:rPr>
      </w:pPr>
      <w:bookmarkStart w:id="743" w:name="_Toc395511727"/>
      <w:bookmarkStart w:id="744" w:name="_Toc10450760"/>
      <w:bookmarkStart w:id="745" w:name="_Toc73354455"/>
      <w:bookmarkStart w:id="746" w:name="_Toc73356431"/>
      <w:r w:rsidRPr="00E52A4A">
        <w:rPr>
          <w:b w:val="0"/>
          <w:bCs/>
          <w:i/>
          <w:iCs/>
        </w:rPr>
        <w:t>18.1.2</w:t>
      </w:r>
      <w:r w:rsidRPr="00E52A4A">
        <w:rPr>
          <w:b w:val="0"/>
          <w:bCs/>
          <w:i/>
          <w:iCs/>
        </w:rPr>
        <w:tab/>
        <w:t>Hypothèses et méthodes d'évaluation actuarielle</w:t>
      </w:r>
      <w:bookmarkEnd w:id="743"/>
      <w:bookmarkEnd w:id="744"/>
      <w:bookmarkEnd w:id="745"/>
      <w:bookmarkEnd w:id="746"/>
    </w:p>
    <w:p w14:paraId="2F05FD6B" w14:textId="77777777" w:rsidR="00320CD0" w:rsidRPr="00E52A4A" w:rsidRDefault="00320CD0" w:rsidP="00320CD0">
      <w:r w:rsidRPr="00E52A4A">
        <w:t>Dans le cadre de l'évaluation des engagements liés au plan ASHI au 31 décembre 2022 et de la contribution de l'exercice 2022, l'UIT valide les hypothèses et méthodes qui sont utilisées par les actuaires. Les hypothèses et méthodes utilisées pour l'évaluation couvrant l'exercice 2022 sont décrites ci-dessous.</w:t>
      </w:r>
    </w:p>
    <w:p w14:paraId="54C0C40D" w14:textId="77777777" w:rsidR="00320CD0" w:rsidRPr="00E52A4A" w:rsidRDefault="00320CD0" w:rsidP="00320CD0">
      <w:pPr>
        <w:rPr>
          <w:sz w:val="2"/>
          <w:szCs w:val="2"/>
        </w:rPr>
      </w:pPr>
    </w:p>
    <w:tbl>
      <w:tblPr>
        <w:tblStyle w:val="TableGrid"/>
        <w:tblW w:w="9634" w:type="dxa"/>
        <w:jc w:val="center"/>
        <w:tblLayout w:type="fixed"/>
        <w:tblLook w:val="04A0" w:firstRow="1" w:lastRow="0" w:firstColumn="1" w:lastColumn="0" w:noHBand="0" w:noVBand="1"/>
        <w:tblCaption w:val="T"/>
      </w:tblPr>
      <w:tblGrid>
        <w:gridCol w:w="3397"/>
        <w:gridCol w:w="6237"/>
      </w:tblGrid>
      <w:tr w:rsidR="00320CD0" w:rsidRPr="00E52A4A" w14:paraId="65A1D23E" w14:textId="77777777" w:rsidTr="002F4EFC">
        <w:trPr>
          <w:trHeight w:val="255"/>
          <w:jc w:val="center"/>
        </w:trPr>
        <w:tc>
          <w:tcPr>
            <w:tcW w:w="3397" w:type="dxa"/>
            <w:hideMark/>
          </w:tcPr>
          <w:p w14:paraId="022E170B" w14:textId="77777777" w:rsidR="00320CD0" w:rsidRPr="00E52A4A" w:rsidRDefault="00320CD0" w:rsidP="002F4EFC">
            <w:pPr>
              <w:pStyle w:val="Tabletext"/>
              <w:spacing w:before="20" w:after="20"/>
              <w:rPr>
                <w:sz w:val="20"/>
              </w:rPr>
            </w:pPr>
            <w:bookmarkStart w:id="747" w:name="_MON_1401715165"/>
            <w:bookmarkStart w:id="748" w:name="_MON_1401715216"/>
            <w:bookmarkStart w:id="749" w:name="_MON_1401715232"/>
            <w:bookmarkStart w:id="750" w:name="_MON_1401715246"/>
            <w:bookmarkStart w:id="751" w:name="_MON_1396085032"/>
            <w:bookmarkStart w:id="752" w:name="_MON_1396085038"/>
            <w:bookmarkStart w:id="753" w:name="_MON_1396085079"/>
            <w:bookmarkStart w:id="754" w:name="_MON_1396085356"/>
            <w:bookmarkEnd w:id="747"/>
            <w:bookmarkEnd w:id="748"/>
            <w:bookmarkEnd w:id="749"/>
            <w:bookmarkEnd w:id="750"/>
            <w:bookmarkEnd w:id="751"/>
            <w:bookmarkEnd w:id="752"/>
            <w:bookmarkEnd w:id="753"/>
            <w:bookmarkEnd w:id="754"/>
            <w:r w:rsidRPr="00E52A4A">
              <w:rPr>
                <w:sz w:val="20"/>
              </w:rPr>
              <w:t>Taux d'actualisation</w:t>
            </w:r>
          </w:p>
        </w:tc>
        <w:tc>
          <w:tcPr>
            <w:tcW w:w="6237" w:type="dxa"/>
            <w:hideMark/>
          </w:tcPr>
          <w:p w14:paraId="3D36BF30" w14:textId="77777777" w:rsidR="00320CD0" w:rsidRPr="00E52A4A" w:rsidRDefault="00320CD0" w:rsidP="002F4EFC">
            <w:pPr>
              <w:pStyle w:val="Tabletext"/>
              <w:spacing w:before="20" w:after="20"/>
              <w:rPr>
                <w:sz w:val="20"/>
              </w:rPr>
            </w:pPr>
            <w:r w:rsidRPr="00E52A4A">
              <w:rPr>
                <w:sz w:val="20"/>
              </w:rPr>
              <w:t>2,50% pour 2022 et 0,50% pour 2021.</w:t>
            </w:r>
          </w:p>
          <w:p w14:paraId="78516522" w14:textId="77777777" w:rsidR="00320CD0" w:rsidRPr="00E52A4A" w:rsidRDefault="00320CD0" w:rsidP="002F4EFC">
            <w:pPr>
              <w:pStyle w:val="Tabletext"/>
              <w:spacing w:before="20" w:after="20"/>
              <w:rPr>
                <w:sz w:val="20"/>
              </w:rPr>
            </w:pPr>
            <w:r w:rsidRPr="00E52A4A">
              <w:rPr>
                <w:sz w:val="20"/>
              </w:rPr>
              <w:t>Les taux d'actualisation utilisés pour cette évaluation ont d'abord été déterminés séparément pour chacune des principales devises (CHF, USD, EUR) au moyen de la courbe de rendement des obligations de sociétés AA au 31 décembre 2022 fournies par Aon. Le taux d'actualisation définitif a ensuite été déterminé en faisant la moyenne des taux d'actualisation libellés dans les différentes devises, pondérés par les prestations versées au personnel actuellement inactif dans chaque devise.</w:t>
            </w:r>
          </w:p>
        </w:tc>
      </w:tr>
      <w:tr w:rsidR="00320CD0" w:rsidRPr="00E52A4A" w14:paraId="6CB1DCC8" w14:textId="77777777" w:rsidTr="002F4EFC">
        <w:trPr>
          <w:trHeight w:val="255"/>
          <w:jc w:val="center"/>
        </w:trPr>
        <w:tc>
          <w:tcPr>
            <w:tcW w:w="3397" w:type="dxa"/>
            <w:hideMark/>
          </w:tcPr>
          <w:p w14:paraId="0C0B8F56" w14:textId="77777777" w:rsidR="00320CD0" w:rsidRPr="00E52A4A" w:rsidRDefault="00320CD0" w:rsidP="002F4EFC">
            <w:pPr>
              <w:pStyle w:val="Tabletext"/>
              <w:spacing w:before="20" w:after="20"/>
              <w:rPr>
                <w:sz w:val="20"/>
              </w:rPr>
            </w:pPr>
            <w:r w:rsidRPr="00E52A4A">
              <w:rPr>
                <w:sz w:val="20"/>
              </w:rPr>
              <w:t>Hausse des coûts médicaux</w:t>
            </w:r>
          </w:p>
        </w:tc>
        <w:tc>
          <w:tcPr>
            <w:tcW w:w="6237" w:type="dxa"/>
            <w:hideMark/>
          </w:tcPr>
          <w:p w14:paraId="32867E8E" w14:textId="77777777" w:rsidR="00320CD0" w:rsidRPr="00E52A4A" w:rsidRDefault="00320CD0" w:rsidP="002F4EFC">
            <w:pPr>
              <w:pStyle w:val="Tabletext"/>
              <w:spacing w:before="20" w:after="20"/>
              <w:rPr>
                <w:sz w:val="20"/>
              </w:rPr>
            </w:pPr>
            <w:r w:rsidRPr="00E52A4A">
              <w:rPr>
                <w:sz w:val="20"/>
              </w:rPr>
              <w:t>2,80% pour 2022 et 2,50% en 2021.</w:t>
            </w:r>
          </w:p>
        </w:tc>
      </w:tr>
      <w:tr w:rsidR="00320CD0" w:rsidRPr="00E52A4A" w14:paraId="78F66C02" w14:textId="77777777" w:rsidTr="002F4EFC">
        <w:trPr>
          <w:trHeight w:val="59"/>
          <w:jc w:val="center"/>
        </w:trPr>
        <w:tc>
          <w:tcPr>
            <w:tcW w:w="3397" w:type="dxa"/>
            <w:hideMark/>
          </w:tcPr>
          <w:p w14:paraId="7E6FE4A1" w14:textId="77777777" w:rsidR="00320CD0" w:rsidRPr="00E52A4A" w:rsidRDefault="00320CD0" w:rsidP="002F4EFC">
            <w:pPr>
              <w:pStyle w:val="Tabletext"/>
              <w:spacing w:before="20" w:after="20"/>
              <w:rPr>
                <w:sz w:val="20"/>
              </w:rPr>
            </w:pPr>
            <w:r w:rsidRPr="00E52A4A">
              <w:rPr>
                <w:sz w:val="20"/>
              </w:rPr>
              <w:t>Augmentation des traitements</w:t>
            </w:r>
          </w:p>
        </w:tc>
        <w:tc>
          <w:tcPr>
            <w:tcW w:w="6237" w:type="dxa"/>
            <w:hideMark/>
          </w:tcPr>
          <w:p w14:paraId="25A2FDFC" w14:textId="77777777" w:rsidR="00320CD0" w:rsidRPr="00E52A4A" w:rsidRDefault="00320CD0" w:rsidP="002F4EFC">
            <w:pPr>
              <w:pStyle w:val="Tabletext"/>
              <w:spacing w:before="20" w:after="20"/>
              <w:rPr>
                <w:sz w:val="20"/>
              </w:rPr>
            </w:pPr>
            <w:r w:rsidRPr="00E52A4A">
              <w:rPr>
                <w:sz w:val="20"/>
              </w:rPr>
              <w:t>3% par rapport au barème des traitements statique de la CCPPNU.</w:t>
            </w:r>
          </w:p>
        </w:tc>
      </w:tr>
      <w:tr w:rsidR="00320CD0" w:rsidRPr="00E52A4A" w14:paraId="2AABABE7" w14:textId="77777777" w:rsidTr="002F4EFC">
        <w:trPr>
          <w:trHeight w:val="255"/>
          <w:jc w:val="center"/>
        </w:trPr>
        <w:tc>
          <w:tcPr>
            <w:tcW w:w="3397" w:type="dxa"/>
            <w:hideMark/>
          </w:tcPr>
          <w:p w14:paraId="209A8329" w14:textId="77777777" w:rsidR="00320CD0" w:rsidRPr="00E52A4A" w:rsidRDefault="00320CD0" w:rsidP="002F4EFC">
            <w:pPr>
              <w:pStyle w:val="Tabletext"/>
              <w:spacing w:before="20" w:after="20"/>
              <w:rPr>
                <w:sz w:val="20"/>
              </w:rPr>
            </w:pPr>
            <w:r w:rsidRPr="00E52A4A">
              <w:rPr>
                <w:sz w:val="20"/>
              </w:rPr>
              <w:t>Augmentation des retraites</w:t>
            </w:r>
          </w:p>
        </w:tc>
        <w:tc>
          <w:tcPr>
            <w:tcW w:w="6237" w:type="dxa"/>
            <w:hideMark/>
          </w:tcPr>
          <w:p w14:paraId="62A68E3D" w14:textId="77777777" w:rsidR="00320CD0" w:rsidRPr="00E52A4A" w:rsidRDefault="00320CD0" w:rsidP="002F4EFC">
            <w:pPr>
              <w:pStyle w:val="Tabletext"/>
              <w:spacing w:before="20" w:after="20"/>
              <w:rPr>
                <w:sz w:val="20"/>
              </w:rPr>
            </w:pPr>
            <w:r w:rsidRPr="00E52A4A">
              <w:rPr>
                <w:sz w:val="20"/>
              </w:rPr>
              <w:t>2,50% pour 2022 et 2021.</w:t>
            </w:r>
          </w:p>
        </w:tc>
      </w:tr>
      <w:tr w:rsidR="00320CD0" w:rsidRPr="00E52A4A" w14:paraId="4F3F1048" w14:textId="77777777" w:rsidTr="002F4EFC">
        <w:trPr>
          <w:trHeight w:val="826"/>
          <w:jc w:val="center"/>
        </w:trPr>
        <w:tc>
          <w:tcPr>
            <w:tcW w:w="3397" w:type="dxa"/>
            <w:hideMark/>
          </w:tcPr>
          <w:p w14:paraId="16EE8C6B" w14:textId="77777777" w:rsidR="00320CD0" w:rsidRPr="00E52A4A" w:rsidRDefault="00320CD0" w:rsidP="002F4EFC">
            <w:pPr>
              <w:pStyle w:val="Tabletext"/>
              <w:spacing w:before="20" w:after="20"/>
              <w:rPr>
                <w:sz w:val="20"/>
              </w:rPr>
            </w:pPr>
            <w:r w:rsidRPr="00E52A4A">
              <w:rPr>
                <w:sz w:val="20"/>
              </w:rPr>
              <w:lastRenderedPageBreak/>
              <w:t>Coût annuel moyen estimé des demandes de remboursement des frais médicaux en 2022 et variation des frais médicaux en fonction de l'âge</w:t>
            </w:r>
          </w:p>
        </w:tc>
        <w:tc>
          <w:tcPr>
            <w:tcW w:w="6237" w:type="dxa"/>
            <w:hideMark/>
          </w:tcPr>
          <w:p w14:paraId="588DB3FF" w14:textId="77777777" w:rsidR="00320CD0" w:rsidRPr="00E52A4A" w:rsidRDefault="00320CD0" w:rsidP="002F4EFC">
            <w:pPr>
              <w:pStyle w:val="Tabletext"/>
              <w:spacing w:before="20" w:after="20"/>
              <w:rPr>
                <w:sz w:val="20"/>
              </w:rPr>
            </w:pPr>
            <w:r w:rsidRPr="00E52A4A">
              <w:rPr>
                <w:sz w:val="20"/>
              </w:rPr>
              <w:t>Le rapport actuariel pour 2022 se fonde sur un coût moyen des demandes de remboursement estimé en CHF, à la fin de l'exercice 2022, par tranche d'âge de 50, 55, 60, 65, 70, 75 et 80 ans, à respectivement 3 138 CHF, 3 928 CHF, 4 925 CHF, 6 184 CHF, 7 777 CHF, 9 800 CHF, 12 369 CHF.</w:t>
            </w:r>
          </w:p>
        </w:tc>
      </w:tr>
      <w:tr w:rsidR="00320CD0" w:rsidRPr="00E52A4A" w14:paraId="01AFED86" w14:textId="77777777" w:rsidTr="002F4EFC">
        <w:trPr>
          <w:trHeight w:val="255"/>
          <w:jc w:val="center"/>
        </w:trPr>
        <w:tc>
          <w:tcPr>
            <w:tcW w:w="3397" w:type="dxa"/>
            <w:hideMark/>
          </w:tcPr>
          <w:p w14:paraId="41608168" w14:textId="77777777" w:rsidR="00320CD0" w:rsidRPr="00E52A4A" w:rsidRDefault="00320CD0" w:rsidP="002F4EFC">
            <w:pPr>
              <w:pStyle w:val="Tabletext"/>
              <w:spacing w:before="20" w:after="20"/>
              <w:rPr>
                <w:sz w:val="20"/>
              </w:rPr>
            </w:pPr>
            <w:r w:rsidRPr="00E52A4A">
              <w:rPr>
                <w:sz w:val="20"/>
              </w:rPr>
              <w:t>Dépenses d'administration</w:t>
            </w:r>
          </w:p>
        </w:tc>
        <w:tc>
          <w:tcPr>
            <w:tcW w:w="6237" w:type="dxa"/>
            <w:hideMark/>
          </w:tcPr>
          <w:p w14:paraId="2E515829" w14:textId="77777777" w:rsidR="00320CD0" w:rsidRPr="00E52A4A" w:rsidRDefault="00320CD0" w:rsidP="002F4EFC">
            <w:pPr>
              <w:pStyle w:val="Tabletext"/>
              <w:spacing w:before="20" w:after="20"/>
              <w:rPr>
                <w:sz w:val="20"/>
              </w:rPr>
            </w:pPr>
            <w:r w:rsidRPr="00E52A4A">
              <w:rPr>
                <w:sz w:val="20"/>
              </w:rPr>
              <w:t>Le coût administratif annuel a été estimé en moyenne à 162 CHF par personne.</w:t>
            </w:r>
          </w:p>
        </w:tc>
      </w:tr>
      <w:tr w:rsidR="00320CD0" w:rsidRPr="00E52A4A" w14:paraId="6EA97B55" w14:textId="77777777" w:rsidTr="002F4EFC">
        <w:trPr>
          <w:trHeight w:val="1529"/>
          <w:jc w:val="center"/>
        </w:trPr>
        <w:tc>
          <w:tcPr>
            <w:tcW w:w="3397" w:type="dxa"/>
            <w:hideMark/>
          </w:tcPr>
          <w:p w14:paraId="5537CBE0" w14:textId="77777777" w:rsidR="00320CD0" w:rsidRPr="00E52A4A" w:rsidRDefault="00320CD0" w:rsidP="002F4EFC">
            <w:pPr>
              <w:pStyle w:val="Tabletext"/>
              <w:spacing w:before="20" w:after="20"/>
              <w:rPr>
                <w:sz w:val="20"/>
              </w:rPr>
            </w:pPr>
            <w:r w:rsidRPr="00E52A4A">
              <w:rPr>
                <w:sz w:val="20"/>
              </w:rPr>
              <w:t>Mortalité</w:t>
            </w:r>
          </w:p>
        </w:tc>
        <w:tc>
          <w:tcPr>
            <w:tcW w:w="6237" w:type="dxa"/>
            <w:hideMark/>
          </w:tcPr>
          <w:p w14:paraId="589531EF" w14:textId="77777777" w:rsidR="00320CD0" w:rsidRPr="00E52A4A" w:rsidRDefault="00320CD0" w:rsidP="002F4EFC">
            <w:pPr>
              <w:pStyle w:val="Tabletext"/>
              <w:spacing w:before="20" w:after="20"/>
              <w:rPr>
                <w:sz w:val="20"/>
              </w:rPr>
            </w:pPr>
            <w:r w:rsidRPr="00E52A4A">
              <w:rPr>
                <w:sz w:val="20"/>
              </w:rPr>
              <w:t>Le taux de mortalité est basé sur les dernières tables de mortalité des Nations Unies ventilées par sexe (janvier 2023) sans amélioration liée à l'augmentation de l'espérance de vie pour les fonctionnaires en service et les bénéficiaires d'une pension d'invalidité, et avec une amélioration liée à l'augmentation de l'espérance de vie jusqu'en 2042 pour les bénéficiaires d'une pension de retraite, pour les veuves et les veufs. L'année de référence est 2017 et il est tenu compte d'une amélioration liée à l'espérance de vie.</w:t>
            </w:r>
          </w:p>
        </w:tc>
      </w:tr>
      <w:tr w:rsidR="00320CD0" w:rsidRPr="00E52A4A" w14:paraId="1FB59BCE" w14:textId="77777777" w:rsidTr="002F4EFC">
        <w:trPr>
          <w:trHeight w:val="99"/>
          <w:jc w:val="center"/>
        </w:trPr>
        <w:tc>
          <w:tcPr>
            <w:tcW w:w="3397" w:type="dxa"/>
            <w:hideMark/>
          </w:tcPr>
          <w:p w14:paraId="76ED6017" w14:textId="77777777" w:rsidR="00320CD0" w:rsidRPr="00E52A4A" w:rsidRDefault="00320CD0" w:rsidP="002F4EFC">
            <w:pPr>
              <w:pStyle w:val="Tabletext"/>
              <w:spacing w:before="20" w:after="20"/>
              <w:rPr>
                <w:sz w:val="20"/>
              </w:rPr>
            </w:pPr>
            <w:r w:rsidRPr="00E52A4A">
              <w:rPr>
                <w:sz w:val="20"/>
              </w:rPr>
              <w:t>Valorisation des actifs</w:t>
            </w:r>
          </w:p>
        </w:tc>
        <w:tc>
          <w:tcPr>
            <w:tcW w:w="6237" w:type="dxa"/>
            <w:hideMark/>
          </w:tcPr>
          <w:p w14:paraId="0B8C4812" w14:textId="77777777" w:rsidR="00320CD0" w:rsidRPr="00E52A4A" w:rsidRDefault="00320CD0" w:rsidP="002F4EFC">
            <w:pPr>
              <w:pStyle w:val="Tabletext"/>
              <w:spacing w:before="20" w:after="20"/>
              <w:rPr>
                <w:sz w:val="20"/>
              </w:rPr>
            </w:pPr>
            <w:r w:rsidRPr="00E52A4A">
              <w:rPr>
                <w:sz w:val="20"/>
              </w:rPr>
              <w:t>L'UIT n'avait aucun actif sous le Fonds de garantie au 31 décembre 2022.</w:t>
            </w:r>
          </w:p>
        </w:tc>
      </w:tr>
      <w:tr w:rsidR="00320CD0" w:rsidRPr="00E52A4A" w14:paraId="67D1C6FC" w14:textId="77777777" w:rsidTr="002F4EFC">
        <w:trPr>
          <w:trHeight w:val="510"/>
          <w:jc w:val="center"/>
        </w:trPr>
        <w:tc>
          <w:tcPr>
            <w:tcW w:w="3397" w:type="dxa"/>
            <w:hideMark/>
          </w:tcPr>
          <w:p w14:paraId="1526E955" w14:textId="77777777" w:rsidR="00320CD0" w:rsidRPr="00E52A4A" w:rsidRDefault="00320CD0" w:rsidP="002F4EFC">
            <w:pPr>
              <w:pStyle w:val="Tabletext"/>
              <w:spacing w:before="20" w:after="20"/>
              <w:rPr>
                <w:sz w:val="20"/>
              </w:rPr>
            </w:pPr>
            <w:r w:rsidRPr="00E52A4A">
              <w:rPr>
                <w:sz w:val="20"/>
              </w:rPr>
              <w:t>Taux d'invalidité</w:t>
            </w:r>
          </w:p>
        </w:tc>
        <w:tc>
          <w:tcPr>
            <w:tcW w:w="6237" w:type="dxa"/>
            <w:hideMark/>
          </w:tcPr>
          <w:p w14:paraId="10D21DE6" w14:textId="77777777" w:rsidR="00320CD0" w:rsidRPr="00E52A4A" w:rsidRDefault="00320CD0" w:rsidP="002F4EFC">
            <w:pPr>
              <w:pStyle w:val="Tabletext"/>
              <w:spacing w:before="20" w:after="20"/>
              <w:rPr>
                <w:sz w:val="20"/>
              </w:rPr>
            </w:pPr>
            <w:r w:rsidRPr="00E52A4A">
              <w:rPr>
                <w:sz w:val="20"/>
              </w:rPr>
              <w:t>Il varie selon l'âge et le sexe et pour le personnel de la catégorie professionnelle ainsi que le personnel de la catégorie des services généraux, et il augmente avec l'âge. Le taux est basé sur les tables d'invalidité des Nations Unies communiquées en janvier 2023.</w:t>
            </w:r>
          </w:p>
        </w:tc>
      </w:tr>
      <w:tr w:rsidR="00320CD0" w:rsidRPr="00E52A4A" w14:paraId="36EF4335" w14:textId="77777777" w:rsidTr="002F4EFC">
        <w:trPr>
          <w:trHeight w:val="510"/>
          <w:jc w:val="center"/>
        </w:trPr>
        <w:tc>
          <w:tcPr>
            <w:tcW w:w="3397" w:type="dxa"/>
            <w:hideMark/>
          </w:tcPr>
          <w:p w14:paraId="75CBA7DB" w14:textId="77777777" w:rsidR="00320CD0" w:rsidRPr="00E52A4A" w:rsidRDefault="00320CD0" w:rsidP="002F4EFC">
            <w:pPr>
              <w:pStyle w:val="Tabletext"/>
              <w:spacing w:before="20" w:after="20"/>
              <w:rPr>
                <w:sz w:val="20"/>
              </w:rPr>
            </w:pPr>
            <w:r w:rsidRPr="00E52A4A">
              <w:rPr>
                <w:sz w:val="20"/>
              </w:rPr>
              <w:t>Taux de conversion des droits à prestation</w:t>
            </w:r>
          </w:p>
        </w:tc>
        <w:tc>
          <w:tcPr>
            <w:tcW w:w="6237" w:type="dxa"/>
            <w:hideMark/>
          </w:tcPr>
          <w:p w14:paraId="20F3757F" w14:textId="77777777" w:rsidR="00320CD0" w:rsidRPr="00E52A4A" w:rsidRDefault="00320CD0" w:rsidP="002F4EFC">
            <w:pPr>
              <w:pStyle w:val="Tabletext"/>
              <w:spacing w:before="20" w:after="20"/>
              <w:rPr>
                <w:sz w:val="20"/>
              </w:rPr>
            </w:pPr>
            <w:r w:rsidRPr="00E52A4A">
              <w:rPr>
                <w:sz w:val="20"/>
              </w:rPr>
              <w:t>Varient selon l'âge et le nombre d'années de service, les demandes de conversion étant plus fréquentes la première année.</w:t>
            </w:r>
          </w:p>
        </w:tc>
      </w:tr>
      <w:tr w:rsidR="00320CD0" w:rsidRPr="00E52A4A" w14:paraId="43D6A483" w14:textId="77777777" w:rsidTr="002F4EFC">
        <w:trPr>
          <w:trHeight w:val="510"/>
          <w:jc w:val="center"/>
        </w:trPr>
        <w:tc>
          <w:tcPr>
            <w:tcW w:w="3397" w:type="dxa"/>
            <w:hideMark/>
          </w:tcPr>
          <w:p w14:paraId="13F21954" w14:textId="77777777" w:rsidR="00320CD0" w:rsidRPr="00E52A4A" w:rsidRDefault="00320CD0" w:rsidP="002F4EFC">
            <w:pPr>
              <w:pStyle w:val="Tabletext"/>
              <w:spacing w:before="20" w:after="20"/>
              <w:rPr>
                <w:sz w:val="20"/>
              </w:rPr>
            </w:pPr>
            <w:r w:rsidRPr="00E52A4A">
              <w:rPr>
                <w:sz w:val="20"/>
              </w:rPr>
              <w:t>Rotation du personnel</w:t>
            </w:r>
          </w:p>
        </w:tc>
        <w:tc>
          <w:tcPr>
            <w:tcW w:w="6237" w:type="dxa"/>
            <w:hideMark/>
          </w:tcPr>
          <w:p w14:paraId="49C27385" w14:textId="77777777" w:rsidR="00320CD0" w:rsidRPr="00E52A4A" w:rsidRDefault="00320CD0" w:rsidP="002F4EFC">
            <w:pPr>
              <w:pStyle w:val="Tabletext"/>
              <w:spacing w:before="20" w:after="20"/>
              <w:rPr>
                <w:sz w:val="20"/>
              </w:rPr>
            </w:pPr>
            <w:r w:rsidRPr="00E52A4A">
              <w:rPr>
                <w:sz w:val="20"/>
              </w:rPr>
              <w:t>Le taux de départ d'employés quittant les organisations considérées dans l'évaluation varie selon l'âge et le sexe.</w:t>
            </w:r>
          </w:p>
        </w:tc>
      </w:tr>
      <w:tr w:rsidR="00320CD0" w:rsidRPr="00E52A4A" w14:paraId="5322912B" w14:textId="77777777" w:rsidTr="002F4EFC">
        <w:trPr>
          <w:trHeight w:val="510"/>
          <w:jc w:val="center"/>
        </w:trPr>
        <w:tc>
          <w:tcPr>
            <w:tcW w:w="3397" w:type="dxa"/>
            <w:hideMark/>
          </w:tcPr>
          <w:p w14:paraId="1C71FE59" w14:textId="77777777" w:rsidR="00320CD0" w:rsidRPr="00E52A4A" w:rsidRDefault="00320CD0" w:rsidP="002F4EFC">
            <w:pPr>
              <w:pStyle w:val="Tabletext"/>
              <w:spacing w:before="20" w:after="20"/>
              <w:rPr>
                <w:sz w:val="20"/>
              </w:rPr>
            </w:pPr>
            <w:r w:rsidRPr="00E52A4A">
              <w:rPr>
                <w:sz w:val="20"/>
              </w:rPr>
              <w:t>Taux de retraite</w:t>
            </w:r>
          </w:p>
        </w:tc>
        <w:tc>
          <w:tcPr>
            <w:tcW w:w="6237" w:type="dxa"/>
            <w:hideMark/>
          </w:tcPr>
          <w:p w14:paraId="5C375E1E" w14:textId="77777777" w:rsidR="00320CD0" w:rsidRPr="00E52A4A" w:rsidRDefault="00320CD0" w:rsidP="002F4EFC">
            <w:pPr>
              <w:pStyle w:val="Tabletext"/>
              <w:spacing w:before="20" w:after="20"/>
              <w:rPr>
                <w:sz w:val="20"/>
              </w:rPr>
            </w:pPr>
            <w:r w:rsidRPr="00E52A4A">
              <w:rPr>
                <w:sz w:val="20"/>
              </w:rPr>
              <w:t>Pour tous les fonctionnaires, les taux de retraite sont équivalents aux taux définis dans le message du Groupe spécial des Nations Unies de janvier 2023. Les taux varient selon l'âge, le nombre d'années d'affiliation et la catégorie de poste.</w:t>
            </w:r>
          </w:p>
        </w:tc>
      </w:tr>
      <w:tr w:rsidR="00320CD0" w:rsidRPr="00E52A4A" w14:paraId="65F96F3F" w14:textId="77777777" w:rsidTr="002F4EFC">
        <w:trPr>
          <w:trHeight w:val="255"/>
          <w:jc w:val="center"/>
        </w:trPr>
        <w:tc>
          <w:tcPr>
            <w:tcW w:w="3397" w:type="dxa"/>
            <w:hideMark/>
          </w:tcPr>
          <w:p w14:paraId="70280A84" w14:textId="77777777" w:rsidR="00320CD0" w:rsidRPr="00E52A4A" w:rsidRDefault="00320CD0" w:rsidP="002F4EFC">
            <w:pPr>
              <w:pStyle w:val="Tabletext"/>
              <w:spacing w:before="20" w:after="20"/>
              <w:rPr>
                <w:sz w:val="20"/>
              </w:rPr>
            </w:pPr>
            <w:r w:rsidRPr="00E52A4A">
              <w:rPr>
                <w:sz w:val="20"/>
              </w:rPr>
              <w:t>Participation</w:t>
            </w:r>
          </w:p>
        </w:tc>
        <w:tc>
          <w:tcPr>
            <w:tcW w:w="6237" w:type="dxa"/>
            <w:hideMark/>
          </w:tcPr>
          <w:p w14:paraId="4B28595F" w14:textId="77777777" w:rsidR="00320CD0" w:rsidRPr="00E52A4A" w:rsidRDefault="00320CD0" w:rsidP="002F4EFC">
            <w:pPr>
              <w:pStyle w:val="Tabletext"/>
              <w:spacing w:before="20" w:after="20"/>
              <w:rPr>
                <w:sz w:val="20"/>
              </w:rPr>
            </w:pPr>
            <w:r w:rsidRPr="00E52A4A">
              <w:rPr>
                <w:sz w:val="20"/>
              </w:rPr>
              <w:t>97,5% des futurs retraités choisiront d'être couvert par l'ASHI.</w:t>
            </w:r>
          </w:p>
        </w:tc>
      </w:tr>
      <w:tr w:rsidR="00320CD0" w:rsidRPr="00E52A4A" w14:paraId="0E98EEE8" w14:textId="77777777" w:rsidTr="002F4EFC">
        <w:trPr>
          <w:trHeight w:val="765"/>
          <w:jc w:val="center"/>
        </w:trPr>
        <w:tc>
          <w:tcPr>
            <w:tcW w:w="3397" w:type="dxa"/>
            <w:hideMark/>
          </w:tcPr>
          <w:p w14:paraId="2D2DA6A5" w14:textId="77777777" w:rsidR="00320CD0" w:rsidRPr="00E52A4A" w:rsidRDefault="00320CD0" w:rsidP="002F4EFC">
            <w:pPr>
              <w:pStyle w:val="Tabletext"/>
              <w:spacing w:before="20" w:after="20"/>
              <w:rPr>
                <w:sz w:val="20"/>
              </w:rPr>
            </w:pPr>
            <w:r w:rsidRPr="00E52A4A">
              <w:rPr>
                <w:sz w:val="20"/>
              </w:rPr>
              <w:t>Couverture des conjoints</w:t>
            </w:r>
          </w:p>
        </w:tc>
        <w:tc>
          <w:tcPr>
            <w:tcW w:w="6237" w:type="dxa"/>
            <w:hideMark/>
          </w:tcPr>
          <w:p w14:paraId="4B5ECADA" w14:textId="77777777" w:rsidR="00320CD0" w:rsidRPr="00E52A4A" w:rsidRDefault="00320CD0" w:rsidP="002F4EFC">
            <w:pPr>
              <w:pStyle w:val="Tabletext"/>
              <w:spacing w:before="20" w:after="20"/>
              <w:rPr>
                <w:sz w:val="20"/>
              </w:rPr>
            </w:pPr>
            <w:r w:rsidRPr="00E52A4A">
              <w:rPr>
                <w:sz w:val="20"/>
              </w:rPr>
              <w:t>75% et 25% des retraités de sexe masculin et féminin ont un conjoint qui choisira d'être couvert par l'ASHI. Les hommes sont supposés avoir cinq ans de plus que leur conjoint.</w:t>
            </w:r>
          </w:p>
        </w:tc>
      </w:tr>
      <w:tr w:rsidR="00320CD0" w:rsidRPr="00E52A4A" w14:paraId="4660AC11" w14:textId="77777777" w:rsidTr="002F4EFC">
        <w:trPr>
          <w:trHeight w:val="765"/>
          <w:jc w:val="center"/>
        </w:trPr>
        <w:tc>
          <w:tcPr>
            <w:tcW w:w="3397" w:type="dxa"/>
            <w:hideMark/>
          </w:tcPr>
          <w:p w14:paraId="1C11E85D" w14:textId="77777777" w:rsidR="00320CD0" w:rsidRPr="00E52A4A" w:rsidRDefault="00320CD0" w:rsidP="002F4EFC">
            <w:pPr>
              <w:pStyle w:val="Tabletext"/>
              <w:spacing w:before="20" w:after="20"/>
              <w:rPr>
                <w:sz w:val="20"/>
              </w:rPr>
            </w:pPr>
            <w:r w:rsidRPr="00E52A4A">
              <w:rPr>
                <w:sz w:val="20"/>
              </w:rPr>
              <w:t>Méthode actuarielle</w:t>
            </w:r>
          </w:p>
        </w:tc>
        <w:tc>
          <w:tcPr>
            <w:tcW w:w="6237" w:type="dxa"/>
            <w:hideMark/>
          </w:tcPr>
          <w:p w14:paraId="760C0675" w14:textId="77777777" w:rsidR="00320CD0" w:rsidRPr="00E52A4A" w:rsidRDefault="00320CD0" w:rsidP="002F4EFC">
            <w:pPr>
              <w:pStyle w:val="Tabletext"/>
              <w:spacing w:before="20" w:after="20"/>
              <w:rPr>
                <w:sz w:val="20"/>
              </w:rPr>
            </w:pPr>
            <w:r w:rsidRPr="00E52A4A">
              <w:rPr>
                <w:sz w:val="20"/>
              </w:rPr>
              <w:t>Méthode des unités de crédit projetées avec prorata en fonction du nombre d'années de service. La période d'attribution commence à 45 ans d'âge afin de refléter le fait que les employés doivent avoir un minimum de 55 ans et 10 ans de service afin d'être éligibles.</w:t>
            </w:r>
          </w:p>
        </w:tc>
      </w:tr>
      <w:tr w:rsidR="00320CD0" w:rsidRPr="00E52A4A" w14:paraId="71EF223B" w14:textId="77777777" w:rsidTr="002F4EFC">
        <w:trPr>
          <w:trHeight w:val="1020"/>
          <w:jc w:val="center"/>
        </w:trPr>
        <w:tc>
          <w:tcPr>
            <w:tcW w:w="3397" w:type="dxa"/>
            <w:hideMark/>
          </w:tcPr>
          <w:p w14:paraId="05B5E1DE" w14:textId="77777777" w:rsidR="00320CD0" w:rsidRPr="00E52A4A" w:rsidRDefault="00320CD0" w:rsidP="002F4EFC">
            <w:pPr>
              <w:pStyle w:val="Tabletext"/>
              <w:spacing w:before="20" w:after="20"/>
              <w:rPr>
                <w:sz w:val="20"/>
              </w:rPr>
            </w:pPr>
            <w:r w:rsidRPr="00E52A4A">
              <w:rPr>
                <w:sz w:val="20"/>
              </w:rPr>
              <w:t>Approche de l'actif net</w:t>
            </w:r>
          </w:p>
        </w:tc>
        <w:tc>
          <w:tcPr>
            <w:tcW w:w="6237" w:type="dxa"/>
            <w:hideMark/>
          </w:tcPr>
          <w:p w14:paraId="2DA6C563" w14:textId="77777777" w:rsidR="00320CD0" w:rsidRPr="00E52A4A" w:rsidRDefault="00320CD0" w:rsidP="002F4EFC">
            <w:pPr>
              <w:pStyle w:val="Tabletext"/>
              <w:spacing w:before="20" w:after="20"/>
              <w:rPr>
                <w:sz w:val="20"/>
              </w:rPr>
            </w:pPr>
            <w:r w:rsidRPr="00E52A4A">
              <w:rPr>
                <w:sz w:val="20"/>
              </w:rPr>
              <w:t>Tous les gains et toutes les pertes sont comptabilisés intégralement pendant l'année même au cours de laquelle ils surviennent, mais en dehors de l'excédent ou du déficit, dans le cadre de l'état des variations de l'actif net.</w:t>
            </w:r>
          </w:p>
        </w:tc>
      </w:tr>
    </w:tbl>
    <w:p w14:paraId="0CFFC161" w14:textId="77777777" w:rsidR="00320CD0" w:rsidRPr="00E52A4A" w:rsidRDefault="00320CD0" w:rsidP="00320CD0">
      <w:pPr>
        <w:spacing w:before="240"/>
      </w:pPr>
      <w:r w:rsidRPr="00E52A4A">
        <w:t xml:space="preserve">Les fonctionnaires (et leurs conjoints, enfants à charge et survivants) quittant le service à l'âge de 55 ans ou plus ont droit à l'assurance maladie après la cessation de service s'ils ont travaillé au moins dix ans à l'ONU ou dans une institution spécialisée et s'ils ont été assurés au </w:t>
      </w:r>
      <w:r w:rsidRPr="00E52A4A">
        <w:rPr>
          <w:color w:val="000000"/>
        </w:rPr>
        <w:t>régime d'assurance maladie</w:t>
      </w:r>
      <w:r w:rsidRPr="00E52A4A">
        <w:t xml:space="preserve"> de l'UNSMIS pendant les cinq années précédant immédiatement la fin de leur service. Les mêmes prestations s'appliquent aux fonctionnaires bénéficiant d'une pension d'invalidité de la Caisse commune des pensions du personnel des Nations Unies. Ce régime est financé par les cotisations conjointes de l'UIT, à hauteur des 2/3, et des assurés, pour le tiers restant.</w:t>
      </w:r>
    </w:p>
    <w:p w14:paraId="4AAA5CB6" w14:textId="77777777" w:rsidR="00320CD0" w:rsidRPr="00E52A4A" w:rsidRDefault="00320CD0" w:rsidP="003B3C62">
      <w:pPr>
        <w:keepNext/>
        <w:keepLines/>
        <w:spacing w:after="120"/>
      </w:pPr>
      <w:r w:rsidRPr="00E52A4A">
        <w:lastRenderedPageBreak/>
        <w:t>Le tableau ci-dessous fournit des informations et analyses supplémentaires concernant les engagements au titre de l'assurance maladie après la cessation de service découlant des indemnités dues aux employés sur la base de l'étude actuarielle qui a été conduite pour obtenir les montants au 31 décembre 2022.</w:t>
      </w:r>
    </w:p>
    <w:p w14:paraId="04B38DFC" w14:textId="77777777" w:rsidR="00320CD0" w:rsidRPr="00E52A4A" w:rsidRDefault="00320CD0" w:rsidP="00320CD0">
      <w:pPr>
        <w:pStyle w:val="Figure"/>
      </w:pPr>
      <w:r w:rsidRPr="00E52A4A">
        <w:rPr>
          <w:noProof/>
        </w:rPr>
        <w:drawing>
          <wp:inline distT="0" distB="0" distL="0" distR="0" wp14:anchorId="4FADFB2C" wp14:editId="60899C7A">
            <wp:extent cx="6120765" cy="273812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765" cy="2738120"/>
                    </a:xfrm>
                    <a:prstGeom prst="rect">
                      <a:avLst/>
                    </a:prstGeom>
                    <a:noFill/>
                    <a:ln>
                      <a:noFill/>
                    </a:ln>
                  </pic:spPr>
                </pic:pic>
              </a:graphicData>
            </a:graphic>
          </wp:inline>
        </w:drawing>
      </w:r>
    </w:p>
    <w:p w14:paraId="775AA42E" w14:textId="77777777" w:rsidR="00320CD0" w:rsidRPr="00E52A4A" w:rsidRDefault="00320CD0" w:rsidP="00320CD0">
      <w:pPr>
        <w:rPr>
          <w:lang w:eastAsia="en-GB"/>
        </w:rPr>
      </w:pPr>
      <w:r w:rsidRPr="00E52A4A">
        <w:t xml:space="preserve">Cette baisse au cours de la deuxième année, où le montant des engagements au titre de l'ASHI est passé de 545,6 millions CHF à la fin de 2021 à 344,1 millions CHF en 2022, s'explique en grande partie par les changements d'hypothèses financières et démographiques pour 2022. Le principal élément ayant une incidence sur l'évaluation de l'ASHI est le taux d'actualisation, qui est utilisé pour calculer la valeur actuelle des futures demandes de remboursement. En 2022, ce taux est passé de 0,5% à 2,5%. </w:t>
      </w:r>
      <w:r w:rsidRPr="00E52A4A">
        <w:rPr>
          <w:lang w:eastAsia="en-GB"/>
        </w:rPr>
        <w:t>Cette hausse du taux d'actualisation a entraîné une augmentation des gains actuariels de l'ASHI s'élevant à 170,3 millions CHF.</w:t>
      </w:r>
    </w:p>
    <w:p w14:paraId="6B597C48" w14:textId="77777777" w:rsidR="00320CD0" w:rsidRPr="00E52A4A" w:rsidRDefault="00320CD0" w:rsidP="00320CD0">
      <w:pPr>
        <w:rPr>
          <w:lang w:eastAsia="en-GB"/>
        </w:rPr>
      </w:pPr>
      <w:r w:rsidRPr="00E52A4A">
        <w:rPr>
          <w:lang w:eastAsia="en-GB"/>
        </w:rPr>
        <w:t>Le deuxième facteur qui a eu une incidence positive sur les passifs de l'ASHI en 2022 est la réduction des demandes de remboursement de frais médicaux. L'analyse effectuée sur la base des données fournies par l'UNSMIS montre une diminution de 10%, ce qui génère un gain actuariel supplémentaire sur les passifs de 80,8 millions CHF.</w:t>
      </w:r>
    </w:p>
    <w:p w14:paraId="6301D4DC" w14:textId="77777777" w:rsidR="00320CD0" w:rsidRPr="00E52A4A" w:rsidRDefault="00320CD0" w:rsidP="00320CD0">
      <w:pPr>
        <w:rPr>
          <w:lang w:eastAsia="en-GB"/>
        </w:rPr>
      </w:pPr>
      <w:r w:rsidRPr="00E52A4A">
        <w:rPr>
          <w:lang w:eastAsia="en-GB"/>
        </w:rPr>
        <w:t>Les cotisations versées par l'organisation au titre de l'ASHI se sont élevées à 8,4 millions CHF en 2022. Les cotisations de l'employeur prévues pour 2023 s'élèvent à environ 9,1 millions CHF.</w:t>
      </w:r>
    </w:p>
    <w:p w14:paraId="584FDBC1" w14:textId="77777777" w:rsidR="00320CD0" w:rsidRPr="00E52A4A" w:rsidRDefault="00320CD0" w:rsidP="00320CD0">
      <w:bookmarkStart w:id="755" w:name="_Toc395511728"/>
      <w:bookmarkStart w:id="756" w:name="_Toc10450761"/>
      <w:r w:rsidRPr="00E52A4A">
        <w:t>Depuis janvier 2020, l'UIT fait partie de l'Assurance mutuelle contre la maladie et les accidents du personnel des Nations Unies (UNSMIS). Le passage à ce régime d'assurance maladie des Nations Unies présente des avantages non seulement pour le personnel, dans la mesure où le taux de cotisation a été réduit et la franchise supprimée, mais aussi pour l'UIT à long terme, en raison de l'envergure de ce régime. Ce régime regroupe plusieurs organisations et institutions spécialisées des Nations Unies basées à Genève. Il comprend le personnel de l'Office des Nations Unies, du HCR et de l'OMM.</w:t>
      </w:r>
    </w:p>
    <w:p w14:paraId="0AAE612B" w14:textId="77777777" w:rsidR="00320CD0" w:rsidRPr="00E52A4A" w:rsidRDefault="00320CD0" w:rsidP="00320CD0">
      <w:r w:rsidRPr="00E52A4A">
        <w:t xml:space="preserve">Pour pouvoir rejoindre le régime d'assurance maladie UNSMIS en janvier 2020, l'UIT a dû verser une contribution au fonds de réserve de ce régime à des fins d'égalisation. Cette contribution, dont le montant approuvé s'établit à 19,5 millions USD (19,5 millions CHF), a été versée à partir du fonds de garantie de la CCAM début 2020. En outre, une contribution extraordinaire sera versée au fonds de réserve chaque année pendant 13 ans, à compter de 2020. Cette contribution supplémentaire vise à régulariser l'incidence de l'adhésion de l'UIT au régime d'assurance maladie </w:t>
      </w:r>
      <w:r w:rsidRPr="00E52A4A">
        <w:lastRenderedPageBreak/>
        <w:t>en fonction de l'âge du personnel et des retraités, des considérations d'ordre démographique et d'autres facteurs convenus. Elle représente un montant total de 22,5 millions USD répartis sur 13 ans. L'incidence de ce changement de méthode comptable est indiquée dans la Note 30.</w:t>
      </w:r>
    </w:p>
    <w:p w14:paraId="5ED2713B" w14:textId="41CC53F5" w:rsidR="00320CD0" w:rsidRPr="00E52A4A" w:rsidRDefault="00320CD0" w:rsidP="00320CD0">
      <w:r w:rsidRPr="00E52A4A">
        <w:t xml:space="preserve">Le régime de l'UNSMIS auquel l'UIT a adhéré en 2020 repose sur une cotisation salariale de 3,4%. Le suivi de la maîtrise des coûts relève à présent de la responsabilité du Comité de l'UNSMIS, au sein duquel l'UIT dispose d'un siège en tant que nouveau membre. </w:t>
      </w:r>
      <w:r w:rsidRPr="00E52A4A">
        <w:rPr>
          <w:rFonts w:cs="Calibri"/>
          <w:iCs/>
          <w:szCs w:val="24"/>
        </w:rPr>
        <w:t xml:space="preserve">On trouvera de plus amples renseignements dans le </w:t>
      </w:r>
      <w:hyperlink r:id="rId64" w:history="1">
        <w:r w:rsidRPr="00E52A4A">
          <w:rPr>
            <w:rStyle w:val="Hyperlink"/>
            <w:rFonts w:cs="Calibri"/>
            <w:iCs/>
            <w:szCs w:val="24"/>
          </w:rPr>
          <w:t>Document C23/46</w:t>
        </w:r>
      </w:hyperlink>
      <w:r w:rsidRPr="00E52A4A">
        <w:rPr>
          <w:rFonts w:cs="Calibri"/>
          <w:iCs/>
          <w:szCs w:val="24"/>
        </w:rPr>
        <w:t>, qui contient le rapport annuel sur l'ASHI.</w:t>
      </w:r>
    </w:p>
    <w:p w14:paraId="4A4ED0A1" w14:textId="77777777" w:rsidR="00320CD0" w:rsidRPr="00E52A4A" w:rsidRDefault="00320CD0" w:rsidP="00320CD0">
      <w:pPr>
        <w:pStyle w:val="Heading3"/>
        <w:rPr>
          <w:b w:val="0"/>
          <w:bCs/>
          <w:i/>
          <w:iCs/>
        </w:rPr>
      </w:pPr>
      <w:bookmarkStart w:id="757" w:name="_Toc73354456"/>
      <w:bookmarkStart w:id="758" w:name="_Toc73356432"/>
      <w:r w:rsidRPr="00E52A4A">
        <w:rPr>
          <w:b w:val="0"/>
          <w:bCs/>
          <w:i/>
          <w:iCs/>
        </w:rPr>
        <w:t>18.1.3</w:t>
      </w:r>
      <w:r w:rsidRPr="00E52A4A">
        <w:rPr>
          <w:b w:val="0"/>
          <w:bCs/>
          <w:i/>
          <w:iCs/>
        </w:rPr>
        <w:tab/>
      </w:r>
      <w:bookmarkEnd w:id="755"/>
      <w:bookmarkEnd w:id="756"/>
      <w:bookmarkEnd w:id="757"/>
      <w:bookmarkEnd w:id="758"/>
      <w:r w:rsidRPr="00E52A4A">
        <w:rPr>
          <w:b w:val="0"/>
          <w:bCs/>
          <w:i/>
          <w:iCs/>
        </w:rPr>
        <w:t>Analyse de sensibilité du régime d'assurance maladie</w:t>
      </w:r>
    </w:p>
    <w:p w14:paraId="4CA6956B" w14:textId="77777777" w:rsidR="00320CD0" w:rsidRPr="00E52A4A" w:rsidRDefault="00320CD0" w:rsidP="00320CD0">
      <w:r w:rsidRPr="00E52A4A">
        <w:t>La sensibilité des engagements au titre des prestations définies au 31 décembre 2022 et du coût des services et du coût financier pour l'exercice 2023 aux variations relatives à l'évolution supposée des soins de santé est présentée ci-dessous.</w:t>
      </w:r>
    </w:p>
    <w:p w14:paraId="2DBEF70C" w14:textId="77777777" w:rsidR="00320CD0" w:rsidRPr="00E52A4A" w:rsidRDefault="00320CD0" w:rsidP="00320CD0">
      <w:r w:rsidRPr="00E52A4A">
        <w:t>Une augmentation de 1% du taux d'évolution des soins de santé entraînerait une hausse sur les coûts et intérêts de 6,7 millions CHF et un impact sur l'obligation au titre des prestations définies de 87,4 millions CHF. Une diminution de 1% entrainerait un recul de 4,9 millions CHF des coûts et intérêts et de 68 millions CHF de l'obligation au titre des prestations définies.</w:t>
      </w:r>
    </w:p>
    <w:p w14:paraId="121864A6" w14:textId="77777777" w:rsidR="00320CD0" w:rsidRPr="00E52A4A" w:rsidRDefault="00320CD0" w:rsidP="00320CD0">
      <w:r w:rsidRPr="00E52A4A">
        <w:t>Les taux d'actualisation utilisés pour cette évaluation ont été déterminés en utilisant les courbes de rendement des obligations de sociétés AA au 31 décembre 2022 fournies par Aon. La réduction du taux d'actualisation de 100 points de base entraînerait une hausse des engagements au titre des prestations définies de 21%, soit environ 73 millions CHF. Seuls l'évolution supposée des soins de santé et le taux d'actualisation ont un effet significatif sur les montants calculés pour les engagements et les dépenses au titre de l'ASHI, et les modifications des autres hypothèses ne devraient pas avoir d'effets significatifs sur ces engagements.</w:t>
      </w:r>
    </w:p>
    <w:p w14:paraId="4CD9ED40" w14:textId="77777777" w:rsidR="00320CD0" w:rsidRPr="00E52A4A" w:rsidRDefault="00320CD0" w:rsidP="00320CD0">
      <w:pPr>
        <w:pStyle w:val="Heading2"/>
        <w:tabs>
          <w:tab w:val="clear" w:pos="567"/>
        </w:tabs>
        <w:ind w:left="1134" w:hanging="1134"/>
      </w:pPr>
      <w:bookmarkStart w:id="759" w:name="_Toc329202587"/>
      <w:bookmarkStart w:id="760" w:name="_Toc329205019"/>
      <w:bookmarkStart w:id="761" w:name="_Toc329206856"/>
      <w:bookmarkStart w:id="762" w:name="_Toc395511729"/>
      <w:bookmarkStart w:id="763" w:name="_Toc10450762"/>
      <w:bookmarkStart w:id="764" w:name="_Toc73354457"/>
      <w:bookmarkStart w:id="765" w:name="_Toc73356433"/>
      <w:r w:rsidRPr="00E52A4A">
        <w:t>18.2</w:t>
      </w:r>
      <w:r w:rsidRPr="00E52A4A">
        <w:tab/>
        <w:t>Prime de rapatriement</w:t>
      </w:r>
      <w:bookmarkEnd w:id="759"/>
      <w:bookmarkEnd w:id="760"/>
      <w:bookmarkEnd w:id="761"/>
      <w:bookmarkEnd w:id="762"/>
      <w:bookmarkEnd w:id="763"/>
      <w:bookmarkEnd w:id="764"/>
      <w:bookmarkEnd w:id="765"/>
    </w:p>
    <w:p w14:paraId="5F6F8BE3" w14:textId="77777777" w:rsidR="00320CD0" w:rsidRPr="00E52A4A" w:rsidRDefault="00320CD0" w:rsidP="00320CD0">
      <w:pPr>
        <w:rPr>
          <w:bCs/>
          <w:i/>
          <w:iCs/>
        </w:rPr>
      </w:pPr>
      <w:r w:rsidRPr="00E52A4A">
        <w:rPr>
          <w:bCs/>
          <w:i/>
          <w:iCs/>
        </w:rPr>
        <w:t>18.2.1</w:t>
      </w:r>
      <w:r w:rsidRPr="00E52A4A">
        <w:rPr>
          <w:bCs/>
          <w:i/>
          <w:iCs/>
        </w:rPr>
        <w:tab/>
        <w:t>Définition</w:t>
      </w:r>
    </w:p>
    <w:p w14:paraId="555662EC" w14:textId="77777777" w:rsidR="00320CD0" w:rsidRPr="00E52A4A" w:rsidRDefault="00320CD0" w:rsidP="00320CD0">
      <w:r w:rsidRPr="00E52A4A">
        <w:t>Ont droit, en principe, à une prime de rapatriement les fonctionnaires qui ont au moins cinq années de service continu et que l'Union est tenue de rapatrier. Les coûts incluent les jours de congé annuel cumulés, le voyage de rapatriement et le déménagement dans le cadre du rapatriement. Les conditions et définitions concernant le droit à cette prime et les pièces requises pour attester le changement de résidence sont déterminées de façon détaillée par le Secrétaire général.</w:t>
      </w:r>
    </w:p>
    <w:p w14:paraId="6E1DE14E" w14:textId="77777777" w:rsidR="00320CD0" w:rsidRPr="00E52A4A" w:rsidRDefault="00320CD0" w:rsidP="00320CD0">
      <w:r w:rsidRPr="00E52A4A">
        <w:t>La durée du service accomplie et le traitement brut, déduction faite de la contribution du personnel (y compris les éventuelles indemnités linguistiques et l'indemnité de non-résident, le cas échéant, pour le personnel de la catégorie des services généraux) ont été pris en compte dans le calcul du montant global de l'obligation au 31 décembre 2022. Les hypothèses économiques retenues sont un taux d'actualisation de 2,5% (0,5% en 2021) et un taux d'augmentation des traitements de 3%. Pour l'évaluation de 2022, les hypothèses retenues pour l'évaluation actuarielle concernant la prime de rapatriement ont été alignées sur les hypothèses concernant l'ASHI.</w:t>
      </w:r>
    </w:p>
    <w:p w14:paraId="0B596AEB" w14:textId="77777777" w:rsidR="00320CD0" w:rsidRPr="00E52A4A" w:rsidRDefault="00320CD0" w:rsidP="003B3C62">
      <w:pPr>
        <w:pStyle w:val="Heading3"/>
        <w:rPr>
          <w:b w:val="0"/>
          <w:bCs/>
          <w:i/>
          <w:iCs/>
        </w:rPr>
      </w:pPr>
      <w:bookmarkStart w:id="766" w:name="_Toc395511730"/>
      <w:bookmarkStart w:id="767" w:name="_Toc10450763"/>
      <w:bookmarkStart w:id="768" w:name="_Toc73354458"/>
      <w:bookmarkStart w:id="769" w:name="_Toc73356434"/>
      <w:r w:rsidRPr="00E52A4A">
        <w:rPr>
          <w:b w:val="0"/>
          <w:bCs/>
          <w:i/>
          <w:iCs/>
        </w:rPr>
        <w:lastRenderedPageBreak/>
        <w:t>18.2.2</w:t>
      </w:r>
      <w:r w:rsidRPr="00E52A4A">
        <w:rPr>
          <w:b w:val="0"/>
          <w:bCs/>
          <w:i/>
          <w:iCs/>
        </w:rPr>
        <w:tab/>
        <w:t>Paiement de la prime de rapatriement</w:t>
      </w:r>
      <w:bookmarkEnd w:id="766"/>
      <w:bookmarkEnd w:id="767"/>
      <w:bookmarkEnd w:id="768"/>
      <w:bookmarkEnd w:id="769"/>
    </w:p>
    <w:p w14:paraId="00677D56" w14:textId="77777777" w:rsidR="00320CD0" w:rsidRPr="00E52A4A" w:rsidRDefault="00320CD0" w:rsidP="003B3C62">
      <w:pPr>
        <w:keepNext/>
        <w:keepLines/>
      </w:pPr>
      <w:r w:rsidRPr="00E52A4A">
        <w:t>Le versement de la prime de rapatriement est régi par les conditions et définitions mentionnées dans les Statut et Règlement du personnel. En décembre 2022, le passif des avantages du personnel pour le rapatriement se chiffrait à 13,3 millions CHF contre 12,7 millions CHF en 2021. Cette provision est alimentée par un prélèvement de 1% sur la rémunération des fonctionnaires autres que ceux recrutés pour des conférences et autres périodes de courte durée.</w:t>
      </w:r>
    </w:p>
    <w:p w14:paraId="1D3FF60E" w14:textId="77777777" w:rsidR="00320CD0" w:rsidRPr="00E52A4A" w:rsidRDefault="00320CD0" w:rsidP="00320CD0">
      <w:r w:rsidRPr="00E52A4A">
        <w:t>Le passif comptabilisé pour ces autres avantages à long terme est la valeur actualisée des obligations au titre des prestations définies à la date de clôture. Le passif est calculé par un actuaire indépendant selon la méthode des unités de crédit projetées. Les coûts et intérêts et les gains ou pertes actuariels résultant de l'évolution des hypothèses actuarielles ou d'ajustements liés à l'expérience acquise sont comptabilisés dans l'état de la performance financière.</w:t>
      </w:r>
    </w:p>
    <w:p w14:paraId="39CF3833" w14:textId="77777777" w:rsidR="00320CD0" w:rsidRPr="00E52A4A" w:rsidRDefault="00320CD0" w:rsidP="00320CD0">
      <w:r w:rsidRPr="00E52A4A">
        <w:t>Conformément à l'étude actuarielle la plus récente (au 31 décembre 2022), qui couvre le personnel financé par le budget ordinaire, la prime de rapatriement intégrale a été estimée à 12,3 millions CHF, contre 13,1 millions CHF au 31 décembre 2021, soit une diminution nette de 795 000 CHF, qui est comptabilisée selon la nature des charges dans l'état de la performance financière (État II).</w:t>
      </w:r>
    </w:p>
    <w:p w14:paraId="5DABDED5" w14:textId="77777777" w:rsidR="00320CD0" w:rsidRPr="00E52A4A" w:rsidRDefault="00320CD0" w:rsidP="00320CD0">
      <w:r w:rsidRPr="00E52A4A">
        <w:t>Une évaluation actuarielle conforme aux normes IPSAS est effectuée chaque année par un bureau de consultants indépendants.</w:t>
      </w:r>
    </w:p>
    <w:p w14:paraId="25907735" w14:textId="77777777" w:rsidR="00320CD0" w:rsidRPr="00E52A4A" w:rsidRDefault="00320CD0" w:rsidP="00320CD0">
      <w:pPr>
        <w:pStyle w:val="Heading2"/>
        <w:tabs>
          <w:tab w:val="clear" w:pos="567"/>
        </w:tabs>
        <w:ind w:left="1134" w:hanging="1134"/>
      </w:pPr>
      <w:bookmarkStart w:id="770" w:name="_Toc395511731"/>
      <w:bookmarkStart w:id="771" w:name="_Toc10450764"/>
      <w:bookmarkStart w:id="772" w:name="_Toc73354459"/>
      <w:bookmarkStart w:id="773" w:name="_Toc73356435"/>
      <w:r w:rsidRPr="00E52A4A">
        <w:t>18.3</w:t>
      </w:r>
      <w:r w:rsidRPr="00E52A4A">
        <w:tab/>
        <w:t>Avantages au personnel concernant le plan de pension du personnel des Nations Unies</w:t>
      </w:r>
      <w:bookmarkEnd w:id="770"/>
      <w:bookmarkEnd w:id="771"/>
      <w:bookmarkEnd w:id="772"/>
      <w:bookmarkEnd w:id="773"/>
    </w:p>
    <w:p w14:paraId="323A0053" w14:textId="77777777" w:rsidR="00320CD0" w:rsidRPr="00E52A4A" w:rsidRDefault="00320CD0" w:rsidP="00320CD0">
      <w:r w:rsidRPr="00E52A4A">
        <w:t>L'UIT est une organisation membre de la Caisse commune des pensions du personnel des Nations Unies (la "Caisse"), créée par l'Assemblée générale des Nations Unies pour assurer aux employés des prestations de retraite, de décès, d'invalidité et des prestations connexes. La Caisse est un régime multi-employeurs capitalisé à prestations définies. Comme indiqué dans l'Article 3b) des Statuts de la Caisse, peuvent s'affilier à la Caisse les institutions spécialisées, ainsi que toute autre organisation intergouvernementale internationale qui applique le régime commun de traitements, indemnités et autres conditions d'emploi de l'Organisation des Nations Unies et des institutions spécialisées.</w:t>
      </w:r>
    </w:p>
    <w:p w14:paraId="762B4258" w14:textId="77777777" w:rsidR="00320CD0" w:rsidRPr="00E52A4A" w:rsidRDefault="00320CD0" w:rsidP="00320CD0">
      <w:r w:rsidRPr="00E52A4A">
        <w:t xml:space="preserve">La Caisse expose les organisations affiliées aux risques actuariels liés aux employés en activité et aux anciens employés d'autres organisations participant à la Caisse, de sorte qu'il n'existe aucune base cohérente et fiable permettant de répartir les engagements, les actifs du régime et les coûts entre les différentes organisations participant à la Caisse. L'UIT, tout comme les autres organisations affiliées à la Caisse, n'est pas en mesure de déterminer sa quote-part dans les engagements au titre des prestations définies, les actifs du régime et les coûts associés au régime de façon suffisamment fiable aux fins de comptabilisation. En conséquence, l'UIT assimile ce régime à un régime à cotisations définies, conformément aux dispositions de la norme IPSAS 39 sur </w:t>
      </w:r>
      <w:r w:rsidRPr="00E52A4A">
        <w:rPr>
          <w:color w:val="000000"/>
        </w:rPr>
        <w:t>les avantages du personnel</w:t>
      </w:r>
      <w:r w:rsidRPr="00E52A4A">
        <w:t>. Les cotisations de l'UIT à la Caisse pendant l'exercice sont comptabilisées en charges dans l'état de la performance financière.</w:t>
      </w:r>
    </w:p>
    <w:p w14:paraId="0691BE1E" w14:textId="77777777" w:rsidR="003B3C62" w:rsidRPr="00E52A4A" w:rsidRDefault="00320CD0" w:rsidP="00320CD0">
      <w:r w:rsidRPr="00E52A4A">
        <w:t xml:space="preserve">Les Statuts de la Caisse disposent que le Comité mixte fait procéder par l'actuaire-conseil à une évaluation actuarielle de la Caisse au moins une fois tous les trois ans. En pratique, le Comité mixte fait réaliser une évaluation actuarielle tous les deux ans en utilisant la méthode des agrégats </w:t>
      </w:r>
      <w:r w:rsidR="003B3C62" w:rsidRPr="00E52A4A">
        <w:br w:type="page"/>
      </w:r>
    </w:p>
    <w:p w14:paraId="749D3422" w14:textId="68A46A5F" w:rsidR="00320CD0" w:rsidRPr="00E52A4A" w:rsidRDefault="00320CD0" w:rsidP="00320CD0">
      <w:r w:rsidRPr="00E52A4A">
        <w:lastRenderedPageBreak/>
        <w:t>avec entrants. Ces évaluations ont essentiellement pour objectif de déterminer si les actifs actuels et le montant estimatif des actifs futurs de la Caisse seront suffisants pour lui permettre de faire face à ses obligations.</w:t>
      </w:r>
    </w:p>
    <w:p w14:paraId="4DE5FA75" w14:textId="77777777" w:rsidR="00320CD0" w:rsidRPr="00E52A4A" w:rsidRDefault="00320CD0" w:rsidP="00320CD0">
      <w:r w:rsidRPr="00E52A4A">
        <w:t>L'obligation financière de l'UIT à l'égard de la Caisse consiste à verser la cotisation statutaire au taux établi par l'Assemblée générale des Nations Unies (ce taux est actuellement de 7,9% pour les participants et de 15,8% pour les organisations affiliées), ainsi qu'une part des paiements qui seraient à faire pour couvrir tout déficit constaté à la suite de l'évaluation actuarielle conformément à l'Article 26 des Statuts de la Caisse des pensions. Ces paiements n'interviennent que si et dans le cas où l'Assemblée générale des Nations Unies invoque les dispositions de l'Article 26, après avoir déterminé que les avoirs de la Caisse ne sont pas suffisants pour couvrir ses engagements à la date de l'évaluation. Pour couvrir ce déficit, chaque organisation affiliée doit apporter un montant proportionnel au total des contributions qu'elle a versées au cours des trois années précédant la date de l'évaluation.</w:t>
      </w:r>
    </w:p>
    <w:p w14:paraId="0AC628F5" w14:textId="77777777" w:rsidR="00320CD0" w:rsidRPr="00E52A4A" w:rsidRDefault="00320CD0" w:rsidP="00320CD0">
      <w:r w:rsidRPr="00E52A4A">
        <w:t>L'évaluation actuarielle de la Caisse la plus récente a été arrêtée au 31 décembre 2021 et la Caisse a utilisé les données relatives à la participation au 31 décembre 2021 plutôt que celles au 31 décembre 2022 pour établir les états financiers de 2022.</w:t>
      </w:r>
    </w:p>
    <w:p w14:paraId="6F1DF94C" w14:textId="77777777" w:rsidR="00320CD0" w:rsidRPr="00E52A4A" w:rsidRDefault="00320CD0" w:rsidP="00320CD0">
      <w:r w:rsidRPr="00E52A4A">
        <w:t>L'évaluation actuarielle arrêtée au 31 décembre 2021 a eu pour résultat un taux de couverture des passifs par les actifs de 117,0% (107,1% dans le cadre de l'évaluation pour 2019). Ce taux était de 158,2% (144,4% dans le cadre de l'évaluation pour 2019) en ne tenant pas compte du système actuel d'ajustement des pensions.</w:t>
      </w:r>
    </w:p>
    <w:p w14:paraId="6BF1BE96" w14:textId="03661670" w:rsidR="00320CD0" w:rsidRPr="00E52A4A" w:rsidRDefault="00320CD0" w:rsidP="00320CD0">
      <w:r w:rsidRPr="00E52A4A">
        <w:t>Après avoir évalué l'équilibre actuariel de la Caisse des pensions au regard de ses obligations, l'actuaire-conseil a conclu qu'au 31 décembre 2021 une couverture des déficits au titre de l'Article 26 des Statuts de la Caisse n'était pas nécessaire étant donné que la valeur actuarielle de l'actif excédait la valeur actuarielle de toutes les charges à payer dans le cadre du plan. En outre, la valeur de marché des actifs excédait également la valeur actuarielle de tous les passifs cumulés à la date de l'évaluation. Au moment de l'établissement du présent rapport, l'Assemblée générale des Nations Unies n'avait pas invoqué les dispositions de l'Article 26.</w:t>
      </w:r>
    </w:p>
    <w:p w14:paraId="34296293" w14:textId="77777777" w:rsidR="00320CD0" w:rsidRPr="00E52A4A" w:rsidRDefault="00320CD0" w:rsidP="00320CD0">
      <w:r w:rsidRPr="00E52A4A">
        <w:t>Si l'Article 26 devait être invoqué en raison d'un déficit constaté à la suite de l'évaluation actuarielle, soit au cours de l'opération en cours soit en raison de la fin de la Caisse, les paiements exigés de chaque organisation membre pour couvrir le déficit seraient définis en fonction de la part des cotisations de ces organisations par rapport aux cotisations totales versées à la CCPPNU au cours des trois années précédant la date de l'évaluation. Le montant total des cotisations versées à la Caisse au cours des trois dernières années (2019, 2020 et 2021) s'élève à 8 505 milliards USD, auquel l'UIT a contribué à hauteur de 0,34%.</w:t>
      </w:r>
    </w:p>
    <w:p w14:paraId="32B77267" w14:textId="77777777" w:rsidR="00320CD0" w:rsidRPr="00E52A4A" w:rsidRDefault="00320CD0" w:rsidP="00320CD0">
      <w:r w:rsidRPr="00E52A4A">
        <w:t>Au cours de l'année 2022, les contributions versées à la Caisse se sont élevées à 27,7 millions CHF (28,9 millions USD) (contre 25,7 millions CHF en 2021). Le montant des cotisations dues en 2023 devrait être d'environ 29,2 millions USD.</w:t>
      </w:r>
    </w:p>
    <w:p w14:paraId="4E87D13F" w14:textId="77777777" w:rsidR="003B3C62" w:rsidRPr="00E52A4A" w:rsidRDefault="00320CD0" w:rsidP="00320CD0">
      <w:r w:rsidRPr="00E52A4A">
        <w:t xml:space="preserve">L'affiliation à la Caisse peut être résiliée sur décision de l'Assemblée générale des Nations Unies, sur recommandation affirmative du Comité mixte. Une part proportionnelle du total des actifs de la Caisse à la date de résiliation de l'affiliation devra être versée à l'ancienne organisation membre, au bénéfice exclusif des membres de son personnel qui étaient affiliés à la Caisse à cette date, </w:t>
      </w:r>
      <w:r w:rsidR="003B3C62" w:rsidRPr="00E52A4A">
        <w:br w:type="page"/>
      </w:r>
    </w:p>
    <w:p w14:paraId="42AC9A75" w14:textId="4665E826" w:rsidR="00320CD0" w:rsidRPr="00E52A4A" w:rsidRDefault="00320CD0" w:rsidP="00320CD0">
      <w:r w:rsidRPr="00E52A4A">
        <w:lastRenderedPageBreak/>
        <w:t>conformément à un accord conclu entre l'organisation et la Caisse. Le montant est défini par le Comité mixte de la CCPPNU à partir d'une évaluation actuarielle des actifs et des passifs de la Caisse à la date de résiliation de l'affiliation; l'établissement de ce montant ne tient pas compte des actifs en excès par rapport au passif.</w:t>
      </w:r>
    </w:p>
    <w:p w14:paraId="72AE4774" w14:textId="77777777" w:rsidR="00320CD0" w:rsidRPr="00E52A4A" w:rsidRDefault="00320CD0" w:rsidP="00320CD0">
      <w:pPr>
        <w:keepLines/>
      </w:pPr>
      <w:r w:rsidRPr="00E52A4A">
        <w:t xml:space="preserve">Le Comité des commissaires aux comptes de l'ONU procède à un audit annuel de la Caisse et rend compte chaque année de ses travaux au Comité mixte de la Caisse commune des pensions et à l'Assemblée générale des Nations Unies. La Caisse publie des rapports trimestriels sur ses placements, qui peuvent être consultés à l'adresse </w:t>
      </w:r>
      <w:hyperlink r:id="rId65" w:history="1">
        <w:r w:rsidRPr="00E52A4A">
          <w:rPr>
            <w:rFonts w:eastAsia="Calibri"/>
            <w:color w:val="0000FF"/>
            <w:u w:val="single"/>
          </w:rPr>
          <w:t>www.unjspf.org</w:t>
        </w:r>
      </w:hyperlink>
      <w:r w:rsidRPr="00E52A4A">
        <w:t>.</w:t>
      </w:r>
    </w:p>
    <w:p w14:paraId="22F81BE3" w14:textId="77777777" w:rsidR="00320CD0" w:rsidRPr="00E52A4A" w:rsidRDefault="00320CD0" w:rsidP="00320CD0">
      <w:pPr>
        <w:pStyle w:val="Tabletitle"/>
        <w:spacing w:before="240"/>
      </w:pPr>
      <w:r w:rsidRPr="00E52A4A">
        <w:t>Résumé des contributions versées à la Caisse pour la période</w:t>
      </w:r>
      <w:r w:rsidRPr="00E52A4A">
        <w:br/>
        <w:t>comprise entre le 1er janvier et le 31 décembre 2022</w:t>
      </w:r>
    </w:p>
    <w:p w14:paraId="235298ED" w14:textId="77777777" w:rsidR="00320CD0" w:rsidRPr="00E52A4A" w:rsidRDefault="00320CD0" w:rsidP="00320CD0">
      <w:pPr>
        <w:pStyle w:val="Figure"/>
        <w:rPr>
          <w:sz w:val="20"/>
        </w:rPr>
      </w:pPr>
      <w:r w:rsidRPr="00E52A4A">
        <w:rPr>
          <w:noProof/>
        </w:rPr>
        <w:drawing>
          <wp:inline distT="0" distB="0" distL="0" distR="0" wp14:anchorId="1A44D7D4" wp14:editId="5E189BE2">
            <wp:extent cx="5866765" cy="1400810"/>
            <wp:effectExtent l="0" t="0" r="635"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66765" cy="1400810"/>
                    </a:xfrm>
                    <a:prstGeom prst="rect">
                      <a:avLst/>
                    </a:prstGeom>
                    <a:noFill/>
                    <a:ln>
                      <a:noFill/>
                    </a:ln>
                  </pic:spPr>
                </pic:pic>
              </a:graphicData>
            </a:graphic>
          </wp:inline>
        </w:drawing>
      </w:r>
    </w:p>
    <w:p w14:paraId="32C17E2F" w14:textId="77777777" w:rsidR="00320CD0" w:rsidRPr="00E52A4A" w:rsidRDefault="00320CD0" w:rsidP="00320CD0">
      <w:pPr>
        <w:pStyle w:val="Normalaftertitle"/>
        <w:rPr>
          <w:u w:val="single"/>
        </w:rPr>
      </w:pPr>
      <w:r w:rsidRPr="00E52A4A">
        <w:rPr>
          <w:u w:val="single"/>
        </w:rPr>
        <w:t>Engagements concernant les autres avantages du personnel</w:t>
      </w:r>
    </w:p>
    <w:p w14:paraId="4412B2DB" w14:textId="77777777" w:rsidR="00320CD0" w:rsidRPr="00E52A4A" w:rsidRDefault="00320CD0" w:rsidP="00320CD0">
      <w:r w:rsidRPr="00E52A4A">
        <w:t>Avant la constitution de la Caisse commune des pensions du personnel des Nations Unies et son affiliation à cette caisse, l'UIT avait créé des fonds pour fournir les prestations de retraite, de décès, d'invalidité ou d'assurance maladie aux membres de son personnel. Ces fonds fonctionnent en caisse fermée depuis l'affiliation de l'UIT à la Caisse susmentionnée. Les engagements sont indiqués dans les passifs à long terme. Des conventions ont été établies entre l'UIT et les fonds de l'UIT afin d'assurer le financement de ces derniers.</w:t>
      </w:r>
    </w:p>
    <w:p w14:paraId="1C6456F9" w14:textId="77777777" w:rsidR="00320CD0" w:rsidRPr="00E52A4A" w:rsidRDefault="00320CD0" w:rsidP="00320CD0">
      <w:pPr>
        <w:rPr>
          <w:sz w:val="22"/>
          <w:lang w:eastAsia="zh-CN"/>
        </w:rPr>
      </w:pPr>
      <w:r w:rsidRPr="00E52A4A">
        <w:t>En 2022, l'Union n'a pas jugé utile de demander une nouvelle étude actuarielle pour la Caisse d'assurance du personnel de l'UIT. Au 31 décembre 2022, la provision pour les engagements résultant des rentes en cours des anciens fonctionnaires affiliés à la Caisse d'assurance du personnel, comptabilisée en 2010 pour un montant de 54 000 CHF, reste inchangée.</w:t>
      </w:r>
    </w:p>
    <w:p w14:paraId="50695903" w14:textId="77777777" w:rsidR="00320CD0" w:rsidRPr="00E52A4A" w:rsidRDefault="00320CD0" w:rsidP="00320CD0">
      <w:pPr>
        <w:pStyle w:val="Heading1"/>
        <w:spacing w:before="240" w:after="120"/>
        <w:rPr>
          <w:sz w:val="24"/>
          <w:szCs w:val="24"/>
        </w:rPr>
      </w:pPr>
      <w:bookmarkStart w:id="774" w:name="_Toc268007555"/>
      <w:bookmarkStart w:id="775" w:name="_Toc329178795"/>
      <w:bookmarkStart w:id="776" w:name="_Toc329181768"/>
      <w:bookmarkStart w:id="777" w:name="_Toc329202588"/>
      <w:bookmarkStart w:id="778" w:name="_Toc329205020"/>
      <w:bookmarkStart w:id="779" w:name="_Toc329206857"/>
      <w:bookmarkStart w:id="780" w:name="_Toc358379940"/>
      <w:bookmarkStart w:id="781" w:name="_Toc358380483"/>
      <w:bookmarkStart w:id="782" w:name="_Toc452139850"/>
      <w:bookmarkStart w:id="783" w:name="_Toc452140724"/>
      <w:bookmarkStart w:id="784" w:name="_Toc482801512"/>
      <w:bookmarkStart w:id="785" w:name="_Toc511649484"/>
      <w:bookmarkStart w:id="786" w:name="_Toc511649854"/>
      <w:bookmarkStart w:id="787" w:name="_Toc511649970"/>
      <w:bookmarkStart w:id="788" w:name="_Toc511651230"/>
      <w:bookmarkStart w:id="789" w:name="_Toc511724093"/>
      <w:bookmarkStart w:id="790" w:name="_Toc511739082"/>
      <w:bookmarkStart w:id="791" w:name="_Toc511741253"/>
      <w:bookmarkStart w:id="792" w:name="_Toc10450766"/>
      <w:bookmarkStart w:id="793" w:name="_Toc41566359"/>
      <w:bookmarkStart w:id="794" w:name="_Toc41567366"/>
      <w:bookmarkStart w:id="795" w:name="_Toc41567869"/>
      <w:bookmarkStart w:id="796" w:name="_Toc41814963"/>
      <w:bookmarkStart w:id="797" w:name="_Toc73354460"/>
      <w:bookmarkStart w:id="798" w:name="_Toc73356436"/>
      <w:bookmarkStart w:id="799" w:name="_Toc162331520"/>
      <w:bookmarkStart w:id="800" w:name="_Toc162331730"/>
      <w:r w:rsidRPr="00E52A4A">
        <w:rPr>
          <w:sz w:val="24"/>
          <w:szCs w:val="24"/>
        </w:rPr>
        <w:t>Note 19</w:t>
      </w:r>
      <w:r w:rsidRPr="00E52A4A">
        <w:rPr>
          <w:sz w:val="24"/>
          <w:szCs w:val="24"/>
        </w:rPr>
        <w:tab/>
        <w:t>Provision</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p w14:paraId="748897A9" w14:textId="77777777" w:rsidR="00320CD0" w:rsidRPr="00E52A4A" w:rsidRDefault="00320CD0" w:rsidP="00320CD0">
      <w:pPr>
        <w:rPr>
          <w:bCs/>
        </w:rPr>
      </w:pPr>
      <w:r w:rsidRPr="00E52A4A">
        <w:t>La provision pour risques et charges se compose de la provision pour litiges qui représente l'évaluation par la direction, à la date de clôture, des obligations futures liées à un évènement passé au titre de divers litiges auxquels l'UIT est partie prenante ainsi que du coût moyen pour les frais administratifs de chaque cas présenté au tribunal. Il subsiste une incertitude pour l'UIT en ce qui concerne la valeur finale et le calendrier des sorties de fonds liées à ces litiges.</w:t>
      </w:r>
    </w:p>
    <w:p w14:paraId="372F2ADA" w14:textId="77777777" w:rsidR="00320CD0" w:rsidRPr="00E52A4A" w:rsidRDefault="00320CD0" w:rsidP="00320CD0">
      <w:r w:rsidRPr="00E52A4A">
        <w:t>La provision pour les fiches de notification des réseaux à satellite (SNF) constitue le montant que les Administrations peuvent demander chaque année au titre de la gratuité non réclamée de leur demande de publication. Cette provision sera entièrement utilisée au cours de l'exercice 2023.</w:t>
      </w:r>
    </w:p>
    <w:p w14:paraId="278BBBCC" w14:textId="77777777" w:rsidR="00320CD0" w:rsidRPr="00E52A4A" w:rsidRDefault="00320CD0" w:rsidP="00320CD0">
      <w:pPr>
        <w:pStyle w:val="Figure"/>
        <w:keepNext w:val="0"/>
        <w:keepLines w:val="0"/>
        <w:rPr>
          <w:sz w:val="20"/>
          <w:u w:val="single"/>
        </w:rPr>
      </w:pPr>
      <w:r w:rsidRPr="00E52A4A">
        <w:rPr>
          <w:noProof/>
        </w:rPr>
        <w:lastRenderedPageBreak/>
        <w:drawing>
          <wp:inline distT="0" distB="0" distL="0" distR="0" wp14:anchorId="71210BF5" wp14:editId="1BD4B48F">
            <wp:extent cx="4497705" cy="174434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97705" cy="1744345"/>
                    </a:xfrm>
                    <a:prstGeom prst="rect">
                      <a:avLst/>
                    </a:prstGeom>
                    <a:noFill/>
                    <a:ln>
                      <a:noFill/>
                    </a:ln>
                  </pic:spPr>
                </pic:pic>
              </a:graphicData>
            </a:graphic>
          </wp:inline>
        </w:drawing>
      </w:r>
    </w:p>
    <w:p w14:paraId="36B04957" w14:textId="77777777" w:rsidR="00320CD0" w:rsidRPr="00E52A4A" w:rsidRDefault="00320CD0" w:rsidP="00320CD0">
      <w:pPr>
        <w:pStyle w:val="Heading1"/>
        <w:keepNext w:val="0"/>
        <w:keepLines w:val="0"/>
        <w:spacing w:before="240" w:after="240"/>
        <w:rPr>
          <w:sz w:val="24"/>
          <w:szCs w:val="24"/>
        </w:rPr>
      </w:pPr>
      <w:bookmarkStart w:id="801" w:name="_Toc329178796"/>
      <w:bookmarkStart w:id="802" w:name="_Toc329181769"/>
      <w:bookmarkStart w:id="803" w:name="_Toc329202589"/>
      <w:bookmarkStart w:id="804" w:name="_Toc329205021"/>
      <w:bookmarkStart w:id="805" w:name="_Toc329206858"/>
      <w:bookmarkStart w:id="806" w:name="_Toc358379941"/>
      <w:bookmarkStart w:id="807" w:name="_Toc358380484"/>
      <w:bookmarkStart w:id="808" w:name="_Toc452139851"/>
      <w:bookmarkStart w:id="809" w:name="_Toc452140725"/>
      <w:bookmarkStart w:id="810" w:name="_Toc482801513"/>
      <w:bookmarkStart w:id="811" w:name="_Toc511649485"/>
      <w:bookmarkStart w:id="812" w:name="_Toc511649855"/>
      <w:bookmarkStart w:id="813" w:name="_Toc511649971"/>
      <w:bookmarkStart w:id="814" w:name="_Toc511651231"/>
      <w:bookmarkStart w:id="815" w:name="_Toc511724094"/>
      <w:bookmarkStart w:id="816" w:name="_Toc511739083"/>
      <w:bookmarkStart w:id="817" w:name="_Toc511741254"/>
      <w:bookmarkStart w:id="818" w:name="_Toc10450767"/>
      <w:bookmarkStart w:id="819" w:name="_Toc41566360"/>
      <w:bookmarkStart w:id="820" w:name="_Toc41567367"/>
      <w:bookmarkStart w:id="821" w:name="_Toc41567870"/>
      <w:bookmarkStart w:id="822" w:name="_Toc41814964"/>
      <w:bookmarkStart w:id="823" w:name="_Toc73354461"/>
      <w:bookmarkStart w:id="824" w:name="_Toc73356437"/>
      <w:bookmarkStart w:id="825" w:name="_Toc162331521"/>
      <w:bookmarkStart w:id="826" w:name="_Toc162331731"/>
      <w:r w:rsidRPr="00E52A4A">
        <w:rPr>
          <w:sz w:val="24"/>
          <w:szCs w:val="24"/>
        </w:rPr>
        <w:t>Note 20</w:t>
      </w:r>
      <w:r w:rsidRPr="00E52A4A">
        <w:rPr>
          <w:sz w:val="24"/>
          <w:szCs w:val="24"/>
        </w:rPr>
        <w:tab/>
        <w:t>Autres dettes</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p>
    <w:p w14:paraId="23FA6C58" w14:textId="77777777" w:rsidR="00320CD0" w:rsidRPr="00E52A4A" w:rsidRDefault="00320CD0" w:rsidP="00320CD0">
      <w:pPr>
        <w:pStyle w:val="Figure"/>
        <w:keepNext w:val="0"/>
        <w:keepLines w:val="0"/>
      </w:pPr>
      <w:r w:rsidRPr="00E52A4A">
        <w:rPr>
          <w:noProof/>
        </w:rPr>
        <w:drawing>
          <wp:inline distT="0" distB="0" distL="0" distR="0" wp14:anchorId="4A1FA3D8" wp14:editId="3ADD83C4">
            <wp:extent cx="4952365" cy="150622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52365" cy="1506220"/>
                    </a:xfrm>
                    <a:prstGeom prst="rect">
                      <a:avLst/>
                    </a:prstGeom>
                    <a:noFill/>
                    <a:ln>
                      <a:noFill/>
                    </a:ln>
                  </pic:spPr>
                </pic:pic>
              </a:graphicData>
            </a:graphic>
          </wp:inline>
        </w:drawing>
      </w:r>
    </w:p>
    <w:p w14:paraId="591B285C" w14:textId="77777777" w:rsidR="00320CD0" w:rsidRPr="00E52A4A" w:rsidRDefault="00320CD0" w:rsidP="00320CD0">
      <w:pPr>
        <w:pStyle w:val="Heading1"/>
        <w:spacing w:before="240"/>
        <w:rPr>
          <w:szCs w:val="24"/>
        </w:rPr>
      </w:pPr>
      <w:bookmarkStart w:id="827" w:name="_Toc329178797"/>
      <w:bookmarkStart w:id="828" w:name="_Toc329181770"/>
      <w:bookmarkStart w:id="829" w:name="_Toc329202590"/>
      <w:bookmarkStart w:id="830" w:name="_Toc329205022"/>
      <w:bookmarkStart w:id="831" w:name="_Toc329206859"/>
      <w:bookmarkStart w:id="832" w:name="_Toc358379942"/>
      <w:bookmarkStart w:id="833" w:name="_Toc358380485"/>
      <w:bookmarkStart w:id="834" w:name="_Toc452139852"/>
      <w:bookmarkStart w:id="835" w:name="_Toc452140726"/>
      <w:bookmarkStart w:id="836" w:name="_Toc482801514"/>
      <w:bookmarkStart w:id="837" w:name="_Toc511649486"/>
      <w:bookmarkStart w:id="838" w:name="_Toc511649856"/>
      <w:bookmarkStart w:id="839" w:name="_Toc511649972"/>
      <w:bookmarkStart w:id="840" w:name="_Toc511651232"/>
      <w:bookmarkStart w:id="841" w:name="_Toc511724095"/>
      <w:bookmarkStart w:id="842" w:name="_Toc511739084"/>
      <w:bookmarkStart w:id="843" w:name="_Toc511741255"/>
      <w:bookmarkStart w:id="844" w:name="_Toc10450768"/>
      <w:bookmarkStart w:id="845" w:name="_Toc41566361"/>
      <w:bookmarkStart w:id="846" w:name="_Toc41567368"/>
      <w:bookmarkStart w:id="847" w:name="_Toc41567871"/>
      <w:bookmarkStart w:id="848" w:name="_Toc41814965"/>
      <w:bookmarkStart w:id="849" w:name="_Toc73354462"/>
      <w:bookmarkStart w:id="850" w:name="_Toc73356438"/>
      <w:bookmarkStart w:id="851" w:name="_Toc162331522"/>
      <w:bookmarkStart w:id="852" w:name="_Toc162331732"/>
      <w:bookmarkStart w:id="853" w:name="_Toc268007556"/>
      <w:r w:rsidRPr="00E52A4A">
        <w:rPr>
          <w:sz w:val="24"/>
          <w:szCs w:val="18"/>
        </w:rPr>
        <w:t>Note 21</w:t>
      </w:r>
      <w:r w:rsidRPr="00E52A4A">
        <w:rPr>
          <w:sz w:val="24"/>
          <w:szCs w:val="18"/>
        </w:rPr>
        <w:tab/>
        <w:t>Fonds extrabudgétaires</w:t>
      </w:r>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p>
    <w:p w14:paraId="01E83AB3" w14:textId="77777777" w:rsidR="00320CD0" w:rsidRPr="00E52A4A" w:rsidRDefault="00320CD0" w:rsidP="00320CD0">
      <w:pPr>
        <w:jc w:val="center"/>
      </w:pPr>
      <w:r w:rsidRPr="00E52A4A">
        <w:rPr>
          <w:noProof/>
        </w:rPr>
        <w:drawing>
          <wp:inline distT="0" distB="0" distL="0" distR="0" wp14:anchorId="5F14B810" wp14:editId="38E6310E">
            <wp:extent cx="4503420" cy="14376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03420" cy="1437640"/>
                    </a:xfrm>
                    <a:prstGeom prst="rect">
                      <a:avLst/>
                    </a:prstGeom>
                    <a:noFill/>
                    <a:ln>
                      <a:noFill/>
                    </a:ln>
                  </pic:spPr>
                </pic:pic>
              </a:graphicData>
            </a:graphic>
          </wp:inline>
        </w:drawing>
      </w:r>
    </w:p>
    <w:p w14:paraId="4520A05F" w14:textId="77777777" w:rsidR="00320CD0" w:rsidRPr="00E52A4A" w:rsidRDefault="00320CD0" w:rsidP="00320CD0">
      <w:r w:rsidRPr="00E52A4A">
        <w:t>En 2022, l'UIT a retraité les contributions volontaires reçues pour le parrainage du nouveau bâtiment, ce qui explique l'augmentation importante de fonds de tiers affectés. L'incidence de ce changement de méthode comptable est indiquée dans la Note 30.</w:t>
      </w:r>
    </w:p>
    <w:p w14:paraId="0FB530F6" w14:textId="77777777" w:rsidR="00320CD0" w:rsidRPr="00E52A4A" w:rsidRDefault="00320CD0" w:rsidP="00320CD0">
      <w:r w:rsidRPr="00E52A4A">
        <w:t>En ce qui concerne les projets extrabudgétaires (Fonds d'affectation spéciale et contributions volontaires soumises à restrictions), la mise en œuvre de nombreux projets signés en 2021 a débuté, ce qui explique la baisse globale des fonds extrabudgétaires. Cette tendance apparaît également dans les produits provenant des coûts d'appui pour l'année 2022 qui ont augmenté de 30%.</w:t>
      </w:r>
    </w:p>
    <w:p w14:paraId="35240CAF" w14:textId="444776E7" w:rsidR="00320CD0" w:rsidRPr="00E52A4A" w:rsidRDefault="00320CD0" w:rsidP="00320CD0">
      <w:r w:rsidRPr="00E52A4A">
        <w:t xml:space="preserve">Il convient également de noter le reclassement de 4 millions CHF dans le dépôt client. Voir la Note 15. Au 31 décembre 2022, 85 projets financés par des Fonds d'affectation spéciale étaient actifs et 137 contributions volontaires étaient gérées. On trouvera de plus amples renseignements dans le Document </w:t>
      </w:r>
      <w:hyperlink r:id="rId70" w:history="1">
        <w:r w:rsidRPr="00F25C4D">
          <w:rPr>
            <w:rStyle w:val="Hyperlink"/>
          </w:rPr>
          <w:t>C23</w:t>
        </w:r>
        <w:r w:rsidR="00F25C4D" w:rsidRPr="00F25C4D">
          <w:rPr>
            <w:rStyle w:val="Hyperlink"/>
          </w:rPr>
          <w:t>/</w:t>
        </w:r>
        <w:r w:rsidRPr="00F25C4D">
          <w:rPr>
            <w:rStyle w:val="Hyperlink"/>
          </w:rPr>
          <w:t>INF/12</w:t>
        </w:r>
      </w:hyperlink>
      <w:r w:rsidRPr="00E52A4A">
        <w:t xml:space="preserve"> sur les contributions volontaires.</w:t>
      </w:r>
    </w:p>
    <w:p w14:paraId="43075BB5" w14:textId="77777777" w:rsidR="00320CD0" w:rsidRPr="00E52A4A" w:rsidRDefault="00320CD0" w:rsidP="00320CD0">
      <w:pPr>
        <w:pStyle w:val="Heading1"/>
        <w:spacing w:before="240"/>
        <w:rPr>
          <w:sz w:val="24"/>
          <w:szCs w:val="24"/>
        </w:rPr>
      </w:pPr>
      <w:bookmarkStart w:id="854" w:name="_Toc329202593"/>
      <w:bookmarkStart w:id="855" w:name="_Toc329205025"/>
      <w:bookmarkStart w:id="856" w:name="_Toc329206862"/>
      <w:bookmarkStart w:id="857" w:name="_Toc358379943"/>
      <w:bookmarkStart w:id="858" w:name="_Toc358380486"/>
      <w:bookmarkStart w:id="859" w:name="_Toc387166660"/>
      <w:bookmarkStart w:id="860" w:name="_Toc395260945"/>
      <w:bookmarkStart w:id="861" w:name="_Toc395511732"/>
      <w:bookmarkStart w:id="862" w:name="_Toc452138634"/>
      <w:bookmarkStart w:id="863" w:name="_Toc452139083"/>
      <w:bookmarkStart w:id="864" w:name="_Toc452139447"/>
      <w:bookmarkStart w:id="865" w:name="_Toc452139853"/>
      <w:bookmarkStart w:id="866" w:name="_Toc452140727"/>
      <w:bookmarkStart w:id="867" w:name="_Toc482801515"/>
      <w:bookmarkStart w:id="868" w:name="_Toc511649487"/>
      <w:bookmarkStart w:id="869" w:name="_Toc511649857"/>
      <w:bookmarkStart w:id="870" w:name="_Toc511649973"/>
      <w:bookmarkStart w:id="871" w:name="_Toc511651233"/>
      <w:bookmarkStart w:id="872" w:name="_Toc511724096"/>
      <w:bookmarkStart w:id="873" w:name="_Toc511739085"/>
      <w:bookmarkStart w:id="874" w:name="_Toc511741256"/>
      <w:bookmarkStart w:id="875" w:name="_Toc10450769"/>
      <w:bookmarkStart w:id="876" w:name="_Toc41566362"/>
      <w:bookmarkStart w:id="877" w:name="_Toc41567369"/>
      <w:bookmarkStart w:id="878" w:name="_Toc41567872"/>
      <w:bookmarkStart w:id="879" w:name="_Toc41814966"/>
      <w:bookmarkStart w:id="880" w:name="_Toc73354463"/>
      <w:bookmarkStart w:id="881" w:name="_Toc73356439"/>
      <w:bookmarkStart w:id="882" w:name="_Toc162331523"/>
      <w:bookmarkStart w:id="883" w:name="_Toc162331733"/>
      <w:bookmarkStart w:id="884" w:name="_Toc268007557"/>
      <w:bookmarkEnd w:id="853"/>
      <w:r w:rsidRPr="00E52A4A">
        <w:rPr>
          <w:sz w:val="24"/>
          <w:szCs w:val="18"/>
        </w:rPr>
        <w:lastRenderedPageBreak/>
        <w:t>Note 22</w:t>
      </w:r>
      <w:r w:rsidRPr="00E52A4A">
        <w:rPr>
          <w:sz w:val="24"/>
          <w:szCs w:val="18"/>
        </w:rPr>
        <w:tab/>
      </w:r>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r w:rsidRPr="00E52A4A">
        <w:rPr>
          <w:sz w:val="24"/>
          <w:szCs w:val="18"/>
        </w:rPr>
        <w:t>Produits</w:t>
      </w:r>
      <w:bookmarkEnd w:id="882"/>
      <w:bookmarkEnd w:id="883"/>
    </w:p>
    <w:p w14:paraId="0C560932" w14:textId="77777777" w:rsidR="00320CD0" w:rsidRPr="00E52A4A" w:rsidRDefault="00320CD0" w:rsidP="00320CD0">
      <w:pPr>
        <w:keepNext/>
        <w:keepLines/>
        <w:rPr>
          <w:b/>
          <w:bCs/>
        </w:rPr>
      </w:pPr>
      <w:r w:rsidRPr="00E52A4A">
        <w:rPr>
          <w:b/>
          <w:bCs/>
        </w:rPr>
        <w:t>Contributions mises en recouvrement</w:t>
      </w:r>
    </w:p>
    <w:p w14:paraId="5BAB7FDB" w14:textId="77777777" w:rsidR="00320CD0" w:rsidRPr="00E52A4A" w:rsidRDefault="00320CD0" w:rsidP="00320CD0">
      <w:pPr>
        <w:keepNext/>
        <w:keepLines/>
      </w:pPr>
      <w:r w:rsidRPr="00E52A4A">
        <w:t>Le tableau suivant présente les contributions mises en recouvrement comptabilisées au cours de l'exercice 2022.</w:t>
      </w:r>
    </w:p>
    <w:p w14:paraId="5D54D357" w14:textId="77777777" w:rsidR="00320CD0" w:rsidRPr="00E52A4A" w:rsidRDefault="00320CD0" w:rsidP="00320CD0">
      <w:pPr>
        <w:pStyle w:val="Figure"/>
      </w:pPr>
      <w:r w:rsidRPr="00E52A4A">
        <w:rPr>
          <w:noProof/>
        </w:rPr>
        <w:drawing>
          <wp:inline distT="0" distB="0" distL="0" distR="0" wp14:anchorId="71F4A77F" wp14:editId="51CAA2EE">
            <wp:extent cx="4465320" cy="166624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65320" cy="1666240"/>
                    </a:xfrm>
                    <a:prstGeom prst="rect">
                      <a:avLst/>
                    </a:prstGeom>
                    <a:noFill/>
                    <a:ln>
                      <a:noFill/>
                    </a:ln>
                  </pic:spPr>
                </pic:pic>
              </a:graphicData>
            </a:graphic>
          </wp:inline>
        </w:drawing>
      </w:r>
    </w:p>
    <w:p w14:paraId="1A3CA832" w14:textId="77777777" w:rsidR="00320CD0" w:rsidRPr="00E52A4A" w:rsidRDefault="00320CD0" w:rsidP="00320CD0">
      <w:pPr>
        <w:rPr>
          <w:color w:val="000000"/>
        </w:rPr>
      </w:pPr>
      <w:r w:rsidRPr="00E52A4A">
        <w:t>Par la Résolution 1405 qu'il a adoptée à sa session de 2021, le Conseil a approuvé le budget de l'Union pour la période 2022-2023.</w:t>
      </w:r>
    </w:p>
    <w:p w14:paraId="240D35BF" w14:textId="77777777" w:rsidR="00320CD0" w:rsidRPr="00E52A4A" w:rsidRDefault="00320CD0" w:rsidP="00320CD0">
      <w:pPr>
        <w:rPr>
          <w:szCs w:val="24"/>
        </w:rPr>
      </w:pPr>
      <w:r w:rsidRPr="00E52A4A">
        <w:t xml:space="preserve">Le Conseil a fixé le montant de l'unité contributive des États Membres à 318 000 CHF pour 2022 et 2023, sur la base de </w:t>
      </w:r>
      <w:r w:rsidRPr="00E52A4A">
        <w:rPr>
          <w:rFonts w:cs="Calibri"/>
        </w:rPr>
        <w:t>343 11/16 unités</w:t>
      </w:r>
      <w:r w:rsidRPr="00E52A4A">
        <w:t>. Dans la même Résolution, il a fixé à 63 600 CHF le montant de l'unité contributive des Membres des Secteurs pour 2020 et 2021, soit 1/5 de l'unité contributive des États Membres. La contribution financière des Associés a été fixée comme suit: 10 600 CHF pour les Associés participant aux travaux de l'UIT-R et de l'UIT-T, 3 975 CHF pour les Associés participant aux travaux de l'UIT-D, et 1 987,50 CHF pour les Associés participant aux travaux de l'UIT-D dans le cas des Associés de pays en développement.</w:t>
      </w:r>
      <w:bookmarkStart w:id="885" w:name="_Toc269839096"/>
      <w:bookmarkStart w:id="886" w:name="_Toc268007559"/>
      <w:bookmarkEnd w:id="884"/>
      <w:r w:rsidRPr="00E52A4A">
        <w:t xml:space="preserve"> La contribution financière des établissements universitaires, des universités et de leurs instituts de recherche associés a été fixée comme suit:</w:t>
      </w:r>
      <w:r w:rsidRPr="00E52A4A">
        <w:rPr>
          <w:szCs w:val="24"/>
        </w:rPr>
        <w:t xml:space="preserve"> 3 975 CHF pour les pays développés et 1 987,50 CHF pour les pays en développement participant aux travaux des trois Secteurs.</w:t>
      </w:r>
    </w:p>
    <w:p w14:paraId="29D3A0FA" w14:textId="77777777" w:rsidR="00320CD0" w:rsidRPr="00E52A4A" w:rsidRDefault="00320CD0" w:rsidP="00320CD0">
      <w:r w:rsidRPr="00E52A4A">
        <w:rPr>
          <w:rFonts w:asciiTheme="minorHAnsi" w:hAnsiTheme="minorHAnsi"/>
          <w:color w:val="000000" w:themeColor="text1"/>
        </w:rPr>
        <w:t>Les produits de 2022 provenant des États Membres sont conformes au plan financier présenté à la PP-18. Les contributions mises en recouvrement auprès des États Membres sont établies sur la base de 343 11/16 unités.</w:t>
      </w:r>
    </w:p>
    <w:p w14:paraId="36D36053" w14:textId="77777777" w:rsidR="00320CD0" w:rsidRPr="00E52A4A" w:rsidRDefault="00320CD0" w:rsidP="00320CD0">
      <w:bookmarkStart w:id="887" w:name="_Toc329202594"/>
      <w:bookmarkStart w:id="888" w:name="_Toc329205026"/>
      <w:bookmarkStart w:id="889" w:name="_Toc329206863"/>
      <w:bookmarkStart w:id="890" w:name="_Toc358379944"/>
      <w:bookmarkStart w:id="891" w:name="_Toc358380487"/>
      <w:bookmarkStart w:id="892" w:name="_Toc387167486"/>
      <w:bookmarkStart w:id="893" w:name="_Toc482888034"/>
      <w:bookmarkStart w:id="894" w:name="_Toc482888068"/>
      <w:bookmarkStart w:id="895" w:name="_Toc482888377"/>
      <w:bookmarkStart w:id="896" w:name="_Toc482888774"/>
      <w:bookmarkStart w:id="897" w:name="_Toc511649489"/>
      <w:bookmarkStart w:id="898" w:name="_Toc511649975"/>
      <w:bookmarkStart w:id="899" w:name="_Toc511650095"/>
      <w:bookmarkStart w:id="900" w:name="_Toc511650589"/>
      <w:bookmarkStart w:id="901" w:name="_Toc511651235"/>
      <w:bookmarkStart w:id="902" w:name="_Toc511724098"/>
      <w:bookmarkStart w:id="903" w:name="_Toc511739087"/>
      <w:bookmarkStart w:id="904" w:name="_Toc511740822"/>
      <w:bookmarkStart w:id="905" w:name="_Toc511741258"/>
      <w:bookmarkStart w:id="906" w:name="_Toc10450771"/>
      <w:bookmarkStart w:id="907" w:name="_Toc41567371"/>
      <w:bookmarkStart w:id="908" w:name="_Toc73356441"/>
      <w:r w:rsidRPr="00E52A4A">
        <w:t>Des contributions ont été comptabilisées pour:</w:t>
      </w:r>
    </w:p>
    <w:p w14:paraId="66233142" w14:textId="77777777" w:rsidR="00320CD0" w:rsidRPr="00E52A4A" w:rsidRDefault="00320CD0" w:rsidP="00320CD0">
      <w:r w:rsidRPr="00E52A4A">
        <w:t>La Conférence mondiale de développement des télécommunications (CMDT) à Kigali (Rwanda). Le Gouvernement rwandais a pris en charge les frais de transport et d'hébergement de tous les membres du personnel de l'UIT qui se sont rendus sur place. Ce dernier a également assuré sans intermédiaire la logistique et la sécurité de tous les participants.</w:t>
      </w:r>
    </w:p>
    <w:p w14:paraId="6F259A66" w14:textId="77777777" w:rsidR="00320CD0" w:rsidRPr="00E52A4A" w:rsidRDefault="00320CD0" w:rsidP="00320CD0">
      <w:r w:rsidRPr="00E52A4A">
        <w:t>La Conférence de plénipotentiaires (PP) à Bucarest (Roumanie). Le Gouvernement roumain a financé les coûts liés au transport et à l'hébergement des fonctionnaires de l'UIT qui ont participé à cette Conférence. La Roumanie a également assuré sans intermédiaire la logistique et la sécurité de tous les participants.</w:t>
      </w:r>
    </w:p>
    <w:p w14:paraId="10A12AB3" w14:textId="77777777" w:rsidR="00320CD0" w:rsidRPr="00E52A4A" w:rsidRDefault="00320CD0" w:rsidP="00320CD0">
      <w:pPr>
        <w:pStyle w:val="Headingb"/>
      </w:pPr>
      <w:r w:rsidRPr="00E52A4A">
        <w:t>Autres fonds et fonds extrabudgétaires</w:t>
      </w:r>
    </w:p>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14:paraId="3FA23F56" w14:textId="77777777" w:rsidR="003B3C62" w:rsidRPr="00E52A4A" w:rsidRDefault="00320CD0" w:rsidP="00320CD0">
      <w:r w:rsidRPr="00E52A4A">
        <w:t xml:space="preserve">Les contributions volontaires et les projets financés au titre des Fonds d'affectation spéciale sont les sources de financement provenant de tiers pour appuyer l'Union dans la mise en œuvre de projets de développement en faveur des pays en développement et des pays désignés par l'ONU </w:t>
      </w:r>
      <w:r w:rsidR="003B3C62" w:rsidRPr="00E52A4A">
        <w:br w:type="page"/>
      </w:r>
    </w:p>
    <w:p w14:paraId="11EFE162" w14:textId="1E084DED" w:rsidR="00320CD0" w:rsidRPr="00E52A4A" w:rsidRDefault="00320CD0" w:rsidP="00320CD0">
      <w:r w:rsidRPr="00E52A4A">
        <w:lastRenderedPageBreak/>
        <w:t>comme pays les moins avancés, mais également pour compléter le budget de l'UIT pour les activités ordinaires. Le montant total des contributions volontaires et des Fonds d'affectation spéciale reçus s'élevait à 18 millions CHF en 2022 (contre 13,4 millions CHF en 2021).</w:t>
      </w:r>
    </w:p>
    <w:p w14:paraId="3AA62399" w14:textId="77777777" w:rsidR="00320CD0" w:rsidRPr="00E52A4A" w:rsidRDefault="00320CD0" w:rsidP="00320CD0">
      <w:pPr>
        <w:jc w:val="center"/>
      </w:pPr>
      <w:r w:rsidRPr="00E52A4A">
        <w:rPr>
          <w:noProof/>
        </w:rPr>
        <w:drawing>
          <wp:inline distT="0" distB="0" distL="0" distR="0" wp14:anchorId="65D95E99" wp14:editId="5F0F0120">
            <wp:extent cx="4516755" cy="14370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16755" cy="1437005"/>
                    </a:xfrm>
                    <a:prstGeom prst="rect">
                      <a:avLst/>
                    </a:prstGeom>
                    <a:noFill/>
                    <a:ln>
                      <a:noFill/>
                    </a:ln>
                  </pic:spPr>
                </pic:pic>
              </a:graphicData>
            </a:graphic>
          </wp:inline>
        </w:drawing>
      </w:r>
    </w:p>
    <w:p w14:paraId="12B08ADD" w14:textId="77777777" w:rsidR="00320CD0" w:rsidRPr="00E52A4A" w:rsidRDefault="00320CD0" w:rsidP="00320CD0">
      <w:pPr>
        <w:pStyle w:val="Headingb"/>
      </w:pPr>
      <w:bookmarkStart w:id="909" w:name="_Toc329202595"/>
      <w:bookmarkStart w:id="910" w:name="_Toc329205027"/>
      <w:bookmarkStart w:id="911" w:name="_Toc329206864"/>
      <w:bookmarkStart w:id="912" w:name="_Toc358379945"/>
      <w:bookmarkStart w:id="913" w:name="_Toc358380488"/>
      <w:bookmarkStart w:id="914" w:name="_Toc387167487"/>
      <w:bookmarkStart w:id="915" w:name="_Toc482888035"/>
      <w:bookmarkStart w:id="916" w:name="_Toc482888069"/>
      <w:bookmarkStart w:id="917" w:name="_Toc482888378"/>
      <w:bookmarkStart w:id="918" w:name="_Toc482888775"/>
      <w:bookmarkStart w:id="919" w:name="_Toc511649490"/>
      <w:bookmarkStart w:id="920" w:name="_Toc511649976"/>
      <w:bookmarkStart w:id="921" w:name="_Toc511650096"/>
      <w:bookmarkStart w:id="922" w:name="_Toc511650590"/>
      <w:bookmarkStart w:id="923" w:name="_Toc511651236"/>
      <w:bookmarkStart w:id="924" w:name="_Toc511724099"/>
      <w:bookmarkStart w:id="925" w:name="_Toc511739088"/>
      <w:bookmarkStart w:id="926" w:name="_Toc511740823"/>
      <w:bookmarkStart w:id="927" w:name="_Toc511741259"/>
      <w:bookmarkStart w:id="928" w:name="_Toc10450772"/>
      <w:bookmarkStart w:id="929" w:name="_Toc41567372"/>
      <w:bookmarkStart w:id="930" w:name="_Toc73356442"/>
      <w:r w:rsidRPr="00E52A4A">
        <w:t>Autres produits d'exploitation</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14:paraId="19CBF171" w14:textId="77777777" w:rsidR="00320CD0" w:rsidRPr="00E52A4A" w:rsidRDefault="00320CD0" w:rsidP="00320CD0">
      <w:pPr>
        <w:jc w:val="center"/>
        <w:rPr>
          <w:rFonts w:eastAsia="SimSun"/>
        </w:rPr>
      </w:pPr>
      <w:r w:rsidRPr="00E52A4A">
        <w:rPr>
          <w:noProof/>
        </w:rPr>
        <w:drawing>
          <wp:inline distT="0" distB="0" distL="0" distR="0" wp14:anchorId="5DAB17E4" wp14:editId="07C07BEB">
            <wp:extent cx="4846320" cy="155448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46320" cy="1554480"/>
                    </a:xfrm>
                    <a:prstGeom prst="rect">
                      <a:avLst/>
                    </a:prstGeom>
                    <a:noFill/>
                    <a:ln>
                      <a:noFill/>
                    </a:ln>
                  </pic:spPr>
                </pic:pic>
              </a:graphicData>
            </a:graphic>
          </wp:inline>
        </w:drawing>
      </w:r>
    </w:p>
    <w:p w14:paraId="3FFA3585" w14:textId="77777777" w:rsidR="00320CD0" w:rsidRPr="00E52A4A" w:rsidRDefault="00320CD0" w:rsidP="00320CD0">
      <w:bookmarkStart w:id="931" w:name="_Toc329178798"/>
      <w:bookmarkStart w:id="932" w:name="_Toc329181771"/>
      <w:bookmarkStart w:id="933" w:name="_Toc329202596"/>
      <w:bookmarkStart w:id="934" w:name="_Toc329205028"/>
      <w:bookmarkStart w:id="935" w:name="_Toc329206865"/>
      <w:bookmarkStart w:id="936" w:name="_Toc358379946"/>
      <w:bookmarkStart w:id="937" w:name="_Toc358380489"/>
      <w:bookmarkStart w:id="938" w:name="_Toc387166662"/>
      <w:bookmarkStart w:id="939" w:name="_Toc387167488"/>
      <w:bookmarkStart w:id="940" w:name="_Toc395260947"/>
      <w:bookmarkStart w:id="941" w:name="_Toc395511734"/>
      <w:bookmarkStart w:id="942" w:name="_Toc452138636"/>
      <w:bookmarkStart w:id="943" w:name="_Toc452139085"/>
      <w:bookmarkStart w:id="944" w:name="_Toc452139449"/>
      <w:bookmarkStart w:id="945" w:name="_Toc452139855"/>
      <w:bookmarkStart w:id="946" w:name="_Toc452140729"/>
      <w:bookmarkStart w:id="947" w:name="_Toc482801517"/>
      <w:bookmarkStart w:id="948" w:name="_Toc482888776"/>
      <w:bookmarkStart w:id="949" w:name="_Toc511649491"/>
      <w:bookmarkStart w:id="950" w:name="_Toc511649859"/>
      <w:bookmarkStart w:id="951" w:name="_Toc511649977"/>
      <w:bookmarkStart w:id="952" w:name="_Toc511650097"/>
      <w:bookmarkStart w:id="953" w:name="_Toc511650591"/>
      <w:bookmarkStart w:id="954" w:name="_Toc511651237"/>
      <w:bookmarkStart w:id="955" w:name="_Toc511724100"/>
      <w:bookmarkStart w:id="956" w:name="_Toc511739089"/>
      <w:bookmarkStart w:id="957" w:name="_Toc511741260"/>
      <w:bookmarkStart w:id="958" w:name="_Toc9605751"/>
      <w:bookmarkStart w:id="959" w:name="_Toc10450773"/>
      <w:bookmarkStart w:id="960" w:name="_Toc41566364"/>
      <w:bookmarkStart w:id="961" w:name="_Toc41567373"/>
      <w:bookmarkStart w:id="962" w:name="_Toc41567874"/>
      <w:bookmarkStart w:id="963" w:name="_Toc41814968"/>
      <w:bookmarkStart w:id="964" w:name="_Toc73354465"/>
      <w:bookmarkStart w:id="965" w:name="_Toc73356443"/>
      <w:r w:rsidRPr="00E52A4A">
        <w:t>Les produits tirés de la vente des publications en 2022 ont atteint 14,6 millions CHF, soit 0,9 million CHF de moins que les prévisions inscrites au budget de 15,5 millions CHF pour 2022.</w:t>
      </w:r>
    </w:p>
    <w:p w14:paraId="7CE4155E" w14:textId="77777777" w:rsidR="00320CD0" w:rsidRPr="00E52A4A" w:rsidRDefault="00320CD0" w:rsidP="00320CD0">
      <w:r w:rsidRPr="00E52A4A">
        <w:t>Les prévisions à la baisse de 15,5 millions CHF en 2022 par rapport aux prévisions de 19 millions CHF en 2021 et aux ventes ultérieures de 19,4 millions CHF sont dues au calendrier cyclique exceptionnel de parution des publications de service (service maritime) phares de l'UIT, qui représentent plus de 90% des ventes de publications et pour lesquelles une seule version est publiée chaque année (Liste V). Les produits en 2022 ont été dus uniquement aux ventes importantes, pour un montant de 9 millions CHF, de la seule publication de l'année, à savoir la Liste V (Nomenclature des stations de navire) de 2022.</w:t>
      </w:r>
    </w:p>
    <w:p w14:paraId="5514A01F" w14:textId="77777777" w:rsidR="00320CD0" w:rsidRPr="00E52A4A" w:rsidRDefault="00320CD0" w:rsidP="00320CD0">
      <w:r w:rsidRPr="00E52A4A">
        <w:t>En 2022, la baisse des produits pour les fiches de notification de réseaux à satellite (SNF) est due à la baisse du recouvrement des coûts en raison de la pandémie de Covid qui a entraîné une baisse significative des demandes de notification. Cette situation s'est traduite par une baisse des produits attendus. En effet, le budget relatif aux fiches de notification de réseaux à satellite était de 15 millions CHF, mais les produits effectifs comptabilisés étaient de 10,3 millions CHF, soit un déficit de 4,7 millions CHF par rapport au budget approuvé.</w:t>
      </w:r>
    </w:p>
    <w:p w14:paraId="134FB189" w14:textId="77777777" w:rsidR="00320CD0" w:rsidRPr="00E52A4A" w:rsidRDefault="00320CD0" w:rsidP="00320CD0">
      <w:r w:rsidRPr="00E52A4A">
        <w:t>Il convient de noter qu'en raison de l'abrogation de la Résolution 11 par la PP-22 concernant les manifestations Telecom, le recouvrement des coûts associé à cette activité n'a pas été récupérée, ce qui a entraîné une perte de produits inscrits au budget de 1,5 million CHF en 2022.</w:t>
      </w:r>
    </w:p>
    <w:p w14:paraId="735A9A4D" w14:textId="77777777" w:rsidR="00320CD0" w:rsidRPr="00E52A4A" w:rsidRDefault="00320CD0" w:rsidP="00320CD0">
      <w:pPr>
        <w:pStyle w:val="Headingb"/>
        <w:spacing w:after="120"/>
      </w:pPr>
      <w:r w:rsidRPr="00E52A4A">
        <w:lastRenderedPageBreak/>
        <w:t>Produits financiers</w:t>
      </w:r>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p>
    <w:p w14:paraId="75DE6B63" w14:textId="77777777" w:rsidR="00320CD0" w:rsidRPr="00E52A4A" w:rsidRDefault="00320CD0" w:rsidP="00320CD0">
      <w:pPr>
        <w:jc w:val="center"/>
        <w:rPr>
          <w:rFonts w:eastAsia="SimSun"/>
        </w:rPr>
      </w:pPr>
      <w:r w:rsidRPr="00E52A4A">
        <w:rPr>
          <w:rFonts w:eastAsia="SimSun"/>
          <w:noProof/>
        </w:rPr>
        <w:drawing>
          <wp:inline distT="0" distB="0" distL="0" distR="0" wp14:anchorId="7E5EA409" wp14:editId="0FC7D9EB">
            <wp:extent cx="4617085" cy="14871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17085" cy="1487170"/>
                    </a:xfrm>
                    <a:prstGeom prst="rect">
                      <a:avLst/>
                    </a:prstGeom>
                    <a:noFill/>
                    <a:ln>
                      <a:noFill/>
                    </a:ln>
                  </pic:spPr>
                </pic:pic>
              </a:graphicData>
            </a:graphic>
          </wp:inline>
        </w:drawing>
      </w:r>
    </w:p>
    <w:p w14:paraId="70CAB910" w14:textId="77777777" w:rsidR="00320CD0" w:rsidRPr="00E52A4A" w:rsidRDefault="00320CD0" w:rsidP="00320CD0">
      <w:pPr>
        <w:rPr>
          <w:rFonts w:eastAsia="SimSun"/>
        </w:rPr>
      </w:pPr>
      <w:r w:rsidRPr="00E52A4A">
        <w:rPr>
          <w:rFonts w:eastAsia="SimSun"/>
        </w:rPr>
        <w:t>Le taux d'intérêt sur les dépôts à court terme en USD a augmenté en 2022, ce qui explique la hausse enregistrée par rapport à 2021.</w:t>
      </w:r>
    </w:p>
    <w:p w14:paraId="7646F548" w14:textId="77777777" w:rsidR="009D0F28" w:rsidRPr="00E52A4A" w:rsidRDefault="009D0F28" w:rsidP="009D0F28">
      <w:pPr>
        <w:pStyle w:val="Heading1"/>
        <w:spacing w:before="240"/>
      </w:pPr>
      <w:bookmarkStart w:id="966" w:name="_Toc387166663"/>
      <w:bookmarkStart w:id="967" w:name="_Toc395260948"/>
      <w:bookmarkStart w:id="968" w:name="_Toc395511735"/>
      <w:bookmarkStart w:id="969" w:name="_Toc452138637"/>
      <w:bookmarkStart w:id="970" w:name="_Toc452139086"/>
      <w:bookmarkStart w:id="971" w:name="_Toc452139450"/>
      <w:bookmarkStart w:id="972" w:name="_Toc452139856"/>
      <w:bookmarkStart w:id="973" w:name="_Toc452140730"/>
      <w:bookmarkStart w:id="974" w:name="_Toc482801518"/>
      <w:bookmarkStart w:id="975" w:name="_Toc511649492"/>
      <w:bookmarkStart w:id="976" w:name="_Toc511649860"/>
      <w:bookmarkStart w:id="977" w:name="_Toc511649978"/>
      <w:bookmarkStart w:id="978" w:name="_Toc511651238"/>
      <w:bookmarkStart w:id="979" w:name="_Toc511724101"/>
      <w:bookmarkStart w:id="980" w:name="_Toc511739090"/>
      <w:bookmarkStart w:id="981" w:name="_Toc511741261"/>
      <w:bookmarkStart w:id="982" w:name="_Toc10450774"/>
      <w:bookmarkStart w:id="983" w:name="_Toc41566365"/>
      <w:bookmarkStart w:id="984" w:name="_Toc41567374"/>
      <w:bookmarkStart w:id="985" w:name="_Toc41567875"/>
      <w:bookmarkStart w:id="986" w:name="_Toc41814969"/>
      <w:bookmarkStart w:id="987" w:name="_Toc73354466"/>
      <w:bookmarkStart w:id="988" w:name="_Toc73356444"/>
      <w:bookmarkStart w:id="989" w:name="_Toc162331524"/>
      <w:bookmarkStart w:id="990" w:name="_Toc162331734"/>
      <w:bookmarkStart w:id="991" w:name="_Toc329202597"/>
      <w:bookmarkStart w:id="992" w:name="_Toc329205029"/>
      <w:bookmarkStart w:id="993" w:name="_Toc329206866"/>
      <w:bookmarkStart w:id="994" w:name="_Toc358379947"/>
      <w:bookmarkStart w:id="995" w:name="_Toc358380490"/>
      <w:r w:rsidRPr="00E52A4A">
        <w:rPr>
          <w:sz w:val="24"/>
          <w:szCs w:val="18"/>
        </w:rPr>
        <w:t>Note 23</w:t>
      </w:r>
      <w:r w:rsidRPr="00E52A4A">
        <w:rPr>
          <w:sz w:val="24"/>
          <w:szCs w:val="18"/>
        </w:rPr>
        <w:tab/>
      </w:r>
      <w:bookmarkEnd w:id="966"/>
      <w:bookmarkEnd w:id="967"/>
      <w:bookmarkEnd w:id="968"/>
      <w:r w:rsidRPr="00E52A4A">
        <w:rPr>
          <w:sz w:val="24"/>
          <w:szCs w:val="18"/>
        </w:rPr>
        <w:t>Charges</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p>
    <w:p w14:paraId="1B3CC119" w14:textId="77777777" w:rsidR="009D0F28" w:rsidRPr="00E52A4A" w:rsidRDefault="009D0F28" w:rsidP="009D0F28">
      <w:pPr>
        <w:pStyle w:val="Headingb"/>
      </w:pPr>
      <w:bookmarkStart w:id="996" w:name="_Toc387167490"/>
      <w:bookmarkStart w:id="997" w:name="_Toc482888036"/>
      <w:bookmarkStart w:id="998" w:name="_Toc482888070"/>
      <w:bookmarkStart w:id="999" w:name="_Toc482888379"/>
      <w:bookmarkStart w:id="1000" w:name="_Toc482888778"/>
      <w:bookmarkStart w:id="1001" w:name="_Toc511649493"/>
      <w:bookmarkStart w:id="1002" w:name="_Toc511649979"/>
      <w:bookmarkStart w:id="1003" w:name="_Toc511650099"/>
      <w:bookmarkStart w:id="1004" w:name="_Toc511650593"/>
      <w:bookmarkStart w:id="1005" w:name="_Toc511651239"/>
      <w:bookmarkStart w:id="1006" w:name="_Toc511724102"/>
      <w:bookmarkStart w:id="1007" w:name="_Toc511739091"/>
      <w:bookmarkStart w:id="1008" w:name="_Toc511740824"/>
      <w:bookmarkStart w:id="1009" w:name="_Toc511741262"/>
      <w:bookmarkStart w:id="1010" w:name="_Toc10450775"/>
      <w:bookmarkStart w:id="1011" w:name="_Toc41567375"/>
      <w:bookmarkStart w:id="1012" w:name="_Toc73356445"/>
      <w:r w:rsidRPr="00E52A4A">
        <w:t>Charges de personnel</w:t>
      </w:r>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p>
    <w:p w14:paraId="04C88BF7" w14:textId="77777777" w:rsidR="009D0F28" w:rsidRPr="00E52A4A" w:rsidRDefault="009D0F28" w:rsidP="009D0F28">
      <w:pPr>
        <w:spacing w:after="120"/>
      </w:pPr>
      <w:r w:rsidRPr="00E52A4A">
        <w:t>Les charges de personnel couvrent toutes les rémunérations versées aux titulaires de postes permanents et à tout le personnel de conférences ou bénéficiant de contrats de courte durée, telles que traitements de base, indemnités de poste, primes pour connaissances linguistiques, indemnités de non-résident, allocations familiales et heures supplémentaires ainsi que les autres charges de personnel.</w:t>
      </w:r>
    </w:p>
    <w:p w14:paraId="1CAE38D5" w14:textId="77777777" w:rsidR="009D0F28" w:rsidRPr="00E52A4A" w:rsidRDefault="009D0F28" w:rsidP="009D0F28">
      <w:pPr>
        <w:pStyle w:val="Figure"/>
        <w:keepNext w:val="0"/>
        <w:keepLines w:val="0"/>
      </w:pPr>
      <w:r w:rsidRPr="00E52A4A">
        <w:rPr>
          <w:noProof/>
        </w:rPr>
        <w:drawing>
          <wp:inline distT="0" distB="0" distL="0" distR="0" wp14:anchorId="1C14F0DF" wp14:editId="6A6967D0">
            <wp:extent cx="5141595" cy="2941320"/>
            <wp:effectExtent l="0" t="0" r="1905" b="0"/>
            <wp:docPr id="18490910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41595" cy="2941320"/>
                    </a:xfrm>
                    <a:prstGeom prst="rect">
                      <a:avLst/>
                    </a:prstGeom>
                    <a:noFill/>
                    <a:ln>
                      <a:noFill/>
                    </a:ln>
                  </pic:spPr>
                </pic:pic>
              </a:graphicData>
            </a:graphic>
          </wp:inline>
        </w:drawing>
      </w:r>
    </w:p>
    <w:p w14:paraId="62C6FC66" w14:textId="77777777" w:rsidR="009D0F28" w:rsidRPr="00E52A4A" w:rsidRDefault="009D0F28" w:rsidP="009D0F28">
      <w:pPr>
        <w:keepNext/>
        <w:keepLines/>
      </w:pPr>
      <w:r w:rsidRPr="00E52A4A">
        <w:lastRenderedPageBreak/>
        <w:t>Globalement, les charges de personnel sont restées stables en 2022. Toutefois, il convient de noter une hausse des traitements et indemnités due à une augmentation de 2,9% du salaire de base des fonctionnaires de la catégorie des services généraux. Cette augmentation a entraîné une hausse des contributions à l'assurance maladie et à la caisse des pensions. Ces augmentations ont été compensées par la hausse du taux d'actualisation, qui s'est traduite par une baisse de 3,3 millions CHF de l'ajustement de l'ASHI qui est comptabilisé dans les charges de personnel.</w:t>
      </w:r>
    </w:p>
    <w:p w14:paraId="06CDB7AA" w14:textId="77777777" w:rsidR="009D0F28" w:rsidRPr="00E52A4A" w:rsidRDefault="009D0F28" w:rsidP="009D0F28">
      <w:pPr>
        <w:pStyle w:val="Figure"/>
        <w:keepNext w:val="0"/>
        <w:keepLines w:val="0"/>
      </w:pPr>
      <w:bookmarkStart w:id="1013" w:name="_Toc329202598"/>
      <w:bookmarkStart w:id="1014" w:name="_Toc329205030"/>
      <w:bookmarkStart w:id="1015" w:name="_Toc329206867"/>
      <w:bookmarkStart w:id="1016" w:name="_Toc358379948"/>
      <w:bookmarkStart w:id="1017" w:name="_Toc358380491"/>
      <w:bookmarkStart w:id="1018" w:name="_Toc387167491"/>
      <w:bookmarkStart w:id="1019" w:name="_Toc482888037"/>
      <w:bookmarkStart w:id="1020" w:name="_Toc482888071"/>
      <w:bookmarkStart w:id="1021" w:name="_Toc482888380"/>
      <w:bookmarkStart w:id="1022" w:name="_Toc482888779"/>
      <w:bookmarkStart w:id="1023" w:name="_Toc511649494"/>
      <w:bookmarkStart w:id="1024" w:name="_Toc511649980"/>
      <w:bookmarkStart w:id="1025" w:name="_Toc511650100"/>
      <w:bookmarkStart w:id="1026" w:name="_Toc511650594"/>
      <w:bookmarkStart w:id="1027" w:name="_Toc511651240"/>
      <w:bookmarkStart w:id="1028" w:name="_Toc511724103"/>
      <w:bookmarkStart w:id="1029" w:name="_Toc511739092"/>
      <w:bookmarkStart w:id="1030" w:name="_Toc511740825"/>
      <w:bookmarkStart w:id="1031" w:name="_Toc511741263"/>
      <w:bookmarkStart w:id="1032" w:name="_Toc10450776"/>
      <w:bookmarkStart w:id="1033" w:name="_Toc41567376"/>
      <w:bookmarkStart w:id="1034" w:name="_Toc73356446"/>
      <w:r w:rsidRPr="00E52A4A">
        <w:rPr>
          <w:noProof/>
        </w:rPr>
        <w:drawing>
          <wp:inline distT="0" distB="0" distL="0" distR="0" wp14:anchorId="68C0775E" wp14:editId="3AB04510">
            <wp:extent cx="5460365" cy="2553335"/>
            <wp:effectExtent l="0" t="0" r="6985" b="0"/>
            <wp:docPr id="15441228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60365" cy="2553335"/>
                    </a:xfrm>
                    <a:prstGeom prst="rect">
                      <a:avLst/>
                    </a:prstGeom>
                    <a:noFill/>
                    <a:ln>
                      <a:noFill/>
                    </a:ln>
                  </pic:spPr>
                </pic:pic>
              </a:graphicData>
            </a:graphic>
          </wp:inline>
        </w:drawing>
      </w:r>
    </w:p>
    <w:p w14:paraId="1D0BA9BC" w14:textId="77777777" w:rsidR="009D0F28" w:rsidRPr="00E52A4A" w:rsidRDefault="009D0F28" w:rsidP="009D0F28">
      <w:pPr>
        <w:pStyle w:val="Headingb"/>
      </w:pPr>
      <w:r w:rsidRPr="00E52A4A">
        <w:t>Frais de mission</w:t>
      </w:r>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14:paraId="637B54E1" w14:textId="77777777" w:rsidR="009D0F28" w:rsidRPr="00E52A4A" w:rsidRDefault="009D0F28" w:rsidP="009D0F28">
      <w:pPr>
        <w:rPr>
          <w:color w:val="000000"/>
        </w:rPr>
      </w:pPr>
      <w:r w:rsidRPr="00E52A4A">
        <w:t>En 2022, la plupart des restrictions concernant les voyages liées au COVID-19 ont été levées et les missions ont pu avoir lieu comme prévu.</w:t>
      </w:r>
    </w:p>
    <w:p w14:paraId="0D7435CD" w14:textId="77777777" w:rsidR="009D0F28" w:rsidRPr="00E52A4A" w:rsidRDefault="009D0F28" w:rsidP="009D0F28">
      <w:pPr>
        <w:pStyle w:val="Headingb"/>
      </w:pPr>
      <w:bookmarkStart w:id="1035" w:name="_Toc329178799"/>
      <w:bookmarkStart w:id="1036" w:name="_Toc329181772"/>
      <w:bookmarkStart w:id="1037" w:name="_Toc268007565"/>
      <w:bookmarkStart w:id="1038" w:name="_Toc329202599"/>
      <w:bookmarkStart w:id="1039" w:name="_Toc329205031"/>
      <w:bookmarkStart w:id="1040" w:name="_Toc329206868"/>
      <w:bookmarkStart w:id="1041" w:name="_Toc358379949"/>
      <w:bookmarkStart w:id="1042" w:name="_Toc358380492"/>
      <w:bookmarkStart w:id="1043" w:name="_Toc387167492"/>
      <w:bookmarkStart w:id="1044" w:name="_Toc482888038"/>
      <w:bookmarkStart w:id="1045" w:name="_Toc482888072"/>
      <w:bookmarkStart w:id="1046" w:name="_Toc482888381"/>
      <w:bookmarkStart w:id="1047" w:name="_Toc482888780"/>
      <w:bookmarkStart w:id="1048" w:name="_Toc511649495"/>
      <w:bookmarkStart w:id="1049" w:name="_Toc511649981"/>
      <w:bookmarkStart w:id="1050" w:name="_Toc511650101"/>
      <w:bookmarkStart w:id="1051" w:name="_Toc511650595"/>
      <w:bookmarkStart w:id="1052" w:name="_Toc511651241"/>
      <w:bookmarkStart w:id="1053" w:name="_Toc511724104"/>
      <w:bookmarkStart w:id="1054" w:name="_Toc511739093"/>
      <w:bookmarkStart w:id="1055" w:name="_Toc511740826"/>
      <w:bookmarkStart w:id="1056" w:name="_Toc511741264"/>
      <w:bookmarkStart w:id="1057" w:name="_Toc10450777"/>
      <w:bookmarkStart w:id="1058" w:name="_Toc41567377"/>
      <w:bookmarkStart w:id="1059" w:name="_Toc73356447"/>
      <w:r w:rsidRPr="00E52A4A">
        <w:t>Services contractuels</w:t>
      </w:r>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14:paraId="3E40A8D4" w14:textId="77777777" w:rsidR="009D0F28" w:rsidRPr="00E52A4A" w:rsidRDefault="009D0F28" w:rsidP="009D0F28">
      <w:r w:rsidRPr="00E52A4A">
        <w:t>Entrent dans cette catégorie tous les émoluments, honoraires et frais payés à des sociétés fournissant des consultants dans le cadre d'accords et de dispositions contractuels. Entrent également dans cette catégorie les contrats d'engagement spéciaux, les dépenses afférentes aux cours de langues dans le cadre de la formation professionnelle, tout comme les coûts des services sous-traités. Une situation détaillée est donnée dans la Note 24</w:t>
      </w:r>
      <w:r w:rsidRPr="00E52A4A">
        <w:rPr>
          <w:color w:val="000000"/>
        </w:rPr>
        <w:t xml:space="preserve"> (Présentation de l'information sectorielle).</w:t>
      </w:r>
    </w:p>
    <w:p w14:paraId="51999F10" w14:textId="77777777" w:rsidR="009D0F28" w:rsidRPr="00E52A4A" w:rsidRDefault="009D0F28" w:rsidP="009D0F28">
      <w:pPr>
        <w:pStyle w:val="Headingb"/>
      </w:pPr>
      <w:bookmarkStart w:id="1060" w:name="_Toc329178800"/>
      <w:bookmarkStart w:id="1061" w:name="_Toc329181773"/>
      <w:bookmarkStart w:id="1062" w:name="_Toc329202600"/>
      <w:bookmarkStart w:id="1063" w:name="_Toc329205032"/>
      <w:bookmarkStart w:id="1064" w:name="_Toc329206869"/>
      <w:bookmarkStart w:id="1065" w:name="_Toc358379950"/>
      <w:bookmarkStart w:id="1066" w:name="_Toc358380493"/>
      <w:bookmarkStart w:id="1067" w:name="_Toc387167493"/>
      <w:bookmarkStart w:id="1068" w:name="_Toc482888039"/>
      <w:bookmarkStart w:id="1069" w:name="_Toc482888073"/>
      <w:bookmarkStart w:id="1070" w:name="_Toc482888382"/>
      <w:bookmarkStart w:id="1071" w:name="_Toc482888781"/>
      <w:bookmarkStart w:id="1072" w:name="_Toc511649496"/>
      <w:bookmarkStart w:id="1073" w:name="_Toc511649982"/>
      <w:bookmarkStart w:id="1074" w:name="_Toc511650102"/>
      <w:bookmarkStart w:id="1075" w:name="_Toc511650596"/>
      <w:bookmarkStart w:id="1076" w:name="_Toc511651242"/>
      <w:bookmarkStart w:id="1077" w:name="_Toc511724105"/>
      <w:bookmarkStart w:id="1078" w:name="_Toc511739094"/>
      <w:bookmarkStart w:id="1079" w:name="_Toc511740827"/>
      <w:bookmarkStart w:id="1080" w:name="_Toc511741265"/>
      <w:bookmarkStart w:id="1081" w:name="_Toc10450778"/>
      <w:bookmarkStart w:id="1082" w:name="_Toc41567378"/>
      <w:bookmarkStart w:id="1083" w:name="_Toc73356448"/>
      <w:bookmarkStart w:id="1084" w:name="_Toc268007566"/>
      <w:r w:rsidRPr="00E52A4A">
        <w:t>Location et entretien des locaux et équipements</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p w14:paraId="0D77FEAF" w14:textId="77777777" w:rsidR="009D0F28" w:rsidRPr="00E52A4A" w:rsidRDefault="009D0F28" w:rsidP="009D0F28">
      <w:r w:rsidRPr="00E52A4A">
        <w:t>Le montant des charges de location et entretien des locaux et équipements s'élevait à 2,8 millions CHF en 2022 (contre 1,8 million CHF en 2021).</w:t>
      </w:r>
      <w:bookmarkStart w:id="1085" w:name="_Toc329178801"/>
      <w:bookmarkStart w:id="1086" w:name="_Toc329181774"/>
      <w:bookmarkStart w:id="1087" w:name="_Toc329202601"/>
      <w:bookmarkStart w:id="1088" w:name="_Toc329205033"/>
      <w:bookmarkStart w:id="1089" w:name="_Toc329206870"/>
      <w:bookmarkStart w:id="1090" w:name="_Toc358379951"/>
      <w:bookmarkStart w:id="1091" w:name="_Toc358380494"/>
      <w:r w:rsidRPr="00E52A4A">
        <w:t xml:space="preserve"> </w:t>
      </w:r>
      <w:bookmarkEnd w:id="1084"/>
      <w:bookmarkEnd w:id="1085"/>
      <w:bookmarkEnd w:id="1086"/>
      <w:bookmarkEnd w:id="1087"/>
      <w:bookmarkEnd w:id="1088"/>
      <w:bookmarkEnd w:id="1089"/>
      <w:bookmarkEnd w:id="1090"/>
      <w:bookmarkEnd w:id="1091"/>
      <w:r w:rsidRPr="00E52A4A">
        <w:t>Cette hausse de 50% est due à la tenue de l'AMNT au CICG, pour laquelle le lieu et les équipements audiovisuels ont été loués.</w:t>
      </w:r>
    </w:p>
    <w:p w14:paraId="4F723932" w14:textId="77777777" w:rsidR="009D0F28" w:rsidRPr="00E52A4A" w:rsidRDefault="009D0F28" w:rsidP="009D0F28"/>
    <w:p w14:paraId="6C0900CA" w14:textId="77777777" w:rsidR="009D0F28" w:rsidRPr="00E52A4A" w:rsidRDefault="009D0F28" w:rsidP="009D0F28">
      <w:pPr>
        <w:sectPr w:rsidR="009D0F28" w:rsidRPr="00E52A4A" w:rsidSect="009D0F28">
          <w:headerReference w:type="even" r:id="rId77"/>
          <w:headerReference w:type="default" r:id="rId78"/>
          <w:footerReference w:type="even" r:id="rId79"/>
          <w:footerReference w:type="default" r:id="rId80"/>
          <w:headerReference w:type="first" r:id="rId81"/>
          <w:footerReference w:type="first" r:id="rId82"/>
          <w:pgSz w:w="11907" w:h="16840" w:code="9"/>
          <w:pgMar w:top="1418" w:right="1134" w:bottom="1418" w:left="1134" w:header="720" w:footer="720" w:gutter="0"/>
          <w:paperSrc w:first="261" w:other="261"/>
          <w:cols w:space="720"/>
          <w:titlePg/>
        </w:sectPr>
      </w:pPr>
    </w:p>
    <w:p w14:paraId="3070261E" w14:textId="77777777" w:rsidR="009D0F28" w:rsidRPr="00E52A4A" w:rsidRDefault="009D0F28" w:rsidP="009D0F28">
      <w:pPr>
        <w:pStyle w:val="Heading1"/>
        <w:spacing w:before="240"/>
        <w:rPr>
          <w:sz w:val="24"/>
          <w:szCs w:val="18"/>
        </w:rPr>
      </w:pPr>
      <w:bookmarkStart w:id="1092" w:name="_Toc452138640"/>
      <w:bookmarkStart w:id="1093" w:name="_Toc452139089"/>
      <w:bookmarkStart w:id="1094" w:name="_Toc452139453"/>
      <w:bookmarkStart w:id="1095" w:name="_Toc452139859"/>
      <w:bookmarkStart w:id="1096" w:name="_Toc452140733"/>
      <w:bookmarkStart w:id="1097" w:name="_Toc482801521"/>
      <w:bookmarkStart w:id="1098" w:name="_Toc511649500"/>
      <w:bookmarkStart w:id="1099" w:name="_Toc511649863"/>
      <w:bookmarkStart w:id="1100" w:name="_Toc511649986"/>
      <w:bookmarkStart w:id="1101" w:name="_Toc511651246"/>
      <w:bookmarkStart w:id="1102" w:name="_Toc511724109"/>
      <w:bookmarkStart w:id="1103" w:name="_Toc511739098"/>
      <w:bookmarkStart w:id="1104" w:name="_Toc511741269"/>
      <w:bookmarkStart w:id="1105" w:name="_Toc10450782"/>
      <w:bookmarkStart w:id="1106" w:name="_Toc41566368"/>
      <w:bookmarkStart w:id="1107" w:name="_Toc41567380"/>
      <w:bookmarkStart w:id="1108" w:name="_Toc41567876"/>
      <w:bookmarkStart w:id="1109" w:name="_Toc41814972"/>
      <w:bookmarkStart w:id="1110" w:name="_Toc73354469"/>
      <w:bookmarkStart w:id="1111" w:name="_Toc73356452"/>
      <w:bookmarkStart w:id="1112" w:name="_Toc162331525"/>
      <w:bookmarkStart w:id="1113" w:name="_Toc162331735"/>
      <w:bookmarkStart w:id="1114" w:name="_Toc329178806"/>
      <w:bookmarkStart w:id="1115" w:name="_Toc329181779"/>
      <w:bookmarkStart w:id="1116" w:name="_Toc329202605"/>
      <w:bookmarkStart w:id="1117" w:name="_Toc329205037"/>
      <w:bookmarkStart w:id="1118" w:name="_Toc329206874"/>
      <w:bookmarkStart w:id="1119" w:name="_Toc358379955"/>
      <w:bookmarkStart w:id="1120" w:name="_Toc358380498"/>
      <w:bookmarkStart w:id="1121" w:name="_Toc387166666"/>
      <w:bookmarkStart w:id="1122" w:name="_Toc395260951"/>
      <w:bookmarkStart w:id="1123" w:name="_Toc395511738"/>
      <w:r w:rsidRPr="00E52A4A">
        <w:rPr>
          <w:sz w:val="24"/>
          <w:szCs w:val="18"/>
        </w:rPr>
        <w:lastRenderedPageBreak/>
        <w:t>Note 24</w:t>
      </w:r>
      <w:r w:rsidRPr="00E52A4A">
        <w:rPr>
          <w:sz w:val="24"/>
          <w:szCs w:val="18"/>
        </w:rPr>
        <w:tab/>
        <w:t xml:space="preserve">Informations sectorielles – État de la performance financière </w:t>
      </w:r>
      <w:bookmarkEnd w:id="1092"/>
      <w:bookmarkEnd w:id="1093"/>
      <w:bookmarkEnd w:id="1094"/>
      <w:bookmarkEnd w:id="1095"/>
      <w:bookmarkEnd w:id="1096"/>
      <w:bookmarkEnd w:id="1097"/>
      <w:r w:rsidRPr="00E52A4A">
        <w:rPr>
          <w:sz w:val="24"/>
          <w:szCs w:val="18"/>
        </w:rPr>
        <w:t>20</w:t>
      </w:r>
      <w:bookmarkEnd w:id="1098"/>
      <w:bookmarkEnd w:id="1099"/>
      <w:bookmarkEnd w:id="1100"/>
      <w:bookmarkEnd w:id="1101"/>
      <w:bookmarkEnd w:id="1102"/>
      <w:bookmarkEnd w:id="1103"/>
      <w:bookmarkEnd w:id="1104"/>
      <w:bookmarkEnd w:id="1105"/>
      <w:bookmarkEnd w:id="1106"/>
      <w:bookmarkEnd w:id="1107"/>
      <w:bookmarkEnd w:id="1108"/>
      <w:bookmarkEnd w:id="1109"/>
      <w:r w:rsidRPr="00E52A4A">
        <w:rPr>
          <w:sz w:val="24"/>
          <w:szCs w:val="18"/>
        </w:rPr>
        <w:t>2</w:t>
      </w:r>
      <w:bookmarkEnd w:id="1110"/>
      <w:bookmarkEnd w:id="1111"/>
      <w:r w:rsidRPr="00E52A4A">
        <w:rPr>
          <w:sz w:val="24"/>
          <w:szCs w:val="18"/>
        </w:rPr>
        <w:t>2</w:t>
      </w:r>
      <w:bookmarkEnd w:id="1112"/>
      <w:bookmarkEnd w:id="1113"/>
    </w:p>
    <w:p w14:paraId="5973138E" w14:textId="77777777" w:rsidR="009D0F28" w:rsidRPr="00E52A4A" w:rsidRDefault="009D0F28" w:rsidP="009D0F28">
      <w:pPr>
        <w:pStyle w:val="Figure"/>
      </w:pPr>
      <w:r w:rsidRPr="00E52A4A">
        <w:rPr>
          <w:noProof/>
        </w:rPr>
        <w:drawing>
          <wp:inline distT="0" distB="0" distL="0" distR="0" wp14:anchorId="17565094" wp14:editId="655E0878">
            <wp:extent cx="8892540" cy="4839335"/>
            <wp:effectExtent l="0" t="0" r="3810" b="0"/>
            <wp:docPr id="15014746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892540" cy="4839335"/>
                    </a:xfrm>
                    <a:prstGeom prst="rect">
                      <a:avLst/>
                    </a:prstGeom>
                    <a:noFill/>
                    <a:ln>
                      <a:noFill/>
                    </a:ln>
                  </pic:spPr>
                </pic:pic>
              </a:graphicData>
            </a:graphic>
          </wp:inline>
        </w:drawing>
      </w:r>
    </w:p>
    <w:p w14:paraId="2EC21371" w14:textId="77777777" w:rsidR="009D0F28" w:rsidRPr="00E52A4A" w:rsidRDefault="009D0F28" w:rsidP="009D0F28">
      <w:pPr>
        <w:pStyle w:val="Headingb"/>
        <w:spacing w:before="840" w:after="120"/>
      </w:pPr>
      <w:bookmarkStart w:id="1124" w:name="_Toc9605756"/>
      <w:bookmarkStart w:id="1125" w:name="_Toc10450783"/>
      <w:bookmarkStart w:id="1126" w:name="_Toc41566369"/>
      <w:bookmarkStart w:id="1127" w:name="_Toc41814973"/>
      <w:bookmarkStart w:id="1128" w:name="_Toc73354470"/>
      <w:bookmarkStart w:id="1129" w:name="_Toc73356453"/>
      <w:r w:rsidRPr="00E52A4A">
        <w:br w:type="page"/>
      </w:r>
    </w:p>
    <w:p w14:paraId="66709C42" w14:textId="77777777" w:rsidR="009D0F28" w:rsidRPr="00E52A4A" w:rsidRDefault="009D0F28" w:rsidP="009D0F28">
      <w:pPr>
        <w:pStyle w:val="Headingb"/>
        <w:spacing w:before="840" w:after="120"/>
      </w:pPr>
      <w:r w:rsidRPr="00E52A4A">
        <w:lastRenderedPageBreak/>
        <w:t>Informations sectorielles – État de la performance financière 20</w:t>
      </w:r>
      <w:bookmarkEnd w:id="1124"/>
      <w:bookmarkEnd w:id="1125"/>
      <w:bookmarkEnd w:id="1126"/>
      <w:bookmarkEnd w:id="1127"/>
      <w:bookmarkEnd w:id="1128"/>
      <w:bookmarkEnd w:id="1129"/>
      <w:r w:rsidRPr="00E52A4A">
        <w:t>21 (états financiers retraités)</w:t>
      </w:r>
    </w:p>
    <w:p w14:paraId="09277163" w14:textId="77777777" w:rsidR="009D0F28" w:rsidRPr="00E52A4A" w:rsidRDefault="009D0F28" w:rsidP="009D0F28">
      <w:pPr>
        <w:pStyle w:val="Figure"/>
      </w:pPr>
      <w:r w:rsidRPr="00E52A4A">
        <w:rPr>
          <w:noProof/>
        </w:rPr>
        <w:drawing>
          <wp:inline distT="0" distB="0" distL="0" distR="0" wp14:anchorId="6377C11A" wp14:editId="0437F6AA">
            <wp:extent cx="8892540" cy="5085715"/>
            <wp:effectExtent l="0" t="0" r="3810" b="635"/>
            <wp:docPr id="16495183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892540" cy="5085715"/>
                    </a:xfrm>
                    <a:prstGeom prst="rect">
                      <a:avLst/>
                    </a:prstGeom>
                    <a:noFill/>
                    <a:ln>
                      <a:noFill/>
                    </a:ln>
                  </pic:spPr>
                </pic:pic>
              </a:graphicData>
            </a:graphic>
          </wp:inline>
        </w:drawing>
      </w:r>
    </w:p>
    <w:bookmarkEnd w:id="1114"/>
    <w:bookmarkEnd w:id="1115"/>
    <w:bookmarkEnd w:id="1116"/>
    <w:bookmarkEnd w:id="1117"/>
    <w:bookmarkEnd w:id="1118"/>
    <w:bookmarkEnd w:id="1119"/>
    <w:bookmarkEnd w:id="1120"/>
    <w:bookmarkEnd w:id="1121"/>
    <w:bookmarkEnd w:id="1122"/>
    <w:bookmarkEnd w:id="1123"/>
    <w:p w14:paraId="49359B89" w14:textId="77777777" w:rsidR="009D0F28" w:rsidRPr="00E52A4A" w:rsidRDefault="009D0F28" w:rsidP="009D0F28"/>
    <w:p w14:paraId="289CB5EE" w14:textId="77777777" w:rsidR="009D0F28" w:rsidRPr="00E52A4A" w:rsidRDefault="009D0F28" w:rsidP="009D0F28">
      <w:pPr>
        <w:sectPr w:rsidR="009D0F28" w:rsidRPr="00E52A4A" w:rsidSect="009D0F28">
          <w:headerReference w:type="default" r:id="rId85"/>
          <w:footerReference w:type="default" r:id="rId86"/>
          <w:headerReference w:type="first" r:id="rId87"/>
          <w:footerReference w:type="first" r:id="rId88"/>
          <w:pgSz w:w="16840" w:h="11907" w:orient="landscape" w:code="9"/>
          <w:pgMar w:top="1134" w:right="1418" w:bottom="1134" w:left="1418" w:header="720" w:footer="720" w:gutter="0"/>
          <w:paperSrc w:first="261" w:other="261"/>
          <w:cols w:space="720"/>
          <w:docGrid w:linePitch="326"/>
        </w:sectPr>
      </w:pPr>
    </w:p>
    <w:p w14:paraId="1EFC392A" w14:textId="77777777" w:rsidR="009D0F28" w:rsidRPr="00E52A4A" w:rsidRDefault="009D0F28" w:rsidP="009D0F28">
      <w:pPr>
        <w:pStyle w:val="Heading1"/>
        <w:spacing w:before="240"/>
      </w:pPr>
      <w:bookmarkStart w:id="1130" w:name="_Toc482801523"/>
      <w:bookmarkStart w:id="1131" w:name="_Toc511649502"/>
      <w:bookmarkStart w:id="1132" w:name="_Toc511649865"/>
      <w:bookmarkStart w:id="1133" w:name="_Toc511649988"/>
      <w:bookmarkStart w:id="1134" w:name="_Toc511651248"/>
      <w:bookmarkStart w:id="1135" w:name="_Toc511724111"/>
      <w:bookmarkStart w:id="1136" w:name="_Toc511739100"/>
      <w:bookmarkStart w:id="1137" w:name="_Toc511741271"/>
      <w:bookmarkStart w:id="1138" w:name="_Toc10450784"/>
      <w:bookmarkStart w:id="1139" w:name="_Toc41566370"/>
      <w:bookmarkStart w:id="1140" w:name="_Toc41567381"/>
      <w:bookmarkStart w:id="1141" w:name="_Toc41567877"/>
      <w:bookmarkStart w:id="1142" w:name="_Toc41814974"/>
      <w:bookmarkStart w:id="1143" w:name="_Toc73354471"/>
      <w:bookmarkStart w:id="1144" w:name="_Toc73356454"/>
      <w:bookmarkStart w:id="1145" w:name="_Toc329178807"/>
      <w:bookmarkStart w:id="1146" w:name="_Toc329181780"/>
      <w:bookmarkStart w:id="1147" w:name="_Toc329202606"/>
      <w:bookmarkStart w:id="1148" w:name="_Toc329205038"/>
      <w:bookmarkStart w:id="1149" w:name="_Toc329206875"/>
      <w:bookmarkStart w:id="1150" w:name="_Toc358379956"/>
      <w:bookmarkStart w:id="1151" w:name="_Toc358380499"/>
      <w:bookmarkStart w:id="1152" w:name="_Toc387166667"/>
      <w:bookmarkStart w:id="1153" w:name="_Toc395260952"/>
      <w:bookmarkStart w:id="1154" w:name="_Toc395511739"/>
      <w:bookmarkStart w:id="1155" w:name="_Toc452138642"/>
      <w:bookmarkStart w:id="1156" w:name="_Toc452139091"/>
      <w:bookmarkStart w:id="1157" w:name="_Toc452139455"/>
      <w:bookmarkStart w:id="1158" w:name="_Toc452139861"/>
      <w:bookmarkStart w:id="1159" w:name="_Toc452140735"/>
      <w:bookmarkStart w:id="1160" w:name="_Toc162331526"/>
      <w:bookmarkStart w:id="1161" w:name="_Toc162331736"/>
      <w:r w:rsidRPr="00E52A4A">
        <w:rPr>
          <w:sz w:val="24"/>
          <w:szCs w:val="18"/>
        </w:rPr>
        <w:lastRenderedPageBreak/>
        <w:t>Note 25</w:t>
      </w:r>
      <w:bookmarkStart w:id="1162" w:name="_Toc482801524"/>
      <w:bookmarkStart w:id="1163" w:name="_Toc511649503"/>
      <w:bookmarkStart w:id="1164" w:name="_Toc511649866"/>
      <w:bookmarkStart w:id="1165" w:name="_Toc511649989"/>
      <w:bookmarkStart w:id="1166" w:name="_Toc511651249"/>
      <w:bookmarkStart w:id="1167" w:name="_Toc511724112"/>
      <w:bookmarkStart w:id="1168" w:name="_Toc511739101"/>
      <w:bookmarkStart w:id="1169" w:name="_Toc511741272"/>
      <w:bookmarkStart w:id="1170" w:name="_Toc10450785"/>
      <w:bookmarkStart w:id="1171" w:name="_Toc41566371"/>
      <w:bookmarkStart w:id="1172" w:name="_Toc41567382"/>
      <w:bookmarkStart w:id="1173" w:name="_Toc41567878"/>
      <w:bookmarkStart w:id="1174" w:name="_Toc41814975"/>
      <w:bookmarkStart w:id="1175" w:name="_Toc73354472"/>
      <w:bookmarkStart w:id="1176" w:name="_Toc73356455"/>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r w:rsidRPr="00E52A4A">
        <w:rPr>
          <w:sz w:val="24"/>
          <w:szCs w:val="18"/>
        </w:rPr>
        <w:tab/>
        <w:t>Rapprochement entre les montants budgétés et les montants effectifs</w:t>
      </w:r>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60"/>
      <w:bookmarkEnd w:id="1161"/>
    </w:p>
    <w:p w14:paraId="4D29C198" w14:textId="77777777" w:rsidR="009D0F28" w:rsidRPr="00E52A4A" w:rsidRDefault="009D0F28" w:rsidP="009D0F28">
      <w:pPr>
        <w:rPr>
          <w:b/>
        </w:rPr>
      </w:pPr>
      <w:bookmarkStart w:id="1177" w:name="_Toc269839112"/>
      <w:bookmarkStart w:id="1178" w:name="_Toc268007571"/>
      <w:r w:rsidRPr="00E52A4A">
        <w:t>Les états financiers incluent:</w:t>
      </w:r>
    </w:p>
    <w:p w14:paraId="55F4CD0B" w14:textId="77777777" w:rsidR="009D0F28" w:rsidRPr="00E52A4A" w:rsidRDefault="009D0F28" w:rsidP="009D0F28">
      <w:pPr>
        <w:pStyle w:val="enumlev1"/>
      </w:pPr>
      <w:r w:rsidRPr="00E52A4A">
        <w:t>•</w:t>
      </w:r>
      <w:r w:rsidRPr="00E52A4A">
        <w:tab/>
        <w:t>le budget ordinaire de l'UIT;</w:t>
      </w:r>
    </w:p>
    <w:p w14:paraId="2B6AFD42" w14:textId="77777777" w:rsidR="009D0F28" w:rsidRPr="00E52A4A" w:rsidRDefault="009D0F28" w:rsidP="009D0F28">
      <w:pPr>
        <w:pStyle w:val="enumlev1"/>
      </w:pPr>
      <w:r w:rsidRPr="00E52A4A">
        <w:t>•</w:t>
      </w:r>
      <w:r w:rsidRPr="00E52A4A">
        <w:tab/>
        <w:t>les autres fonds;</w:t>
      </w:r>
    </w:p>
    <w:p w14:paraId="428293C9" w14:textId="77777777" w:rsidR="009D0F28" w:rsidRPr="00E52A4A" w:rsidRDefault="009D0F28" w:rsidP="009D0F28">
      <w:pPr>
        <w:pStyle w:val="enumlev1"/>
      </w:pPr>
      <w:r w:rsidRPr="00E52A4A">
        <w:t>•</w:t>
      </w:r>
      <w:r w:rsidRPr="00E52A4A">
        <w:tab/>
        <w:t>les fonds extrabudgétaires.</w:t>
      </w:r>
    </w:p>
    <w:p w14:paraId="266C5273" w14:textId="77777777" w:rsidR="009D0F28" w:rsidRPr="00E52A4A" w:rsidRDefault="009D0F28" w:rsidP="009D0F28">
      <w:pPr>
        <w:keepNext/>
        <w:keepLines/>
        <w:rPr>
          <w:b/>
          <w:color w:val="000000" w:themeColor="text1"/>
        </w:rPr>
      </w:pPr>
      <w:r w:rsidRPr="00E52A4A">
        <w:t>Le budget et les états financiers de l'Union sont établis sur des bases différentes. Le budget 2022</w:t>
      </w:r>
      <w:r w:rsidRPr="00E52A4A">
        <w:noBreakHyphen/>
        <w:t xml:space="preserve">2023 est établi sur la base d'une comptabilité de caisse modifiée avec quelques éléments spécifiques qui ne sont pas traités selon une comptabilité d'engagement. De plus, le budget de l'Union traite uniquement de l'activité de l'Union </w:t>
      </w:r>
      <w:r w:rsidRPr="00E52A4A">
        <w:rPr>
          <w:color w:val="000000" w:themeColor="text1"/>
        </w:rPr>
        <w:t>excluant les activités financées par des fonds extrabudgétaires.</w:t>
      </w:r>
    </w:p>
    <w:p w14:paraId="24A3C3BF" w14:textId="77777777" w:rsidR="009D0F28" w:rsidRPr="00E52A4A" w:rsidRDefault="009D0F28" w:rsidP="009D0F28">
      <w:r w:rsidRPr="00E52A4A">
        <w:t>Les états financiers de l'Union sont établis selon la méthode de la comptabilité d'exercice en utilisant une classification fondée sur la nature des charges figurant dans l'état de la performance financière (voir l'État II).</w:t>
      </w:r>
    </w:p>
    <w:p w14:paraId="3999322E" w14:textId="77777777" w:rsidR="009D0F28" w:rsidRPr="00E52A4A" w:rsidRDefault="009D0F28" w:rsidP="009D0F28">
      <w:r w:rsidRPr="00E52A4A">
        <w:t>Afin d'effectuer le rapprochement entre les États II et V, les transactions sont réparties en deux catégories de différences – différences de bases et différences relatives aux entités.</w:t>
      </w:r>
    </w:p>
    <w:p w14:paraId="4526E69A" w14:textId="77777777" w:rsidR="009D0F28" w:rsidRPr="00E52A4A" w:rsidRDefault="009D0F28" w:rsidP="009D0F28">
      <w:r w:rsidRPr="00E52A4A">
        <w:t>Les différences de base comprennent les charges qui ne sont pas inscrites dans le budget de l'UIT ou qui sont traitées différemment conformément aux exigences des normes IPSAS. Ces charges sont généralement la variation de la provision pour créances douteuses, la comptabilisation des stocks, la capitalisation des stocks, les amortissements, les gains et pertes de change, l'ASHI, le remboursement du prêt de la FIPOI et les excédents et/ou déficits concernant les placements.</w:t>
      </w:r>
    </w:p>
    <w:p w14:paraId="00697E43" w14:textId="77777777" w:rsidR="009D0F28" w:rsidRPr="00E52A4A" w:rsidRDefault="009D0F28" w:rsidP="009D0F28">
      <w:r w:rsidRPr="00E52A4A">
        <w:t>Les différences relatives aux entités désignent normalement les produits et charges qui ne figurent pas au budget-programme de l'UIT approuvé, c'est-à-dire les fonds extrabudgétaires.</w:t>
      </w:r>
    </w:p>
    <w:p w14:paraId="6A1D7B6C" w14:textId="77777777" w:rsidR="009D0F28" w:rsidRPr="00E52A4A" w:rsidRDefault="009D0F28" w:rsidP="009D0F28">
      <w:r w:rsidRPr="00E52A4A">
        <w:t>Pour l'exercice financier 2022, le budget approuvé portait sur un montant de 162 millions CHF (Résolution 1405). Ce budget a été augmenté de 1,6 million CHF (soit un total de 163,6 millions CHF) conformément aux pouvoirs délégués au Secrétaire général au titre de la Résolution 1405 du Conseil et au Règlement financier. Cette hausse découlait des activités reportées de l'exercice financier précédent pour lesquelles les charges étaient approuvées pour 2022.</w:t>
      </w:r>
    </w:p>
    <w:p w14:paraId="0814C916" w14:textId="77777777" w:rsidR="009D0F28" w:rsidRPr="00E52A4A" w:rsidRDefault="009D0F28" w:rsidP="009D0F28">
      <w:pPr>
        <w:pStyle w:val="Figure"/>
      </w:pPr>
      <w:r w:rsidRPr="00E52A4A">
        <w:rPr>
          <w:noProof/>
        </w:rPr>
        <w:lastRenderedPageBreak/>
        <w:drawing>
          <wp:inline distT="0" distB="0" distL="0" distR="0" wp14:anchorId="71FE80AA" wp14:editId="4B9B00B4">
            <wp:extent cx="5760085" cy="2915285"/>
            <wp:effectExtent l="0" t="0" r="0" b="0"/>
            <wp:docPr id="1409919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085" cy="2915285"/>
                    </a:xfrm>
                    <a:prstGeom prst="rect">
                      <a:avLst/>
                    </a:prstGeom>
                    <a:noFill/>
                    <a:ln>
                      <a:noFill/>
                    </a:ln>
                  </pic:spPr>
                </pic:pic>
              </a:graphicData>
            </a:graphic>
          </wp:inline>
        </w:drawing>
      </w:r>
    </w:p>
    <w:p w14:paraId="2073139B" w14:textId="77777777" w:rsidR="009D0F28" w:rsidRPr="00E52A4A" w:rsidRDefault="009D0F28" w:rsidP="009D0F28">
      <w:r w:rsidRPr="00E52A4A">
        <w:t>Comme indiqué dans l'État V, le montant des produits s'élève à 157,2 millions CHF, ce qui se traduit par un déficit de 6,4 millions CHF par rapport au budget. La plus grande partie de ce déficit (7,4 millions CHF) est due à une diminution des produits tirés du recouvrement des coûts (pour l'essentiel une baisse concernant le traitement des fiches de notification de réseau à satellite et un recul des ventes de publications) qui est en partie compensée par les crédits budgétés pour des activités reportées en 2022. Après plusieurs années durant lesquelles les taux d'intérêt étaient très bas, les taux d'intérêt sur les dépôts à court terme en dollars des États-Unis ont à nouveau augmenté, ce qui permet à l'UIT d'accroître considérablement ses produits financiers, avec une hausse de 340% par rapport au budget approuvé en 2022.</w:t>
      </w:r>
    </w:p>
    <w:p w14:paraId="79C3E723" w14:textId="77777777" w:rsidR="009D0F28" w:rsidRPr="00E52A4A" w:rsidRDefault="009D0F28" w:rsidP="009D0F28">
      <w:r w:rsidRPr="00E52A4A">
        <w:t>Pour tous les secteurs et départements, le déficit prévu en 2022 s'est traduit par la mise en œuvre de mesures d'efficacité (gestion stricte des dépenses, planification et révision de toutes les prévisions concernant le personnel, les services contractuels, les voyages et les autres charges opérationnelles).</w:t>
      </w:r>
    </w:p>
    <w:p w14:paraId="6B873501" w14:textId="77777777" w:rsidR="009D0F28" w:rsidRPr="00E52A4A" w:rsidRDefault="009D0F28" w:rsidP="009D0F28">
      <w:pPr>
        <w:pStyle w:val="Headingb"/>
      </w:pPr>
      <w:r w:rsidRPr="00E52A4A">
        <w:tab/>
        <w:t>Secteur des Radiocommunications (UIT-R)</w:t>
      </w:r>
    </w:p>
    <w:p w14:paraId="3D095AFA" w14:textId="77777777" w:rsidR="009D0F28" w:rsidRPr="00E52A4A" w:rsidRDefault="009D0F28" w:rsidP="009D0F28">
      <w:pPr>
        <w:pStyle w:val="enumlev1"/>
      </w:pPr>
      <w:r w:rsidRPr="00E52A4A">
        <w:tab/>
        <w:t>La catégorie Charges de personnel représente l'essentiel de la sous-exécution (environ 225 000 CHF) pour le Secteur des radiocommunications en 2022.</w:t>
      </w:r>
    </w:p>
    <w:p w14:paraId="2AF40D27" w14:textId="77777777" w:rsidR="009D0F28" w:rsidRPr="00E52A4A" w:rsidRDefault="009D0F28" w:rsidP="009D0F28">
      <w:pPr>
        <w:pStyle w:val="Headingb"/>
      </w:pPr>
      <w:r w:rsidRPr="00E52A4A">
        <w:tab/>
        <w:t>Secteur de la normalisation des télécommunications (UIT-T)</w:t>
      </w:r>
    </w:p>
    <w:p w14:paraId="6FA94CF5" w14:textId="77777777" w:rsidR="009D0F28" w:rsidRPr="00E52A4A" w:rsidRDefault="009D0F28" w:rsidP="009D0F28">
      <w:pPr>
        <w:pStyle w:val="enumlev1"/>
      </w:pPr>
      <w:r w:rsidRPr="00E52A4A">
        <w:tab/>
        <w:t>Les charges totales du Secteur de la normalisation des télécommunications s'élèvent à 13,18 millions CHF pour 2022, soit 94,9% du budget de 13,89 millions CHF.</w:t>
      </w:r>
    </w:p>
    <w:p w14:paraId="4CFA5142" w14:textId="77777777" w:rsidR="009D0F28" w:rsidRPr="00E52A4A" w:rsidRDefault="009D0F28" w:rsidP="009D0F28">
      <w:pPr>
        <w:pStyle w:val="enumlev1"/>
      </w:pPr>
      <w:r w:rsidRPr="00E52A4A">
        <w:tab/>
        <w:t>Des économies ont été faites dans tous les chapitres du budget de l'UIT-T (AMNT, GCNT, commissions d'études, activités et programmes, ateliers et Bureau).</w:t>
      </w:r>
    </w:p>
    <w:p w14:paraId="3A0C2D5D" w14:textId="77777777" w:rsidR="009D0F28" w:rsidRPr="00E52A4A" w:rsidRDefault="009D0F28" w:rsidP="009D0F28">
      <w:pPr>
        <w:pStyle w:val="enumlev1"/>
        <w:tabs>
          <w:tab w:val="left" w:pos="538"/>
        </w:tabs>
      </w:pPr>
      <w:r w:rsidRPr="00E52A4A">
        <w:tab/>
        <w:t>Début 2022, les réunions continuaient de se tenir virtuellement, ce qui a permis des économies concernant les frais de voyages et les charges d'interprétation.</w:t>
      </w:r>
    </w:p>
    <w:p w14:paraId="00352134" w14:textId="77777777" w:rsidR="009D0F28" w:rsidRPr="00E52A4A" w:rsidRDefault="009D0F28" w:rsidP="009D0F28">
      <w:pPr>
        <w:pStyle w:val="enumlev1"/>
      </w:pPr>
      <w:r w:rsidRPr="00E52A4A">
        <w:tab/>
        <w:t>À partir du milieu de l'année 2022, en raison d'inquiétudes liées au budget (insuffisance attendue des produits), de nombreuses charges ont été mises en attente, ce qui a contribué à la réalisation d'économies supplémentaires pour toutes les catégories de charges.</w:t>
      </w:r>
    </w:p>
    <w:p w14:paraId="11478842" w14:textId="77777777" w:rsidR="009D0F28" w:rsidRPr="00E52A4A" w:rsidRDefault="009D0F28" w:rsidP="009D0F28">
      <w:pPr>
        <w:pStyle w:val="Headingb"/>
      </w:pPr>
      <w:r w:rsidRPr="00E52A4A">
        <w:lastRenderedPageBreak/>
        <w:tab/>
        <w:t>Secteur du développement des télécommunications (UIT-D)</w:t>
      </w:r>
    </w:p>
    <w:p w14:paraId="00430095" w14:textId="77777777" w:rsidR="009D0F28" w:rsidRPr="00E52A4A" w:rsidRDefault="009D0F28" w:rsidP="009D0F28">
      <w:pPr>
        <w:pStyle w:val="enumlev1"/>
      </w:pPr>
      <w:r w:rsidRPr="00E52A4A">
        <w:tab/>
        <w:t>Le budget de l'UIT-D figurant dans le tableau ci-dessous représente le budget approuvé conformément à la Résolution 1405 du Conseil (27,368 millions CHF) et les crédits du budget ordinaire pour la CMDT reportés en 2022 (1,056 million CHF).</w:t>
      </w:r>
    </w:p>
    <w:p w14:paraId="257A033E" w14:textId="77777777" w:rsidR="009D0F28" w:rsidRPr="00E52A4A" w:rsidRDefault="009D0F28" w:rsidP="009D0F28">
      <w:pPr>
        <w:pStyle w:val="enumlev1"/>
      </w:pPr>
      <w:r w:rsidRPr="00E52A4A">
        <w:tab/>
        <w:t>Budget total de l'UIT-D pour 2022: 28,424 millions CHF.</w:t>
      </w:r>
    </w:p>
    <w:p w14:paraId="54DB2684" w14:textId="77777777" w:rsidR="009D0F28" w:rsidRPr="00E52A4A" w:rsidRDefault="009D0F28" w:rsidP="009D0F28">
      <w:pPr>
        <w:pStyle w:val="enumlev1"/>
      </w:pPr>
      <w:r w:rsidRPr="00E52A4A">
        <w:tab/>
        <w:t>Le montant effectif figurant dans le tableau ci-dessous montre ce qui suit:</w:t>
      </w:r>
    </w:p>
    <w:p w14:paraId="76616ACE" w14:textId="77777777" w:rsidR="009D0F28" w:rsidRPr="00E52A4A" w:rsidRDefault="009D0F28" w:rsidP="009D0F28">
      <w:pPr>
        <w:pStyle w:val="enumlev1"/>
      </w:pPr>
      <w:r w:rsidRPr="00E52A4A">
        <w:tab/>
        <w:t>Les charges effectives financées par le budget ordinaire de l'UIT-D pour 2022 (27,803 millions CHF) sont conformes au budget approuvé s'élevant à 28,424 millions CHF.</w:t>
      </w:r>
    </w:p>
    <w:p w14:paraId="124B690F" w14:textId="77777777" w:rsidR="009D0F28" w:rsidRPr="00E52A4A" w:rsidRDefault="009D0F28" w:rsidP="009D0F28">
      <w:pPr>
        <w:pStyle w:val="enumlev1"/>
      </w:pPr>
      <w:r w:rsidRPr="00E52A4A">
        <w:tab/>
        <w:t>On voit une sous-exécution de 621 000 CHF, concernant principalement la catégorie Services contractuels, due à une surveillance stricte des charges.</w:t>
      </w:r>
    </w:p>
    <w:p w14:paraId="720A209D" w14:textId="77777777" w:rsidR="009D0F28" w:rsidRPr="00E52A4A" w:rsidRDefault="009D0F28" w:rsidP="009D0F28">
      <w:pPr>
        <w:pStyle w:val="enumlev1"/>
      </w:pPr>
      <w:r w:rsidRPr="00E52A4A">
        <w:tab/>
        <w:t>Les éléments suivants expliquent le déficit:</w:t>
      </w:r>
    </w:p>
    <w:p w14:paraId="099221C5" w14:textId="77777777" w:rsidR="009D0F28" w:rsidRPr="00E52A4A" w:rsidRDefault="009D0F28" w:rsidP="009D0F28">
      <w:pPr>
        <w:pStyle w:val="enumlev2"/>
      </w:pPr>
      <w:r w:rsidRPr="00E52A4A">
        <w:t>–</w:t>
      </w:r>
      <w:r w:rsidRPr="00E52A4A">
        <w:tab/>
        <w:t>Coûts de la CMDT couverts par l'Accord de pays hôte. Le montant de 603 000 CHF apparaît également dans la ligne Produits – Contributions mises en recouvrement.</w:t>
      </w:r>
    </w:p>
    <w:p w14:paraId="46264A6C" w14:textId="77777777" w:rsidR="009D0F28" w:rsidRPr="00E52A4A" w:rsidRDefault="009D0F28" w:rsidP="009D0F28">
      <w:pPr>
        <w:pStyle w:val="enumlev2"/>
      </w:pPr>
      <w:r w:rsidRPr="00E52A4A">
        <w:t>–</w:t>
      </w:r>
      <w:r w:rsidRPr="00E52A4A">
        <w:tab/>
        <w:t>Les charges pour la vérification juricomptable (486 000 CHF) ne sont pas incluses dans le budget (Résolution 1405).</w:t>
      </w:r>
    </w:p>
    <w:p w14:paraId="4601F27E" w14:textId="77777777" w:rsidR="009D0F28" w:rsidRPr="00E52A4A" w:rsidRDefault="009D0F28" w:rsidP="009D0F28">
      <w:pPr>
        <w:pStyle w:val="Headingb"/>
      </w:pPr>
      <w:r w:rsidRPr="00E52A4A">
        <w:tab/>
        <w:t>Secrétariat Général</w:t>
      </w:r>
    </w:p>
    <w:p w14:paraId="53C09CC5" w14:textId="77777777" w:rsidR="009D0F28" w:rsidRPr="00E52A4A" w:rsidRDefault="009D0F28" w:rsidP="009D0F28">
      <w:pPr>
        <w:pStyle w:val="enumlev1"/>
      </w:pPr>
      <w:r w:rsidRPr="00E52A4A">
        <w:tab/>
        <w:t>La majorité des économies ont été réalisées par le Département des conférences et publications, grâce à un suivi strict des ressources affectées aux activités de traduction et de traitement de textes.</w:t>
      </w:r>
    </w:p>
    <w:p w14:paraId="1F4B18F8" w14:textId="77777777" w:rsidR="009D0F28" w:rsidRPr="00E52A4A" w:rsidRDefault="009D0F28" w:rsidP="009D0F28">
      <w:pPr>
        <w:pStyle w:val="enumlev1"/>
      </w:pPr>
      <w:r w:rsidRPr="00E52A4A">
        <w:tab/>
        <w:t>D'autres économies ont été réalisées concernant les charges d'entretien pour la Division de la gestion des installations et la catégorie Services contractuels pour le Département des services informatiques.</w:t>
      </w:r>
    </w:p>
    <w:p w14:paraId="1F09AF0C" w14:textId="77777777" w:rsidR="009D0F28" w:rsidRPr="00E52A4A" w:rsidRDefault="009D0F28" w:rsidP="009D0F28">
      <w:pPr>
        <w:pStyle w:val="enumlev1"/>
      </w:pPr>
      <w:r w:rsidRPr="00E52A4A">
        <w:tab/>
        <w:t>Comme les autres Secteurs et Départements, le Secrétariat général a dû absorber le taux d'emplois vacants de 5% en reportant les recrutements pour les postes vacants.</w:t>
      </w:r>
    </w:p>
    <w:p w14:paraId="518D27BD" w14:textId="77777777" w:rsidR="009D0F28" w:rsidRPr="00E52A4A" w:rsidRDefault="009D0F28" w:rsidP="009D0F28">
      <w:r w:rsidRPr="00E52A4A">
        <w:t>Le montant des charges inscrites au budget pour 2022 s'élevait à 163,6 millions CHF, pour un montant des charges effectives s'élevant à 162 millions CHF. Toutefois, le manque à gagner a entraîné un déficit de 4,8 millions CHF, qui a été financé au moyen des économies réalisées lors des exercices précédents (1,8 millions CHF) et du Fonds de réserve (3 millions CHF). Cette situation est préoccupante car l'UIT dépense actuellement plus que ce dont elle dispose et utilise le Fonds de réserve pour équilibrer le budget. Des mesures d'atténuation ont été prises en vue de veiller à ce que dans l'avenir, l'UIT équilibre son budget.</w:t>
      </w:r>
    </w:p>
    <w:p w14:paraId="2F3A6955" w14:textId="77777777" w:rsidR="009D0F28" w:rsidRPr="00E52A4A" w:rsidRDefault="009D0F28" w:rsidP="009D0F28">
      <w:pPr>
        <w:pStyle w:val="Heading1"/>
        <w:spacing w:before="240"/>
      </w:pPr>
      <w:bookmarkStart w:id="1179" w:name="_Toc329178808"/>
      <w:bookmarkStart w:id="1180" w:name="_Toc329181781"/>
      <w:bookmarkStart w:id="1181" w:name="_Toc329202609"/>
      <w:bookmarkStart w:id="1182" w:name="_Toc329205041"/>
      <w:bookmarkStart w:id="1183" w:name="_Toc329206878"/>
      <w:bookmarkStart w:id="1184" w:name="_Toc358379958"/>
      <w:bookmarkStart w:id="1185" w:name="_Toc358380501"/>
      <w:bookmarkStart w:id="1186" w:name="_Toc387166669"/>
      <w:bookmarkStart w:id="1187" w:name="_Toc395260954"/>
      <w:bookmarkStart w:id="1188" w:name="_Toc395511741"/>
      <w:bookmarkStart w:id="1189" w:name="_Toc452138643"/>
      <w:bookmarkStart w:id="1190" w:name="_Toc452139092"/>
      <w:bookmarkStart w:id="1191" w:name="_Toc452139456"/>
      <w:bookmarkStart w:id="1192" w:name="_Toc452139862"/>
      <w:bookmarkStart w:id="1193" w:name="_Toc452140736"/>
      <w:bookmarkStart w:id="1194" w:name="_Toc482801525"/>
      <w:bookmarkStart w:id="1195" w:name="_Toc511649504"/>
      <w:bookmarkStart w:id="1196" w:name="_Toc511649867"/>
      <w:bookmarkStart w:id="1197" w:name="_Toc511649990"/>
      <w:bookmarkStart w:id="1198" w:name="_Toc511651250"/>
      <w:bookmarkStart w:id="1199" w:name="_Toc511724113"/>
      <w:bookmarkStart w:id="1200" w:name="_Toc511739102"/>
      <w:bookmarkStart w:id="1201" w:name="_Toc511741273"/>
      <w:bookmarkStart w:id="1202" w:name="_Toc10450786"/>
      <w:bookmarkStart w:id="1203" w:name="_Toc41566372"/>
      <w:bookmarkStart w:id="1204" w:name="_Toc41567383"/>
      <w:bookmarkStart w:id="1205" w:name="_Toc41567879"/>
      <w:bookmarkStart w:id="1206" w:name="_Toc41814976"/>
      <w:bookmarkStart w:id="1207" w:name="_Toc73354473"/>
      <w:bookmarkStart w:id="1208" w:name="_Toc73356456"/>
      <w:bookmarkStart w:id="1209" w:name="_Toc162331527"/>
      <w:bookmarkStart w:id="1210" w:name="_Toc162331737"/>
      <w:r w:rsidRPr="00E52A4A">
        <w:rPr>
          <w:sz w:val="24"/>
          <w:szCs w:val="18"/>
        </w:rPr>
        <w:t>Note 26</w:t>
      </w:r>
      <w:r w:rsidRPr="00E52A4A">
        <w:rPr>
          <w:sz w:val="24"/>
          <w:szCs w:val="18"/>
        </w:rPr>
        <w:tab/>
        <w:t>Informations relatives aux parties liées</w:t>
      </w:r>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p>
    <w:p w14:paraId="6EE7BC64" w14:textId="77777777" w:rsidR="009D0F28" w:rsidRPr="00E52A4A" w:rsidRDefault="009D0F28" w:rsidP="009D0F28">
      <w:r w:rsidRPr="00E52A4A">
        <w:t>L'entité suivante est à considérer comme partie liée:</w:t>
      </w:r>
    </w:p>
    <w:p w14:paraId="4B33325A" w14:textId="77777777" w:rsidR="009D0F28" w:rsidRPr="00E52A4A" w:rsidRDefault="009D0F28" w:rsidP="009D0F28">
      <w:pPr>
        <w:pStyle w:val="enumlev1"/>
        <w:rPr>
          <w:color w:val="000000"/>
        </w:rPr>
      </w:pPr>
      <w:r w:rsidRPr="00E52A4A">
        <w:rPr>
          <w:color w:val="000000"/>
        </w:rPr>
        <w:t>–</w:t>
      </w:r>
      <w:r w:rsidRPr="00E52A4A">
        <w:rPr>
          <w:color w:val="000000"/>
        </w:rPr>
        <w:tab/>
        <w:t xml:space="preserve">La </w:t>
      </w:r>
      <w:r w:rsidRPr="00E52A4A">
        <w:t>Caisse commune des pensions du personnel des Nations Unies (CCPPNU).</w:t>
      </w:r>
    </w:p>
    <w:p w14:paraId="061F8170" w14:textId="77777777" w:rsidR="009D0F28" w:rsidRPr="00E52A4A" w:rsidRDefault="009D0F28" w:rsidP="009D0F28">
      <w:r w:rsidRPr="00E52A4A">
        <w:t>Le Conseil d'Administration de l'Union se compose de 48 États Membres, sans désignation de personnes spécifiques</w:t>
      </w:r>
      <w:r w:rsidRPr="00E52A4A">
        <w:rPr>
          <w:rFonts w:cstheme="minorHAnsi"/>
          <w:bCs/>
          <w:color w:val="000000" w:themeColor="text1"/>
          <w:spacing w:val="-4"/>
          <w:w w:val="105"/>
        </w:rPr>
        <w:t>.</w:t>
      </w:r>
    </w:p>
    <w:p w14:paraId="01B557E5" w14:textId="77777777" w:rsidR="009D0F28" w:rsidRPr="00E52A4A" w:rsidRDefault="009D0F28" w:rsidP="009D0F28">
      <w:pPr>
        <w:keepNext/>
        <w:keepLines/>
      </w:pPr>
      <w:r w:rsidRPr="00E52A4A">
        <w:lastRenderedPageBreak/>
        <w:t>L'Union est gérée par le Secrétaire général, qui en assure la direction, aidé en cela par le Vice</w:t>
      </w:r>
      <w:r w:rsidRPr="00E52A4A">
        <w:noBreakHyphen/>
        <w:t>Secrétaire général et par trois Directeurs des Secteurs suivants (cadres de haut niveau siégeant au Conseil exécutif): le Secteur des radiocommunications (UIT-R), le Secteur de la normalisation des télécommunications (UIT-T) et le Secteur du développement des télécommunications (UIT-D).</w:t>
      </w:r>
    </w:p>
    <w:p w14:paraId="24F99421" w14:textId="77777777" w:rsidR="009D0F28" w:rsidRPr="00E52A4A" w:rsidRDefault="009D0F28" w:rsidP="009D0F28">
      <w:r w:rsidRPr="00E52A4A">
        <w:t>La rémunération globale payée au personnel clé de direction comprend le traitement net, l'indemnité de poste, des indemnités comme l'indemnité pour frais de représentation, l'indemnité d'affectation, l'indemnité de rapatriement, les congés accumulés, l'allocation logement, et l'expédition des effets personnels.</w:t>
      </w:r>
    </w:p>
    <w:p w14:paraId="15B488B7" w14:textId="77777777" w:rsidR="009D0F28" w:rsidRPr="00E52A4A" w:rsidRDefault="009D0F28" w:rsidP="009D0F28">
      <w:pPr>
        <w:rPr>
          <w:rFonts w:asciiTheme="minorHAnsi" w:eastAsia="Calibri" w:hAnsiTheme="minorHAnsi"/>
          <w:color w:val="000000" w:themeColor="text1"/>
        </w:rPr>
      </w:pPr>
      <w:r w:rsidRPr="00E52A4A">
        <w:rPr>
          <w:rFonts w:asciiTheme="minorHAnsi" w:eastAsia="Calibri" w:hAnsiTheme="minorHAnsi"/>
          <w:color w:val="000000" w:themeColor="text1"/>
        </w:rPr>
        <w:t>Le personnel clé de direction a également droit aux mêmes prestations que le personnel de la catégorie professionnelle, à savoir:</w:t>
      </w:r>
    </w:p>
    <w:p w14:paraId="49ED8CFA" w14:textId="77777777" w:rsidR="009D0F28" w:rsidRPr="00E52A4A" w:rsidRDefault="009D0F28" w:rsidP="009D0F28">
      <w:pPr>
        <w:pStyle w:val="enumlev1"/>
      </w:pPr>
      <w:r w:rsidRPr="00E52A4A">
        <w:t>–</w:t>
      </w:r>
      <w:r w:rsidRPr="00E52A4A">
        <w:tab/>
        <w:t>les congés dans les foyers;</w:t>
      </w:r>
    </w:p>
    <w:p w14:paraId="39462B03" w14:textId="77777777" w:rsidR="009D0F28" w:rsidRPr="00E52A4A" w:rsidRDefault="009D0F28" w:rsidP="009D0F28">
      <w:pPr>
        <w:pStyle w:val="enumlev1"/>
      </w:pPr>
      <w:r w:rsidRPr="00E52A4A">
        <w:t>–</w:t>
      </w:r>
      <w:r w:rsidRPr="00E52A4A">
        <w:tab/>
        <w:t>l'indemnité pour frais d'études;</w:t>
      </w:r>
    </w:p>
    <w:p w14:paraId="53ECE3E9" w14:textId="77777777" w:rsidR="009D0F28" w:rsidRPr="00E52A4A" w:rsidRDefault="009D0F28" w:rsidP="009D0F28">
      <w:pPr>
        <w:pStyle w:val="enumlev1"/>
      </w:pPr>
      <w:r w:rsidRPr="00E52A4A">
        <w:t>–</w:t>
      </w:r>
      <w:r w:rsidRPr="00E52A4A">
        <w:tab/>
        <w:t>des prestations après la cessation de service.</w:t>
      </w:r>
    </w:p>
    <w:p w14:paraId="41F048F9" w14:textId="77777777" w:rsidR="009D0F28" w:rsidRPr="00E52A4A" w:rsidRDefault="009D0F28" w:rsidP="009D0F28">
      <w:pPr>
        <w:rPr>
          <w:rFonts w:cstheme="minorHAnsi"/>
          <w:spacing w:val="-4"/>
          <w:w w:val="105"/>
        </w:rPr>
      </w:pPr>
      <w:r w:rsidRPr="00E52A4A">
        <w:rPr>
          <w:rFonts w:cstheme="minorHAnsi"/>
          <w:spacing w:val="-4"/>
          <w:w w:val="105"/>
        </w:rPr>
        <w:t>Tous les paiements effectués au profit des membres du personnel clé de direction ou par ces membres figurent dans le tableau ci-dessous.</w:t>
      </w:r>
    </w:p>
    <w:p w14:paraId="3A2C3E71" w14:textId="77777777" w:rsidR="009D0F28" w:rsidRPr="00E52A4A" w:rsidRDefault="009D0F28" w:rsidP="009D0F28">
      <w:pPr>
        <w:spacing w:after="240"/>
      </w:pPr>
      <w:r w:rsidRPr="00E52A4A">
        <w:t>Les membres du personnel clé de direction sont participants ordinaires à la Caisse commune des pensions du personnel des Nations Unies.</w:t>
      </w:r>
    </w:p>
    <w:p w14:paraId="4E64418D" w14:textId="77777777" w:rsidR="009D0F28" w:rsidRPr="00E52A4A" w:rsidRDefault="009D0F28" w:rsidP="009D0F28">
      <w:pPr>
        <w:spacing w:before="60"/>
        <w:rPr>
          <w:sz w:val="2"/>
          <w:szCs w:val="2"/>
        </w:rPr>
      </w:pPr>
    </w:p>
    <w:p w14:paraId="7733A984" w14:textId="77777777" w:rsidR="009D0F28" w:rsidRPr="00E52A4A" w:rsidRDefault="009D0F28" w:rsidP="009D0F28">
      <w:pPr>
        <w:jc w:val="center"/>
      </w:pPr>
      <w:bookmarkStart w:id="1211" w:name="_Toc358379959"/>
      <w:bookmarkStart w:id="1212" w:name="_Toc358380502"/>
      <w:bookmarkStart w:id="1213" w:name="_Toc387166670"/>
      <w:bookmarkStart w:id="1214" w:name="_Toc395260955"/>
      <w:bookmarkStart w:id="1215" w:name="_Toc395511742"/>
      <w:bookmarkStart w:id="1216" w:name="_Toc452138644"/>
      <w:bookmarkStart w:id="1217" w:name="_Toc452139093"/>
      <w:bookmarkStart w:id="1218" w:name="_Toc452139457"/>
      <w:bookmarkStart w:id="1219" w:name="_Toc452139863"/>
      <w:bookmarkStart w:id="1220" w:name="_Toc452140737"/>
      <w:bookmarkStart w:id="1221" w:name="_Toc482801526"/>
      <w:bookmarkStart w:id="1222" w:name="_Toc511649505"/>
      <w:bookmarkStart w:id="1223" w:name="_Toc511649868"/>
      <w:bookmarkStart w:id="1224" w:name="_Toc511649991"/>
      <w:bookmarkStart w:id="1225" w:name="_Toc511651251"/>
      <w:bookmarkStart w:id="1226" w:name="_Toc511724114"/>
      <w:bookmarkStart w:id="1227" w:name="_Toc511739103"/>
      <w:bookmarkStart w:id="1228" w:name="_Toc511741274"/>
      <w:bookmarkStart w:id="1229" w:name="_Toc10450787"/>
      <w:bookmarkStart w:id="1230" w:name="_Toc41566373"/>
      <w:bookmarkStart w:id="1231" w:name="_Toc41567384"/>
      <w:bookmarkStart w:id="1232" w:name="_Toc41567880"/>
      <w:bookmarkStart w:id="1233" w:name="_Toc41814977"/>
      <w:bookmarkStart w:id="1234" w:name="_Toc73354474"/>
      <w:bookmarkStart w:id="1235" w:name="_Toc73356457"/>
      <w:r w:rsidRPr="00E52A4A">
        <w:rPr>
          <w:noProof/>
        </w:rPr>
        <w:drawing>
          <wp:inline distT="0" distB="0" distL="0" distR="0" wp14:anchorId="1476D87A" wp14:editId="2E5B870E">
            <wp:extent cx="5760085" cy="1130935"/>
            <wp:effectExtent l="0" t="0" r="0" b="0"/>
            <wp:docPr id="19108664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0085" cy="1130935"/>
                    </a:xfrm>
                    <a:prstGeom prst="rect">
                      <a:avLst/>
                    </a:prstGeom>
                    <a:noFill/>
                    <a:ln>
                      <a:noFill/>
                    </a:ln>
                  </pic:spPr>
                </pic:pic>
              </a:graphicData>
            </a:graphic>
          </wp:inline>
        </w:drawing>
      </w:r>
    </w:p>
    <w:p w14:paraId="13FB315B" w14:textId="77777777" w:rsidR="009D0F28" w:rsidRPr="00E52A4A" w:rsidRDefault="009D0F28" w:rsidP="009D0F28">
      <w:r w:rsidRPr="00E52A4A">
        <w:t>Compris dans les paiements effectués au profit des fonctionnaires élus en 2022 pour un montant de 2,623 millions CHF, une somme de 3 528 CHF a été déduite des paiements versés à titre gracieux pour l'achat, par les anciens fonctionnaires élus, de leur équipement informatique lors de leur départ à la retraite.</w:t>
      </w:r>
    </w:p>
    <w:p w14:paraId="26A1220A" w14:textId="77777777" w:rsidR="009D0F28" w:rsidRPr="00E52A4A" w:rsidRDefault="009D0F28" w:rsidP="009D0F28">
      <w:pPr>
        <w:pStyle w:val="Heading1"/>
        <w:spacing w:before="240"/>
      </w:pPr>
      <w:bookmarkStart w:id="1236" w:name="_Toc162331528"/>
      <w:bookmarkStart w:id="1237" w:name="_Toc162331738"/>
      <w:r w:rsidRPr="00E52A4A">
        <w:rPr>
          <w:sz w:val="24"/>
          <w:szCs w:val="18"/>
        </w:rPr>
        <w:t>Note 27</w:t>
      </w:r>
      <w:r w:rsidRPr="00E52A4A">
        <w:rPr>
          <w:sz w:val="24"/>
          <w:szCs w:val="18"/>
        </w:rPr>
        <w:tab/>
      </w:r>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r w:rsidRPr="00E52A4A">
        <w:rPr>
          <w:sz w:val="24"/>
          <w:szCs w:val="18"/>
        </w:rPr>
        <w:t>Engagements futurs</w:t>
      </w:r>
      <w:bookmarkEnd w:id="1236"/>
      <w:bookmarkEnd w:id="1237"/>
    </w:p>
    <w:p w14:paraId="0EA39308" w14:textId="77777777" w:rsidR="009D0F28" w:rsidRPr="00E52A4A" w:rsidRDefault="009D0F28" w:rsidP="009D0F28">
      <w:r w:rsidRPr="00E52A4A">
        <w:t>En rejoignant l'UNSMIS à partir du 1er janvier 2020, l'UIT a signé un contrat en vertu duquel elle est tenue de verser une contribution annuelle additionnelle jusqu'en 2032. Au 31 décembre 2022, le montant total restant à verser pour cette contribution supplémentaire s'élevait à 17,5 millions USD.</w:t>
      </w:r>
    </w:p>
    <w:p w14:paraId="344C52A1" w14:textId="77777777" w:rsidR="009D0F28" w:rsidRPr="00E52A4A" w:rsidRDefault="009D0F28" w:rsidP="009D0F28">
      <w:pPr>
        <w:pStyle w:val="Heading1"/>
        <w:spacing w:before="240"/>
      </w:pPr>
      <w:bookmarkStart w:id="1238" w:name="_Toc162331529"/>
      <w:bookmarkStart w:id="1239" w:name="_Toc162331739"/>
      <w:r w:rsidRPr="00E52A4A">
        <w:rPr>
          <w:sz w:val="24"/>
          <w:szCs w:val="18"/>
        </w:rPr>
        <w:t>Note 28</w:t>
      </w:r>
      <w:r w:rsidRPr="00E52A4A">
        <w:rPr>
          <w:sz w:val="24"/>
          <w:szCs w:val="18"/>
        </w:rPr>
        <w:tab/>
        <w:t>Paiements versés à titre gracieux</w:t>
      </w:r>
      <w:bookmarkEnd w:id="1238"/>
      <w:bookmarkEnd w:id="1239"/>
    </w:p>
    <w:p w14:paraId="6F0AB138" w14:textId="77777777" w:rsidR="009D0F28" w:rsidRPr="00E52A4A" w:rsidRDefault="009D0F28" w:rsidP="009D0F28">
      <w:r w:rsidRPr="00E52A4A">
        <w:t>En 2022, l'Union a versé à l'ancien fonctionnaire élu du TSB (M. Lee) une somme de 51 220 CHF, à l'ancien Vice-Secrétaire général (M. Johnson) une somme de 76 830 CHF et à l'ancien Secrétaire général (M. Zhao) une somme de 83 701 CHF pour les services qu'ils ont rendus à l'Union dans le cadre de leurs mandats respectifs. Ces paiements, qui à l'époque étaient considérés comme des paiements versés à titre gracieux, ont été inclus dans le montant total donné pour les paiements versés aux parties liées dans la Note 26. La Secrétaire générale a souligné ce point dans la déclaration sur le contrôle interne.</w:t>
      </w:r>
    </w:p>
    <w:p w14:paraId="083D9D2B" w14:textId="77777777" w:rsidR="009D0F28" w:rsidRPr="00E52A4A" w:rsidRDefault="009D0F28" w:rsidP="009D0F28">
      <w:pPr>
        <w:pStyle w:val="Heading1"/>
        <w:spacing w:before="240"/>
      </w:pPr>
      <w:bookmarkStart w:id="1240" w:name="_Toc268007574"/>
      <w:bookmarkStart w:id="1241" w:name="_Toc329178810"/>
      <w:bookmarkStart w:id="1242" w:name="_Toc329181783"/>
      <w:bookmarkStart w:id="1243" w:name="_Toc329202611"/>
      <w:bookmarkStart w:id="1244" w:name="_Toc329205043"/>
      <w:bookmarkStart w:id="1245" w:name="_Toc329206880"/>
      <w:bookmarkStart w:id="1246" w:name="_Toc358379960"/>
      <w:bookmarkStart w:id="1247" w:name="_Toc358380503"/>
      <w:bookmarkStart w:id="1248" w:name="_Toc387166671"/>
      <w:bookmarkStart w:id="1249" w:name="_Toc395260956"/>
      <w:bookmarkStart w:id="1250" w:name="_Toc395511743"/>
      <w:bookmarkStart w:id="1251" w:name="_Toc452138645"/>
      <w:bookmarkStart w:id="1252" w:name="_Toc452139094"/>
      <w:bookmarkStart w:id="1253" w:name="_Toc452139458"/>
      <w:bookmarkStart w:id="1254" w:name="_Toc452139864"/>
      <w:bookmarkStart w:id="1255" w:name="_Toc452140738"/>
      <w:bookmarkStart w:id="1256" w:name="_Toc482801527"/>
      <w:bookmarkStart w:id="1257" w:name="_Toc511649506"/>
      <w:bookmarkStart w:id="1258" w:name="_Toc511649869"/>
      <w:bookmarkStart w:id="1259" w:name="_Toc511649992"/>
      <w:bookmarkStart w:id="1260" w:name="_Toc511651252"/>
      <w:bookmarkStart w:id="1261" w:name="_Toc511724115"/>
      <w:bookmarkStart w:id="1262" w:name="_Toc511739104"/>
      <w:bookmarkStart w:id="1263" w:name="_Toc511741275"/>
      <w:bookmarkStart w:id="1264" w:name="_Toc10450788"/>
      <w:bookmarkStart w:id="1265" w:name="_Toc41566374"/>
      <w:bookmarkStart w:id="1266" w:name="_Toc41567385"/>
      <w:bookmarkStart w:id="1267" w:name="_Toc41567881"/>
      <w:bookmarkStart w:id="1268" w:name="_Toc41814978"/>
      <w:bookmarkStart w:id="1269" w:name="_Toc73354475"/>
      <w:bookmarkStart w:id="1270" w:name="_Toc73356458"/>
      <w:bookmarkStart w:id="1271" w:name="_Toc162331530"/>
      <w:bookmarkStart w:id="1272" w:name="_Toc162331740"/>
      <w:r w:rsidRPr="00E52A4A">
        <w:rPr>
          <w:sz w:val="24"/>
          <w:szCs w:val="18"/>
        </w:rPr>
        <w:lastRenderedPageBreak/>
        <w:t>Note 29</w:t>
      </w:r>
      <w:r w:rsidRPr="00E52A4A">
        <w:rPr>
          <w:sz w:val="24"/>
          <w:szCs w:val="18"/>
        </w:rPr>
        <w:tab/>
        <w:t>Événements postérieurs à la date du bilan</w:t>
      </w:r>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p>
    <w:p w14:paraId="3EC33CC8" w14:textId="77777777" w:rsidR="009D0F28" w:rsidRPr="00E52A4A" w:rsidRDefault="009D0F28" w:rsidP="009D0F28">
      <w:r w:rsidRPr="00E52A4A">
        <w:t>Pour l'UIT, la date de clôture est le 31 décembre 2022 et la publication des présents états financiers a été autorisée à la même date que l'opinion du Vérificateur extérieur.</w:t>
      </w:r>
    </w:p>
    <w:p w14:paraId="62FFAD67" w14:textId="77777777" w:rsidR="009D0F28" w:rsidRPr="00E52A4A" w:rsidRDefault="009D0F28" w:rsidP="009D0F28">
      <w:r w:rsidRPr="00E52A4A">
        <w:t>En mars 2023, il a été annoncé que la banque UBS rachetait la banque Crédit Suisse. Crédit Suisse n'est pas la principale banque de l'UIT, mais certains dépôts à court terme de l'Union y sont placés. Toutefois, la Banque nationale suisse ayant apporté sa garantie, l'UIT ne devrait enregistrer aucune perte.</w:t>
      </w:r>
    </w:p>
    <w:p w14:paraId="05AC4614" w14:textId="77777777" w:rsidR="009D0F28" w:rsidRPr="00E52A4A" w:rsidRDefault="009D0F28" w:rsidP="009D0F28">
      <w:r w:rsidRPr="00E52A4A">
        <w:t>Se fondant sur le fait qu'il a été établi que les paiements accordés aux fonctionnaires élus ne répondent pas à la définition des paiements gracieux, la Secrétaire générale a pris la décision de mettre fin à la pratique consistant à accorder ce type de paiements aux fonctionnaires élus à la fin de leur mandat au service de l'Union.</w:t>
      </w:r>
    </w:p>
    <w:p w14:paraId="3D0911D5" w14:textId="77777777" w:rsidR="009D0F28" w:rsidRPr="00E52A4A" w:rsidRDefault="009D0F28" w:rsidP="009D0F28">
      <w:r w:rsidRPr="00E52A4A">
        <w:t>Au 31 décembre 2023, le montant total des coûts irrécupérables déjà acquittés pour le projet de nouveau bâtiment s'établissaient à 20 780 691 CHF. Si le projet n'est pas poursuivi, une somme supplémentaire de 7 686 288 CHF devra être versée pour régler toutes les réclamation, ainsi que les obligations et retenues contractuelles. Ce point a été confirmé lors de la réunion du Groupe de travail du Conseil tenue en octobre 2023 et il n'y pas d'autres pénalités associées au projet de bâtiment.</w:t>
      </w:r>
    </w:p>
    <w:p w14:paraId="1FFDE46F" w14:textId="77777777" w:rsidR="009D0F28" w:rsidRPr="00E52A4A" w:rsidRDefault="009D0F28" w:rsidP="009D0F28">
      <w:pPr>
        <w:pStyle w:val="Heading1"/>
        <w:spacing w:before="240"/>
      </w:pPr>
      <w:bookmarkStart w:id="1273" w:name="_Toc162331531"/>
      <w:bookmarkStart w:id="1274" w:name="_Toc162331741"/>
      <w:r w:rsidRPr="00E52A4A">
        <w:rPr>
          <w:sz w:val="24"/>
          <w:szCs w:val="18"/>
        </w:rPr>
        <w:t>Note 30</w:t>
      </w:r>
      <w:r w:rsidRPr="00E52A4A">
        <w:rPr>
          <w:sz w:val="24"/>
          <w:szCs w:val="18"/>
        </w:rPr>
        <w:tab/>
        <w:t>Changements d'estimations comptables et erreurs</w:t>
      </w:r>
      <w:bookmarkEnd w:id="1273"/>
      <w:bookmarkEnd w:id="1274"/>
    </w:p>
    <w:p w14:paraId="6A3137CF" w14:textId="77777777" w:rsidR="009D0F28" w:rsidRPr="00E52A4A" w:rsidRDefault="009D0F28" w:rsidP="009D0F28">
      <w:r w:rsidRPr="00E52A4A">
        <w:t>En 2022, l'UIT a changé de méthodes comptables pour la comptabilisation du prêt à long terme accordé par la FIPOI et les contributions reçues au titre des accords de parrainage. Au cours de l'année, l'UIT a également découvert que les états financiers approuvés pour 2021 contenaient des erreurs.</w:t>
      </w:r>
    </w:p>
    <w:p w14:paraId="7D36F6F5" w14:textId="77777777" w:rsidR="009D0F28" w:rsidRPr="00E52A4A" w:rsidRDefault="009D0F28" w:rsidP="009D0F28">
      <w:r w:rsidRPr="00E52A4A">
        <w:t>Conformément à la norme IPSAS 3, et compte tenu de ce qui précède, les états financiers pour 2021 ont été retraités afin de les rendre comparables.</w:t>
      </w:r>
    </w:p>
    <w:p w14:paraId="40AD1163" w14:textId="77777777" w:rsidR="009D0F28" w:rsidRPr="00E52A4A" w:rsidRDefault="009D0F28" w:rsidP="009D0F28">
      <w:pPr>
        <w:spacing w:after="240"/>
      </w:pPr>
      <w:r w:rsidRPr="00E52A4A">
        <w:t>Les incidences du changement de méthodes comptables et de la correction des erreurs d'une période antérieure sont décrites ci-après. Tous les montants indiqués ci-dessous sont en milliers CHF.</w:t>
      </w:r>
    </w:p>
    <w:p w14:paraId="4A80CA85" w14:textId="77777777" w:rsidR="009D0F28" w:rsidRPr="00E52A4A" w:rsidRDefault="009D0F28" w:rsidP="009D0F28">
      <w:pPr>
        <w:pStyle w:val="Tabletitle"/>
      </w:pPr>
      <w:r w:rsidRPr="00E52A4A">
        <w:lastRenderedPageBreak/>
        <w:t>État de la situation financière pour les exercices prenant fin au 31 décembre 2021 et au 31 décembre 2020 (états retraités)</w:t>
      </w:r>
    </w:p>
    <w:p w14:paraId="49E63C10" w14:textId="77777777" w:rsidR="009D0F28" w:rsidRPr="00E52A4A" w:rsidRDefault="009D0F28" w:rsidP="009D0F28">
      <w:pPr>
        <w:pStyle w:val="Figure"/>
      </w:pPr>
      <w:r w:rsidRPr="00E52A4A">
        <w:rPr>
          <w:noProof/>
        </w:rPr>
        <w:drawing>
          <wp:inline distT="0" distB="0" distL="0" distR="0" wp14:anchorId="0858E98C" wp14:editId="560461F2">
            <wp:extent cx="5760085" cy="7924800"/>
            <wp:effectExtent l="0" t="0" r="0" b="0"/>
            <wp:docPr id="13333549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085" cy="7924800"/>
                    </a:xfrm>
                    <a:prstGeom prst="rect">
                      <a:avLst/>
                    </a:prstGeom>
                    <a:noFill/>
                    <a:ln>
                      <a:noFill/>
                    </a:ln>
                  </pic:spPr>
                </pic:pic>
              </a:graphicData>
            </a:graphic>
          </wp:inline>
        </w:drawing>
      </w:r>
    </w:p>
    <w:p w14:paraId="209B134C" w14:textId="77777777" w:rsidR="009D0F28" w:rsidRPr="00E52A4A" w:rsidRDefault="009D0F28" w:rsidP="009D0F28">
      <w:pPr>
        <w:pStyle w:val="Tabletitle"/>
        <w:spacing w:before="240"/>
      </w:pPr>
      <w:r w:rsidRPr="00E52A4A">
        <w:lastRenderedPageBreak/>
        <w:t>État de la situation financière pour l'exercice prenant fin au 31 décembre 2021 (états retraités)</w:t>
      </w:r>
    </w:p>
    <w:p w14:paraId="78400A25" w14:textId="77777777" w:rsidR="009D0F28" w:rsidRPr="00E52A4A" w:rsidRDefault="009D0F28" w:rsidP="009D0F28">
      <w:pPr>
        <w:pStyle w:val="Figure"/>
      </w:pPr>
      <w:r w:rsidRPr="00E52A4A">
        <w:rPr>
          <w:noProof/>
        </w:rPr>
        <w:drawing>
          <wp:inline distT="0" distB="0" distL="0" distR="0" wp14:anchorId="012E62B3" wp14:editId="6B8D2213">
            <wp:extent cx="5365750" cy="5641975"/>
            <wp:effectExtent l="0" t="0" r="6350" b="0"/>
            <wp:docPr id="12881975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65750" cy="5641975"/>
                    </a:xfrm>
                    <a:prstGeom prst="rect">
                      <a:avLst/>
                    </a:prstGeom>
                    <a:noFill/>
                    <a:ln>
                      <a:noFill/>
                    </a:ln>
                  </pic:spPr>
                </pic:pic>
              </a:graphicData>
            </a:graphic>
          </wp:inline>
        </w:drawing>
      </w:r>
    </w:p>
    <w:p w14:paraId="4BD22ED8" w14:textId="77777777" w:rsidR="009D0F28" w:rsidRPr="00E52A4A" w:rsidRDefault="009D0F28" w:rsidP="009D0F28">
      <w:pPr>
        <w:tabs>
          <w:tab w:val="clear" w:pos="567"/>
          <w:tab w:val="clear" w:pos="1134"/>
          <w:tab w:val="clear" w:pos="1701"/>
          <w:tab w:val="clear" w:pos="2268"/>
          <w:tab w:val="clear" w:pos="2835"/>
        </w:tabs>
        <w:overflowPunct/>
        <w:autoSpaceDE/>
        <w:autoSpaceDN/>
        <w:adjustRightInd/>
        <w:spacing w:before="0"/>
        <w:textAlignment w:val="auto"/>
      </w:pPr>
      <w:r w:rsidRPr="00E52A4A">
        <w:br w:type="page"/>
      </w:r>
    </w:p>
    <w:p w14:paraId="595BE29E" w14:textId="77777777" w:rsidR="009D0F28" w:rsidRPr="00E52A4A" w:rsidRDefault="009D0F28" w:rsidP="009D0F28">
      <w:pPr>
        <w:pStyle w:val="Headingb"/>
        <w:rPr>
          <w:sz w:val="28"/>
          <w:szCs w:val="28"/>
        </w:rPr>
      </w:pPr>
      <w:r w:rsidRPr="00E52A4A">
        <w:rPr>
          <w:sz w:val="28"/>
          <w:szCs w:val="28"/>
        </w:rPr>
        <w:lastRenderedPageBreak/>
        <w:t>Changement de méthodes comptables</w:t>
      </w:r>
    </w:p>
    <w:p w14:paraId="3511B28C" w14:textId="77777777" w:rsidR="009D0F28" w:rsidRPr="00E52A4A" w:rsidRDefault="009D0F28" w:rsidP="009D0F28">
      <w:pPr>
        <w:pStyle w:val="Heading2"/>
      </w:pPr>
      <w:r w:rsidRPr="00E52A4A">
        <w:t>1</w:t>
      </w:r>
      <w:r w:rsidRPr="00E52A4A">
        <w:tab/>
        <w:t>Prêt de la FIPOI</w:t>
      </w:r>
    </w:p>
    <w:p w14:paraId="02FB74F6" w14:textId="77777777" w:rsidR="009D0F28" w:rsidRPr="00E52A4A" w:rsidRDefault="009D0F28" w:rsidP="009D0F28">
      <w:r w:rsidRPr="00E52A4A">
        <w:t>Depuis 2010, le prêt de la FIPOI est comptabilisé dans la situation financière à sa valeur nominale correspondant au montant que l'UIT s'est engagée à rembourser à la FIPOI jusqu'à l'échéance. En 2022, l'UIT a décidé de revoir sa méthode comptable et de présenter le prêt à sa juste valeur afin de donner des informations plus utiles au lecteur des états financiers. En conséquence, le tableau ci-dessous récapitule les ajustements apportés afin de comptabiliser le montant du prêt à sa juste valeur à la fin de l'exercice.</w:t>
      </w:r>
    </w:p>
    <w:p w14:paraId="03C2BB84" w14:textId="77777777" w:rsidR="009D0F28" w:rsidRPr="00E52A4A" w:rsidRDefault="009D0F28" w:rsidP="009D0F28">
      <w:pPr>
        <w:pStyle w:val="Figure"/>
      </w:pPr>
      <w:r w:rsidRPr="00E52A4A">
        <w:rPr>
          <w:noProof/>
        </w:rPr>
        <w:drawing>
          <wp:inline distT="0" distB="0" distL="0" distR="0" wp14:anchorId="206123D3" wp14:editId="49A80A7A">
            <wp:extent cx="5760085" cy="1242695"/>
            <wp:effectExtent l="0" t="0" r="0" b="0"/>
            <wp:docPr id="6264027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0085" cy="1242695"/>
                    </a:xfrm>
                    <a:prstGeom prst="rect">
                      <a:avLst/>
                    </a:prstGeom>
                    <a:noFill/>
                    <a:ln>
                      <a:noFill/>
                    </a:ln>
                  </pic:spPr>
                </pic:pic>
              </a:graphicData>
            </a:graphic>
          </wp:inline>
        </w:drawing>
      </w:r>
    </w:p>
    <w:p w14:paraId="60A068A2" w14:textId="77777777" w:rsidR="009D0F28" w:rsidRPr="00E52A4A" w:rsidRDefault="009D0F28" w:rsidP="009D0F28">
      <w:pPr>
        <w:pStyle w:val="Heading2"/>
      </w:pPr>
      <w:r w:rsidRPr="00E52A4A">
        <w:t>2</w:t>
      </w:r>
      <w:r w:rsidRPr="00E52A4A">
        <w:tab/>
        <w:t>Accord de parrainage</w:t>
      </w:r>
    </w:p>
    <w:p w14:paraId="04DAE9BC" w14:textId="77777777" w:rsidR="009D0F28" w:rsidRPr="00E52A4A" w:rsidRDefault="009D0F28" w:rsidP="009D0F28">
      <w:r w:rsidRPr="00E52A4A">
        <w:t>Les contributions reçues au titre d'accords de parrainage étaient auparavant comptabilisées comme des produits dès la réception des fonds versés par le sponsor. L'UIT a décidé de changer de méthode comptable et de comptabiliser les produits reçus au titre d'accords de parrainage au moment de la signature de l'accord contraignant par le sponsor, ce qui permet de disposer d'une meilleure représentation financière des accords en cours et des projets correspondants associés. En raison de cette modification de la méthode comptable, l'UIT a comptabilisé une hausse de 5,310 millions CHF de ses produits d'exploitation, de 3,790 millions CHF de ses créances et de 3,790 millions CHF de ses produits différés en 2021.</w:t>
      </w:r>
    </w:p>
    <w:p w14:paraId="5D458226" w14:textId="77777777" w:rsidR="009D0F28" w:rsidRPr="00E52A4A" w:rsidRDefault="009D0F28" w:rsidP="009D0F28">
      <w:pPr>
        <w:pStyle w:val="Figure"/>
      </w:pPr>
      <w:r w:rsidRPr="00E52A4A">
        <w:rPr>
          <w:noProof/>
        </w:rPr>
        <w:drawing>
          <wp:inline distT="0" distB="0" distL="0" distR="0" wp14:anchorId="4EA6C655" wp14:editId="6F1386D0">
            <wp:extent cx="5760085" cy="1103630"/>
            <wp:effectExtent l="0" t="0" r="0" b="0"/>
            <wp:docPr id="6300299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085" cy="1103630"/>
                    </a:xfrm>
                    <a:prstGeom prst="rect">
                      <a:avLst/>
                    </a:prstGeom>
                    <a:noFill/>
                    <a:ln>
                      <a:noFill/>
                    </a:ln>
                  </pic:spPr>
                </pic:pic>
              </a:graphicData>
            </a:graphic>
          </wp:inline>
        </w:drawing>
      </w:r>
    </w:p>
    <w:p w14:paraId="4E9ED621" w14:textId="77777777" w:rsidR="009D0F28" w:rsidRPr="00E52A4A" w:rsidRDefault="009D0F28" w:rsidP="00D718E7">
      <w:pPr>
        <w:spacing w:before="360"/>
        <w:rPr>
          <w:b/>
          <w:bCs/>
          <w:sz w:val="28"/>
          <w:szCs w:val="28"/>
        </w:rPr>
      </w:pPr>
      <w:bookmarkStart w:id="1275" w:name="_Toc162331532"/>
      <w:r w:rsidRPr="00E52A4A">
        <w:rPr>
          <w:b/>
          <w:bCs/>
          <w:sz w:val="28"/>
          <w:szCs w:val="28"/>
        </w:rPr>
        <w:t>Correction des erreurs d'une période antérieure</w:t>
      </w:r>
      <w:bookmarkEnd w:id="1275"/>
    </w:p>
    <w:p w14:paraId="3E898029" w14:textId="77777777" w:rsidR="009D0F28" w:rsidRPr="00E52A4A" w:rsidRDefault="009D0F28" w:rsidP="009D0F28">
      <w:pPr>
        <w:pStyle w:val="Heading2"/>
      </w:pPr>
      <w:r w:rsidRPr="00E52A4A">
        <w:t>3</w:t>
      </w:r>
      <w:r w:rsidRPr="00E52A4A">
        <w:tab/>
        <w:t>Contributions mises en recouvrement</w:t>
      </w:r>
    </w:p>
    <w:p w14:paraId="3C068C5F" w14:textId="77777777" w:rsidR="009D0F28" w:rsidRPr="00E52A4A" w:rsidRDefault="009D0F28" w:rsidP="009D0F28">
      <w:r w:rsidRPr="00E52A4A">
        <w:t>Il a été constaté qu'en 2020 et 2021, l'UIT a comptabilisé certaines créances liées aux contributions mises en recouvrement et certains produits différés avant qu'ils deviennent exigibles. Une analyse détaillée a été effectuée, à la suite de laquelle les créances, les produits différés et les contributions payées d'avance ont été retraités afin de rendre compte de la situation de l'UIT à la fin de chaque exercice, conformément aux exigences des normes IPSAS.</w:t>
      </w:r>
    </w:p>
    <w:p w14:paraId="6243EC6E" w14:textId="77777777" w:rsidR="009D0F28" w:rsidRPr="00E52A4A" w:rsidRDefault="009D0F28" w:rsidP="009D0F28">
      <w:pPr>
        <w:ind w:left="-567"/>
      </w:pPr>
      <w:r w:rsidRPr="00E52A4A">
        <w:rPr>
          <w:noProof/>
        </w:rPr>
        <w:lastRenderedPageBreak/>
        <w:drawing>
          <wp:inline distT="0" distB="0" distL="0" distR="0" wp14:anchorId="5B27D4E5" wp14:editId="221F2E6F">
            <wp:extent cx="6553756" cy="715993"/>
            <wp:effectExtent l="0" t="0" r="0" b="8255"/>
            <wp:docPr id="4396561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636167" cy="724996"/>
                    </a:xfrm>
                    <a:prstGeom prst="rect">
                      <a:avLst/>
                    </a:prstGeom>
                    <a:noFill/>
                    <a:ln>
                      <a:noFill/>
                    </a:ln>
                  </pic:spPr>
                </pic:pic>
              </a:graphicData>
            </a:graphic>
          </wp:inline>
        </w:drawing>
      </w:r>
    </w:p>
    <w:p w14:paraId="62D22295" w14:textId="77777777" w:rsidR="009D0F28" w:rsidRPr="00E52A4A" w:rsidRDefault="009D0F28" w:rsidP="009D0F28">
      <w:pPr>
        <w:pStyle w:val="Heading2"/>
      </w:pPr>
      <w:r w:rsidRPr="00E52A4A">
        <w:t>4</w:t>
      </w:r>
      <w:r w:rsidRPr="00E52A4A">
        <w:tab/>
        <w:t>Droits d'admission au régime de l'UNSMIS</w:t>
      </w:r>
    </w:p>
    <w:p w14:paraId="32859A2D" w14:textId="77777777" w:rsidR="009D0F28" w:rsidRPr="00E52A4A" w:rsidRDefault="009D0F28" w:rsidP="009D0F28">
      <w:r w:rsidRPr="00E52A4A">
        <w:t>L'UIT a signé une convention avec l'ONUG concernant un plan d'assurance collective couvrant les fonctionnaires en cas de maladie et d'accident, laquelle a pris effet le 1er janvier 2020. Dans le cadre de cette convention, l'UIT doit effectuer un paiement à compter de 2020 et jusqu'à son échéance en 2032. Voir la "Convention UIT-ONUG relative à l'UNSMIS".</w:t>
      </w:r>
    </w:p>
    <w:p w14:paraId="4A788757" w14:textId="77777777" w:rsidR="009D0F28" w:rsidRPr="00E52A4A" w:rsidRDefault="009D0F28" w:rsidP="009D0F28">
      <w:r w:rsidRPr="00E52A4A">
        <w:t>Lorsque le contrat a été établi, l'UIT a versé un montant de 20 millions CHF qui a été comptabilisé à la fois comme un actif et comme un passif. En outre, l'UIT a comptabilisé par erreur, en 2020 et 2021, les versements dus pour 2021 et 2022, d'un montant de 1,493 million CHF et 1,539 million CHF respectivement.</w:t>
      </w:r>
    </w:p>
    <w:p w14:paraId="0CECEA07" w14:textId="77777777" w:rsidR="009D0F28" w:rsidRPr="00E52A4A" w:rsidRDefault="009D0F28" w:rsidP="009D0F28">
      <w:r w:rsidRPr="00E52A4A">
        <w:t>On trouvera ci-après les écritures relatives à la contre-passation du solde dû pour l'actif et le passif comptabilisé à l'origine et à la comptabilisation des versements pour 2020 et 2021 dans le bon exercice.</w:t>
      </w:r>
    </w:p>
    <w:p w14:paraId="77DAC4B7" w14:textId="77777777" w:rsidR="009D0F28" w:rsidRPr="00E52A4A" w:rsidRDefault="009D0F28" w:rsidP="009D0F28">
      <w:pPr>
        <w:pStyle w:val="Figure"/>
        <w:ind w:left="-567"/>
      </w:pPr>
      <w:r w:rsidRPr="00E52A4A">
        <w:rPr>
          <w:noProof/>
        </w:rPr>
        <w:drawing>
          <wp:inline distT="0" distB="0" distL="0" distR="0" wp14:anchorId="2145189D" wp14:editId="72CE1307">
            <wp:extent cx="6516738" cy="1138687"/>
            <wp:effectExtent l="0" t="0" r="0" b="4445"/>
            <wp:docPr id="17752800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559185" cy="1146104"/>
                    </a:xfrm>
                    <a:prstGeom prst="rect">
                      <a:avLst/>
                    </a:prstGeom>
                    <a:noFill/>
                    <a:ln>
                      <a:noFill/>
                    </a:ln>
                  </pic:spPr>
                </pic:pic>
              </a:graphicData>
            </a:graphic>
          </wp:inline>
        </w:drawing>
      </w:r>
    </w:p>
    <w:p w14:paraId="1EB986D6" w14:textId="77777777" w:rsidR="009D0F28" w:rsidRPr="00E52A4A" w:rsidRDefault="009D0F28" w:rsidP="009D0F28">
      <w:pPr>
        <w:pStyle w:val="Heading2"/>
      </w:pPr>
      <w:r w:rsidRPr="00E52A4A">
        <w:t>5</w:t>
      </w:r>
      <w:r w:rsidRPr="00E52A4A">
        <w:tab/>
        <w:t>Réévaluation de la CCAM</w:t>
      </w:r>
    </w:p>
    <w:p w14:paraId="4E767803" w14:textId="77777777" w:rsidR="009D0F28" w:rsidRPr="00E52A4A" w:rsidRDefault="009D0F28" w:rsidP="009D0F28">
      <w:r w:rsidRPr="00E52A4A">
        <w:t>En 2020 et 2021, l'UIT a réévalué ce fonds de réserve de manière incorrecte, étant donné qu'il n'y avait aucun actif ou opération sous-jacent pour ce fonds. En conséquence, les réévaluations pour 2020 et 2021 ainsi que les charges connexes ont été annulées.</w:t>
      </w:r>
    </w:p>
    <w:p w14:paraId="31E6F4BD" w14:textId="77777777" w:rsidR="009D0F28" w:rsidRPr="00E52A4A" w:rsidRDefault="009D0F28" w:rsidP="009D0F28">
      <w:pPr>
        <w:ind w:left="-567"/>
      </w:pPr>
      <w:r w:rsidRPr="00E52A4A">
        <w:rPr>
          <w:noProof/>
        </w:rPr>
        <w:drawing>
          <wp:inline distT="0" distB="0" distL="0" distR="0" wp14:anchorId="66BCE522" wp14:editId="77AF3146">
            <wp:extent cx="6553200" cy="688479"/>
            <wp:effectExtent l="0" t="0" r="0" b="0"/>
            <wp:docPr id="15179195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625126" cy="696036"/>
                    </a:xfrm>
                    <a:prstGeom prst="rect">
                      <a:avLst/>
                    </a:prstGeom>
                    <a:noFill/>
                    <a:ln>
                      <a:noFill/>
                    </a:ln>
                  </pic:spPr>
                </pic:pic>
              </a:graphicData>
            </a:graphic>
          </wp:inline>
        </w:drawing>
      </w:r>
    </w:p>
    <w:p w14:paraId="0447D4D9" w14:textId="77777777" w:rsidR="009D0F28" w:rsidRPr="00E52A4A" w:rsidRDefault="009D0F28" w:rsidP="009D0F28">
      <w:pPr>
        <w:pStyle w:val="Heading2"/>
      </w:pPr>
      <w:r w:rsidRPr="00E52A4A">
        <w:t>6</w:t>
      </w:r>
      <w:r w:rsidRPr="00E52A4A">
        <w:tab/>
        <w:t>PNUD – Réévaluations</w:t>
      </w:r>
    </w:p>
    <w:p w14:paraId="52BD48AC" w14:textId="77777777" w:rsidR="009D0F28" w:rsidRPr="00E52A4A" w:rsidRDefault="009D0F28" w:rsidP="009D0F28">
      <w:r w:rsidRPr="00E52A4A">
        <w:t>En 2020 et 2021, tous les postes en devises étrangères figurant dans le compte de rapprochement entre le PNUD et l'UIT ont été réévalués. Or, ces postes étaient réglés et ne devaient par conséquent pas faire l'objet de réévaluations.</w:t>
      </w:r>
    </w:p>
    <w:p w14:paraId="4299BF08" w14:textId="77777777" w:rsidR="009D0F28" w:rsidRPr="00E52A4A" w:rsidRDefault="009D0F28" w:rsidP="009D0F28">
      <w:pPr>
        <w:ind w:left="-284"/>
      </w:pPr>
      <w:r w:rsidRPr="00E52A4A">
        <w:rPr>
          <w:noProof/>
        </w:rPr>
        <w:drawing>
          <wp:inline distT="0" distB="0" distL="0" distR="0" wp14:anchorId="1702482A" wp14:editId="4D971EF1">
            <wp:extent cx="6288540" cy="836762"/>
            <wp:effectExtent l="0" t="0" r="0" b="0"/>
            <wp:docPr id="4232152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96270" cy="837791"/>
                    </a:xfrm>
                    <a:prstGeom prst="rect">
                      <a:avLst/>
                    </a:prstGeom>
                    <a:noFill/>
                    <a:ln>
                      <a:noFill/>
                    </a:ln>
                  </pic:spPr>
                </pic:pic>
              </a:graphicData>
            </a:graphic>
          </wp:inline>
        </w:drawing>
      </w:r>
    </w:p>
    <w:p w14:paraId="1F4279DD" w14:textId="77777777" w:rsidR="009D0F28" w:rsidRPr="00E52A4A" w:rsidRDefault="009D0F28" w:rsidP="009D0F28">
      <w:pPr>
        <w:pStyle w:val="Heading2"/>
      </w:pPr>
      <w:r w:rsidRPr="00E52A4A">
        <w:lastRenderedPageBreak/>
        <w:t>7</w:t>
      </w:r>
      <w:r w:rsidRPr="00E52A4A">
        <w:tab/>
        <w:t>Trésorerie et équivalents de trésorerie et placements</w:t>
      </w:r>
    </w:p>
    <w:p w14:paraId="5449D299" w14:textId="77777777" w:rsidR="009D0F28" w:rsidRPr="00E52A4A" w:rsidRDefault="009D0F28" w:rsidP="009D0F28">
      <w:r w:rsidRPr="00E52A4A">
        <w:t>Conformément au paragraphe 9 de la norme IPSAS 2, les placements ayant une échéance inférieure ou égale à trois mois sont qualifiés d'équivalents de trésorerie. Or, l'UIT a inscrit tous ses placements, quelle que soit leur échéance, dans la catégorie Placements en 2020 et 2021. En conséquence, l'UIT a procédé à une analyse détaillée et tous les placements ayant une échéance inférieure ou égale à trois mois ont été requalifiés d'équivalents de trésorerie à la fin de 2020 et 2021.</w:t>
      </w:r>
    </w:p>
    <w:p w14:paraId="2F212414" w14:textId="77777777" w:rsidR="009D0F28" w:rsidRPr="00E52A4A" w:rsidRDefault="009D0F28" w:rsidP="009D0F28">
      <w:pPr>
        <w:pStyle w:val="Figure"/>
      </w:pPr>
      <w:r w:rsidRPr="00E52A4A">
        <w:rPr>
          <w:noProof/>
        </w:rPr>
        <w:drawing>
          <wp:inline distT="0" distB="0" distL="0" distR="0" wp14:anchorId="398AD96B" wp14:editId="1EC3BDDB">
            <wp:extent cx="5760085" cy="859155"/>
            <wp:effectExtent l="0" t="0" r="0" b="0"/>
            <wp:docPr id="6147120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0085" cy="859155"/>
                    </a:xfrm>
                    <a:prstGeom prst="rect">
                      <a:avLst/>
                    </a:prstGeom>
                    <a:noFill/>
                    <a:ln>
                      <a:noFill/>
                    </a:ln>
                  </pic:spPr>
                </pic:pic>
              </a:graphicData>
            </a:graphic>
          </wp:inline>
        </w:drawing>
      </w:r>
    </w:p>
    <w:p w14:paraId="2571EDB5" w14:textId="77777777" w:rsidR="009D0F28" w:rsidRPr="00E52A4A" w:rsidRDefault="009D0F28" w:rsidP="009D0F28">
      <w:pPr>
        <w:pStyle w:val="Heading2"/>
      </w:pPr>
      <w:r w:rsidRPr="00E52A4A">
        <w:t>8</w:t>
      </w:r>
      <w:r w:rsidRPr="00E52A4A">
        <w:tab/>
        <w:t>Placements en devises étrangères</w:t>
      </w:r>
    </w:p>
    <w:p w14:paraId="1EB8F573" w14:textId="77777777" w:rsidR="009D0F28" w:rsidRPr="00E52A4A" w:rsidRDefault="009D0F28" w:rsidP="009D0F28">
      <w:r w:rsidRPr="00E52A4A">
        <w:t>Certains placements en devises étrangères n'ont fait l'objet d'aucun ajustement fin 2020 pour tenir compte de l'effet de la fluctuation des devises étrangères. Par conséquent une baisse de 339 000 CHF a été inscrite à la fin de 2020 pour rendre compte des pertes en devises étrangères au cours de la période pour ces placements. Aucun ajustement n'a été nécessaire en 2021.</w:t>
      </w:r>
    </w:p>
    <w:p w14:paraId="38ACF533" w14:textId="77777777" w:rsidR="009D0F28" w:rsidRPr="00E52A4A" w:rsidRDefault="009D0F28" w:rsidP="009D0F28">
      <w:pPr>
        <w:pStyle w:val="Figure"/>
      </w:pPr>
      <w:r w:rsidRPr="00E52A4A">
        <w:rPr>
          <w:noProof/>
        </w:rPr>
        <w:drawing>
          <wp:inline distT="0" distB="0" distL="0" distR="0" wp14:anchorId="5657482F" wp14:editId="6D7913CE">
            <wp:extent cx="4356100" cy="888365"/>
            <wp:effectExtent l="0" t="0" r="6350" b="0"/>
            <wp:docPr id="68253959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356100" cy="888365"/>
                    </a:xfrm>
                    <a:prstGeom prst="rect">
                      <a:avLst/>
                    </a:prstGeom>
                    <a:noFill/>
                    <a:ln>
                      <a:noFill/>
                    </a:ln>
                  </pic:spPr>
                </pic:pic>
              </a:graphicData>
            </a:graphic>
          </wp:inline>
        </w:drawing>
      </w:r>
    </w:p>
    <w:p w14:paraId="5E4776C0" w14:textId="77777777" w:rsidR="009D0F28" w:rsidRPr="00E52A4A" w:rsidRDefault="009D0F28" w:rsidP="009D0F28">
      <w:pPr>
        <w:pStyle w:val="Heading2"/>
      </w:pPr>
      <w:r w:rsidRPr="00E52A4A">
        <w:t>9</w:t>
      </w:r>
      <w:r w:rsidRPr="00E52A4A">
        <w:tab/>
        <w:t>Fiscalité aux États-Unis</w:t>
      </w:r>
    </w:p>
    <w:p w14:paraId="76A379B1" w14:textId="77777777" w:rsidR="009D0F28" w:rsidRPr="00E52A4A" w:rsidRDefault="009D0F28" w:rsidP="009D0F28">
      <w:r w:rsidRPr="00E52A4A">
        <w:t>Tous les citoyens des États-Unis ont l'obligation de payer à l'administration fiscale américaine un impôt sur leurs revenus perçus partout dans le monde. L'UIT verse aux citoyens américains concernés une avance pour leur permettre de s'acquitter de leur impôt et reçoit ensuite un remboursement versé par l'administration fiscale américaine. Or, comme c'est le cas pour toutes les organisations du système des Nations Unies, la base utilisée par l'administration fiscale américaine pour calculer le montant des remboursements est différente de la base utilisée pour calculer les avances versées par l'UIT, ce qui entraîne une différence au détriment de l'UIT. Cette différence est inscrite comme une créance due par l'administration fiscale américaine que l'UIT n'est pas en mesure de recouvrer. En conséquent, une dépréciation de la créance impayée a été inscrite à la fin de 2020 et 2021.</w:t>
      </w:r>
    </w:p>
    <w:p w14:paraId="78806240" w14:textId="77777777" w:rsidR="009D0F28" w:rsidRPr="00E52A4A" w:rsidRDefault="009D0F28" w:rsidP="009D0F28">
      <w:pPr>
        <w:pStyle w:val="Figure"/>
        <w:keepNext w:val="0"/>
        <w:keepLines w:val="0"/>
      </w:pPr>
      <w:r w:rsidRPr="00E52A4A">
        <w:rPr>
          <w:noProof/>
        </w:rPr>
        <w:drawing>
          <wp:inline distT="0" distB="0" distL="0" distR="0" wp14:anchorId="58F9B2C8" wp14:editId="7E4C80B0">
            <wp:extent cx="5760085" cy="696595"/>
            <wp:effectExtent l="0" t="0" r="0" b="8255"/>
            <wp:docPr id="177123116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0085" cy="696595"/>
                    </a:xfrm>
                    <a:prstGeom prst="rect">
                      <a:avLst/>
                    </a:prstGeom>
                    <a:noFill/>
                    <a:ln>
                      <a:noFill/>
                    </a:ln>
                  </pic:spPr>
                </pic:pic>
              </a:graphicData>
            </a:graphic>
          </wp:inline>
        </w:drawing>
      </w:r>
    </w:p>
    <w:p w14:paraId="70462144" w14:textId="77777777" w:rsidR="009D0F28" w:rsidRPr="00E52A4A" w:rsidRDefault="009D0F28" w:rsidP="009D0F28">
      <w:pPr>
        <w:pStyle w:val="Heading2"/>
      </w:pPr>
      <w:r w:rsidRPr="00E52A4A">
        <w:lastRenderedPageBreak/>
        <w:t>10</w:t>
      </w:r>
      <w:r w:rsidRPr="00E52A4A">
        <w:tab/>
        <w:t>Activités de Telecom</w:t>
      </w:r>
    </w:p>
    <w:p w14:paraId="4D771CD2" w14:textId="77777777" w:rsidR="009D0F28" w:rsidRPr="00E52A4A" w:rsidRDefault="009D0F28" w:rsidP="009D0F28">
      <w:pPr>
        <w:keepNext/>
        <w:keepLines/>
      </w:pPr>
      <w:r w:rsidRPr="00E52A4A">
        <w:t>En raison des restrictions liées au COVID-19, la manifestation que devait tenir l'UIT en 2021 a été annulée. L'UIT a cependant comptabilisé les charges du secrétariat encourues en 2021 comme avances, comprises dans d'autres créances, sans générer le compte de résultat pour la période. En conséquence, une correction a été apportée afin de comptabiliser les charges du secrétariat pour 2021 dans le bon exercice.</w:t>
      </w:r>
    </w:p>
    <w:p w14:paraId="6D998C83" w14:textId="77777777" w:rsidR="009D0F28" w:rsidRPr="00E52A4A" w:rsidRDefault="009D0F28" w:rsidP="009D0F28">
      <w:pPr>
        <w:pStyle w:val="Figure"/>
      </w:pPr>
      <w:r w:rsidRPr="00E52A4A">
        <w:rPr>
          <w:noProof/>
        </w:rPr>
        <w:drawing>
          <wp:inline distT="0" distB="0" distL="0" distR="0" wp14:anchorId="57F1DE91" wp14:editId="74F4399D">
            <wp:extent cx="5760085" cy="934085"/>
            <wp:effectExtent l="0" t="0" r="0" b="0"/>
            <wp:docPr id="207396989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0085" cy="934085"/>
                    </a:xfrm>
                    <a:prstGeom prst="rect">
                      <a:avLst/>
                    </a:prstGeom>
                    <a:noFill/>
                    <a:ln>
                      <a:noFill/>
                    </a:ln>
                  </pic:spPr>
                </pic:pic>
              </a:graphicData>
            </a:graphic>
          </wp:inline>
        </w:drawing>
      </w:r>
    </w:p>
    <w:p w14:paraId="36B070D5" w14:textId="77777777" w:rsidR="009D0F28" w:rsidRPr="00E52A4A" w:rsidRDefault="009D0F28" w:rsidP="009D0F28">
      <w:pPr>
        <w:pStyle w:val="Heading2"/>
      </w:pPr>
      <w:r w:rsidRPr="00E52A4A">
        <w:t>11</w:t>
      </w:r>
      <w:r w:rsidRPr="00E52A4A">
        <w:tab/>
        <w:t>Réévaluations</w:t>
      </w:r>
    </w:p>
    <w:p w14:paraId="29E55CF1" w14:textId="77777777" w:rsidR="009D0F28" w:rsidRPr="00E52A4A" w:rsidRDefault="009D0F28" w:rsidP="009D0F28">
      <w:r w:rsidRPr="00E52A4A">
        <w:t>En 2020, l'UIT a comptabilisé l'effet cumulé des réévaluations des devises étrangères des fonds extrabudgétaires en EUR et USD pour les exercices précédents. Par la suite, les réévaluations pour 2021 et 2022 sont comptabilisées chaque année.</w:t>
      </w:r>
    </w:p>
    <w:p w14:paraId="5F2B60EA" w14:textId="77777777" w:rsidR="009D0F28" w:rsidRPr="00E52A4A" w:rsidRDefault="009D0F28" w:rsidP="009D0F28">
      <w:pPr>
        <w:pStyle w:val="Figure"/>
      </w:pPr>
      <w:r w:rsidRPr="00E52A4A">
        <w:rPr>
          <w:noProof/>
        </w:rPr>
        <w:drawing>
          <wp:inline distT="0" distB="0" distL="0" distR="0" wp14:anchorId="58532D2D" wp14:editId="09F8FBFB">
            <wp:extent cx="5760085" cy="921385"/>
            <wp:effectExtent l="0" t="0" r="0" b="0"/>
            <wp:docPr id="4164832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0085" cy="921385"/>
                    </a:xfrm>
                    <a:prstGeom prst="rect">
                      <a:avLst/>
                    </a:prstGeom>
                    <a:noFill/>
                    <a:ln>
                      <a:noFill/>
                    </a:ln>
                  </pic:spPr>
                </pic:pic>
              </a:graphicData>
            </a:graphic>
          </wp:inline>
        </w:drawing>
      </w:r>
    </w:p>
    <w:p w14:paraId="1E31E945" w14:textId="77777777" w:rsidR="009D0F28" w:rsidRPr="00E52A4A" w:rsidRDefault="009D0F28" w:rsidP="009D0F28">
      <w:pPr>
        <w:pStyle w:val="Heading2"/>
      </w:pPr>
      <w:r w:rsidRPr="00E52A4A">
        <w:t>12</w:t>
      </w:r>
      <w:r w:rsidRPr="00E52A4A">
        <w:tab/>
        <w:t>Remboursement de soldes – Activités frauduleuses</w:t>
      </w:r>
    </w:p>
    <w:p w14:paraId="7BCEC3FF" w14:textId="77777777" w:rsidR="009D0F28" w:rsidRPr="00E52A4A" w:rsidRDefault="009D0F28" w:rsidP="009D0F28">
      <w:r w:rsidRPr="00E52A4A">
        <w:t>Une enquête a permis d'établir qu'un fonctionnaire d'un bureau régional de l'UIT a commis une fraude en facturant deux projets financés par la NTBC, ainsi que d'autres dépenses personnelles ou d'autres charges non liées.</w:t>
      </w:r>
    </w:p>
    <w:p w14:paraId="4641F5DD" w14:textId="77777777" w:rsidR="009D0F28" w:rsidRPr="00E52A4A" w:rsidRDefault="009D0F28" w:rsidP="009D0F28">
      <w:r w:rsidRPr="00E52A4A">
        <w:t>En 2021, l'UIT a remboursé le bailleur de fonds et comptabilisé un actif en vue d'obtenir le remboursement des sommes perçues indûment par l'auteur de la fraude.</w:t>
      </w:r>
    </w:p>
    <w:p w14:paraId="6B81EC3C" w14:textId="77777777" w:rsidR="009D0F28" w:rsidRPr="00E52A4A" w:rsidRDefault="009D0F28" w:rsidP="009D0F28">
      <w:pPr>
        <w:pStyle w:val="Figure"/>
      </w:pPr>
      <w:r w:rsidRPr="00E52A4A">
        <w:rPr>
          <w:noProof/>
        </w:rPr>
        <w:drawing>
          <wp:inline distT="0" distB="0" distL="0" distR="0" wp14:anchorId="2FE77D7D" wp14:editId="5EC5EBD1">
            <wp:extent cx="5330825" cy="1224915"/>
            <wp:effectExtent l="0" t="0" r="3175" b="0"/>
            <wp:docPr id="111358159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30825" cy="1224915"/>
                    </a:xfrm>
                    <a:prstGeom prst="rect">
                      <a:avLst/>
                    </a:prstGeom>
                    <a:noFill/>
                    <a:ln>
                      <a:noFill/>
                    </a:ln>
                  </pic:spPr>
                </pic:pic>
              </a:graphicData>
            </a:graphic>
          </wp:inline>
        </w:drawing>
      </w:r>
    </w:p>
    <w:p w14:paraId="7250A88A" w14:textId="77777777" w:rsidR="009D0F28" w:rsidRPr="00E52A4A" w:rsidRDefault="009D0F28" w:rsidP="009D0F28">
      <w:pPr>
        <w:pStyle w:val="Heading2"/>
      </w:pPr>
      <w:r w:rsidRPr="00E52A4A">
        <w:t>13</w:t>
      </w:r>
      <w:r w:rsidRPr="00E52A4A">
        <w:tab/>
        <w:t>Reclassification des soldes débiteurs</w:t>
      </w:r>
    </w:p>
    <w:p w14:paraId="1B5EA1F5" w14:textId="77777777" w:rsidR="009D0F28" w:rsidRPr="00E52A4A" w:rsidRDefault="009D0F28" w:rsidP="009D0F28">
      <w:r w:rsidRPr="00E52A4A">
        <w:t>En dépit des notes de crédit reçues et des paiements d'avance effectués, certains comptes créditeurs présentaient un solde débiteur net à la fin de l'exercice 2021. En conséquence, le solde débiteur net a été reclassé comme il se doit dans la rubrique autres créances.</w:t>
      </w:r>
    </w:p>
    <w:p w14:paraId="1877F62B" w14:textId="77777777" w:rsidR="009D0F28" w:rsidRPr="00E52A4A" w:rsidRDefault="009D0F28" w:rsidP="009D0F28">
      <w:r w:rsidRPr="00E52A4A">
        <w:t>Ce retraitement n'a aucune incidence sur la performance financière.</w:t>
      </w:r>
    </w:p>
    <w:p w14:paraId="4D2B9202" w14:textId="77777777" w:rsidR="009D0F28" w:rsidRPr="00E52A4A" w:rsidRDefault="009D0F28" w:rsidP="009D0F28">
      <w:pPr>
        <w:pStyle w:val="Figure"/>
      </w:pPr>
      <w:r w:rsidRPr="00E52A4A">
        <w:rPr>
          <w:noProof/>
        </w:rPr>
        <w:lastRenderedPageBreak/>
        <w:drawing>
          <wp:inline distT="0" distB="0" distL="0" distR="0" wp14:anchorId="69F48EBC" wp14:editId="6614AC05">
            <wp:extent cx="5330825" cy="931545"/>
            <wp:effectExtent l="0" t="0" r="3175" b="0"/>
            <wp:docPr id="9084169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30825" cy="931545"/>
                    </a:xfrm>
                    <a:prstGeom prst="rect">
                      <a:avLst/>
                    </a:prstGeom>
                    <a:noFill/>
                    <a:ln>
                      <a:noFill/>
                    </a:ln>
                  </pic:spPr>
                </pic:pic>
              </a:graphicData>
            </a:graphic>
          </wp:inline>
        </w:drawing>
      </w:r>
    </w:p>
    <w:p w14:paraId="1B8D2E05" w14:textId="77777777" w:rsidR="009D0F28" w:rsidRPr="00E52A4A" w:rsidRDefault="009D0F28" w:rsidP="009D0F28">
      <w:pPr>
        <w:pStyle w:val="Heading2"/>
      </w:pPr>
      <w:r w:rsidRPr="00E52A4A">
        <w:t>14</w:t>
      </w:r>
      <w:r w:rsidRPr="00E52A4A">
        <w:tab/>
        <w:t>Financement des manifestations</w:t>
      </w:r>
    </w:p>
    <w:p w14:paraId="122B40BF" w14:textId="77777777" w:rsidR="009D0F28" w:rsidRPr="00E52A4A" w:rsidRDefault="009D0F28" w:rsidP="009D0F28">
      <w:r w:rsidRPr="00E52A4A">
        <w:t>Un budget d'un montant de 1,581 million CHF était prévu pour couvrir certaines charges devant être supportées en 2021. Or, les manifestations correspondantes ont été reportées et ont eu lieu en 2022.</w:t>
      </w:r>
    </w:p>
    <w:p w14:paraId="205FAB71" w14:textId="77777777" w:rsidR="009D0F28" w:rsidRPr="00E52A4A" w:rsidRDefault="009D0F28" w:rsidP="009D0F28">
      <w:r w:rsidRPr="00E52A4A">
        <w:t>L'UIT a par erreur comptabilisé des charges liées à des services contractuels en 2021 pour les montants inscrits au budget de 0,227 millions CHF. En conséquence, ces transactions dont le montant s'élève à 1,354 millions CHF ont été annulées puis comptabilisées lorsqu'elles ont été supportées, en 2022.</w:t>
      </w:r>
    </w:p>
    <w:p w14:paraId="1140CF8B" w14:textId="77777777" w:rsidR="009D0F28" w:rsidRPr="00E52A4A" w:rsidRDefault="009D0F28" w:rsidP="009D0F28">
      <w:pPr>
        <w:ind w:left="-426"/>
      </w:pPr>
      <w:r w:rsidRPr="00E52A4A">
        <w:rPr>
          <w:noProof/>
        </w:rPr>
        <w:drawing>
          <wp:inline distT="0" distB="0" distL="0" distR="0" wp14:anchorId="421820F8" wp14:editId="32B5AC2D">
            <wp:extent cx="6211404" cy="793630"/>
            <wp:effectExtent l="0" t="0" r="0" b="6985"/>
            <wp:docPr id="87389677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46811" cy="798154"/>
                    </a:xfrm>
                    <a:prstGeom prst="rect">
                      <a:avLst/>
                    </a:prstGeom>
                    <a:noFill/>
                    <a:ln>
                      <a:noFill/>
                    </a:ln>
                  </pic:spPr>
                </pic:pic>
              </a:graphicData>
            </a:graphic>
          </wp:inline>
        </w:drawing>
      </w:r>
    </w:p>
    <w:p w14:paraId="7E66B187" w14:textId="77777777" w:rsidR="009D0F28" w:rsidRPr="00E52A4A" w:rsidRDefault="009D0F28" w:rsidP="009D0F28">
      <w:pPr>
        <w:pStyle w:val="Heading2"/>
      </w:pPr>
      <w:r w:rsidRPr="00E52A4A">
        <w:t>15</w:t>
      </w:r>
      <w:r w:rsidRPr="00E52A4A">
        <w:tab/>
        <w:t>Dons pour le Musée des TIC et la Salle Popov</w:t>
      </w:r>
    </w:p>
    <w:p w14:paraId="44B5846D" w14:textId="77777777" w:rsidR="009D0F28" w:rsidRPr="00E52A4A" w:rsidRDefault="009D0F28" w:rsidP="009D0F28">
      <w:r w:rsidRPr="00E52A4A">
        <w:t>L'UIT a par erreur comptabilisé des produits pour le parrainage du Musée des TIC et de la Salle Popov en 2020 et 2021. Les dons pour le Musée des TIC et la Salle Popov ont été supprimés.</w:t>
      </w:r>
    </w:p>
    <w:p w14:paraId="02A61129" w14:textId="77777777" w:rsidR="009D0F28" w:rsidRPr="00E52A4A" w:rsidRDefault="009D0F28" w:rsidP="009D0F28">
      <w:pPr>
        <w:pStyle w:val="Figure"/>
      </w:pPr>
      <w:r w:rsidRPr="00E52A4A">
        <w:rPr>
          <w:noProof/>
        </w:rPr>
        <w:drawing>
          <wp:inline distT="0" distB="0" distL="0" distR="0" wp14:anchorId="7E9B0B44" wp14:editId="1D0C3680">
            <wp:extent cx="5760085" cy="1504950"/>
            <wp:effectExtent l="0" t="0" r="0" b="0"/>
            <wp:docPr id="194192397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0085" cy="1504950"/>
                    </a:xfrm>
                    <a:prstGeom prst="rect">
                      <a:avLst/>
                    </a:prstGeom>
                    <a:noFill/>
                    <a:ln>
                      <a:noFill/>
                    </a:ln>
                  </pic:spPr>
                </pic:pic>
              </a:graphicData>
            </a:graphic>
          </wp:inline>
        </w:drawing>
      </w:r>
    </w:p>
    <w:p w14:paraId="37ECF0EA" w14:textId="77777777" w:rsidR="009D0F28" w:rsidRPr="00E52A4A" w:rsidRDefault="009D0F28" w:rsidP="009D0F28">
      <w:pPr>
        <w:pStyle w:val="Heading2"/>
      </w:pPr>
      <w:r w:rsidRPr="00E52A4A">
        <w:t>16</w:t>
      </w:r>
      <w:r w:rsidRPr="00E52A4A">
        <w:tab/>
        <w:t>Compensation des charges</w:t>
      </w:r>
    </w:p>
    <w:p w14:paraId="17E3227F" w14:textId="77777777" w:rsidR="009D0F28" w:rsidRPr="00E52A4A" w:rsidRDefault="009D0F28" w:rsidP="009D0F28">
      <w:r w:rsidRPr="00E52A4A">
        <w:t>L'écriture ci-dessous concerne la compensation d'une charge pour la comptabilité d'une opération habituelle de l'UIT. Ce montant n'aurait pas dû être compensé mais comptabilisé comme un produit et une charge.</w:t>
      </w:r>
    </w:p>
    <w:p w14:paraId="7FAF1250" w14:textId="77777777" w:rsidR="009D0F28" w:rsidRPr="00E52A4A" w:rsidRDefault="009D0F28" w:rsidP="009D0F28">
      <w:pPr>
        <w:pStyle w:val="Figure"/>
        <w:keepNext w:val="0"/>
        <w:keepLines w:val="0"/>
      </w:pPr>
      <w:r w:rsidRPr="00E52A4A">
        <w:rPr>
          <w:noProof/>
        </w:rPr>
        <w:drawing>
          <wp:inline distT="0" distB="0" distL="0" distR="0" wp14:anchorId="78939DA5" wp14:editId="5213B847">
            <wp:extent cx="3752215" cy="880110"/>
            <wp:effectExtent l="0" t="0" r="635" b="0"/>
            <wp:docPr id="204620745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52215" cy="880110"/>
                    </a:xfrm>
                    <a:prstGeom prst="rect">
                      <a:avLst/>
                    </a:prstGeom>
                    <a:noFill/>
                    <a:ln>
                      <a:noFill/>
                    </a:ln>
                  </pic:spPr>
                </pic:pic>
              </a:graphicData>
            </a:graphic>
          </wp:inline>
        </w:drawing>
      </w:r>
    </w:p>
    <w:p w14:paraId="7A5E7F65" w14:textId="30263D2B" w:rsidR="009D0F28" w:rsidRPr="00E52A4A" w:rsidRDefault="00EA753B" w:rsidP="009D0F28">
      <w:pPr>
        <w:pStyle w:val="Heading2"/>
      </w:pPr>
      <w:r w:rsidRPr="00E52A4A">
        <w:lastRenderedPageBreak/>
        <w:t>1</w:t>
      </w:r>
      <w:r w:rsidR="009D0F28" w:rsidRPr="00E52A4A">
        <w:t>7</w:t>
      </w:r>
      <w:r w:rsidR="009D0F28" w:rsidRPr="00E52A4A">
        <w:tab/>
        <w:t>Comptes clos de tiers</w:t>
      </w:r>
    </w:p>
    <w:p w14:paraId="164A3B1B" w14:textId="77777777" w:rsidR="009D0F28" w:rsidRPr="00E52A4A" w:rsidRDefault="009D0F28" w:rsidP="009D0F28">
      <w:r w:rsidRPr="00E52A4A">
        <w:t>En 2021, l'UIT a découvert des reliquats restants associés à des comptes clos de tiers pour un montant de 35 000 CHF qui auraient dû être clôturés une fois les projets associés achevés.</w:t>
      </w:r>
    </w:p>
    <w:p w14:paraId="38CA4690" w14:textId="77777777" w:rsidR="009D0F28" w:rsidRPr="00E52A4A" w:rsidRDefault="009D0F28" w:rsidP="009D0F28">
      <w:r w:rsidRPr="00E52A4A">
        <w:t>En conséquence, l'UIT a reporté ces reliquats dans les excédents cumulés.</w:t>
      </w:r>
    </w:p>
    <w:p w14:paraId="4301CE4A" w14:textId="77777777" w:rsidR="009D0F28" w:rsidRPr="00E52A4A" w:rsidRDefault="009D0F28" w:rsidP="009D0F28">
      <w:pPr>
        <w:pStyle w:val="Figure"/>
      </w:pPr>
      <w:r w:rsidRPr="00E52A4A">
        <w:rPr>
          <w:noProof/>
        </w:rPr>
        <w:drawing>
          <wp:inline distT="0" distB="0" distL="0" distR="0" wp14:anchorId="59916704" wp14:editId="3A29DB85">
            <wp:extent cx="3890645" cy="905510"/>
            <wp:effectExtent l="0" t="0" r="0" b="8890"/>
            <wp:docPr id="107303808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90645" cy="905510"/>
                    </a:xfrm>
                    <a:prstGeom prst="rect">
                      <a:avLst/>
                    </a:prstGeom>
                    <a:noFill/>
                    <a:ln>
                      <a:noFill/>
                    </a:ln>
                  </pic:spPr>
                </pic:pic>
              </a:graphicData>
            </a:graphic>
          </wp:inline>
        </w:drawing>
      </w:r>
    </w:p>
    <w:p w14:paraId="3753CDC4" w14:textId="77777777" w:rsidR="009D0F28" w:rsidRPr="00E52A4A" w:rsidRDefault="009D0F28" w:rsidP="009D0F28">
      <w:pPr>
        <w:pStyle w:val="Heading2"/>
      </w:pPr>
      <w:r w:rsidRPr="00E52A4A">
        <w:t>18</w:t>
      </w:r>
      <w:r w:rsidRPr="00E52A4A">
        <w:tab/>
        <w:t>Historique des pertes</w:t>
      </w:r>
    </w:p>
    <w:p w14:paraId="2509ACB9" w14:textId="77777777" w:rsidR="009D0F28" w:rsidRPr="00E52A4A" w:rsidRDefault="009D0F28" w:rsidP="009D0F28">
      <w:r w:rsidRPr="00E52A4A">
        <w:t>En 2021, l'UIT a comptabilisé le bénéfice net des gains et pertes de change concernant les projets en les imputant à des créances et non aux comptes relatifs aux projets connexes.</w:t>
      </w:r>
    </w:p>
    <w:p w14:paraId="7F340AD9" w14:textId="77777777" w:rsidR="009D0F28" w:rsidRPr="00E52A4A" w:rsidRDefault="009D0F28" w:rsidP="009D0F28">
      <w:r w:rsidRPr="00E52A4A">
        <w:t>En conséquence, ce bénéfice net positif a été reclassé aux comptes relatifs aux projets.</w:t>
      </w:r>
    </w:p>
    <w:p w14:paraId="0A911847" w14:textId="77777777" w:rsidR="009D0F28" w:rsidRPr="00E52A4A" w:rsidRDefault="009D0F28" w:rsidP="009D0F28">
      <w:pPr>
        <w:pStyle w:val="Figure"/>
      </w:pPr>
      <w:r w:rsidRPr="00E52A4A">
        <w:rPr>
          <w:noProof/>
        </w:rPr>
        <w:drawing>
          <wp:inline distT="0" distB="0" distL="0" distR="0" wp14:anchorId="72D759B3" wp14:editId="4A9926CE">
            <wp:extent cx="4166870" cy="845185"/>
            <wp:effectExtent l="0" t="0" r="5080" b="0"/>
            <wp:docPr id="11309147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66870" cy="845185"/>
                    </a:xfrm>
                    <a:prstGeom prst="rect">
                      <a:avLst/>
                    </a:prstGeom>
                    <a:noFill/>
                    <a:ln>
                      <a:noFill/>
                    </a:ln>
                  </pic:spPr>
                </pic:pic>
              </a:graphicData>
            </a:graphic>
          </wp:inline>
        </w:drawing>
      </w:r>
    </w:p>
    <w:p w14:paraId="7B5D0F91" w14:textId="77777777" w:rsidR="009D0F28" w:rsidRPr="00E52A4A" w:rsidRDefault="009D0F28" w:rsidP="009D0F28">
      <w:pPr>
        <w:pStyle w:val="Heading2"/>
      </w:pPr>
      <w:r w:rsidRPr="00E52A4A">
        <w:t>19</w:t>
      </w:r>
      <w:r w:rsidRPr="00E52A4A">
        <w:tab/>
        <w:t>Pensions</w:t>
      </w:r>
    </w:p>
    <w:p w14:paraId="3C2B1B39" w14:textId="77777777" w:rsidR="009D0F28" w:rsidRPr="00E52A4A" w:rsidRDefault="009D0F28" w:rsidP="009D0F28">
      <w:r w:rsidRPr="00E52A4A">
        <w:t>En 2020, il a été établi que le passif relatif aux pensions que l'UIT avait accumulé au fil des ans n'était en fait pas exigible, suite à la décision de la CCPNU et au décès prématuré du fonctionnaire retraité.</w:t>
      </w:r>
    </w:p>
    <w:p w14:paraId="5CC022C3" w14:textId="77777777" w:rsidR="009D0F28" w:rsidRPr="00E52A4A" w:rsidRDefault="009D0F28" w:rsidP="009D0F28">
      <w:r w:rsidRPr="00E52A4A">
        <w:t>En conséquence, en 2020, l'UIT a annulé la dette et transféré le bénéfice net vers le Fonds de réserve.</w:t>
      </w:r>
    </w:p>
    <w:p w14:paraId="52027080" w14:textId="77777777" w:rsidR="009D0F28" w:rsidRPr="00E52A4A" w:rsidRDefault="009D0F28" w:rsidP="009D0F28">
      <w:pPr>
        <w:pStyle w:val="Figure"/>
      </w:pPr>
      <w:r w:rsidRPr="00E52A4A">
        <w:rPr>
          <w:noProof/>
        </w:rPr>
        <w:drawing>
          <wp:inline distT="0" distB="0" distL="0" distR="0" wp14:anchorId="7072938F" wp14:editId="7693D646">
            <wp:extent cx="4649470" cy="880110"/>
            <wp:effectExtent l="0" t="0" r="0" b="0"/>
            <wp:docPr id="32174018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649470" cy="880110"/>
                    </a:xfrm>
                    <a:prstGeom prst="rect">
                      <a:avLst/>
                    </a:prstGeom>
                    <a:noFill/>
                    <a:ln>
                      <a:noFill/>
                    </a:ln>
                  </pic:spPr>
                </pic:pic>
              </a:graphicData>
            </a:graphic>
          </wp:inline>
        </w:drawing>
      </w:r>
    </w:p>
    <w:p w14:paraId="42A2BA4A" w14:textId="77777777" w:rsidR="009D0F28" w:rsidRPr="00E52A4A" w:rsidRDefault="009D0F28" w:rsidP="009D0F28">
      <w:pPr>
        <w:pStyle w:val="Heading2"/>
      </w:pPr>
      <w:r w:rsidRPr="00E52A4A">
        <w:t>20</w:t>
      </w:r>
      <w:r w:rsidRPr="00E52A4A">
        <w:tab/>
        <w:t>Gains/Pertes de change non réalisés</w:t>
      </w:r>
    </w:p>
    <w:p w14:paraId="77D16FE9" w14:textId="77777777" w:rsidR="009D0F28" w:rsidRPr="00E52A4A" w:rsidRDefault="009D0F28" w:rsidP="009D0F28">
      <w:r w:rsidRPr="00E52A4A">
        <w:t>Il a été établi que les gains et pertes de change non réalisés comptabilisés par l'UIT pour la période allant de 2010 à 2020 ont été calculés à l'aide de taux de change erronés.</w:t>
      </w:r>
    </w:p>
    <w:p w14:paraId="38BF4557" w14:textId="77777777" w:rsidR="009D0F28" w:rsidRPr="00E52A4A" w:rsidRDefault="009D0F28" w:rsidP="009D0F28">
      <w:r w:rsidRPr="00E52A4A">
        <w:t>En conséquence, les gains et pertes de change non réalisés ont été recalculés à l'aide du taux de change approprié pour chaque période.</w:t>
      </w:r>
    </w:p>
    <w:p w14:paraId="1CD3F2A6" w14:textId="77777777" w:rsidR="009D0F28" w:rsidRPr="00E52A4A" w:rsidRDefault="009D0F28" w:rsidP="009D0F28">
      <w:pPr>
        <w:pStyle w:val="Figure"/>
        <w:keepNext w:val="0"/>
        <w:keepLines w:val="0"/>
      </w:pPr>
      <w:r w:rsidRPr="00E52A4A">
        <w:rPr>
          <w:noProof/>
        </w:rPr>
        <w:drawing>
          <wp:inline distT="0" distB="0" distL="0" distR="0" wp14:anchorId="2090290D" wp14:editId="5583A7AC">
            <wp:extent cx="4114800" cy="1026795"/>
            <wp:effectExtent l="0" t="0" r="0" b="1905"/>
            <wp:docPr id="78486505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114800" cy="1026795"/>
                    </a:xfrm>
                    <a:prstGeom prst="rect">
                      <a:avLst/>
                    </a:prstGeom>
                    <a:noFill/>
                    <a:ln>
                      <a:noFill/>
                    </a:ln>
                  </pic:spPr>
                </pic:pic>
              </a:graphicData>
            </a:graphic>
          </wp:inline>
        </w:drawing>
      </w:r>
    </w:p>
    <w:p w14:paraId="0A108E31" w14:textId="77777777" w:rsidR="009D0F28" w:rsidRPr="00E52A4A" w:rsidRDefault="009D0F28" w:rsidP="009D0F28">
      <w:pPr>
        <w:pStyle w:val="Heading2"/>
      </w:pPr>
      <w:r w:rsidRPr="00E52A4A">
        <w:lastRenderedPageBreak/>
        <w:t>21</w:t>
      </w:r>
      <w:r w:rsidRPr="00E52A4A">
        <w:tab/>
        <w:t>Gains et pertes de change réalisés et non réalisés</w:t>
      </w:r>
    </w:p>
    <w:p w14:paraId="382BB702" w14:textId="77777777" w:rsidR="009D0F28" w:rsidRPr="00E52A4A" w:rsidRDefault="009D0F28" w:rsidP="009D0F28">
      <w:r w:rsidRPr="00E52A4A">
        <w:t>En 2021, l'UIT a inscrit des gains et pertes de change non réalisés pour des transactions réglées, qui auraient dû être comptabilisés comme des gains et pertes de change réalisés. En conséquence, ces gains et pertes de change réalisés ont été reclassés dans l'état de la performance financière pour 2021.</w:t>
      </w:r>
    </w:p>
    <w:p w14:paraId="00188CF7" w14:textId="77777777" w:rsidR="009D0F28" w:rsidRPr="00E52A4A" w:rsidRDefault="009D0F28" w:rsidP="009D0F28">
      <w:pPr>
        <w:pStyle w:val="Figure"/>
      </w:pPr>
      <w:r w:rsidRPr="00E52A4A">
        <w:rPr>
          <w:noProof/>
        </w:rPr>
        <w:drawing>
          <wp:inline distT="0" distB="0" distL="0" distR="0" wp14:anchorId="36C4440E" wp14:editId="2273AD5F">
            <wp:extent cx="5081270" cy="880110"/>
            <wp:effectExtent l="0" t="0" r="5080" b="0"/>
            <wp:docPr id="12577917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081270" cy="880110"/>
                    </a:xfrm>
                    <a:prstGeom prst="rect">
                      <a:avLst/>
                    </a:prstGeom>
                    <a:noFill/>
                    <a:ln>
                      <a:noFill/>
                    </a:ln>
                  </pic:spPr>
                </pic:pic>
              </a:graphicData>
            </a:graphic>
          </wp:inline>
        </w:drawing>
      </w:r>
    </w:p>
    <w:p w14:paraId="48E48CE9" w14:textId="77777777" w:rsidR="009D0F28" w:rsidRPr="00E52A4A" w:rsidRDefault="009D0F28" w:rsidP="009D0F28">
      <w:pPr>
        <w:pStyle w:val="Heading2"/>
      </w:pPr>
      <w:r w:rsidRPr="00E52A4A">
        <w:t>22</w:t>
      </w:r>
      <w:r w:rsidRPr="00E52A4A">
        <w:tab/>
        <w:t>Fonds extrabudgétaires</w:t>
      </w:r>
    </w:p>
    <w:p w14:paraId="02FEB4CB" w14:textId="77777777" w:rsidR="009D0F28" w:rsidRPr="00E52A4A" w:rsidRDefault="009D0F28" w:rsidP="009D0F28">
      <w:r w:rsidRPr="00E52A4A">
        <w:t>En 2020, l'UIT s'est aperçue que certains fonds étaient classés de façon incorrecte comme étant des fonds extrabudgétaires, alors qu'ils auraient dû être classés dans Autres réserves.</w:t>
      </w:r>
    </w:p>
    <w:p w14:paraId="006A9150" w14:textId="77777777" w:rsidR="009D0F28" w:rsidRPr="00E52A4A" w:rsidRDefault="009D0F28" w:rsidP="009D0F28">
      <w:r w:rsidRPr="00E52A4A">
        <w:t>En conséquence, l'UIT a reclassé ces fonds extrabudgétaires dans Autres réserves.</w:t>
      </w:r>
    </w:p>
    <w:p w14:paraId="13555B12" w14:textId="77777777" w:rsidR="009D0F28" w:rsidRPr="00E52A4A" w:rsidRDefault="009D0F28" w:rsidP="009D0F28">
      <w:pPr>
        <w:pStyle w:val="Figure"/>
      </w:pPr>
      <w:r w:rsidRPr="00E52A4A">
        <w:rPr>
          <w:noProof/>
        </w:rPr>
        <w:drawing>
          <wp:inline distT="0" distB="0" distL="0" distR="0" wp14:anchorId="4ACED8A6" wp14:editId="7C5A288D">
            <wp:extent cx="5081270" cy="862330"/>
            <wp:effectExtent l="0" t="0" r="5080" b="0"/>
            <wp:docPr id="179489404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081270" cy="862330"/>
                    </a:xfrm>
                    <a:prstGeom prst="rect">
                      <a:avLst/>
                    </a:prstGeom>
                    <a:noFill/>
                    <a:ln>
                      <a:noFill/>
                    </a:ln>
                  </pic:spPr>
                </pic:pic>
              </a:graphicData>
            </a:graphic>
          </wp:inline>
        </w:drawing>
      </w:r>
    </w:p>
    <w:p w14:paraId="4C938412" w14:textId="77777777" w:rsidR="009D0F28" w:rsidRPr="00E52A4A" w:rsidRDefault="009D0F28" w:rsidP="009D0F28">
      <w:pPr>
        <w:pStyle w:val="Heading2"/>
      </w:pPr>
      <w:r w:rsidRPr="00E52A4A">
        <w:t>23</w:t>
      </w:r>
      <w:r w:rsidRPr="00E52A4A">
        <w:tab/>
        <w:t>Transferts de fonds internes</w:t>
      </w:r>
    </w:p>
    <w:p w14:paraId="523E78A4" w14:textId="77777777" w:rsidR="009D0F28" w:rsidRPr="00E52A4A" w:rsidRDefault="009D0F28" w:rsidP="009D0F28">
      <w:r w:rsidRPr="00E52A4A">
        <w:t>En 2021, l'UIT s'est aperçue que certains produits étaient affectés de manière incorrecte à des activités extrabudgétaires. En conséquence, l'UIT a rectifié les inscriptions antérieures erronées dans le Grand livre.</w:t>
      </w:r>
    </w:p>
    <w:p w14:paraId="41A71048" w14:textId="77777777" w:rsidR="009D0F28" w:rsidRPr="00E52A4A" w:rsidRDefault="009D0F28" w:rsidP="009D0F28">
      <w:pPr>
        <w:pStyle w:val="Figure"/>
      </w:pPr>
      <w:r w:rsidRPr="00E52A4A">
        <w:rPr>
          <w:noProof/>
        </w:rPr>
        <w:drawing>
          <wp:inline distT="0" distB="0" distL="0" distR="0" wp14:anchorId="29D297AB" wp14:editId="0F114B13">
            <wp:extent cx="5081270" cy="880110"/>
            <wp:effectExtent l="0" t="0" r="5080" b="0"/>
            <wp:docPr id="88910345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081270" cy="880110"/>
                    </a:xfrm>
                    <a:prstGeom prst="rect">
                      <a:avLst/>
                    </a:prstGeom>
                    <a:noFill/>
                    <a:ln>
                      <a:noFill/>
                    </a:ln>
                  </pic:spPr>
                </pic:pic>
              </a:graphicData>
            </a:graphic>
          </wp:inline>
        </w:drawing>
      </w:r>
    </w:p>
    <w:p w14:paraId="412878CA" w14:textId="77777777" w:rsidR="009D0F28" w:rsidRPr="00E52A4A" w:rsidRDefault="009D0F28" w:rsidP="009D0F28">
      <w:pPr>
        <w:pStyle w:val="Heading2"/>
      </w:pPr>
      <w:r w:rsidRPr="00E52A4A">
        <w:t>24</w:t>
      </w:r>
      <w:r w:rsidRPr="00E52A4A">
        <w:tab/>
        <w:t>Programme de départ volontaire</w:t>
      </w:r>
    </w:p>
    <w:p w14:paraId="48AEC708" w14:textId="77777777" w:rsidR="009D0F28" w:rsidRPr="00E52A4A" w:rsidRDefault="009D0F28" w:rsidP="009D0F28">
      <w:r w:rsidRPr="00E52A4A">
        <w:t>En 2019 et 2020, l'UIT a mené un programme de départ volontaire et versé un paiement à un certain nombre de fonctionnaires. La somme des paiements était inférieure au montant initialement provisionné, mais l'UIT n'a comptabilisé cet excédent qu'en 2021. En conséquence, cet excédent a été comptabilisé dans la période appropriée.</w:t>
      </w:r>
    </w:p>
    <w:p w14:paraId="74165C17" w14:textId="77777777" w:rsidR="009D0F28" w:rsidRPr="00E52A4A" w:rsidRDefault="009D0F28" w:rsidP="009D0F28">
      <w:pPr>
        <w:pStyle w:val="Figure"/>
        <w:keepNext w:val="0"/>
        <w:keepLines w:val="0"/>
      </w:pPr>
      <w:r w:rsidRPr="00E52A4A">
        <w:rPr>
          <w:noProof/>
        </w:rPr>
        <w:drawing>
          <wp:inline distT="0" distB="0" distL="0" distR="0" wp14:anchorId="2579C41D" wp14:editId="4B654674">
            <wp:extent cx="5081270" cy="707390"/>
            <wp:effectExtent l="0" t="0" r="5080" b="0"/>
            <wp:docPr id="191311336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81270" cy="707390"/>
                    </a:xfrm>
                    <a:prstGeom prst="rect">
                      <a:avLst/>
                    </a:prstGeom>
                    <a:noFill/>
                    <a:ln>
                      <a:noFill/>
                    </a:ln>
                  </pic:spPr>
                </pic:pic>
              </a:graphicData>
            </a:graphic>
          </wp:inline>
        </w:drawing>
      </w:r>
    </w:p>
    <w:p w14:paraId="18D7C48F" w14:textId="77777777" w:rsidR="009D0F28" w:rsidRPr="00E52A4A" w:rsidRDefault="009D0F28" w:rsidP="009D0F28">
      <w:pPr>
        <w:pStyle w:val="Heading2"/>
      </w:pPr>
      <w:r w:rsidRPr="00E52A4A">
        <w:t>25</w:t>
      </w:r>
      <w:r w:rsidRPr="00E52A4A">
        <w:tab/>
        <w:t>Fonds de réserve pour le nouveau bâtiment</w:t>
      </w:r>
    </w:p>
    <w:p w14:paraId="289C7280" w14:textId="77777777" w:rsidR="009D0F28" w:rsidRPr="00E52A4A" w:rsidRDefault="009D0F28" w:rsidP="009D0F28">
      <w:r w:rsidRPr="00E52A4A">
        <w:t>L'UIT avait pour pratique de présenter un solde de réserve négatif sous le chapitre "Fonds pour le nouveau bâtiment" afin de séparer ce poste des autres réserves et du déficit cumulé.</w:t>
      </w:r>
    </w:p>
    <w:p w14:paraId="14E15618" w14:textId="77777777" w:rsidR="009D0F28" w:rsidRPr="00E52A4A" w:rsidRDefault="009D0F28" w:rsidP="009D0F28">
      <w:r w:rsidRPr="00E52A4A">
        <w:lastRenderedPageBreak/>
        <w:t>En 2022, l'UIT a décidé de ne plus utiliser cette présentation et de reclasser le solde dû dans le déficit cumulé.</w:t>
      </w:r>
    </w:p>
    <w:p w14:paraId="23B09609" w14:textId="77777777" w:rsidR="009D0F28" w:rsidRPr="00E52A4A" w:rsidRDefault="009D0F28" w:rsidP="009D0F28">
      <w:pPr>
        <w:pStyle w:val="Figure"/>
      </w:pPr>
      <w:r w:rsidRPr="00E52A4A">
        <w:rPr>
          <w:noProof/>
        </w:rPr>
        <w:drawing>
          <wp:inline distT="0" distB="0" distL="0" distR="0" wp14:anchorId="074CB9A5" wp14:editId="257A98D4">
            <wp:extent cx="5081270" cy="905510"/>
            <wp:effectExtent l="0" t="0" r="5080" b="8890"/>
            <wp:docPr id="210448418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081270" cy="905510"/>
                    </a:xfrm>
                    <a:prstGeom prst="rect">
                      <a:avLst/>
                    </a:prstGeom>
                    <a:noFill/>
                    <a:ln>
                      <a:noFill/>
                    </a:ln>
                  </pic:spPr>
                </pic:pic>
              </a:graphicData>
            </a:graphic>
          </wp:inline>
        </w:drawing>
      </w:r>
    </w:p>
    <w:p w14:paraId="48789D67" w14:textId="77777777" w:rsidR="009D0F28" w:rsidRPr="00E52A4A" w:rsidRDefault="009D0F28" w:rsidP="009D0F28">
      <w:pPr>
        <w:pStyle w:val="Heading2"/>
      </w:pPr>
      <w:r w:rsidRPr="00E52A4A">
        <w:t>26</w:t>
      </w:r>
      <w:r w:rsidRPr="00E52A4A">
        <w:tab/>
        <w:t>Correction de la réserve du Fonds ASHI et annulation des charges financières relatives à l'ASHI</w:t>
      </w:r>
    </w:p>
    <w:p w14:paraId="563B52DB" w14:textId="77777777" w:rsidR="009D0F28" w:rsidRPr="00E52A4A" w:rsidRDefault="009D0F28" w:rsidP="009D0F28">
      <w:r w:rsidRPr="00E52A4A">
        <w:t>L'UIT a par erreur répercuté l'annulation de la comptabilisation des produits financiers de 2021 liés au passif de l'ASHI directement dans l'excédent cumulé, au lieu de procéder à cette annulation par l'intermédiaire de l'état de la performance financière. En outre, l'UIT a par erreur inscrit la réserve du Fonds ASHI au regard de l'évaluation indépendante adressée par l'expert indépendant.</w:t>
      </w:r>
    </w:p>
    <w:p w14:paraId="3CE67E9D" w14:textId="77777777" w:rsidR="009D0F28" w:rsidRPr="00E52A4A" w:rsidRDefault="009D0F28" w:rsidP="009D0F28">
      <w:r w:rsidRPr="00E52A4A">
        <w:t>Les inscriptions dans le Grand livre ci-après correspondent aux corrections apportées afin de rendre correctement compte du solde de réserve du Fonds ASHI, des charges financières et du déficit cumulé.</w:t>
      </w:r>
    </w:p>
    <w:p w14:paraId="71942BD1" w14:textId="77777777" w:rsidR="009D0F28" w:rsidRPr="00E52A4A" w:rsidRDefault="009D0F28" w:rsidP="009D0F28">
      <w:pPr>
        <w:ind w:left="-426"/>
      </w:pPr>
      <w:r w:rsidRPr="00E52A4A">
        <w:rPr>
          <w:noProof/>
        </w:rPr>
        <w:drawing>
          <wp:inline distT="0" distB="0" distL="0" distR="0" wp14:anchorId="6B45C518" wp14:editId="6EA71FE1">
            <wp:extent cx="6302506" cy="767751"/>
            <wp:effectExtent l="0" t="0" r="0" b="1905"/>
            <wp:docPr id="151595357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302506" cy="767751"/>
                    </a:xfrm>
                    <a:prstGeom prst="rect">
                      <a:avLst/>
                    </a:prstGeom>
                    <a:noFill/>
                    <a:ln>
                      <a:noFill/>
                    </a:ln>
                  </pic:spPr>
                </pic:pic>
              </a:graphicData>
            </a:graphic>
          </wp:inline>
        </w:drawing>
      </w:r>
    </w:p>
    <w:p w14:paraId="5C61E883" w14:textId="77777777" w:rsidR="009D0F28" w:rsidRPr="00E52A4A" w:rsidRDefault="009D0F28" w:rsidP="009D0F28">
      <w:bookmarkStart w:id="1276" w:name="_Toc329202612"/>
      <w:bookmarkStart w:id="1277" w:name="_Toc329205044"/>
      <w:bookmarkStart w:id="1278" w:name="_Toc329206881"/>
      <w:bookmarkStart w:id="1279" w:name="_Toc358379324"/>
      <w:bookmarkStart w:id="1280" w:name="_Toc358379961"/>
      <w:bookmarkStart w:id="1281" w:name="_Toc358380504"/>
      <w:bookmarkStart w:id="1282" w:name="_Toc387167505"/>
      <w:bookmarkStart w:id="1283" w:name="_Toc395260957"/>
      <w:bookmarkStart w:id="1284" w:name="_Toc395261099"/>
      <w:bookmarkStart w:id="1285" w:name="_Toc395511744"/>
      <w:bookmarkStart w:id="1286" w:name="_Toc452138646"/>
      <w:bookmarkStart w:id="1287" w:name="_Toc452139095"/>
      <w:bookmarkStart w:id="1288" w:name="_Toc452139459"/>
      <w:bookmarkStart w:id="1289" w:name="_Toc452139865"/>
      <w:bookmarkStart w:id="1290" w:name="_Toc452140739"/>
      <w:bookmarkStart w:id="1291" w:name="_Toc482888041"/>
      <w:bookmarkStart w:id="1292" w:name="_Toc482888792"/>
      <w:bookmarkStart w:id="1293" w:name="_Toc511649507"/>
      <w:bookmarkStart w:id="1294" w:name="_Toc511649870"/>
      <w:bookmarkStart w:id="1295" w:name="_Toc511649993"/>
      <w:bookmarkStart w:id="1296" w:name="_Toc511650113"/>
      <w:bookmarkStart w:id="1297" w:name="_Toc511650607"/>
      <w:bookmarkStart w:id="1298" w:name="_Toc511651253"/>
      <w:bookmarkStart w:id="1299" w:name="_Toc511724116"/>
      <w:bookmarkStart w:id="1300" w:name="_Toc511739105"/>
      <w:bookmarkStart w:id="1301" w:name="_Toc511740829"/>
      <w:bookmarkStart w:id="1302" w:name="_Toc511741276"/>
      <w:bookmarkStart w:id="1303" w:name="_Toc10450789"/>
      <w:bookmarkStart w:id="1304" w:name="_Toc41566375"/>
      <w:bookmarkStart w:id="1305" w:name="_Toc41567386"/>
      <w:bookmarkStart w:id="1306" w:name="_Toc41567882"/>
      <w:bookmarkStart w:id="1307" w:name="_Toc41814979"/>
      <w:bookmarkStart w:id="1308" w:name="_Toc73354476"/>
      <w:r w:rsidRPr="00E52A4A">
        <w:br w:type="page"/>
      </w:r>
    </w:p>
    <w:p w14:paraId="3321BF89" w14:textId="77777777" w:rsidR="009D0F28" w:rsidRPr="00E52A4A" w:rsidRDefault="009D0F28" w:rsidP="009D0F28">
      <w:pPr>
        <w:pStyle w:val="AnnexNo"/>
      </w:pPr>
      <w:bookmarkStart w:id="1309" w:name="_Toc395260974"/>
      <w:bookmarkStart w:id="1310" w:name="_Toc395261109"/>
      <w:bookmarkStart w:id="1311" w:name="_Toc395511759"/>
      <w:bookmarkStart w:id="1312" w:name="_Toc452138672"/>
      <w:bookmarkStart w:id="1313" w:name="_Toc452139121"/>
      <w:bookmarkStart w:id="1314" w:name="_Toc482888050"/>
      <w:bookmarkStart w:id="1315" w:name="_Toc482888393"/>
      <w:bookmarkStart w:id="1316" w:name="_Toc511736686"/>
      <w:bookmarkStart w:id="1317" w:name="_Toc10450812"/>
      <w:bookmarkStart w:id="1318" w:name="_Toc41815001"/>
      <w:bookmarkStart w:id="1319" w:name="_Toc73354497"/>
      <w:bookmarkStart w:id="1320" w:name="_Toc73356480"/>
      <w:bookmarkStart w:id="1321" w:name="_Toc162331533"/>
      <w:bookmarkStart w:id="1322" w:name="_Toc162331742"/>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r w:rsidRPr="00E52A4A">
        <w:lastRenderedPageBreak/>
        <w:t>ANNE</w:t>
      </w:r>
      <w:bookmarkStart w:id="1323" w:name="annexea"/>
      <w:bookmarkEnd w:id="1323"/>
      <w:r w:rsidRPr="00E52A4A">
        <w:t>XE A</w:t>
      </w:r>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p>
    <w:p w14:paraId="30BDAB5C" w14:textId="77777777" w:rsidR="009D0F28" w:rsidRPr="00E52A4A" w:rsidRDefault="009D0F28" w:rsidP="009D0F28">
      <w:pPr>
        <w:pStyle w:val="ResNo"/>
        <w:rPr>
          <w:highlight w:val="cyan"/>
        </w:rPr>
      </w:pPr>
      <w:bookmarkStart w:id="1324" w:name="_Toc10450813"/>
      <w:bookmarkStart w:id="1325" w:name="_Toc162331743"/>
      <w:r w:rsidRPr="00E52A4A">
        <w:t>projet de résolution</w:t>
      </w:r>
      <w:bookmarkEnd w:id="1324"/>
      <w:bookmarkEnd w:id="1325"/>
    </w:p>
    <w:p w14:paraId="7763B1EC" w14:textId="77777777" w:rsidR="009D0F28" w:rsidRPr="00E52A4A" w:rsidRDefault="009D0F28" w:rsidP="009D0F28">
      <w:pPr>
        <w:pStyle w:val="Restitle"/>
        <w:rPr>
          <w:highlight w:val="yellow"/>
        </w:rPr>
      </w:pPr>
      <w:bookmarkStart w:id="1326" w:name="_Toc423505539"/>
      <w:bookmarkStart w:id="1327" w:name="_Toc423505809"/>
      <w:bookmarkStart w:id="1328" w:name="_Toc423506100"/>
      <w:bookmarkStart w:id="1329" w:name="_Toc423507893"/>
      <w:bookmarkStart w:id="1330" w:name="_Toc458425266"/>
      <w:bookmarkStart w:id="1331" w:name="_Toc489534496"/>
      <w:r w:rsidRPr="00E52A4A">
        <w:t xml:space="preserve">Rapport de gestion financière pour l'exercice </w:t>
      </w:r>
      <w:bookmarkEnd w:id="1326"/>
      <w:bookmarkEnd w:id="1327"/>
      <w:bookmarkEnd w:id="1328"/>
      <w:bookmarkEnd w:id="1329"/>
      <w:bookmarkEnd w:id="1330"/>
      <w:bookmarkEnd w:id="1331"/>
      <w:r w:rsidRPr="00E52A4A">
        <w:t>2022</w:t>
      </w:r>
    </w:p>
    <w:p w14:paraId="46ADB234" w14:textId="77777777" w:rsidR="009D0F28" w:rsidRPr="00E52A4A" w:rsidRDefault="009D0F28" w:rsidP="009D0F28">
      <w:pPr>
        <w:pStyle w:val="Normalaftertitle"/>
        <w:rPr>
          <w:szCs w:val="24"/>
        </w:rPr>
      </w:pPr>
      <w:r w:rsidRPr="00E52A4A">
        <w:rPr>
          <w:szCs w:val="24"/>
        </w:rPr>
        <w:t xml:space="preserve">Le </w:t>
      </w:r>
      <w:r w:rsidRPr="00E52A4A">
        <w:t>Conseil de l'UIT</w:t>
      </w:r>
      <w:r w:rsidRPr="00E52A4A">
        <w:rPr>
          <w:szCs w:val="24"/>
        </w:rPr>
        <w:t>,</w:t>
      </w:r>
    </w:p>
    <w:p w14:paraId="109A5E51" w14:textId="77777777" w:rsidR="009D0F28" w:rsidRPr="00E52A4A" w:rsidRDefault="009D0F28" w:rsidP="009D0F28">
      <w:pPr>
        <w:pStyle w:val="Call"/>
      </w:pPr>
      <w:r w:rsidRPr="00E52A4A">
        <w:t>vu</w:t>
      </w:r>
    </w:p>
    <w:p w14:paraId="0D2112B6" w14:textId="77777777" w:rsidR="009D0F28" w:rsidRPr="00E52A4A" w:rsidRDefault="009D0F28" w:rsidP="009D0F28">
      <w:r w:rsidRPr="00E52A4A">
        <w:t xml:space="preserve">le </w:t>
      </w:r>
      <w:hyperlink r:id="rId119" w:history="1">
        <w:r w:rsidRPr="00E52A4A">
          <w:rPr>
            <w:color w:val="0000FF"/>
            <w:u w:val="single"/>
          </w:rPr>
          <w:t>numéro 101</w:t>
        </w:r>
      </w:hyperlink>
      <w:r w:rsidRPr="00E52A4A">
        <w:t xml:space="preserve"> de la Convention de l'Union internationale des télécommunications et </w:t>
      </w:r>
      <w:hyperlink r:id="rId120" w:history="1">
        <w:r w:rsidRPr="00E52A4A">
          <w:t>l'</w:t>
        </w:r>
        <w:r w:rsidRPr="00E52A4A">
          <w:rPr>
            <w:color w:val="0000FF"/>
            <w:u w:val="single"/>
          </w:rPr>
          <w:t>Article 30</w:t>
        </w:r>
        <w:r w:rsidRPr="00E52A4A">
          <w:rPr>
            <w:color w:val="0000FF"/>
          </w:rPr>
          <w:t> </w:t>
        </w:r>
      </w:hyperlink>
      <w:r w:rsidRPr="00E52A4A">
        <w:t>du Règlement financier de l'Union,</w:t>
      </w:r>
    </w:p>
    <w:p w14:paraId="48D775F5" w14:textId="77777777" w:rsidR="009D0F28" w:rsidRPr="00E52A4A" w:rsidRDefault="009D0F28" w:rsidP="009D0F28">
      <w:pPr>
        <w:pStyle w:val="Call"/>
      </w:pPr>
      <w:r w:rsidRPr="00E52A4A">
        <w:t>ayant examiné</w:t>
      </w:r>
    </w:p>
    <w:p w14:paraId="0CD5076E" w14:textId="77777777" w:rsidR="009D0F28" w:rsidRPr="00E52A4A" w:rsidRDefault="009D0F28" w:rsidP="009D0F28">
      <w:r w:rsidRPr="00E52A4A">
        <w:t>le Rapport de gestion financière pour l'exercice financier 2022 portant sur les comptes vérifiés de l'exercice financier 2022 du budget de l'Union et les comptes vérifiés 2021 pour les projets de coopération technique, les contributions volontaires et la Caisse d'assurance du personnel de l'UIT,</w:t>
      </w:r>
    </w:p>
    <w:p w14:paraId="638ACF1D" w14:textId="77777777" w:rsidR="009D0F28" w:rsidRPr="00E52A4A" w:rsidRDefault="009D0F28" w:rsidP="009D0F28">
      <w:pPr>
        <w:pStyle w:val="Call"/>
      </w:pPr>
      <w:r w:rsidRPr="00E52A4A">
        <w:t>et ayant noté</w:t>
      </w:r>
    </w:p>
    <w:p w14:paraId="5F3888AA" w14:textId="0BA8E49A" w:rsidR="009D0F28" w:rsidRPr="00E52A4A" w:rsidRDefault="009D0F28" w:rsidP="009D0F28">
      <w:r w:rsidRPr="00E52A4A">
        <w:t xml:space="preserve">que les rapports du Vérificateur extérieur des comptes de l'Union sont présentés dans le Document </w:t>
      </w:r>
      <w:hyperlink r:id="rId121" w:history="1">
        <w:r w:rsidRPr="003065A0">
          <w:rPr>
            <w:rStyle w:val="Hyperlink"/>
          </w:rPr>
          <w:t>C24/</w:t>
        </w:r>
        <w:r w:rsidR="003065A0" w:rsidRPr="003065A0">
          <w:rPr>
            <w:rStyle w:val="Hyperlink"/>
          </w:rPr>
          <w:t>41</w:t>
        </w:r>
      </w:hyperlink>
      <w:r w:rsidRPr="00E52A4A">
        <w:t>,</w:t>
      </w:r>
    </w:p>
    <w:p w14:paraId="16DFC8A3" w14:textId="77777777" w:rsidR="009D0F28" w:rsidRPr="00E52A4A" w:rsidRDefault="009D0F28" w:rsidP="009D0F28">
      <w:pPr>
        <w:pStyle w:val="Call"/>
      </w:pPr>
      <w:r w:rsidRPr="00E52A4A">
        <w:t>décide</w:t>
      </w:r>
    </w:p>
    <w:p w14:paraId="2220D7C1" w14:textId="4378AB2F" w:rsidR="009D0F28" w:rsidRPr="00E52A4A" w:rsidRDefault="009D0F28" w:rsidP="009D0F28">
      <w:r w:rsidRPr="00E52A4A">
        <w:t>d'approuver le Rapport de gestion financière pour l'exercice financier 2022 (Document </w:t>
      </w:r>
      <w:hyperlink r:id="rId122" w:history="1">
        <w:r w:rsidRPr="003065A0">
          <w:rPr>
            <w:rStyle w:val="Hyperlink"/>
          </w:rPr>
          <w:t>C24/</w:t>
        </w:r>
        <w:r w:rsidR="003065A0" w:rsidRPr="003065A0">
          <w:rPr>
            <w:rStyle w:val="Hyperlink"/>
          </w:rPr>
          <w:t>40</w:t>
        </w:r>
      </w:hyperlink>
      <w:r w:rsidRPr="00E52A4A">
        <w:t>) portant sur les comptes vérifiés de l'Union et les comptes 2022 vérifiés pour les fonds extrabudgétaires et la Caisse d'assurance du personnel de l'UIT.</w:t>
      </w:r>
    </w:p>
    <w:p w14:paraId="6101C5FA" w14:textId="77777777" w:rsidR="009D0F28" w:rsidRPr="00E52A4A" w:rsidRDefault="009D0F28" w:rsidP="009D0F28">
      <w:pPr>
        <w:jc w:val="center"/>
      </w:pPr>
      <w:r w:rsidRPr="00E52A4A">
        <w:t>______________</w:t>
      </w:r>
    </w:p>
    <w:sectPr w:rsidR="009D0F28" w:rsidRPr="00E52A4A" w:rsidSect="00D72F49">
      <w:headerReference w:type="even" r:id="rId123"/>
      <w:headerReference w:type="default" r:id="rId124"/>
      <w:footerReference w:type="even" r:id="rId125"/>
      <w:footerReference w:type="default" r:id="rId126"/>
      <w:headerReference w:type="first" r:id="rId127"/>
      <w:footerReference w:type="first" r:id="rId128"/>
      <w:pgSz w:w="11907" w:h="16840" w:code="9"/>
      <w:pgMar w:top="1418" w:right="1418" w:bottom="1418" w:left="1418" w:header="720" w:footer="720" w:gutter="0"/>
      <w:paperSrc w:first="286" w:other="286"/>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A2309" w14:textId="77777777" w:rsidR="0041629C" w:rsidRDefault="0041629C">
      <w:r>
        <w:separator/>
      </w:r>
    </w:p>
  </w:endnote>
  <w:endnote w:type="continuationSeparator" w:id="0">
    <w:p w14:paraId="31FF97E5" w14:textId="77777777" w:rsidR="0041629C" w:rsidRDefault="00416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venir Nxt2 W1G Medium">
    <w:altName w:val="Calibri"/>
    <w:panose1 w:val="00000000000000000000"/>
    <w:charset w:val="00"/>
    <w:family w:val="swiss"/>
    <w:notTrueType/>
    <w:pitch w:val="variable"/>
    <w:sig w:usb0="A00002EF"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CF121" w14:textId="0EA28EEC" w:rsidR="009D0F28" w:rsidRPr="005658D0" w:rsidRDefault="009D0F28">
    <w:pPr>
      <w:pStyle w:val="Footer"/>
      <w:rPr>
        <w:lang w:val="fr-CH"/>
      </w:rPr>
    </w:pPr>
    <w:r>
      <w:fldChar w:fldCharType="begin"/>
    </w:r>
    <w:r w:rsidRPr="005658D0">
      <w:rPr>
        <w:lang w:val="fr-CH"/>
      </w:rPr>
      <w:instrText xml:space="preserve"> FILENAME \p \* MERGEFORMAT </w:instrText>
    </w:r>
    <w:r>
      <w:fldChar w:fldCharType="separate"/>
    </w:r>
    <w:r w:rsidR="00E52A4A">
      <w:rPr>
        <w:lang w:val="fr-CH"/>
      </w:rPr>
      <w:t>P:\FRA\SG\CONSEIL\C24\000\040F.docx</w:t>
    </w:r>
    <w:r>
      <w:fldChar w:fldCharType="end"/>
    </w:r>
    <w:r w:rsidRPr="005658D0">
      <w:rPr>
        <w:lang w:val="fr-CH"/>
      </w:rPr>
      <w:tab/>
    </w:r>
    <w:r>
      <w:fldChar w:fldCharType="begin"/>
    </w:r>
    <w:r>
      <w:instrText xml:space="preserve"> savedate \@ dd.MM.yy </w:instrText>
    </w:r>
    <w:r>
      <w:fldChar w:fldCharType="separate"/>
    </w:r>
    <w:r w:rsidR="00056321">
      <w:t>01.05.24</w:t>
    </w:r>
    <w:r>
      <w:fldChar w:fldCharType="end"/>
    </w:r>
    <w:r w:rsidRPr="005658D0">
      <w:rPr>
        <w:lang w:val="fr-CH"/>
      </w:rPr>
      <w:tab/>
    </w:r>
    <w:r>
      <w:fldChar w:fldCharType="begin"/>
    </w:r>
    <w:r>
      <w:instrText xml:space="preserve"> printdate \@ dd.MM.yy </w:instrText>
    </w:r>
    <w:r>
      <w:fldChar w:fldCharType="separate"/>
    </w:r>
    <w:r w:rsidR="00E52A4A">
      <w:t>18.07.00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9D0F28" w:rsidRPr="00784011" w14:paraId="504EBB6D" w14:textId="77777777" w:rsidTr="002F4EFC">
      <w:trPr>
        <w:jc w:val="center"/>
      </w:trPr>
      <w:tc>
        <w:tcPr>
          <w:tcW w:w="1803" w:type="dxa"/>
          <w:vAlign w:val="center"/>
        </w:tcPr>
        <w:p w14:paraId="5F2577ED" w14:textId="77777777" w:rsidR="009D0F28" w:rsidRDefault="009D0F28" w:rsidP="00B63473">
          <w:pPr>
            <w:pStyle w:val="Header"/>
            <w:jc w:val="left"/>
            <w:rPr>
              <w:noProof/>
            </w:rPr>
          </w:pPr>
          <w:r w:rsidRPr="00056321">
            <w:rPr>
              <w:noProof/>
              <w:color w:val="D9D9D9" w:themeColor="background1" w:themeShade="D9"/>
            </w:rPr>
            <w:t>DPS 534335</w:t>
          </w:r>
        </w:p>
      </w:tc>
      <w:tc>
        <w:tcPr>
          <w:tcW w:w="8261" w:type="dxa"/>
        </w:tcPr>
        <w:p w14:paraId="3B769C16" w14:textId="77777777" w:rsidR="009D0F28" w:rsidRPr="00E06FD5" w:rsidRDefault="009D0F28" w:rsidP="00B63473">
          <w:pPr>
            <w:pStyle w:val="Header"/>
            <w:tabs>
              <w:tab w:val="left" w:pos="7070"/>
              <w:tab w:val="right" w:pos="8505"/>
              <w:tab w:val="right" w:pos="9639"/>
            </w:tabs>
            <w:jc w:val="left"/>
            <w:rPr>
              <w:rFonts w:ascii="Arial" w:hAnsi="Arial" w:cs="Arial"/>
              <w:b/>
              <w:bCs/>
              <w:szCs w:val="18"/>
            </w:rPr>
          </w:pPr>
          <w:r>
            <w:rPr>
              <w:bCs/>
            </w:rPr>
            <w:tab/>
          </w:r>
          <w:r w:rsidRPr="00623AE3">
            <w:rPr>
              <w:bCs/>
            </w:rPr>
            <w:t>C</w:t>
          </w:r>
          <w:r>
            <w:rPr>
              <w:bCs/>
            </w:rPr>
            <w:t>24</w:t>
          </w:r>
          <w:r w:rsidRPr="00623AE3">
            <w:rPr>
              <w:bCs/>
            </w:rPr>
            <w:t>/</w:t>
          </w:r>
          <w:r>
            <w:rPr>
              <w:bCs/>
            </w:rPr>
            <w:t>40</w:t>
          </w:r>
          <w:r w:rsidRPr="00623AE3">
            <w:rPr>
              <w:bCs/>
            </w:rPr>
            <w:t>-</w:t>
          </w:r>
          <w:r>
            <w:rPr>
              <w:bCs/>
            </w:rPr>
            <w:t>F</w:t>
          </w:r>
          <w:r>
            <w:rPr>
              <w:bCs/>
            </w:rPr>
            <w:tab/>
          </w:r>
          <w:r>
            <w:fldChar w:fldCharType="begin"/>
          </w:r>
          <w:r>
            <w:instrText>PAGE</w:instrText>
          </w:r>
          <w:r>
            <w:fldChar w:fldCharType="separate"/>
          </w:r>
          <w:r>
            <w:t>1</w:t>
          </w:r>
          <w:r>
            <w:rPr>
              <w:noProof/>
            </w:rPr>
            <w:fldChar w:fldCharType="end"/>
          </w:r>
        </w:p>
      </w:tc>
    </w:tr>
  </w:tbl>
  <w:p w14:paraId="777930B7" w14:textId="52AA60B7" w:rsidR="009D0F28" w:rsidRPr="004301DA" w:rsidRDefault="009D0F28" w:rsidP="006F75A4">
    <w:pPr>
      <w:pStyle w:val="Footer"/>
      <w:rPr>
        <w:color w:val="F2F2F2" w:themeColor="background1" w:themeShade="F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9D0F28" w:rsidRPr="00784011" w14:paraId="195231D3" w14:textId="77777777" w:rsidTr="002F4EFC">
      <w:trPr>
        <w:jc w:val="center"/>
      </w:trPr>
      <w:tc>
        <w:tcPr>
          <w:tcW w:w="1803" w:type="dxa"/>
          <w:vAlign w:val="center"/>
        </w:tcPr>
        <w:p w14:paraId="10131049" w14:textId="1D301C07" w:rsidR="009D0F28" w:rsidRDefault="003065A0" w:rsidP="00B63473">
          <w:pPr>
            <w:pStyle w:val="Header"/>
            <w:jc w:val="left"/>
            <w:rPr>
              <w:noProof/>
            </w:rPr>
          </w:pPr>
          <w:hyperlink r:id="rId1" w:history="1">
            <w:r w:rsidR="009D0F28" w:rsidRPr="0082299A">
              <w:rPr>
                <w:rStyle w:val="Hyperlink"/>
                <w:color w:val="0563C1"/>
                <w:szCs w:val="14"/>
              </w:rPr>
              <w:t>www.itu.int/council</w:t>
            </w:r>
          </w:hyperlink>
        </w:p>
      </w:tc>
      <w:tc>
        <w:tcPr>
          <w:tcW w:w="8261" w:type="dxa"/>
        </w:tcPr>
        <w:p w14:paraId="46648514" w14:textId="77777777" w:rsidR="009D0F28" w:rsidRPr="00E06FD5" w:rsidRDefault="009D0F28" w:rsidP="00B63473">
          <w:pPr>
            <w:pStyle w:val="Header"/>
            <w:tabs>
              <w:tab w:val="left" w:pos="7070"/>
              <w:tab w:val="right" w:pos="8505"/>
              <w:tab w:val="right" w:pos="9639"/>
            </w:tabs>
            <w:jc w:val="left"/>
            <w:rPr>
              <w:rFonts w:ascii="Arial" w:hAnsi="Arial" w:cs="Arial"/>
              <w:b/>
              <w:bCs/>
              <w:szCs w:val="18"/>
            </w:rPr>
          </w:pPr>
          <w:r>
            <w:rPr>
              <w:bCs/>
            </w:rPr>
            <w:tab/>
          </w:r>
          <w:r w:rsidRPr="00623AE3">
            <w:rPr>
              <w:bCs/>
            </w:rPr>
            <w:t>C</w:t>
          </w:r>
          <w:r>
            <w:rPr>
              <w:bCs/>
            </w:rPr>
            <w:t>24</w:t>
          </w:r>
          <w:r w:rsidRPr="00623AE3">
            <w:rPr>
              <w:bCs/>
            </w:rPr>
            <w:t>/</w:t>
          </w:r>
          <w:r>
            <w:rPr>
              <w:bCs/>
            </w:rPr>
            <w:t>40</w:t>
          </w:r>
          <w:r w:rsidRPr="00623AE3">
            <w:rPr>
              <w:bCs/>
            </w:rPr>
            <w:t>-</w:t>
          </w:r>
          <w:r>
            <w:rPr>
              <w:bCs/>
            </w:rPr>
            <w:t>F</w:t>
          </w:r>
          <w:r>
            <w:rPr>
              <w:bCs/>
            </w:rPr>
            <w:tab/>
          </w:r>
          <w:r>
            <w:fldChar w:fldCharType="begin"/>
          </w:r>
          <w:r>
            <w:instrText>PAGE</w:instrText>
          </w:r>
          <w:r>
            <w:fldChar w:fldCharType="separate"/>
          </w:r>
          <w:r>
            <w:t>2</w:t>
          </w:r>
          <w:r>
            <w:rPr>
              <w:noProof/>
            </w:rPr>
            <w:fldChar w:fldCharType="end"/>
          </w:r>
        </w:p>
      </w:tc>
    </w:tr>
  </w:tbl>
  <w:p w14:paraId="014E322A" w14:textId="1622DDF9" w:rsidR="009D0F28" w:rsidRPr="004301DA" w:rsidRDefault="009D0F28" w:rsidP="00B63473">
    <w:pPr>
      <w:pStyle w:val="Footer"/>
      <w:rPr>
        <w:color w:val="F2F2F2" w:themeColor="background1" w:themeShade="F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60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2798"/>
    </w:tblGrid>
    <w:tr w:rsidR="009D0F28" w:rsidRPr="00784011" w14:paraId="1BCC77C6" w14:textId="77777777" w:rsidTr="00B63473">
      <w:tc>
        <w:tcPr>
          <w:tcW w:w="1803" w:type="dxa"/>
          <w:vAlign w:val="center"/>
        </w:tcPr>
        <w:p w14:paraId="6FA67312" w14:textId="77777777" w:rsidR="009D0F28" w:rsidRDefault="009D0F28" w:rsidP="00B63473">
          <w:pPr>
            <w:pStyle w:val="Header"/>
            <w:jc w:val="left"/>
            <w:rPr>
              <w:noProof/>
            </w:rPr>
          </w:pPr>
          <w:r w:rsidRPr="00056321">
            <w:rPr>
              <w:noProof/>
              <w:color w:val="D9D9D9" w:themeColor="background1" w:themeShade="D9"/>
            </w:rPr>
            <w:t>DPS 534335</w:t>
          </w:r>
        </w:p>
      </w:tc>
      <w:tc>
        <w:tcPr>
          <w:tcW w:w="12798" w:type="dxa"/>
        </w:tcPr>
        <w:p w14:paraId="5F996BE1" w14:textId="77777777" w:rsidR="009D0F28" w:rsidRPr="00E06FD5" w:rsidRDefault="009D0F28" w:rsidP="00B63473">
          <w:pPr>
            <w:pStyle w:val="Header"/>
            <w:tabs>
              <w:tab w:val="right" w:pos="12118"/>
            </w:tabs>
            <w:jc w:val="left"/>
            <w:rPr>
              <w:rFonts w:ascii="Arial" w:hAnsi="Arial" w:cs="Arial"/>
              <w:b/>
              <w:bCs/>
              <w:szCs w:val="18"/>
            </w:rPr>
          </w:pPr>
          <w:r>
            <w:rPr>
              <w:bCs/>
            </w:rPr>
            <w:tab/>
          </w:r>
          <w:r w:rsidRPr="00623AE3">
            <w:rPr>
              <w:bCs/>
            </w:rPr>
            <w:t>C</w:t>
          </w:r>
          <w:r>
            <w:rPr>
              <w:bCs/>
            </w:rPr>
            <w:t>24</w:t>
          </w:r>
          <w:r w:rsidRPr="00623AE3">
            <w:rPr>
              <w:bCs/>
            </w:rPr>
            <w:t>/</w:t>
          </w:r>
          <w:r>
            <w:rPr>
              <w:bCs/>
            </w:rPr>
            <w:t>40</w:t>
          </w:r>
          <w:r w:rsidRPr="00623AE3">
            <w:rPr>
              <w:bCs/>
            </w:rPr>
            <w:t>-</w:t>
          </w:r>
          <w:r>
            <w:rPr>
              <w:bCs/>
            </w:rPr>
            <w:t>F</w:t>
          </w:r>
          <w:r>
            <w:rPr>
              <w:bCs/>
            </w:rPr>
            <w:tab/>
          </w:r>
          <w:r>
            <w:fldChar w:fldCharType="begin"/>
          </w:r>
          <w:r>
            <w:instrText>PAGE</w:instrText>
          </w:r>
          <w:r>
            <w:fldChar w:fldCharType="separate"/>
          </w:r>
          <w:r>
            <w:t>2</w:t>
          </w:r>
          <w:r>
            <w:rPr>
              <w:noProof/>
            </w:rPr>
            <w:fldChar w:fldCharType="end"/>
          </w:r>
        </w:p>
      </w:tc>
    </w:tr>
  </w:tbl>
  <w:p w14:paraId="0E1BA307" w14:textId="1AEBFD82" w:rsidR="009D0F28" w:rsidRPr="004301DA" w:rsidRDefault="009D0F28" w:rsidP="00B63473">
    <w:pPr>
      <w:pStyle w:val="Footer"/>
      <w:ind w:left="142"/>
      <w:rPr>
        <w:color w:val="F2F2F2" w:themeColor="background1" w:themeShade="F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E5588" w14:textId="2423B745" w:rsidR="009D0F28" w:rsidRPr="00E55BC6" w:rsidRDefault="006649B3" w:rsidP="00761B6C">
    <w:pPr>
      <w:pStyle w:val="Footer"/>
    </w:pPr>
    <w:fldSimple w:instr=" FILENAME \p  \* MERGEFORMAT ">
      <w:r w:rsidR="00E52A4A">
        <w:t>P:\FRA\SG\CONSEIL\C24\000\040F.docx</w:t>
      </w:r>
    </w:fldSimple>
    <w:r w:rsidR="009D0F28">
      <w:t xml:space="preserve"> (429725)</w:t>
    </w:r>
    <w:r w:rsidR="009D0F28" w:rsidRPr="00E55BC6">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F0A98" w14:textId="2B5860C1" w:rsidR="00732045" w:rsidRDefault="006649B3">
    <w:pPr>
      <w:pStyle w:val="Footer"/>
    </w:pPr>
    <w:fldSimple w:instr=" FILENAME \p \* MERGEFORMAT ">
      <w:r w:rsidR="00E52A4A">
        <w:t>P:\FRA\SG\CONSEIL\C24\000\040F.docx</w:t>
      </w:r>
    </w:fldSimple>
    <w:r w:rsidR="00732045">
      <w:tab/>
    </w:r>
    <w:r w:rsidR="002F1B76">
      <w:fldChar w:fldCharType="begin"/>
    </w:r>
    <w:r w:rsidR="00732045">
      <w:instrText xml:space="preserve"> savedate \@ dd.MM.yy </w:instrText>
    </w:r>
    <w:r w:rsidR="002F1B76">
      <w:fldChar w:fldCharType="separate"/>
    </w:r>
    <w:r w:rsidR="00056321">
      <w:t>01.05.24</w:t>
    </w:r>
    <w:r w:rsidR="002F1B76">
      <w:fldChar w:fldCharType="end"/>
    </w:r>
    <w:r w:rsidR="00732045">
      <w:tab/>
    </w:r>
    <w:r w:rsidR="002F1B76">
      <w:fldChar w:fldCharType="begin"/>
    </w:r>
    <w:r w:rsidR="00732045">
      <w:instrText xml:space="preserve"> printdate \@ dd.MM.yy </w:instrText>
    </w:r>
    <w:r w:rsidR="002F1B76">
      <w:fldChar w:fldCharType="separate"/>
    </w:r>
    <w:r w:rsidR="00E52A4A">
      <w:t>18.07.00</w:t>
    </w:r>
    <w:r w:rsidR="002F1B76">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363"/>
    </w:tblGrid>
    <w:tr w:rsidR="00A51849" w:rsidRPr="00784011" w14:paraId="4C87AA90" w14:textId="77777777" w:rsidTr="00E52A4A">
      <w:trPr>
        <w:jc w:val="center"/>
      </w:trPr>
      <w:tc>
        <w:tcPr>
          <w:tcW w:w="1276" w:type="dxa"/>
          <w:vAlign w:val="center"/>
        </w:tcPr>
        <w:p w14:paraId="2C2E77A4" w14:textId="0D8C1CD1" w:rsidR="00A51849" w:rsidRDefault="00A51849" w:rsidP="00A51849">
          <w:pPr>
            <w:pStyle w:val="Header"/>
            <w:jc w:val="left"/>
            <w:rPr>
              <w:noProof/>
            </w:rPr>
          </w:pPr>
          <w:r w:rsidRPr="00056321">
            <w:rPr>
              <w:noProof/>
              <w:color w:val="D9D9D9" w:themeColor="background1" w:themeShade="D9"/>
            </w:rPr>
            <w:t xml:space="preserve">DPS </w:t>
          </w:r>
          <w:r w:rsidR="00110A69" w:rsidRPr="00056321">
            <w:rPr>
              <w:noProof/>
              <w:color w:val="D9D9D9" w:themeColor="background1" w:themeShade="D9"/>
            </w:rPr>
            <w:t>534335</w:t>
          </w:r>
        </w:p>
      </w:tc>
      <w:tc>
        <w:tcPr>
          <w:tcW w:w="8363" w:type="dxa"/>
        </w:tcPr>
        <w:p w14:paraId="0DB0A3C6" w14:textId="6DCED169" w:rsidR="00A51849" w:rsidRPr="00E06FD5" w:rsidRDefault="00A51849" w:rsidP="00A51849">
          <w:pPr>
            <w:pStyle w:val="Header"/>
            <w:tabs>
              <w:tab w:val="left" w:pos="7070"/>
              <w:tab w:val="right" w:pos="8505"/>
              <w:tab w:val="right" w:pos="9639"/>
            </w:tabs>
            <w:jc w:val="left"/>
            <w:rPr>
              <w:rFonts w:ascii="Arial" w:hAnsi="Arial" w:cs="Arial"/>
              <w:b/>
              <w:bCs/>
              <w:szCs w:val="18"/>
            </w:rPr>
          </w:pPr>
          <w:r>
            <w:rPr>
              <w:bCs/>
            </w:rPr>
            <w:tab/>
          </w:r>
          <w:r w:rsidRPr="00623AE3">
            <w:rPr>
              <w:bCs/>
            </w:rPr>
            <w:t>C</w:t>
          </w:r>
          <w:r>
            <w:rPr>
              <w:bCs/>
            </w:rPr>
            <w:t>2</w:t>
          </w:r>
          <w:r w:rsidR="0073275D">
            <w:rPr>
              <w:bCs/>
            </w:rPr>
            <w:t>4</w:t>
          </w:r>
          <w:r w:rsidRPr="00623AE3">
            <w:rPr>
              <w:bCs/>
            </w:rPr>
            <w:t>/</w:t>
          </w:r>
          <w:r w:rsidR="00110A69">
            <w:rPr>
              <w:bCs/>
            </w:rPr>
            <w:t>40</w:t>
          </w:r>
          <w:r w:rsidRPr="00623AE3">
            <w:rPr>
              <w:bCs/>
            </w:rPr>
            <w:t>-</w:t>
          </w:r>
          <w:r w:rsidR="00973F53">
            <w:rPr>
              <w:bCs/>
            </w:rPr>
            <w:t>F</w:t>
          </w:r>
          <w:r>
            <w:rPr>
              <w:bCs/>
            </w:rPr>
            <w:tab/>
          </w:r>
          <w:r>
            <w:fldChar w:fldCharType="begin"/>
          </w:r>
          <w:r>
            <w:instrText>PAGE</w:instrText>
          </w:r>
          <w:r>
            <w:fldChar w:fldCharType="separate"/>
          </w:r>
          <w:r>
            <w:t>1</w:t>
          </w:r>
          <w:r>
            <w:rPr>
              <w:noProof/>
            </w:rPr>
            <w:fldChar w:fldCharType="end"/>
          </w:r>
        </w:p>
      </w:tc>
    </w:tr>
  </w:tbl>
  <w:p w14:paraId="0BA722AB" w14:textId="60E0F678" w:rsidR="00732045" w:rsidRPr="00A51849" w:rsidRDefault="00732045" w:rsidP="006A11A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261"/>
    </w:tblGrid>
    <w:tr w:rsidR="00A51849" w:rsidRPr="00784011" w14:paraId="5C9C0095" w14:textId="77777777" w:rsidTr="00E52A4A">
      <w:trPr>
        <w:jc w:val="center"/>
      </w:trPr>
      <w:tc>
        <w:tcPr>
          <w:tcW w:w="1418" w:type="dxa"/>
          <w:vAlign w:val="center"/>
        </w:tcPr>
        <w:p w14:paraId="5151DAA0" w14:textId="22FC9E82" w:rsidR="00A51849" w:rsidRPr="0082299A" w:rsidRDefault="009D0F28" w:rsidP="00A51849">
          <w:pPr>
            <w:pStyle w:val="Header"/>
            <w:jc w:val="left"/>
            <w:rPr>
              <w:noProof/>
              <w:color w:val="0563C1"/>
            </w:rPr>
          </w:pPr>
          <w:r w:rsidRPr="00056321">
            <w:rPr>
              <w:noProof/>
              <w:color w:val="D9D9D9" w:themeColor="background1" w:themeShade="D9"/>
            </w:rPr>
            <w:t>DPS 534335</w:t>
          </w:r>
        </w:p>
      </w:tc>
      <w:tc>
        <w:tcPr>
          <w:tcW w:w="8261" w:type="dxa"/>
        </w:tcPr>
        <w:p w14:paraId="4C3D0956" w14:textId="6B35F49B" w:rsidR="00A51849" w:rsidRPr="00E06FD5" w:rsidRDefault="00A51849" w:rsidP="00A51849">
          <w:pPr>
            <w:pStyle w:val="Header"/>
            <w:tabs>
              <w:tab w:val="left" w:pos="7070"/>
              <w:tab w:val="right" w:pos="8505"/>
              <w:tab w:val="right" w:pos="9639"/>
            </w:tabs>
            <w:jc w:val="left"/>
            <w:rPr>
              <w:rFonts w:ascii="Arial" w:hAnsi="Arial" w:cs="Arial"/>
              <w:b/>
              <w:bCs/>
              <w:szCs w:val="18"/>
            </w:rPr>
          </w:pPr>
          <w:r>
            <w:rPr>
              <w:bCs/>
            </w:rPr>
            <w:tab/>
          </w:r>
          <w:r w:rsidRPr="00623AE3">
            <w:rPr>
              <w:bCs/>
            </w:rPr>
            <w:t>C</w:t>
          </w:r>
          <w:r>
            <w:rPr>
              <w:bCs/>
            </w:rPr>
            <w:t>2</w:t>
          </w:r>
          <w:r w:rsidR="0073275D">
            <w:rPr>
              <w:bCs/>
            </w:rPr>
            <w:t>4</w:t>
          </w:r>
          <w:r w:rsidRPr="00623AE3">
            <w:rPr>
              <w:bCs/>
            </w:rPr>
            <w:t>/</w:t>
          </w:r>
          <w:r w:rsidR="00110A69">
            <w:rPr>
              <w:bCs/>
            </w:rPr>
            <w:t>40</w:t>
          </w:r>
          <w:r w:rsidRPr="00623AE3">
            <w:rPr>
              <w:bCs/>
            </w:rPr>
            <w:t>-</w:t>
          </w:r>
          <w:r w:rsidR="00D72F49">
            <w:rPr>
              <w:bCs/>
            </w:rPr>
            <w:t>F</w:t>
          </w:r>
          <w:r>
            <w:rPr>
              <w:bCs/>
            </w:rPr>
            <w:tab/>
          </w:r>
          <w:r>
            <w:fldChar w:fldCharType="begin"/>
          </w:r>
          <w:r>
            <w:instrText>PAGE</w:instrText>
          </w:r>
          <w:r>
            <w:fldChar w:fldCharType="separate"/>
          </w:r>
          <w:r>
            <w:t>1</w:t>
          </w:r>
          <w:r>
            <w:rPr>
              <w:noProof/>
            </w:rPr>
            <w:fldChar w:fldCharType="end"/>
          </w:r>
        </w:p>
      </w:tc>
    </w:tr>
  </w:tbl>
  <w:p w14:paraId="67CF33E3" w14:textId="6A693346" w:rsidR="00732045" w:rsidRPr="00A51849" w:rsidRDefault="00732045" w:rsidP="006A11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88B6D" w14:textId="77777777" w:rsidR="0041629C" w:rsidRDefault="0041629C">
      <w:r>
        <w:t>____________________</w:t>
      </w:r>
    </w:p>
  </w:footnote>
  <w:footnote w:type="continuationSeparator" w:id="0">
    <w:p w14:paraId="2D73923A" w14:textId="77777777" w:rsidR="0041629C" w:rsidRDefault="004162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EE5D0" w14:textId="77777777" w:rsidR="009D0F28" w:rsidRDefault="009D0F28">
    <w:pPr>
      <w:pStyle w:val="Header"/>
    </w:pPr>
    <w:r>
      <w:t xml:space="preserve">– </w:t>
    </w:r>
    <w:r>
      <w:fldChar w:fldCharType="begin"/>
    </w:r>
    <w:r>
      <w:instrText>PAGE</w:instrText>
    </w:r>
    <w:r>
      <w:fldChar w:fldCharType="separate"/>
    </w:r>
    <w:r>
      <w:rPr>
        <w:noProof/>
      </w:rPr>
      <w:t>111</w:t>
    </w:r>
    <w:r>
      <w:rPr>
        <w:noProof/>
      </w:rPr>
      <w:fldChar w:fldCharType="end"/>
    </w:r>
    <w:r>
      <w:t xml:space="preserve"> –</w:t>
    </w:r>
  </w:p>
  <w:p w14:paraId="4B4325C4" w14:textId="77777777" w:rsidR="009D0F28" w:rsidRDefault="009D0F28">
    <w:pPr>
      <w:pStyle w:val="Header"/>
    </w:pPr>
    <w:r>
      <w:t>C2001/#–F</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D7B06" w14:textId="77777777" w:rsidR="009D0F28" w:rsidRDefault="009D0F28" w:rsidP="00761B6C">
    <w:pPr>
      <w:pStyle w:val="Header"/>
      <w:rPr>
        <w:noProof/>
      </w:rPr>
    </w:pPr>
    <w:r>
      <w:fldChar w:fldCharType="begin"/>
    </w:r>
    <w:r>
      <w:instrText>PAGE</w:instrText>
    </w:r>
    <w:r>
      <w:fldChar w:fldCharType="separate"/>
    </w:r>
    <w:r>
      <w:rPr>
        <w:noProof/>
      </w:rPr>
      <w:t>4</w:t>
    </w:r>
    <w:r>
      <w:rPr>
        <w:noProof/>
      </w:rPr>
      <w:fldChar w:fldCharType="end"/>
    </w:r>
  </w:p>
  <w:p w14:paraId="1FB5369A" w14:textId="77777777" w:rsidR="009D0F28" w:rsidRDefault="009D0F28" w:rsidP="00761B6C">
    <w:pPr>
      <w:pStyle w:val="Header"/>
    </w:pPr>
    <w:r w:rsidRPr="00A046E3">
      <w:rPr>
        <w:sz w:val="22"/>
        <w:szCs w:val="24"/>
      </w:rPr>
      <w:t>RAPPORT ANNUEL DE GESTION FINANCIÈRE ET ÉTATS FINANCIERS DE L'UIT POUR L'EXERCICE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630"/>
    </w:tblGrid>
    <w:tr w:rsidR="009D0F28" w:rsidRPr="00784011" w14:paraId="284C4377" w14:textId="77777777" w:rsidTr="002F4EFC">
      <w:trPr>
        <w:trHeight w:val="1104"/>
        <w:jc w:val="center"/>
      </w:trPr>
      <w:tc>
        <w:tcPr>
          <w:tcW w:w="4390" w:type="dxa"/>
          <w:vAlign w:val="center"/>
        </w:tcPr>
        <w:p w14:paraId="08CBAB79" w14:textId="77777777" w:rsidR="009D0F28" w:rsidRPr="009621F8" w:rsidRDefault="009D0F28" w:rsidP="009D0F28">
          <w:pPr>
            <w:pStyle w:val="Header"/>
            <w:jc w:val="left"/>
            <w:rPr>
              <w:rFonts w:ascii="Arial" w:hAnsi="Arial" w:cs="Arial"/>
              <w:b/>
              <w:bCs/>
              <w:color w:val="009CD6"/>
              <w:sz w:val="36"/>
              <w:szCs w:val="36"/>
            </w:rPr>
          </w:pPr>
          <w:r>
            <w:rPr>
              <w:noProof/>
            </w:rPr>
            <w:drawing>
              <wp:inline distT="0" distB="0" distL="0" distR="0" wp14:anchorId="6FFA040E" wp14:editId="657A8618">
                <wp:extent cx="2102400" cy="558000"/>
                <wp:effectExtent l="0" t="0" r="0" b="0"/>
                <wp:docPr id="230141137" name="Picture 2" descr="A black background with blue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141137" name="Picture 2" descr="A black background with blue letters and number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2400" cy="558000"/>
                        </a:xfrm>
                        <a:prstGeom prst="rect">
                          <a:avLst/>
                        </a:prstGeom>
                        <a:noFill/>
                        <a:ln>
                          <a:noFill/>
                        </a:ln>
                      </pic:spPr>
                    </pic:pic>
                  </a:graphicData>
                </a:graphic>
              </wp:inline>
            </w:drawing>
          </w:r>
        </w:p>
      </w:tc>
      <w:tc>
        <w:tcPr>
          <w:tcW w:w="5630" w:type="dxa"/>
        </w:tcPr>
        <w:p w14:paraId="25BEEB0E" w14:textId="58A653EF" w:rsidR="009D0F28" w:rsidRPr="00784011" w:rsidRDefault="009D0F28" w:rsidP="009D0F28">
          <w:pPr>
            <w:pStyle w:val="Header"/>
            <w:jc w:val="right"/>
            <w:rPr>
              <w:rFonts w:ascii="Arial" w:hAnsi="Arial" w:cs="Arial"/>
              <w:color w:val="009CD6"/>
              <w:szCs w:val="18"/>
            </w:rPr>
          </w:pPr>
        </w:p>
      </w:tc>
    </w:tr>
  </w:tbl>
  <w:p w14:paraId="10C4FBBC" w14:textId="77777777" w:rsidR="009D0F28" w:rsidRDefault="009D0F28" w:rsidP="009D0F28">
    <w:pPr>
      <w:pStyle w:val="Header"/>
    </w:pPr>
    <w:r w:rsidRPr="00802C2C">
      <w:rPr>
        <w:rFonts w:ascii="Avenir Nxt2 W1G Medium" w:eastAsia="Avenir Nxt2 W1G Medium" w:hAnsi="Avenir Nxt2 W1G Medium" w:cs="Avenir Nxt2 W1G Medium"/>
        <w:noProof/>
      </w:rPr>
      <mc:AlternateContent>
        <mc:Choice Requires="wps">
          <w:drawing>
            <wp:anchor distT="0" distB="0" distL="114300" distR="114300" simplePos="0" relativeHeight="251659264" behindDoc="0" locked="0" layoutInCell="1" allowOverlap="1" wp14:anchorId="28772E0C" wp14:editId="7F2E4857">
              <wp:simplePos x="0" y="0"/>
              <wp:positionH relativeFrom="page">
                <wp:posOffset>12065</wp:posOffset>
              </wp:positionH>
              <wp:positionV relativeFrom="topMargin">
                <wp:posOffset>652450</wp:posOffset>
              </wp:positionV>
              <wp:extent cx="92075" cy="360680"/>
              <wp:effectExtent l="0" t="0" r="3175" b="127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360680"/>
                      </a:xfrm>
                      <a:prstGeom prst="rect">
                        <a:avLst/>
                      </a:prstGeom>
                      <a:solidFill>
                        <a:srgbClr val="00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B7B4D" id="Rectangle 5" o:spid="_x0000_s1026" style="position:absolute;margin-left:.95pt;margin-top:51.35pt;width:7.25pt;height:28.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" fillcolor="#009cd5" stroked="f">
              <w10:wrap anchorx="page" anchory="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26B03" w14:textId="77777777" w:rsidR="009D0F28" w:rsidRDefault="009D0F28" w:rsidP="00761B6C">
    <w:pPr>
      <w:pStyle w:val="Header"/>
      <w:rPr>
        <w:noProof/>
      </w:rPr>
    </w:pPr>
    <w:r>
      <w:fldChar w:fldCharType="begin"/>
    </w:r>
    <w:r>
      <w:instrText>PAGE</w:instrText>
    </w:r>
    <w:r>
      <w:fldChar w:fldCharType="separate"/>
    </w:r>
    <w:r>
      <w:rPr>
        <w:noProof/>
      </w:rPr>
      <w:t>4</w:t>
    </w:r>
    <w:r>
      <w:rPr>
        <w:noProof/>
      </w:rPr>
      <w:fldChar w:fldCharType="end"/>
    </w:r>
  </w:p>
  <w:p w14:paraId="5EF03E3F" w14:textId="77777777" w:rsidR="009D0F28" w:rsidRDefault="009D0F28" w:rsidP="00761B6C">
    <w:pPr>
      <w:pStyle w:val="Header"/>
    </w:pPr>
    <w:r w:rsidRPr="00A046E3">
      <w:rPr>
        <w:sz w:val="22"/>
        <w:szCs w:val="24"/>
      </w:rPr>
      <w:t>RAPPORT ANNUEL DE GESTION FINANCIÈRE ET ÉTATS FINANCIERS DE L'UIT POUR L'EXERCICE 2022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921F6" w14:textId="77777777" w:rsidR="009D0F28" w:rsidRDefault="009D0F28" w:rsidP="00761B6C">
    <w:pPr>
      <w:pStyle w:val="Header"/>
    </w:pPr>
    <w:r>
      <w:fldChar w:fldCharType="begin"/>
    </w:r>
    <w:r>
      <w:instrText>PAGE</w:instrText>
    </w:r>
    <w:r>
      <w:fldChar w:fldCharType="separate"/>
    </w:r>
    <w:r>
      <w:rPr>
        <w:noProof/>
      </w:rPr>
      <w:t>119</w:t>
    </w:r>
    <w:r>
      <w:rPr>
        <w:noProof/>
      </w:rPr>
      <w:fldChar w:fldCharType="end"/>
    </w:r>
  </w:p>
  <w:p w14:paraId="4C5886F3" w14:textId="77777777" w:rsidR="009D0F28" w:rsidRDefault="009D0F28" w:rsidP="00761B6C">
    <w:pPr>
      <w:pStyle w:val="Header"/>
    </w:pPr>
    <w:r>
      <w:t>C18/43–F</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DD4A7" w14:textId="77777777" w:rsidR="00732045" w:rsidRDefault="00732045">
    <w:pPr>
      <w:pStyle w:val="Header"/>
    </w:pPr>
    <w:r>
      <w:t xml:space="preserve">- </w:t>
    </w:r>
    <w:r w:rsidR="00C27A7C">
      <w:fldChar w:fldCharType="begin"/>
    </w:r>
    <w:r w:rsidR="00C27A7C">
      <w:instrText>PAGE</w:instrText>
    </w:r>
    <w:r w:rsidR="00C27A7C">
      <w:fldChar w:fldCharType="separate"/>
    </w:r>
    <w:r>
      <w:rPr>
        <w:noProof/>
      </w:rPr>
      <w:t>2</w:t>
    </w:r>
    <w:r w:rsidR="00C27A7C">
      <w:rPr>
        <w:noProof/>
      </w:rPr>
      <w:fldChar w:fldCharType="end"/>
    </w:r>
    <w:r>
      <w:t xml:space="preserve"> -</w:t>
    </w:r>
  </w:p>
  <w:p w14:paraId="40E3D5AC" w14:textId="77777777" w:rsidR="00732045" w:rsidRDefault="00732045">
    <w:pPr>
      <w:pStyle w:val="Header"/>
    </w:pPr>
    <w:r>
      <w:t>C2001/#-F</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1872451"/>
      <w:docPartObj>
        <w:docPartGallery w:val="Page Numbers (Top of Page)"/>
        <w:docPartUnique/>
      </w:docPartObj>
    </w:sdtPr>
    <w:sdtEndPr>
      <w:rPr>
        <w:noProof/>
      </w:rPr>
    </w:sdtEndPr>
    <w:sdtContent>
      <w:p w14:paraId="691B337C" w14:textId="77777777" w:rsidR="00110A69" w:rsidRPr="00D26045" w:rsidRDefault="006A11AE">
        <w:pPr>
          <w:pStyle w:val="Header"/>
          <w:rPr>
            <w:noProof/>
          </w:rPr>
        </w:pPr>
        <w:r>
          <w:fldChar w:fldCharType="begin"/>
        </w:r>
        <w:r w:rsidRPr="00D26045">
          <w:instrText xml:space="preserve"> PAGE   \* MERGEFORMAT </w:instrText>
        </w:r>
        <w:r>
          <w:fldChar w:fldCharType="separate"/>
        </w:r>
        <w:r w:rsidRPr="00D26045">
          <w:rPr>
            <w:noProof/>
          </w:rPr>
          <w:t>2</w:t>
        </w:r>
        <w:r>
          <w:rPr>
            <w:noProof/>
          </w:rPr>
          <w:fldChar w:fldCharType="end"/>
        </w:r>
      </w:p>
      <w:p w14:paraId="7EB64A1D" w14:textId="1A263E8D" w:rsidR="006A11AE" w:rsidRPr="00D26045" w:rsidRDefault="009A7E39">
        <w:pPr>
          <w:pStyle w:val="Header"/>
        </w:pPr>
        <w:r w:rsidRPr="009A7E39">
          <w:rPr>
            <w:sz w:val="22"/>
            <w:szCs w:val="24"/>
          </w:rPr>
          <w:t>RAPPORT ANNUEL DE GESTION FINANCIÈRE ET ÉTATS FINANCIERS DE L'UIT POUR L'EXERCICE 2022</w:t>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611410"/>
      <w:docPartObj>
        <w:docPartGallery w:val="Page Numbers (Top of Page)"/>
        <w:docPartUnique/>
      </w:docPartObj>
    </w:sdtPr>
    <w:sdtEndPr>
      <w:rPr>
        <w:noProof/>
      </w:rPr>
    </w:sdtEndPr>
    <w:sdtContent>
      <w:p w14:paraId="7C768240" w14:textId="77777777" w:rsidR="009D0F28" w:rsidRPr="00D26045" w:rsidRDefault="009D0F28" w:rsidP="009D0F28">
        <w:pPr>
          <w:pStyle w:val="Header"/>
          <w:rPr>
            <w:noProof/>
          </w:rPr>
        </w:pPr>
        <w:r>
          <w:fldChar w:fldCharType="begin"/>
        </w:r>
        <w:r w:rsidRPr="00D26045">
          <w:instrText xml:space="preserve"> PAGE   \* MERGEFORMAT </w:instrText>
        </w:r>
        <w:r>
          <w:fldChar w:fldCharType="separate"/>
        </w:r>
        <w:r>
          <w:t>75</w:t>
        </w:r>
        <w:r>
          <w:rPr>
            <w:noProof/>
          </w:rPr>
          <w:fldChar w:fldCharType="end"/>
        </w:r>
      </w:p>
      <w:p w14:paraId="696FDE1E" w14:textId="77777777" w:rsidR="009D0F28" w:rsidRDefault="009D0F28" w:rsidP="009D0F28">
        <w:pPr>
          <w:pStyle w:val="Header"/>
          <w:rPr>
            <w:noProof/>
            <w:sz w:val="24"/>
          </w:rPr>
        </w:pPr>
        <w:r w:rsidRPr="009A7E39">
          <w:rPr>
            <w:sz w:val="22"/>
            <w:szCs w:val="24"/>
          </w:rPr>
          <w:t>RAPPORT ANNUEL DE GESTION FINANCIÈRE ET ÉTATS FINANCIERS DE L'UIT POUR L'EXERCICE 2022</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904B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D4E8E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27A0C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9A6FF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7D45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870FC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C643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F1EC9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9E8C6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3FC2558"/>
    <w:lvl w:ilvl="0">
      <w:start w:val="1"/>
      <w:numFmt w:val="bullet"/>
      <w:lvlText w:val=""/>
      <w:lvlJc w:val="left"/>
      <w:pPr>
        <w:tabs>
          <w:tab w:val="num" w:pos="360"/>
        </w:tabs>
        <w:ind w:left="360" w:hanging="360"/>
      </w:pPr>
      <w:rPr>
        <w:rFonts w:ascii="Symbol" w:hAnsi="Symbol" w:hint="default"/>
      </w:rPr>
    </w:lvl>
  </w:abstractNum>
  <w:num w:numId="1" w16cid:durableId="279725381">
    <w:abstractNumId w:val="9"/>
  </w:num>
  <w:num w:numId="2" w16cid:durableId="1205218187">
    <w:abstractNumId w:val="7"/>
  </w:num>
  <w:num w:numId="3" w16cid:durableId="212809976">
    <w:abstractNumId w:val="6"/>
  </w:num>
  <w:num w:numId="4" w16cid:durableId="530537210">
    <w:abstractNumId w:val="5"/>
  </w:num>
  <w:num w:numId="5" w16cid:durableId="2125686553">
    <w:abstractNumId w:val="4"/>
  </w:num>
  <w:num w:numId="6" w16cid:durableId="2022853785">
    <w:abstractNumId w:val="8"/>
  </w:num>
  <w:num w:numId="7" w16cid:durableId="2133666005">
    <w:abstractNumId w:val="3"/>
  </w:num>
  <w:num w:numId="8" w16cid:durableId="2017808577">
    <w:abstractNumId w:val="2"/>
  </w:num>
  <w:num w:numId="9" w16cid:durableId="1124227348">
    <w:abstractNumId w:val="1"/>
  </w:num>
  <w:num w:numId="10" w16cid:durableId="1785467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28F"/>
    <w:rsid w:val="00034366"/>
    <w:rsid w:val="00036629"/>
    <w:rsid w:val="00056321"/>
    <w:rsid w:val="00062A6A"/>
    <w:rsid w:val="00076A2C"/>
    <w:rsid w:val="00086210"/>
    <w:rsid w:val="000873FC"/>
    <w:rsid w:val="000C797B"/>
    <w:rsid w:val="000D0D0A"/>
    <w:rsid w:val="000F3963"/>
    <w:rsid w:val="00103163"/>
    <w:rsid w:val="00103368"/>
    <w:rsid w:val="00105FF0"/>
    <w:rsid w:val="00106B19"/>
    <w:rsid w:val="001075D1"/>
    <w:rsid w:val="00110A69"/>
    <w:rsid w:val="001133EF"/>
    <w:rsid w:val="00115D93"/>
    <w:rsid w:val="001247A8"/>
    <w:rsid w:val="0013133F"/>
    <w:rsid w:val="001378C0"/>
    <w:rsid w:val="00173449"/>
    <w:rsid w:val="0018694A"/>
    <w:rsid w:val="00186FED"/>
    <w:rsid w:val="00191AC7"/>
    <w:rsid w:val="00194063"/>
    <w:rsid w:val="001A3287"/>
    <w:rsid w:val="001A5067"/>
    <w:rsid w:val="001A6508"/>
    <w:rsid w:val="001D4C31"/>
    <w:rsid w:val="001D692C"/>
    <w:rsid w:val="001E4D21"/>
    <w:rsid w:val="00207CD1"/>
    <w:rsid w:val="00223264"/>
    <w:rsid w:val="00223839"/>
    <w:rsid w:val="00226657"/>
    <w:rsid w:val="00242CA4"/>
    <w:rsid w:val="002477A2"/>
    <w:rsid w:val="00263A51"/>
    <w:rsid w:val="00267E02"/>
    <w:rsid w:val="0028252D"/>
    <w:rsid w:val="002A5D44"/>
    <w:rsid w:val="002B1374"/>
    <w:rsid w:val="002E0BC4"/>
    <w:rsid w:val="002E5DAF"/>
    <w:rsid w:val="002F1B76"/>
    <w:rsid w:val="002F6A07"/>
    <w:rsid w:val="003065A0"/>
    <w:rsid w:val="0031469F"/>
    <w:rsid w:val="00320CD0"/>
    <w:rsid w:val="00321D59"/>
    <w:rsid w:val="0033568E"/>
    <w:rsid w:val="00355FF5"/>
    <w:rsid w:val="00361350"/>
    <w:rsid w:val="003643D1"/>
    <w:rsid w:val="003B01C1"/>
    <w:rsid w:val="003B3C62"/>
    <w:rsid w:val="003C3FAE"/>
    <w:rsid w:val="00402990"/>
    <w:rsid w:val="004038CB"/>
    <w:rsid w:val="0040546F"/>
    <w:rsid w:val="0041313C"/>
    <w:rsid w:val="0041629C"/>
    <w:rsid w:val="00423102"/>
    <w:rsid w:val="0042404A"/>
    <w:rsid w:val="00426DCD"/>
    <w:rsid w:val="0043732E"/>
    <w:rsid w:val="00437AF1"/>
    <w:rsid w:val="00443577"/>
    <w:rsid w:val="0044618F"/>
    <w:rsid w:val="0046769A"/>
    <w:rsid w:val="00475FB3"/>
    <w:rsid w:val="00492C6A"/>
    <w:rsid w:val="004C37A9"/>
    <w:rsid w:val="004D1D50"/>
    <w:rsid w:val="004F259E"/>
    <w:rsid w:val="004F62D8"/>
    <w:rsid w:val="0051178E"/>
    <w:rsid w:val="00511F1D"/>
    <w:rsid w:val="00512EF0"/>
    <w:rsid w:val="005163B4"/>
    <w:rsid w:val="00520F36"/>
    <w:rsid w:val="00532206"/>
    <w:rsid w:val="00534E13"/>
    <w:rsid w:val="00540615"/>
    <w:rsid w:val="00540A6D"/>
    <w:rsid w:val="0056416D"/>
    <w:rsid w:val="00566679"/>
    <w:rsid w:val="00571EEA"/>
    <w:rsid w:val="00575417"/>
    <w:rsid w:val="005768E1"/>
    <w:rsid w:val="005A3542"/>
    <w:rsid w:val="005B1938"/>
    <w:rsid w:val="005B20E1"/>
    <w:rsid w:val="005B3B05"/>
    <w:rsid w:val="005C3890"/>
    <w:rsid w:val="005C5FAB"/>
    <w:rsid w:val="005D6392"/>
    <w:rsid w:val="005E4444"/>
    <w:rsid w:val="005F7BFE"/>
    <w:rsid w:val="00600017"/>
    <w:rsid w:val="00605227"/>
    <w:rsid w:val="00607339"/>
    <w:rsid w:val="006235CA"/>
    <w:rsid w:val="006643AB"/>
    <w:rsid w:val="006649B3"/>
    <w:rsid w:val="00666334"/>
    <w:rsid w:val="0066772A"/>
    <w:rsid w:val="00677EBD"/>
    <w:rsid w:val="00677ECA"/>
    <w:rsid w:val="0068688F"/>
    <w:rsid w:val="006A11AE"/>
    <w:rsid w:val="006D5B58"/>
    <w:rsid w:val="006E157B"/>
    <w:rsid w:val="006F0A53"/>
    <w:rsid w:val="00703C17"/>
    <w:rsid w:val="00716386"/>
    <w:rsid w:val="00717CB4"/>
    <w:rsid w:val="007202C5"/>
    <w:rsid w:val="007210CD"/>
    <w:rsid w:val="0072380C"/>
    <w:rsid w:val="00727F77"/>
    <w:rsid w:val="00732045"/>
    <w:rsid w:val="0073275D"/>
    <w:rsid w:val="007369DB"/>
    <w:rsid w:val="0074618B"/>
    <w:rsid w:val="00746DD8"/>
    <w:rsid w:val="007624BB"/>
    <w:rsid w:val="007658D9"/>
    <w:rsid w:val="007956C2"/>
    <w:rsid w:val="0079700A"/>
    <w:rsid w:val="007A187E"/>
    <w:rsid w:val="007A66CF"/>
    <w:rsid w:val="007C72C2"/>
    <w:rsid w:val="007D4436"/>
    <w:rsid w:val="007E3B8D"/>
    <w:rsid w:val="007F257A"/>
    <w:rsid w:val="007F3665"/>
    <w:rsid w:val="007F4575"/>
    <w:rsid w:val="00800037"/>
    <w:rsid w:val="0082299A"/>
    <w:rsid w:val="00826739"/>
    <w:rsid w:val="0083391C"/>
    <w:rsid w:val="00861D73"/>
    <w:rsid w:val="00876EE1"/>
    <w:rsid w:val="00897553"/>
    <w:rsid w:val="00897AD1"/>
    <w:rsid w:val="008A1740"/>
    <w:rsid w:val="008A2B8D"/>
    <w:rsid w:val="008A4E87"/>
    <w:rsid w:val="008B6740"/>
    <w:rsid w:val="008D76E6"/>
    <w:rsid w:val="008F0A35"/>
    <w:rsid w:val="008F1CB5"/>
    <w:rsid w:val="0091518D"/>
    <w:rsid w:val="0092392D"/>
    <w:rsid w:val="0093234A"/>
    <w:rsid w:val="00937251"/>
    <w:rsid w:val="00954795"/>
    <w:rsid w:val="00956A78"/>
    <w:rsid w:val="00960C63"/>
    <w:rsid w:val="0097363B"/>
    <w:rsid w:val="00973F53"/>
    <w:rsid w:val="0097636C"/>
    <w:rsid w:val="00983E89"/>
    <w:rsid w:val="009A6BAA"/>
    <w:rsid w:val="009A7E39"/>
    <w:rsid w:val="009A7F28"/>
    <w:rsid w:val="009B62E5"/>
    <w:rsid w:val="009B7B8A"/>
    <w:rsid w:val="009C307F"/>
    <w:rsid w:val="009C353C"/>
    <w:rsid w:val="009D0F28"/>
    <w:rsid w:val="009F7D78"/>
    <w:rsid w:val="00A01991"/>
    <w:rsid w:val="00A2113E"/>
    <w:rsid w:val="00A23A51"/>
    <w:rsid w:val="00A24607"/>
    <w:rsid w:val="00A25CD3"/>
    <w:rsid w:val="00A3298D"/>
    <w:rsid w:val="00A51849"/>
    <w:rsid w:val="00A6274F"/>
    <w:rsid w:val="00A709F6"/>
    <w:rsid w:val="00A709FE"/>
    <w:rsid w:val="00A73C60"/>
    <w:rsid w:val="00A82767"/>
    <w:rsid w:val="00A87BE8"/>
    <w:rsid w:val="00AA1078"/>
    <w:rsid w:val="00AA332F"/>
    <w:rsid w:val="00AA7BBB"/>
    <w:rsid w:val="00AB64A8"/>
    <w:rsid w:val="00AC0266"/>
    <w:rsid w:val="00AC6F59"/>
    <w:rsid w:val="00AD24EC"/>
    <w:rsid w:val="00AE102E"/>
    <w:rsid w:val="00AF5EDD"/>
    <w:rsid w:val="00B309F9"/>
    <w:rsid w:val="00B32B60"/>
    <w:rsid w:val="00B535B9"/>
    <w:rsid w:val="00B56A13"/>
    <w:rsid w:val="00B60DA8"/>
    <w:rsid w:val="00B61619"/>
    <w:rsid w:val="00B81568"/>
    <w:rsid w:val="00B959D2"/>
    <w:rsid w:val="00BA5A2A"/>
    <w:rsid w:val="00BA6385"/>
    <w:rsid w:val="00BB4545"/>
    <w:rsid w:val="00BC4478"/>
    <w:rsid w:val="00BD5873"/>
    <w:rsid w:val="00BE41A8"/>
    <w:rsid w:val="00BF4B60"/>
    <w:rsid w:val="00C04BE3"/>
    <w:rsid w:val="00C25D29"/>
    <w:rsid w:val="00C27A7C"/>
    <w:rsid w:val="00C42437"/>
    <w:rsid w:val="00C42A35"/>
    <w:rsid w:val="00C644DA"/>
    <w:rsid w:val="00C656E0"/>
    <w:rsid w:val="00C67D9C"/>
    <w:rsid w:val="00CA08ED"/>
    <w:rsid w:val="00CC41A3"/>
    <w:rsid w:val="00CF183B"/>
    <w:rsid w:val="00D07F6C"/>
    <w:rsid w:val="00D26045"/>
    <w:rsid w:val="00D375CD"/>
    <w:rsid w:val="00D553A2"/>
    <w:rsid w:val="00D718E7"/>
    <w:rsid w:val="00D72F49"/>
    <w:rsid w:val="00D774D3"/>
    <w:rsid w:val="00D904E8"/>
    <w:rsid w:val="00D94192"/>
    <w:rsid w:val="00D9572E"/>
    <w:rsid w:val="00DA08C3"/>
    <w:rsid w:val="00DB5A3E"/>
    <w:rsid w:val="00DC22AA"/>
    <w:rsid w:val="00DC3A04"/>
    <w:rsid w:val="00DF0F11"/>
    <w:rsid w:val="00DF74DD"/>
    <w:rsid w:val="00E25AD0"/>
    <w:rsid w:val="00E4428F"/>
    <w:rsid w:val="00E52A4A"/>
    <w:rsid w:val="00E53163"/>
    <w:rsid w:val="00E739BD"/>
    <w:rsid w:val="00E87A6C"/>
    <w:rsid w:val="00E93668"/>
    <w:rsid w:val="00E95647"/>
    <w:rsid w:val="00EA3E77"/>
    <w:rsid w:val="00EA753B"/>
    <w:rsid w:val="00EB6350"/>
    <w:rsid w:val="00EF23CE"/>
    <w:rsid w:val="00EF5311"/>
    <w:rsid w:val="00F01197"/>
    <w:rsid w:val="00F04037"/>
    <w:rsid w:val="00F14923"/>
    <w:rsid w:val="00F15B57"/>
    <w:rsid w:val="00F171A4"/>
    <w:rsid w:val="00F20DBD"/>
    <w:rsid w:val="00F25C4D"/>
    <w:rsid w:val="00F35EF4"/>
    <w:rsid w:val="00F37FE5"/>
    <w:rsid w:val="00F41A33"/>
    <w:rsid w:val="00F427DB"/>
    <w:rsid w:val="00F57505"/>
    <w:rsid w:val="00F93275"/>
    <w:rsid w:val="00FA5EB1"/>
    <w:rsid w:val="00FA7439"/>
    <w:rsid w:val="00FB37F1"/>
    <w:rsid w:val="00FB7F04"/>
    <w:rsid w:val="00FC4DFD"/>
    <w:rsid w:val="00FC4EC0"/>
    <w:rsid w:val="00FD0652"/>
    <w:rsid w:val="00FF0181"/>
    <w:rsid w:val="00FF2A08"/>
    <w:rsid w:val="00FF571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A3AECB"/>
  <w15:docId w15:val="{1E633E98-DEAF-4635-A037-C098BA85F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2045"/>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fr-FR" w:eastAsia="en-US"/>
    </w:rPr>
  </w:style>
  <w:style w:type="paragraph" w:styleId="Heading1">
    <w:name w:val="heading 1"/>
    <w:basedOn w:val="Normal"/>
    <w:next w:val="Normal"/>
    <w:link w:val="Heading1Char"/>
    <w:qFormat/>
    <w:rsid w:val="00732045"/>
    <w:pPr>
      <w:keepNext/>
      <w:keepLines/>
      <w:spacing w:before="480"/>
      <w:ind w:left="567" w:hanging="567"/>
      <w:outlineLvl w:val="0"/>
    </w:pPr>
    <w:rPr>
      <w:b/>
      <w:sz w:val="28"/>
    </w:rPr>
  </w:style>
  <w:style w:type="paragraph" w:styleId="Heading2">
    <w:name w:val="heading 2"/>
    <w:basedOn w:val="Heading1"/>
    <w:next w:val="Normal"/>
    <w:link w:val="Heading2Char"/>
    <w:qFormat/>
    <w:rsid w:val="00732045"/>
    <w:pPr>
      <w:spacing w:before="320"/>
      <w:outlineLvl w:val="1"/>
    </w:pPr>
    <w:rPr>
      <w:sz w:val="24"/>
    </w:rPr>
  </w:style>
  <w:style w:type="paragraph" w:styleId="Heading3">
    <w:name w:val="heading 3"/>
    <w:basedOn w:val="Heading1"/>
    <w:next w:val="Normal"/>
    <w:link w:val="Heading3Char"/>
    <w:qFormat/>
    <w:rsid w:val="00732045"/>
    <w:pPr>
      <w:spacing w:before="200"/>
      <w:outlineLvl w:val="2"/>
    </w:pPr>
    <w:rPr>
      <w:sz w:val="24"/>
    </w:rPr>
  </w:style>
  <w:style w:type="paragraph" w:styleId="Heading4">
    <w:name w:val="heading 4"/>
    <w:basedOn w:val="Heading3"/>
    <w:next w:val="Normal"/>
    <w:qFormat/>
    <w:rsid w:val="00732045"/>
    <w:pPr>
      <w:ind w:left="1134" w:hanging="1134"/>
      <w:outlineLvl w:val="3"/>
    </w:pPr>
  </w:style>
  <w:style w:type="paragraph" w:styleId="Heading5">
    <w:name w:val="heading 5"/>
    <w:basedOn w:val="Heading4"/>
    <w:next w:val="Normal"/>
    <w:qFormat/>
    <w:rsid w:val="00732045"/>
    <w:pPr>
      <w:outlineLvl w:val="4"/>
    </w:pPr>
  </w:style>
  <w:style w:type="paragraph" w:styleId="Heading6">
    <w:name w:val="heading 6"/>
    <w:basedOn w:val="Heading4"/>
    <w:next w:val="Normal"/>
    <w:qFormat/>
    <w:rsid w:val="00732045"/>
    <w:pPr>
      <w:outlineLvl w:val="5"/>
    </w:pPr>
  </w:style>
  <w:style w:type="paragraph" w:styleId="Heading7">
    <w:name w:val="heading 7"/>
    <w:basedOn w:val="Heading4"/>
    <w:next w:val="Normal"/>
    <w:qFormat/>
    <w:rsid w:val="00732045"/>
    <w:pPr>
      <w:ind w:left="1701" w:hanging="1701"/>
      <w:outlineLvl w:val="6"/>
    </w:pPr>
  </w:style>
  <w:style w:type="paragraph" w:styleId="Heading8">
    <w:name w:val="heading 8"/>
    <w:basedOn w:val="Heading4"/>
    <w:next w:val="Normal"/>
    <w:qFormat/>
    <w:rsid w:val="00732045"/>
    <w:pPr>
      <w:ind w:left="1701" w:hanging="1701"/>
      <w:outlineLvl w:val="7"/>
    </w:pPr>
  </w:style>
  <w:style w:type="paragraph" w:styleId="Heading9">
    <w:name w:val="heading 9"/>
    <w:basedOn w:val="Heading4"/>
    <w:next w:val="Normal"/>
    <w:qFormat/>
    <w:rsid w:val="00732045"/>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3">
    <w:name w:val="toc 3"/>
    <w:basedOn w:val="Normal"/>
    <w:next w:val="Normal"/>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uiPriority w:val="39"/>
    <w:rsid w:val="00732045"/>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732045"/>
    <w:pPr>
      <w:tabs>
        <w:tab w:val="clear" w:pos="567"/>
        <w:tab w:val="clear" w:pos="1134"/>
        <w:tab w:val="clear" w:pos="1701"/>
        <w:tab w:val="clear" w:pos="2268"/>
        <w:tab w:val="clear" w:pos="2835"/>
        <w:tab w:val="left" w:pos="964"/>
        <w:tab w:val="left" w:pos="8789"/>
        <w:tab w:val="right" w:pos="9639"/>
      </w:tabs>
      <w:ind w:left="964" w:hanging="964"/>
    </w:pPr>
  </w:style>
  <w:style w:type="paragraph" w:styleId="Index7">
    <w:name w:val="index 7"/>
    <w:basedOn w:val="Normal"/>
    <w:next w:val="Normal"/>
    <w:rsid w:val="005C3890"/>
    <w:pPr>
      <w:ind w:left="1698"/>
    </w:pPr>
  </w:style>
  <w:style w:type="paragraph" w:styleId="Index6">
    <w:name w:val="index 6"/>
    <w:basedOn w:val="Normal"/>
    <w:next w:val="Normal"/>
    <w:rsid w:val="005C3890"/>
    <w:pPr>
      <w:ind w:left="1415"/>
    </w:pPr>
  </w:style>
  <w:style w:type="paragraph" w:styleId="Index5">
    <w:name w:val="index 5"/>
    <w:basedOn w:val="Normal"/>
    <w:next w:val="Normal"/>
    <w:rsid w:val="005C3890"/>
    <w:pPr>
      <w:ind w:left="1132"/>
    </w:pPr>
  </w:style>
  <w:style w:type="paragraph" w:styleId="Index4">
    <w:name w:val="index 4"/>
    <w:basedOn w:val="Normal"/>
    <w:next w:val="Normal"/>
    <w:rsid w:val="005C3890"/>
    <w:pPr>
      <w:ind w:left="849"/>
    </w:pPr>
  </w:style>
  <w:style w:type="paragraph" w:styleId="Index3">
    <w:name w:val="index 3"/>
    <w:basedOn w:val="Normal"/>
    <w:next w:val="Normal"/>
    <w:rsid w:val="005C3890"/>
    <w:pPr>
      <w:ind w:left="566"/>
    </w:pPr>
  </w:style>
  <w:style w:type="paragraph" w:styleId="Index2">
    <w:name w:val="index 2"/>
    <w:basedOn w:val="Normal"/>
    <w:next w:val="Normal"/>
    <w:rsid w:val="005C3890"/>
    <w:pPr>
      <w:ind w:left="283"/>
    </w:pPr>
  </w:style>
  <w:style w:type="paragraph" w:styleId="Index1">
    <w:name w:val="index 1"/>
    <w:basedOn w:val="Normal"/>
    <w:next w:val="Normal"/>
    <w:rsid w:val="005C3890"/>
  </w:style>
  <w:style w:type="character" w:styleId="LineNumber">
    <w:name w:val="line number"/>
    <w:basedOn w:val="DefaultParagraphFont"/>
    <w:rsid w:val="005C3890"/>
  </w:style>
  <w:style w:type="paragraph" w:styleId="IndexHeading">
    <w:name w:val="index heading"/>
    <w:basedOn w:val="Normal"/>
    <w:next w:val="Index1"/>
    <w:rsid w:val="005C3890"/>
  </w:style>
  <w:style w:type="paragraph" w:styleId="Footer">
    <w:name w:val="footer"/>
    <w:basedOn w:val="Normal"/>
    <w:link w:val="FooterChar"/>
    <w:rsid w:val="00732045"/>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rsid w:val="00732045"/>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732045"/>
    <w:rPr>
      <w:rFonts w:ascii="Calibri" w:hAnsi="Calibri"/>
      <w:position w:val="6"/>
      <w:sz w:val="16"/>
    </w:rPr>
  </w:style>
  <w:style w:type="paragraph" w:styleId="FootnoteText">
    <w:name w:val="footnote text"/>
    <w:basedOn w:val="Normal"/>
    <w:rsid w:val="00732045"/>
    <w:pPr>
      <w:keepLines/>
      <w:tabs>
        <w:tab w:val="left" w:pos="256"/>
      </w:tabs>
      <w:ind w:left="256" w:hanging="256"/>
    </w:pPr>
  </w:style>
  <w:style w:type="paragraph" w:styleId="NormalIndent">
    <w:name w:val="Normal Indent"/>
    <w:basedOn w:val="Normal"/>
    <w:rsid w:val="00732045"/>
    <w:pPr>
      <w:ind w:left="567"/>
    </w:pPr>
  </w:style>
  <w:style w:type="paragraph" w:customStyle="1" w:styleId="enumlev1">
    <w:name w:val="enumlev1"/>
    <w:basedOn w:val="Normal"/>
    <w:link w:val="enumlev1Char"/>
    <w:rsid w:val="00732045"/>
    <w:pPr>
      <w:spacing w:before="86"/>
      <w:ind w:left="567" w:hanging="567"/>
    </w:pPr>
  </w:style>
  <w:style w:type="paragraph" w:customStyle="1" w:styleId="enumlev2">
    <w:name w:val="enumlev2"/>
    <w:basedOn w:val="enumlev1"/>
    <w:rsid w:val="00732045"/>
    <w:pPr>
      <w:ind w:left="1134"/>
    </w:pPr>
  </w:style>
  <w:style w:type="paragraph" w:customStyle="1" w:styleId="enumlev3">
    <w:name w:val="enumlev3"/>
    <w:basedOn w:val="enumlev2"/>
    <w:rsid w:val="00732045"/>
    <w:pPr>
      <w:ind w:left="1701"/>
    </w:pPr>
  </w:style>
  <w:style w:type="paragraph" w:customStyle="1" w:styleId="Equation">
    <w:name w:val="Equation"/>
    <w:basedOn w:val="Normal"/>
    <w:rsid w:val="005C3890"/>
    <w:pPr>
      <w:tabs>
        <w:tab w:val="center" w:pos="4820"/>
        <w:tab w:val="right" w:pos="9639"/>
      </w:tabs>
    </w:pPr>
  </w:style>
  <w:style w:type="paragraph" w:customStyle="1" w:styleId="Head">
    <w:name w:val="Head"/>
    <w:basedOn w:val="Normal"/>
    <w:rsid w:val="005C3890"/>
    <w:pPr>
      <w:tabs>
        <w:tab w:val="left" w:pos="6663"/>
      </w:tabs>
      <w:overflowPunct/>
      <w:autoSpaceDE/>
      <w:autoSpaceDN/>
      <w:adjustRightInd/>
      <w:spacing w:before="0"/>
      <w:textAlignment w:val="auto"/>
    </w:pPr>
  </w:style>
  <w:style w:type="paragraph" w:customStyle="1" w:styleId="Normalaftertitle">
    <w:name w:val="Normal after title"/>
    <w:basedOn w:val="Normal"/>
    <w:next w:val="Normal"/>
    <w:link w:val="NormalaftertitleChar"/>
    <w:rsid w:val="00732045"/>
    <w:pPr>
      <w:spacing w:before="240"/>
    </w:pPr>
  </w:style>
  <w:style w:type="paragraph" w:customStyle="1" w:styleId="Call">
    <w:name w:val="Call"/>
    <w:basedOn w:val="Normal"/>
    <w:next w:val="Normal"/>
    <w:link w:val="CallChar"/>
    <w:rsid w:val="00732045"/>
    <w:pPr>
      <w:keepNext/>
      <w:keepLines/>
      <w:tabs>
        <w:tab w:val="clear" w:pos="1134"/>
        <w:tab w:val="clear" w:pos="1701"/>
        <w:tab w:val="clear" w:pos="2268"/>
        <w:tab w:val="clear" w:pos="2835"/>
      </w:tabs>
      <w:spacing w:before="160"/>
      <w:ind w:left="567"/>
    </w:pPr>
    <w:rPr>
      <w:i/>
    </w:rPr>
  </w:style>
  <w:style w:type="paragraph" w:customStyle="1" w:styleId="toc0">
    <w:name w:val="toc 0"/>
    <w:basedOn w:val="Normal"/>
    <w:next w:val="TOC1"/>
    <w:rsid w:val="00732045"/>
    <w:pPr>
      <w:tabs>
        <w:tab w:val="clear" w:pos="567"/>
        <w:tab w:val="clear" w:pos="1134"/>
        <w:tab w:val="clear" w:pos="1701"/>
        <w:tab w:val="clear" w:pos="2268"/>
        <w:tab w:val="clear" w:pos="2835"/>
        <w:tab w:val="right" w:pos="9781"/>
      </w:tabs>
    </w:pPr>
    <w:rPr>
      <w:b/>
    </w:rPr>
  </w:style>
  <w:style w:type="paragraph" w:styleId="List">
    <w:name w:val="List"/>
    <w:basedOn w:val="Normal"/>
    <w:rsid w:val="005C3890"/>
    <w:pPr>
      <w:tabs>
        <w:tab w:val="left" w:pos="2127"/>
      </w:tabs>
      <w:ind w:left="2127" w:hanging="2127"/>
    </w:pPr>
  </w:style>
  <w:style w:type="paragraph" w:customStyle="1" w:styleId="Part">
    <w:name w:val="Part"/>
    <w:basedOn w:val="Normal"/>
    <w:rsid w:val="005C3890"/>
    <w:pPr>
      <w:tabs>
        <w:tab w:val="left" w:pos="1276"/>
      </w:tabs>
      <w:spacing w:before="199"/>
      <w:ind w:left="1701" w:hanging="1701"/>
    </w:pPr>
    <w:rPr>
      <w:caps/>
    </w:rPr>
  </w:style>
  <w:style w:type="paragraph" w:customStyle="1" w:styleId="Reasons">
    <w:name w:val="Reasons"/>
    <w:basedOn w:val="Normal"/>
    <w:qFormat/>
    <w:rsid w:val="00732045"/>
  </w:style>
  <w:style w:type="paragraph" w:customStyle="1" w:styleId="meeting">
    <w:name w:val="meeting"/>
    <w:basedOn w:val="Head"/>
    <w:next w:val="Head"/>
    <w:rsid w:val="005C3890"/>
    <w:pPr>
      <w:tabs>
        <w:tab w:val="left" w:pos="7371"/>
      </w:tabs>
      <w:spacing w:after="567"/>
    </w:pPr>
  </w:style>
  <w:style w:type="paragraph" w:customStyle="1" w:styleId="Subject">
    <w:name w:val="Subject"/>
    <w:basedOn w:val="Normal"/>
    <w:next w:val="Source"/>
    <w:rsid w:val="005C3890"/>
    <w:pPr>
      <w:tabs>
        <w:tab w:val="left" w:pos="709"/>
      </w:tabs>
      <w:spacing w:before="0"/>
      <w:ind w:left="709" w:hanging="709"/>
    </w:pPr>
  </w:style>
  <w:style w:type="paragraph" w:customStyle="1" w:styleId="Source">
    <w:name w:val="Source"/>
    <w:basedOn w:val="Normal"/>
    <w:next w:val="Title1"/>
    <w:rsid w:val="00732045"/>
    <w:pPr>
      <w:spacing w:before="840"/>
      <w:jc w:val="center"/>
    </w:pPr>
    <w:rPr>
      <w:b/>
      <w:sz w:val="28"/>
    </w:rPr>
  </w:style>
  <w:style w:type="paragraph" w:customStyle="1" w:styleId="Object">
    <w:name w:val="Object"/>
    <w:basedOn w:val="Subject"/>
    <w:next w:val="Subject"/>
    <w:rsid w:val="005C3890"/>
  </w:style>
  <w:style w:type="paragraph" w:customStyle="1" w:styleId="Data">
    <w:name w:val="Data"/>
    <w:basedOn w:val="Subject"/>
    <w:next w:val="Subject"/>
    <w:rsid w:val="005C3890"/>
  </w:style>
  <w:style w:type="paragraph" w:customStyle="1" w:styleId="Headingb">
    <w:name w:val="Heading_b"/>
    <w:basedOn w:val="Heading3"/>
    <w:next w:val="Normal"/>
    <w:rsid w:val="00732045"/>
    <w:pPr>
      <w:spacing w:before="160"/>
      <w:outlineLvl w:val="0"/>
    </w:pPr>
  </w:style>
  <w:style w:type="paragraph" w:customStyle="1" w:styleId="Title1">
    <w:name w:val="Title 1"/>
    <w:basedOn w:val="Source"/>
    <w:next w:val="Title2"/>
    <w:rsid w:val="00732045"/>
    <w:pPr>
      <w:spacing w:before="240"/>
    </w:pPr>
    <w:rPr>
      <w:b w:val="0"/>
      <w:caps/>
    </w:rPr>
  </w:style>
  <w:style w:type="paragraph" w:customStyle="1" w:styleId="dnum">
    <w:name w:val="dnum"/>
    <w:basedOn w:val="Normal"/>
    <w:rsid w:val="005C3890"/>
    <w:pPr>
      <w:framePr w:hSpace="181" w:wrap="notBeside" w:vAnchor="page" w:hAnchor="margin" w:x="1" w:y="852"/>
      <w:shd w:val="solid" w:color="FFFFFF" w:fill="FFFFFF"/>
      <w:tabs>
        <w:tab w:val="left" w:pos="1871"/>
      </w:tabs>
    </w:pPr>
    <w:rPr>
      <w:b/>
      <w:bCs/>
    </w:rPr>
  </w:style>
  <w:style w:type="paragraph" w:customStyle="1" w:styleId="FirstFooter">
    <w:name w:val="FirstFooter"/>
    <w:basedOn w:val="Footer"/>
    <w:rsid w:val="00732045"/>
    <w:rPr>
      <w:caps w:val="0"/>
    </w:rPr>
  </w:style>
  <w:style w:type="paragraph" w:customStyle="1" w:styleId="Note">
    <w:name w:val="Note"/>
    <w:basedOn w:val="Normal"/>
    <w:rsid w:val="005C3890"/>
    <w:pPr>
      <w:spacing w:before="80"/>
    </w:pPr>
  </w:style>
  <w:style w:type="paragraph" w:styleId="TOC9">
    <w:name w:val="toc 9"/>
    <w:basedOn w:val="Normal"/>
    <w:next w:val="Normal"/>
    <w:rsid w:val="00732045"/>
    <w:pPr>
      <w:tabs>
        <w:tab w:val="clear" w:pos="567"/>
        <w:tab w:val="clear" w:pos="1134"/>
        <w:tab w:val="clear" w:pos="1701"/>
        <w:tab w:val="clear" w:pos="2268"/>
        <w:tab w:val="clear" w:pos="2835"/>
        <w:tab w:val="right" w:leader="dot" w:pos="9645"/>
      </w:tabs>
      <w:ind w:left="1920"/>
    </w:pPr>
  </w:style>
  <w:style w:type="paragraph" w:customStyle="1" w:styleId="ddate">
    <w:name w:val="ddate"/>
    <w:basedOn w:val="Normal"/>
    <w:rsid w:val="005C3890"/>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rsid w:val="005C3890"/>
    <w:pPr>
      <w:framePr w:hSpace="181" w:wrap="notBeside" w:vAnchor="page" w:hAnchor="margin" w:x="1" w:y="852"/>
      <w:shd w:val="solid" w:color="FFFFFF" w:fill="FFFFFF"/>
      <w:tabs>
        <w:tab w:val="left" w:pos="1871"/>
      </w:tabs>
      <w:spacing w:before="0"/>
    </w:pPr>
    <w:rPr>
      <w:b/>
      <w:bCs/>
    </w:rPr>
  </w:style>
  <w:style w:type="character" w:styleId="Hyperlink">
    <w:name w:val="Hyperlink"/>
    <w:aliases w:val="CEO_Hyperlink,超级链接,Style 58,超????,超?级链,하이퍼링크2,하이퍼링크21"/>
    <w:basedOn w:val="DefaultParagraphFont"/>
    <w:uiPriority w:val="99"/>
    <w:qFormat/>
    <w:rsid w:val="00732045"/>
    <w:rPr>
      <w:color w:val="0000FF"/>
      <w:u w:val="single"/>
    </w:rPr>
  </w:style>
  <w:style w:type="character" w:styleId="FollowedHyperlink">
    <w:name w:val="FollowedHyperlink"/>
    <w:basedOn w:val="DefaultParagraphFont"/>
    <w:rsid w:val="005C3890"/>
    <w:rPr>
      <w:color w:val="800080"/>
      <w:u w:val="single"/>
    </w:rPr>
  </w:style>
  <w:style w:type="paragraph" w:customStyle="1" w:styleId="AnnexNo">
    <w:name w:val="Annex_No"/>
    <w:basedOn w:val="Normal"/>
    <w:next w:val="Annexref"/>
    <w:rsid w:val="00732045"/>
    <w:pPr>
      <w:spacing w:before="720"/>
      <w:jc w:val="center"/>
    </w:pPr>
    <w:rPr>
      <w:caps/>
      <w:sz w:val="28"/>
    </w:rPr>
  </w:style>
  <w:style w:type="paragraph" w:customStyle="1" w:styleId="Annexref">
    <w:name w:val="Annex_ref"/>
    <w:basedOn w:val="Normal"/>
    <w:next w:val="Annextitle"/>
    <w:rsid w:val="00732045"/>
    <w:pPr>
      <w:jc w:val="center"/>
    </w:pPr>
    <w:rPr>
      <w:sz w:val="28"/>
    </w:rPr>
  </w:style>
  <w:style w:type="paragraph" w:customStyle="1" w:styleId="Annextitle">
    <w:name w:val="Annex_title"/>
    <w:basedOn w:val="Normal"/>
    <w:next w:val="Normal"/>
    <w:rsid w:val="00732045"/>
    <w:pPr>
      <w:spacing w:before="240" w:after="240"/>
      <w:jc w:val="center"/>
    </w:pPr>
    <w:rPr>
      <w:b/>
      <w:sz w:val="28"/>
    </w:rPr>
  </w:style>
  <w:style w:type="paragraph" w:customStyle="1" w:styleId="AppendixNo">
    <w:name w:val="Appendix_No"/>
    <w:basedOn w:val="AnnexNo"/>
    <w:next w:val="Appendixref"/>
    <w:rsid w:val="00732045"/>
  </w:style>
  <w:style w:type="paragraph" w:customStyle="1" w:styleId="Appendixref">
    <w:name w:val="Appendix_ref"/>
    <w:basedOn w:val="Annexref"/>
    <w:next w:val="Appendixtitle"/>
    <w:rsid w:val="00732045"/>
  </w:style>
  <w:style w:type="paragraph" w:customStyle="1" w:styleId="Appendixtitle">
    <w:name w:val="Appendix_title"/>
    <w:basedOn w:val="Annextitle"/>
    <w:next w:val="Normal"/>
    <w:rsid w:val="00732045"/>
  </w:style>
  <w:style w:type="paragraph" w:customStyle="1" w:styleId="Artheading">
    <w:name w:val="Art_heading"/>
    <w:basedOn w:val="Normal"/>
    <w:next w:val="Normalaftertitle"/>
    <w:rsid w:val="00732045"/>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732045"/>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732045"/>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732045"/>
  </w:style>
  <w:style w:type="paragraph" w:customStyle="1" w:styleId="Chaptitle">
    <w:name w:val="Chap_title"/>
    <w:basedOn w:val="Arttitle"/>
    <w:next w:val="Normal"/>
    <w:rsid w:val="00732045"/>
  </w:style>
  <w:style w:type="paragraph" w:customStyle="1" w:styleId="Equationlegend">
    <w:name w:val="Equation_legend"/>
    <w:basedOn w:val="NormalIndent"/>
    <w:rsid w:val="005C3890"/>
    <w:pPr>
      <w:tabs>
        <w:tab w:val="right" w:pos="1531"/>
      </w:tabs>
      <w:spacing w:before="80"/>
      <w:ind w:left="1701" w:hanging="1701"/>
    </w:pPr>
  </w:style>
  <w:style w:type="paragraph" w:customStyle="1" w:styleId="Figure">
    <w:name w:val="Figure"/>
    <w:basedOn w:val="Normal"/>
    <w:next w:val="Figuretitle"/>
    <w:rsid w:val="005C3890"/>
    <w:pPr>
      <w:keepNext/>
      <w:keepLines/>
      <w:spacing w:after="120"/>
      <w:jc w:val="center"/>
    </w:pPr>
  </w:style>
  <w:style w:type="paragraph" w:customStyle="1" w:styleId="Figurelegend">
    <w:name w:val="Figure_legend"/>
    <w:basedOn w:val="Normal"/>
    <w:rsid w:val="00A709FE"/>
    <w:pPr>
      <w:spacing w:before="20" w:after="20"/>
    </w:pPr>
    <w:rPr>
      <w:sz w:val="18"/>
    </w:rPr>
  </w:style>
  <w:style w:type="paragraph" w:customStyle="1" w:styleId="TableNo">
    <w:name w:val="Table_No"/>
    <w:basedOn w:val="Normal"/>
    <w:next w:val="Tabletitle"/>
    <w:rsid w:val="00732045"/>
    <w:pPr>
      <w:keepNext/>
      <w:spacing w:before="560" w:after="120"/>
      <w:jc w:val="center"/>
    </w:pPr>
    <w:rPr>
      <w:caps/>
    </w:rPr>
  </w:style>
  <w:style w:type="paragraph" w:customStyle="1" w:styleId="Tabletitle">
    <w:name w:val="Table_title"/>
    <w:basedOn w:val="TableNo"/>
    <w:next w:val="Tabletext"/>
    <w:rsid w:val="00732045"/>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Figuretitle">
    <w:name w:val="Figure_title"/>
    <w:basedOn w:val="Tabletitle"/>
    <w:next w:val="Normalaftertitle"/>
    <w:rsid w:val="005C3890"/>
    <w:pPr>
      <w:spacing w:before="240" w:after="480"/>
    </w:pPr>
  </w:style>
  <w:style w:type="paragraph" w:customStyle="1" w:styleId="Figurewithouttitle">
    <w:name w:val="Figure_without_title"/>
    <w:basedOn w:val="Figure"/>
    <w:next w:val="Normalaftertitle"/>
    <w:rsid w:val="005C3890"/>
    <w:pPr>
      <w:keepNext w:val="0"/>
      <w:spacing w:after="240"/>
    </w:pPr>
  </w:style>
  <w:style w:type="paragraph" w:customStyle="1" w:styleId="Headingi">
    <w:name w:val="Heading_i"/>
    <w:basedOn w:val="Heading3"/>
    <w:next w:val="Normal"/>
    <w:rsid w:val="00732045"/>
    <w:pPr>
      <w:spacing w:before="160"/>
      <w:outlineLvl w:val="0"/>
    </w:pPr>
    <w:rPr>
      <w:b w:val="0"/>
      <w:i/>
    </w:rPr>
  </w:style>
  <w:style w:type="character" w:styleId="PageNumber">
    <w:name w:val="page number"/>
    <w:basedOn w:val="DefaultParagraphFont"/>
    <w:rsid w:val="00732045"/>
    <w:rPr>
      <w:rFonts w:ascii="Calibri" w:hAnsi="Calibri"/>
    </w:rPr>
  </w:style>
  <w:style w:type="paragraph" w:customStyle="1" w:styleId="PartNo">
    <w:name w:val="Part_No"/>
    <w:basedOn w:val="AnnexNo"/>
    <w:next w:val="Parttitle"/>
    <w:rsid w:val="005C3890"/>
  </w:style>
  <w:style w:type="paragraph" w:customStyle="1" w:styleId="Partref">
    <w:name w:val="Part_ref"/>
    <w:basedOn w:val="Annexref"/>
    <w:next w:val="Normalaftertitle"/>
    <w:rsid w:val="005C3890"/>
  </w:style>
  <w:style w:type="paragraph" w:customStyle="1" w:styleId="Parttitle">
    <w:name w:val="Part_title"/>
    <w:basedOn w:val="Annextitle"/>
    <w:next w:val="Partref"/>
    <w:rsid w:val="005C3890"/>
  </w:style>
  <w:style w:type="paragraph" w:customStyle="1" w:styleId="RecNo">
    <w:name w:val="Rec_No"/>
    <w:basedOn w:val="Normal"/>
    <w:next w:val="Rectitle"/>
    <w:rsid w:val="00732045"/>
    <w:pPr>
      <w:spacing w:before="720"/>
      <w:jc w:val="center"/>
    </w:pPr>
    <w:rPr>
      <w:caps/>
      <w:sz w:val="28"/>
    </w:rPr>
  </w:style>
  <w:style w:type="paragraph" w:customStyle="1" w:styleId="Rectitle">
    <w:name w:val="Rec_title"/>
    <w:basedOn w:val="Normal"/>
    <w:next w:val="Heading1"/>
    <w:rsid w:val="00732045"/>
    <w:pPr>
      <w:spacing w:before="240"/>
      <w:jc w:val="center"/>
    </w:pPr>
    <w:rPr>
      <w:b/>
      <w:sz w:val="28"/>
    </w:rPr>
  </w:style>
  <w:style w:type="paragraph" w:customStyle="1" w:styleId="Recref">
    <w:name w:val="Rec_ref"/>
    <w:basedOn w:val="Rectitle"/>
    <w:next w:val="Recdate"/>
    <w:rsid w:val="005C3890"/>
    <w:pPr>
      <w:spacing w:before="120"/>
    </w:pPr>
    <w:rPr>
      <w:rFonts w:ascii="Times New Roman" w:hAnsi="Times New Roman"/>
      <w:b w:val="0"/>
      <w:sz w:val="24"/>
    </w:rPr>
  </w:style>
  <w:style w:type="paragraph" w:customStyle="1" w:styleId="Recdate">
    <w:name w:val="Rec_date"/>
    <w:basedOn w:val="Recref"/>
    <w:next w:val="Normalaftertitle"/>
    <w:rsid w:val="005C3890"/>
    <w:pPr>
      <w:jc w:val="right"/>
    </w:pPr>
    <w:rPr>
      <w:sz w:val="22"/>
    </w:rPr>
  </w:style>
  <w:style w:type="paragraph" w:customStyle="1" w:styleId="Questiondate">
    <w:name w:val="Question_date"/>
    <w:basedOn w:val="Recdate"/>
    <w:next w:val="Normalaftertitle"/>
    <w:rsid w:val="005C3890"/>
  </w:style>
  <w:style w:type="paragraph" w:customStyle="1" w:styleId="QuestionNo">
    <w:name w:val="Question_No"/>
    <w:basedOn w:val="RecNo"/>
    <w:next w:val="Questiontitle"/>
    <w:rsid w:val="005C3890"/>
  </w:style>
  <w:style w:type="paragraph" w:customStyle="1" w:styleId="Questionref">
    <w:name w:val="Question_ref"/>
    <w:basedOn w:val="Recref"/>
    <w:next w:val="Questiondate"/>
    <w:rsid w:val="005C3890"/>
  </w:style>
  <w:style w:type="paragraph" w:customStyle="1" w:styleId="Questiontitle">
    <w:name w:val="Question_title"/>
    <w:basedOn w:val="Rectitle"/>
    <w:next w:val="Questionref"/>
    <w:rsid w:val="005C3890"/>
  </w:style>
  <w:style w:type="paragraph" w:customStyle="1" w:styleId="Reftext">
    <w:name w:val="Ref_text"/>
    <w:basedOn w:val="Normal"/>
    <w:rsid w:val="00732045"/>
    <w:pPr>
      <w:ind w:left="567" w:hanging="567"/>
    </w:pPr>
  </w:style>
  <w:style w:type="paragraph" w:customStyle="1" w:styleId="Reftitle">
    <w:name w:val="Ref_title"/>
    <w:basedOn w:val="Normal"/>
    <w:next w:val="Reftext"/>
    <w:rsid w:val="00732045"/>
    <w:pPr>
      <w:spacing w:before="480"/>
      <w:jc w:val="center"/>
    </w:pPr>
    <w:rPr>
      <w:caps/>
      <w:sz w:val="28"/>
    </w:rPr>
  </w:style>
  <w:style w:type="paragraph" w:customStyle="1" w:styleId="Repdate">
    <w:name w:val="Rep_date"/>
    <w:basedOn w:val="Recdate"/>
    <w:next w:val="Normalaftertitle"/>
    <w:rsid w:val="005C3890"/>
  </w:style>
  <w:style w:type="paragraph" w:customStyle="1" w:styleId="RepNo">
    <w:name w:val="Rep_No"/>
    <w:basedOn w:val="RecNo"/>
    <w:next w:val="Reptitle"/>
    <w:rsid w:val="005C3890"/>
  </w:style>
  <w:style w:type="paragraph" w:customStyle="1" w:styleId="Repref">
    <w:name w:val="Rep_ref"/>
    <w:basedOn w:val="Recref"/>
    <w:next w:val="Repdate"/>
    <w:rsid w:val="005C3890"/>
  </w:style>
  <w:style w:type="paragraph" w:customStyle="1" w:styleId="Reptitle">
    <w:name w:val="Rep_title"/>
    <w:basedOn w:val="Rectitle"/>
    <w:next w:val="Repref"/>
    <w:rsid w:val="005C3890"/>
  </w:style>
  <w:style w:type="paragraph" w:customStyle="1" w:styleId="Resdate">
    <w:name w:val="Res_date"/>
    <w:basedOn w:val="Recdate"/>
    <w:next w:val="Normalaftertitle"/>
    <w:rsid w:val="005C3890"/>
  </w:style>
  <w:style w:type="paragraph" w:customStyle="1" w:styleId="ResNo">
    <w:name w:val="Res_No"/>
    <w:basedOn w:val="AnnexNo"/>
    <w:next w:val="Restitle"/>
    <w:rsid w:val="00732045"/>
  </w:style>
  <w:style w:type="paragraph" w:customStyle="1" w:styleId="Resref">
    <w:name w:val="Res_ref"/>
    <w:basedOn w:val="Recref"/>
    <w:next w:val="Resdate"/>
    <w:rsid w:val="005C3890"/>
  </w:style>
  <w:style w:type="paragraph" w:customStyle="1" w:styleId="Restitle">
    <w:name w:val="Res_title"/>
    <w:basedOn w:val="Annextitle"/>
    <w:next w:val="Normal"/>
    <w:rsid w:val="00732045"/>
  </w:style>
  <w:style w:type="paragraph" w:customStyle="1" w:styleId="SectionNo">
    <w:name w:val="Section_No"/>
    <w:basedOn w:val="AnnexNo"/>
    <w:next w:val="Sectiontitle"/>
    <w:rsid w:val="005C3890"/>
  </w:style>
  <w:style w:type="paragraph" w:customStyle="1" w:styleId="Sectiontitle">
    <w:name w:val="Section_title"/>
    <w:basedOn w:val="Normal"/>
    <w:next w:val="Normalaftertitle"/>
    <w:rsid w:val="005C3890"/>
    <w:rPr>
      <w:sz w:val="28"/>
    </w:rPr>
  </w:style>
  <w:style w:type="paragraph" w:customStyle="1" w:styleId="SpecialFooter">
    <w:name w:val="Special Footer"/>
    <w:basedOn w:val="Footer"/>
    <w:rsid w:val="005C3890"/>
    <w:pPr>
      <w:tabs>
        <w:tab w:val="left" w:pos="567"/>
        <w:tab w:val="left" w:pos="1134"/>
        <w:tab w:val="left" w:pos="1701"/>
        <w:tab w:val="left" w:pos="2268"/>
        <w:tab w:val="left" w:pos="2835"/>
      </w:tabs>
      <w:jc w:val="both"/>
    </w:pPr>
    <w:rPr>
      <w:caps w:val="0"/>
      <w:noProof w:val="0"/>
    </w:rPr>
  </w:style>
  <w:style w:type="paragraph" w:customStyle="1" w:styleId="Tabletext">
    <w:name w:val="Table_text"/>
    <w:basedOn w:val="Normal"/>
    <w:link w:val="TabletextChar"/>
    <w:rsid w:val="00732045"/>
    <w:pPr>
      <w:tabs>
        <w:tab w:val="clear" w:pos="567"/>
        <w:tab w:val="clear" w:pos="1134"/>
        <w:tab w:val="clear" w:pos="1701"/>
        <w:tab w:val="clear" w:pos="2268"/>
        <w:tab w:val="clear" w:pos="2835"/>
      </w:tabs>
      <w:spacing w:before="60" w:after="60"/>
    </w:pPr>
    <w:rPr>
      <w:sz w:val="22"/>
    </w:rPr>
  </w:style>
  <w:style w:type="paragraph" w:customStyle="1" w:styleId="Tablehead">
    <w:name w:val="Table_head"/>
    <w:basedOn w:val="Tabletext"/>
    <w:rsid w:val="00732045"/>
    <w:pPr>
      <w:spacing w:before="120" w:after="120"/>
      <w:jc w:val="center"/>
    </w:pPr>
    <w:rPr>
      <w:b/>
    </w:rPr>
  </w:style>
  <w:style w:type="paragraph" w:customStyle="1" w:styleId="Tablelegend">
    <w:name w:val="Table_legend"/>
    <w:basedOn w:val="Tabletext"/>
    <w:rsid w:val="00732045"/>
    <w:pPr>
      <w:spacing w:before="120"/>
    </w:pPr>
  </w:style>
  <w:style w:type="paragraph" w:customStyle="1" w:styleId="Tableref">
    <w:name w:val="Table_ref"/>
    <w:basedOn w:val="Normal"/>
    <w:next w:val="Tabletitle"/>
    <w:rsid w:val="005C3890"/>
    <w:pPr>
      <w:keepNext/>
      <w:spacing w:before="567"/>
      <w:jc w:val="center"/>
    </w:pPr>
  </w:style>
  <w:style w:type="paragraph" w:customStyle="1" w:styleId="Title2">
    <w:name w:val="Title 2"/>
    <w:basedOn w:val="Source"/>
    <w:next w:val="Title3"/>
    <w:rsid w:val="00732045"/>
    <w:pPr>
      <w:spacing w:before="240"/>
    </w:pPr>
    <w:rPr>
      <w:b w:val="0"/>
      <w:caps/>
    </w:rPr>
  </w:style>
  <w:style w:type="paragraph" w:customStyle="1" w:styleId="Title3">
    <w:name w:val="Title 3"/>
    <w:basedOn w:val="Title2"/>
    <w:next w:val="Normalaftertitle"/>
    <w:rsid w:val="00732045"/>
    <w:rPr>
      <w:caps w:val="0"/>
    </w:rPr>
  </w:style>
  <w:style w:type="paragraph" w:customStyle="1" w:styleId="Title4">
    <w:name w:val="Title 4"/>
    <w:basedOn w:val="Title3"/>
    <w:next w:val="Heading1"/>
    <w:rsid w:val="005C3890"/>
    <w:rPr>
      <w:b/>
    </w:rPr>
  </w:style>
  <w:style w:type="paragraph" w:customStyle="1" w:styleId="FigureNo">
    <w:name w:val="Figure_No"/>
    <w:basedOn w:val="Normal"/>
    <w:next w:val="Figuretitle"/>
    <w:rsid w:val="005C3890"/>
    <w:pPr>
      <w:keepNext/>
      <w:keepLines/>
      <w:spacing w:before="240" w:after="120"/>
      <w:jc w:val="center"/>
    </w:pPr>
    <w:rPr>
      <w:caps/>
    </w:rPr>
  </w:style>
  <w:style w:type="paragraph" w:customStyle="1" w:styleId="firstfooter0">
    <w:name w:val="firstfooter"/>
    <w:basedOn w:val="Normal"/>
    <w:rsid w:val="00732045"/>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Table">
    <w:name w:val="Table_#"/>
    <w:basedOn w:val="Normal"/>
    <w:next w:val="Normal"/>
    <w:rsid w:val="00520F36"/>
    <w:pPr>
      <w:keepNext/>
      <w:tabs>
        <w:tab w:val="clear" w:pos="567"/>
        <w:tab w:val="clear" w:pos="1134"/>
        <w:tab w:val="clear" w:pos="1701"/>
        <w:tab w:val="clear" w:pos="2268"/>
        <w:tab w:val="clear" w:pos="2835"/>
        <w:tab w:val="left" w:pos="794"/>
        <w:tab w:val="left" w:pos="1191"/>
        <w:tab w:val="left" w:pos="1588"/>
        <w:tab w:val="left" w:pos="1985"/>
      </w:tabs>
      <w:overflowPunct/>
      <w:autoSpaceDE/>
      <w:autoSpaceDN/>
      <w:adjustRightInd/>
      <w:spacing w:before="560" w:after="120"/>
      <w:jc w:val="center"/>
      <w:textAlignment w:val="auto"/>
    </w:pPr>
    <w:rPr>
      <w:rFonts w:ascii="Times New Roman" w:hAnsi="Times New Roman"/>
      <w:caps/>
      <w:lang w:val="en-GB"/>
    </w:rPr>
  </w:style>
  <w:style w:type="paragraph" w:customStyle="1" w:styleId="Subtitle">
    <w:name w:val="Sub_title"/>
    <w:basedOn w:val="Normal"/>
    <w:qFormat/>
    <w:rsid w:val="00A51849"/>
    <w:pPr>
      <w:framePr w:hSpace="180" w:wrap="around" w:hAnchor="page" w:x="1821" w:y="2317"/>
      <w:spacing w:after="160"/>
    </w:pPr>
    <w:rPr>
      <w:sz w:val="34"/>
      <w:lang w:val="en-GB"/>
    </w:rPr>
  </w:style>
  <w:style w:type="character" w:customStyle="1" w:styleId="HeaderChar">
    <w:name w:val="Header Char"/>
    <w:basedOn w:val="DefaultParagraphFont"/>
    <w:link w:val="Header"/>
    <w:rsid w:val="00A51849"/>
    <w:rPr>
      <w:rFonts w:ascii="Calibri" w:hAnsi="Calibri"/>
      <w:sz w:val="18"/>
      <w:lang w:val="fr-FR" w:eastAsia="en-US"/>
    </w:rPr>
  </w:style>
  <w:style w:type="table" w:styleId="TableGrid">
    <w:name w:val="Table Grid"/>
    <w:basedOn w:val="TableNormal"/>
    <w:rsid w:val="00A51849"/>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95647"/>
    <w:rPr>
      <w:rFonts w:ascii="Calibri" w:hAnsi="Calibri"/>
      <w:sz w:val="24"/>
      <w:lang w:val="fr-FR" w:eastAsia="en-US"/>
    </w:rPr>
  </w:style>
  <w:style w:type="character" w:styleId="PlaceholderText">
    <w:name w:val="Placeholder Text"/>
    <w:basedOn w:val="DefaultParagraphFont"/>
    <w:uiPriority w:val="99"/>
    <w:semiHidden/>
    <w:rsid w:val="00876EE1"/>
    <w:rPr>
      <w:color w:val="808080"/>
    </w:rPr>
  </w:style>
  <w:style w:type="character" w:customStyle="1" w:styleId="enumlev1Char">
    <w:name w:val="enumlev1 Char"/>
    <w:basedOn w:val="DefaultParagraphFont"/>
    <w:link w:val="enumlev1"/>
    <w:rsid w:val="00C42A35"/>
    <w:rPr>
      <w:rFonts w:ascii="Calibri" w:hAnsi="Calibri"/>
      <w:sz w:val="24"/>
      <w:lang w:val="fr-FR" w:eastAsia="en-US"/>
    </w:rPr>
  </w:style>
  <w:style w:type="paragraph" w:customStyle="1" w:styleId="TableText0">
    <w:name w:val="Table_Text"/>
    <w:basedOn w:val="Normal"/>
    <w:rsid w:val="00086210"/>
    <w:pPr>
      <w:tabs>
        <w:tab w:val="left" w:pos="284"/>
        <w:tab w:val="left" w:pos="851"/>
        <w:tab w:val="left" w:pos="1418"/>
        <w:tab w:val="left" w:pos="1985"/>
        <w:tab w:val="left" w:pos="2552"/>
        <w:tab w:val="left" w:pos="3119"/>
        <w:tab w:val="left" w:pos="3402"/>
        <w:tab w:val="left" w:pos="3686"/>
        <w:tab w:val="left" w:pos="3969"/>
      </w:tabs>
      <w:spacing w:before="40" w:after="40"/>
    </w:pPr>
    <w:rPr>
      <w:rFonts w:ascii="Times New Roman" w:eastAsia="Batang" w:hAnsi="Times New Roman"/>
      <w:sz w:val="22"/>
    </w:rPr>
  </w:style>
  <w:style w:type="paragraph" w:customStyle="1" w:styleId="TableHead0">
    <w:name w:val="Table_Head"/>
    <w:basedOn w:val="TableText0"/>
    <w:rsid w:val="00086210"/>
    <w:pPr>
      <w:keepNext/>
      <w:spacing w:before="480" w:after="0"/>
      <w:jc w:val="center"/>
    </w:pPr>
    <w:rPr>
      <w:b/>
    </w:rPr>
  </w:style>
  <w:style w:type="character" w:customStyle="1" w:styleId="TabletextChar">
    <w:name w:val="Table_text Char"/>
    <w:link w:val="Tabletext"/>
    <w:locked/>
    <w:rsid w:val="00086210"/>
    <w:rPr>
      <w:rFonts w:ascii="Calibri" w:hAnsi="Calibri"/>
      <w:sz w:val="22"/>
      <w:lang w:val="fr-FR" w:eastAsia="en-US"/>
    </w:rPr>
  </w:style>
  <w:style w:type="character" w:styleId="UnresolvedMention">
    <w:name w:val="Unresolved Mention"/>
    <w:basedOn w:val="DefaultParagraphFont"/>
    <w:uiPriority w:val="99"/>
    <w:semiHidden/>
    <w:unhideWhenUsed/>
    <w:rsid w:val="00677EBD"/>
    <w:rPr>
      <w:color w:val="605E5C"/>
      <w:shd w:val="clear" w:color="auto" w:fill="E1DFDD"/>
    </w:rPr>
  </w:style>
  <w:style w:type="character" w:styleId="CommentReference">
    <w:name w:val="annotation reference"/>
    <w:basedOn w:val="DefaultParagraphFont"/>
    <w:semiHidden/>
    <w:unhideWhenUsed/>
    <w:rsid w:val="00D26045"/>
    <w:rPr>
      <w:sz w:val="16"/>
      <w:szCs w:val="16"/>
    </w:rPr>
  </w:style>
  <w:style w:type="paragraph" w:styleId="CommentText">
    <w:name w:val="annotation text"/>
    <w:basedOn w:val="Normal"/>
    <w:link w:val="CommentTextChar"/>
    <w:unhideWhenUsed/>
    <w:rsid w:val="00D26045"/>
    <w:rPr>
      <w:sz w:val="20"/>
    </w:rPr>
  </w:style>
  <w:style w:type="character" w:customStyle="1" w:styleId="CommentTextChar">
    <w:name w:val="Comment Text Char"/>
    <w:basedOn w:val="DefaultParagraphFont"/>
    <w:link w:val="CommentText"/>
    <w:rsid w:val="00D26045"/>
    <w:rPr>
      <w:rFonts w:ascii="Calibri" w:hAnsi="Calibri"/>
      <w:lang w:val="fr-FR" w:eastAsia="en-US"/>
    </w:rPr>
  </w:style>
  <w:style w:type="paragraph" w:styleId="CommentSubject">
    <w:name w:val="annotation subject"/>
    <w:basedOn w:val="CommentText"/>
    <w:next w:val="CommentText"/>
    <w:link w:val="CommentSubjectChar"/>
    <w:semiHidden/>
    <w:unhideWhenUsed/>
    <w:rsid w:val="00D26045"/>
    <w:rPr>
      <w:b/>
      <w:bCs/>
    </w:rPr>
  </w:style>
  <w:style w:type="character" w:customStyle="1" w:styleId="CommentSubjectChar">
    <w:name w:val="Comment Subject Char"/>
    <w:basedOn w:val="CommentTextChar"/>
    <w:link w:val="CommentSubject"/>
    <w:semiHidden/>
    <w:rsid w:val="00D26045"/>
    <w:rPr>
      <w:rFonts w:ascii="Calibri" w:hAnsi="Calibri"/>
      <w:b/>
      <w:bCs/>
      <w:lang w:val="fr-FR" w:eastAsia="en-US"/>
    </w:rPr>
  </w:style>
  <w:style w:type="character" w:customStyle="1" w:styleId="ui-provider">
    <w:name w:val="ui-provider"/>
    <w:basedOn w:val="DefaultParagraphFont"/>
    <w:rsid w:val="00D26045"/>
  </w:style>
  <w:style w:type="character" w:customStyle="1" w:styleId="Heading1Char">
    <w:name w:val="Heading 1 Char"/>
    <w:basedOn w:val="DefaultParagraphFont"/>
    <w:link w:val="Heading1"/>
    <w:rsid w:val="00320CD0"/>
    <w:rPr>
      <w:rFonts w:ascii="Calibri" w:hAnsi="Calibri"/>
      <w:b/>
      <w:sz w:val="28"/>
      <w:lang w:val="fr-FR" w:eastAsia="en-US"/>
    </w:rPr>
  </w:style>
  <w:style w:type="character" w:customStyle="1" w:styleId="NormalaftertitleChar">
    <w:name w:val="Normal after title Char"/>
    <w:basedOn w:val="DefaultParagraphFont"/>
    <w:link w:val="Normalaftertitle"/>
    <w:rsid w:val="00320CD0"/>
    <w:rPr>
      <w:rFonts w:ascii="Calibri" w:hAnsi="Calibri"/>
      <w:sz w:val="24"/>
      <w:lang w:val="fr-FR" w:eastAsia="en-US"/>
    </w:rPr>
  </w:style>
  <w:style w:type="paragraph" w:customStyle="1" w:styleId="headingb0">
    <w:name w:val="heading_b"/>
    <w:basedOn w:val="Heading3"/>
    <w:next w:val="Normal"/>
    <w:uiPriority w:val="99"/>
    <w:rsid w:val="00320CD0"/>
    <w:pPr>
      <w:tabs>
        <w:tab w:val="clear" w:pos="567"/>
        <w:tab w:val="clear" w:pos="1134"/>
        <w:tab w:val="clear" w:pos="1701"/>
        <w:tab w:val="clear" w:pos="2268"/>
        <w:tab w:val="clear" w:pos="2835"/>
        <w:tab w:val="left" w:pos="794"/>
        <w:tab w:val="left" w:pos="1191"/>
        <w:tab w:val="left" w:pos="1588"/>
        <w:tab w:val="left" w:pos="1985"/>
        <w:tab w:val="left" w:pos="2127"/>
        <w:tab w:val="left" w:pos="2410"/>
        <w:tab w:val="left" w:pos="2921"/>
        <w:tab w:val="left" w:pos="3261"/>
      </w:tabs>
      <w:spacing w:before="160"/>
      <w:ind w:left="0" w:firstLine="0"/>
      <w:outlineLvl w:val="9"/>
    </w:pPr>
    <w:rPr>
      <w:rFonts w:asciiTheme="minorHAnsi" w:eastAsia="MS Mincho" w:hAnsiTheme="minorHAnsi"/>
    </w:rPr>
  </w:style>
  <w:style w:type="character" w:customStyle="1" w:styleId="Heading3Char">
    <w:name w:val="Heading 3 Char"/>
    <w:basedOn w:val="DefaultParagraphFont"/>
    <w:link w:val="Heading3"/>
    <w:rsid w:val="00320CD0"/>
    <w:rPr>
      <w:rFonts w:ascii="Calibri" w:hAnsi="Calibri"/>
      <w:b/>
      <w:sz w:val="24"/>
      <w:lang w:val="fr-FR" w:eastAsia="en-US"/>
    </w:rPr>
  </w:style>
  <w:style w:type="character" w:customStyle="1" w:styleId="Heading2Char">
    <w:name w:val="Heading 2 Char"/>
    <w:basedOn w:val="DefaultParagraphFont"/>
    <w:link w:val="Heading2"/>
    <w:rsid w:val="00320CD0"/>
    <w:rPr>
      <w:rFonts w:ascii="Calibri" w:hAnsi="Calibri"/>
      <w:b/>
      <w:sz w:val="24"/>
      <w:lang w:val="fr-FR" w:eastAsia="en-US"/>
    </w:rPr>
  </w:style>
  <w:style w:type="character" w:customStyle="1" w:styleId="FooterChar">
    <w:name w:val="Footer Char"/>
    <w:basedOn w:val="DefaultParagraphFont"/>
    <w:link w:val="Footer"/>
    <w:rsid w:val="009D0F28"/>
    <w:rPr>
      <w:rFonts w:ascii="Calibri" w:hAnsi="Calibri"/>
      <w:caps/>
      <w:noProof/>
      <w:sz w:val="16"/>
      <w:lang w:val="fr-FR" w:eastAsia="en-US"/>
    </w:rPr>
  </w:style>
  <w:style w:type="character" w:customStyle="1" w:styleId="CallChar">
    <w:name w:val="Call Char"/>
    <w:basedOn w:val="DefaultParagraphFont"/>
    <w:link w:val="Call"/>
    <w:rsid w:val="009D0F28"/>
    <w:rPr>
      <w:rFonts w:ascii="Calibri" w:hAnsi="Calibri"/>
      <w: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573820">
      <w:bodyDiv w:val="1"/>
      <w:marLeft w:val="0"/>
      <w:marRight w:val="0"/>
      <w:marTop w:val="0"/>
      <w:marBottom w:val="0"/>
      <w:divBdr>
        <w:top w:val="none" w:sz="0" w:space="0" w:color="auto"/>
        <w:left w:val="none" w:sz="0" w:space="0" w:color="auto"/>
        <w:bottom w:val="none" w:sz="0" w:space="0" w:color="auto"/>
        <w:right w:val="none" w:sz="0" w:space="0" w:color="auto"/>
      </w:divBdr>
    </w:div>
    <w:div w:id="1237934063">
      <w:bodyDiv w:val="1"/>
      <w:marLeft w:val="0"/>
      <w:marRight w:val="0"/>
      <w:marTop w:val="0"/>
      <w:marBottom w:val="0"/>
      <w:divBdr>
        <w:top w:val="none" w:sz="0" w:space="0" w:color="auto"/>
        <w:left w:val="none" w:sz="0" w:space="0" w:color="auto"/>
        <w:bottom w:val="none" w:sz="0" w:space="0" w:color="auto"/>
        <w:right w:val="none" w:sz="0" w:space="0" w:color="auto"/>
      </w:divBdr>
    </w:div>
    <w:div w:id="1260944802">
      <w:bodyDiv w:val="1"/>
      <w:marLeft w:val="0"/>
      <w:marRight w:val="0"/>
      <w:marTop w:val="0"/>
      <w:marBottom w:val="0"/>
      <w:divBdr>
        <w:top w:val="none" w:sz="0" w:space="0" w:color="auto"/>
        <w:left w:val="none" w:sz="0" w:space="0" w:color="auto"/>
        <w:bottom w:val="none" w:sz="0" w:space="0" w:color="auto"/>
        <w:right w:val="none" w:sz="0" w:space="0" w:color="auto"/>
      </w:divBdr>
    </w:div>
    <w:div w:id="1487357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1.emf"/><Relationship Id="rId21" Type="http://schemas.openxmlformats.org/officeDocument/2006/relationships/image" Target="media/image11.emf"/><Relationship Id="rId42" Type="http://schemas.openxmlformats.org/officeDocument/2006/relationships/image" Target="media/image19.emf"/><Relationship Id="rId47" Type="http://schemas.openxmlformats.org/officeDocument/2006/relationships/image" Target="media/image24.emf"/><Relationship Id="rId63" Type="http://schemas.openxmlformats.org/officeDocument/2006/relationships/image" Target="media/image39.emf"/><Relationship Id="rId68" Type="http://schemas.openxmlformats.org/officeDocument/2006/relationships/image" Target="media/image42.emf"/><Relationship Id="rId84" Type="http://schemas.openxmlformats.org/officeDocument/2006/relationships/image" Target="media/image52.emf"/><Relationship Id="rId89" Type="http://schemas.openxmlformats.org/officeDocument/2006/relationships/image" Target="media/image53.emf"/><Relationship Id="rId112" Type="http://schemas.openxmlformats.org/officeDocument/2006/relationships/image" Target="media/image76.emf"/><Relationship Id="rId16" Type="http://schemas.openxmlformats.org/officeDocument/2006/relationships/image" Target="media/image6.emf"/><Relationship Id="rId107" Type="http://schemas.openxmlformats.org/officeDocument/2006/relationships/image" Target="media/image71.emf"/><Relationship Id="rId11" Type="http://schemas.openxmlformats.org/officeDocument/2006/relationships/image" Target="media/image2.emf"/><Relationship Id="rId32" Type="http://schemas.openxmlformats.org/officeDocument/2006/relationships/hyperlink" Target="http://www.itu.int/online/mm/scripts/gensel11?lang=fr&amp;_memb=S" TargetMode="External"/><Relationship Id="rId37" Type="http://schemas.openxmlformats.org/officeDocument/2006/relationships/hyperlink" Target="http://www.itu.int/ITU-R/index.asp?category=conferences&amp;link=rrb&amp;lang=en" TargetMode="External"/><Relationship Id="rId53" Type="http://schemas.openxmlformats.org/officeDocument/2006/relationships/image" Target="media/image29.emf"/><Relationship Id="rId58" Type="http://schemas.openxmlformats.org/officeDocument/2006/relationships/image" Target="media/image34.emf"/><Relationship Id="rId74" Type="http://schemas.openxmlformats.org/officeDocument/2006/relationships/image" Target="media/image47.emf"/><Relationship Id="rId79" Type="http://schemas.openxmlformats.org/officeDocument/2006/relationships/footer" Target="footer1.xml"/><Relationship Id="rId102" Type="http://schemas.openxmlformats.org/officeDocument/2006/relationships/image" Target="media/image66.emf"/><Relationship Id="rId123" Type="http://schemas.openxmlformats.org/officeDocument/2006/relationships/header" Target="header6.xml"/><Relationship Id="rId128" Type="http://schemas.openxmlformats.org/officeDocument/2006/relationships/footer" Target="footer8.xml"/><Relationship Id="rId5" Type="http://schemas.openxmlformats.org/officeDocument/2006/relationships/webSettings" Target="webSettings.xml"/><Relationship Id="rId90" Type="http://schemas.openxmlformats.org/officeDocument/2006/relationships/image" Target="media/image54.emf"/><Relationship Id="rId95" Type="http://schemas.openxmlformats.org/officeDocument/2006/relationships/image" Target="media/image59.emf"/><Relationship Id="rId22" Type="http://schemas.openxmlformats.org/officeDocument/2006/relationships/image" Target="media/image12.emf"/><Relationship Id="rId27" Type="http://schemas.openxmlformats.org/officeDocument/2006/relationships/hyperlink" Target="http://www.itu.int/ITU-R/index.asp?category=information&amp;link=rhome&amp;lang=fr" TargetMode="External"/><Relationship Id="rId43" Type="http://schemas.openxmlformats.org/officeDocument/2006/relationships/image" Target="media/image20.emf"/><Relationship Id="rId48" Type="http://schemas.openxmlformats.org/officeDocument/2006/relationships/image" Target="media/image25.emf"/><Relationship Id="rId64" Type="http://schemas.openxmlformats.org/officeDocument/2006/relationships/hyperlink" Target="https://www.itu.int/md/S23-CL-C-0046/en" TargetMode="External"/><Relationship Id="rId69" Type="http://schemas.openxmlformats.org/officeDocument/2006/relationships/image" Target="media/image43.emf"/><Relationship Id="rId113" Type="http://schemas.openxmlformats.org/officeDocument/2006/relationships/image" Target="media/image77.emf"/><Relationship Id="rId118" Type="http://schemas.openxmlformats.org/officeDocument/2006/relationships/image" Target="media/image82.emf"/><Relationship Id="rId80" Type="http://schemas.openxmlformats.org/officeDocument/2006/relationships/footer" Target="footer2.xml"/><Relationship Id="rId85" Type="http://schemas.openxmlformats.org/officeDocument/2006/relationships/header" Target="header4.xml"/><Relationship Id="rId12" Type="http://schemas.openxmlformats.org/officeDocument/2006/relationships/image" Target="media/image3.emf"/><Relationship Id="rId17" Type="http://schemas.openxmlformats.org/officeDocument/2006/relationships/image" Target="media/image7.emf"/><Relationship Id="rId33" Type="http://schemas.openxmlformats.org/officeDocument/2006/relationships/hyperlink" Target="http://www.itu.int/online/mm/scripts/gensel11?lang=fr&amp;_memb=A" TargetMode="External"/><Relationship Id="rId38" Type="http://schemas.openxmlformats.org/officeDocument/2006/relationships/hyperlink" Target="https://www.itu.int/md/S16-CL-C-0124/en" TargetMode="External"/><Relationship Id="rId59" Type="http://schemas.openxmlformats.org/officeDocument/2006/relationships/image" Target="media/image35.emf"/><Relationship Id="rId103" Type="http://schemas.openxmlformats.org/officeDocument/2006/relationships/image" Target="media/image67.emf"/><Relationship Id="rId108" Type="http://schemas.openxmlformats.org/officeDocument/2006/relationships/image" Target="media/image72.emf"/><Relationship Id="rId124" Type="http://schemas.openxmlformats.org/officeDocument/2006/relationships/header" Target="header7.xml"/><Relationship Id="rId129" Type="http://schemas.openxmlformats.org/officeDocument/2006/relationships/fontTable" Target="fontTable.xml"/><Relationship Id="rId54" Type="http://schemas.openxmlformats.org/officeDocument/2006/relationships/image" Target="media/image30.emf"/><Relationship Id="rId70" Type="http://schemas.openxmlformats.org/officeDocument/2006/relationships/hyperlink" Target="https://www.itu.int/md/S23-CL-INF-0012/en" TargetMode="External"/><Relationship Id="rId75" Type="http://schemas.openxmlformats.org/officeDocument/2006/relationships/image" Target="media/image48.emf"/><Relationship Id="rId91" Type="http://schemas.openxmlformats.org/officeDocument/2006/relationships/image" Target="media/image55.emf"/><Relationship Id="rId96" Type="http://schemas.openxmlformats.org/officeDocument/2006/relationships/image" Target="media/image60.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emf"/><Relationship Id="rId28" Type="http://schemas.openxmlformats.org/officeDocument/2006/relationships/hyperlink" Target="https://www.itu.int/fr/ITU-T/Pages/default.aspx" TargetMode="External"/><Relationship Id="rId49" Type="http://schemas.openxmlformats.org/officeDocument/2006/relationships/hyperlink" Target="https://www.itu.int/md/S23-CL-INF-0004/en" TargetMode="External"/><Relationship Id="rId114" Type="http://schemas.openxmlformats.org/officeDocument/2006/relationships/image" Target="media/image78.emf"/><Relationship Id="rId119" Type="http://schemas.openxmlformats.org/officeDocument/2006/relationships/hyperlink" Target="https://www.itu.int/en/council/Documents/basic-texts/Convention-F.pdf" TargetMode="External"/><Relationship Id="rId44" Type="http://schemas.openxmlformats.org/officeDocument/2006/relationships/image" Target="media/image21.emf"/><Relationship Id="rId60" Type="http://schemas.openxmlformats.org/officeDocument/2006/relationships/image" Target="media/image36.emf"/><Relationship Id="rId65" Type="http://schemas.openxmlformats.org/officeDocument/2006/relationships/hyperlink" Target="https://www.unjspf.org/fr/" TargetMode="External"/><Relationship Id="rId81" Type="http://schemas.openxmlformats.org/officeDocument/2006/relationships/header" Target="header3.xml"/><Relationship Id="rId86" Type="http://schemas.openxmlformats.org/officeDocument/2006/relationships/footer" Target="footer4.xml"/><Relationship Id="rId130" Type="http://schemas.openxmlformats.org/officeDocument/2006/relationships/theme" Target="theme/theme1.xml"/><Relationship Id="rId13" Type="http://schemas.openxmlformats.org/officeDocument/2006/relationships/image" Target="media/image4.emf"/><Relationship Id="rId18" Type="http://schemas.openxmlformats.org/officeDocument/2006/relationships/image" Target="media/image8.jpeg"/><Relationship Id="rId39" Type="http://schemas.openxmlformats.org/officeDocument/2006/relationships/image" Target="media/image16.emf"/><Relationship Id="rId109" Type="http://schemas.openxmlformats.org/officeDocument/2006/relationships/image" Target="media/image73.emf"/><Relationship Id="rId34" Type="http://schemas.openxmlformats.org/officeDocument/2006/relationships/hyperlink" Target="http://www.itu.int/online/mm/scripts/gensel11?lang=fr&amp;_memb=U" TargetMode="External"/><Relationship Id="rId50" Type="http://schemas.openxmlformats.org/officeDocument/2006/relationships/image" Target="media/image26.emf"/><Relationship Id="rId55" Type="http://schemas.openxmlformats.org/officeDocument/2006/relationships/image" Target="media/image31.emf"/><Relationship Id="rId76" Type="http://schemas.openxmlformats.org/officeDocument/2006/relationships/image" Target="media/image49.emf"/><Relationship Id="rId97" Type="http://schemas.openxmlformats.org/officeDocument/2006/relationships/image" Target="media/image61.emf"/><Relationship Id="rId104" Type="http://schemas.openxmlformats.org/officeDocument/2006/relationships/image" Target="media/image68.emf"/><Relationship Id="rId120" Type="http://schemas.openxmlformats.org/officeDocument/2006/relationships/hyperlink" Target="https://www.itu.int/en/council/Documents/Financial-Regulations/S-GEN-REG_RGTFIN-2018-PDF-F.pdf" TargetMode="External"/><Relationship Id="rId125"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image" Target="media/image44.emf"/><Relationship Id="rId92" Type="http://schemas.openxmlformats.org/officeDocument/2006/relationships/image" Target="media/image56.emf"/><Relationship Id="rId2" Type="http://schemas.openxmlformats.org/officeDocument/2006/relationships/numbering" Target="numbering.xml"/><Relationship Id="rId29" Type="http://schemas.openxmlformats.org/officeDocument/2006/relationships/hyperlink" Target="https://www.itu.int/fr/ITU-D/Pages/default.aspx" TargetMode="External"/><Relationship Id="rId24"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image" Target="media/image22.emf"/><Relationship Id="rId66" Type="http://schemas.openxmlformats.org/officeDocument/2006/relationships/image" Target="media/image40.emf"/><Relationship Id="rId87" Type="http://schemas.openxmlformats.org/officeDocument/2006/relationships/header" Target="header5.xml"/><Relationship Id="rId110" Type="http://schemas.openxmlformats.org/officeDocument/2006/relationships/image" Target="media/image74.emf"/><Relationship Id="rId115" Type="http://schemas.openxmlformats.org/officeDocument/2006/relationships/image" Target="media/image79.emf"/><Relationship Id="rId61" Type="http://schemas.openxmlformats.org/officeDocument/2006/relationships/image" Target="media/image37.emf"/><Relationship Id="rId82" Type="http://schemas.openxmlformats.org/officeDocument/2006/relationships/footer" Target="footer3.xml"/><Relationship Id="rId19" Type="http://schemas.openxmlformats.org/officeDocument/2006/relationships/image" Target="media/image9.png"/><Relationship Id="rId14" Type="http://schemas.openxmlformats.org/officeDocument/2006/relationships/hyperlink" Target="https://www.itu.int/md/S23-CL-INF-0012/fr" TargetMode="External"/><Relationship Id="rId30" Type="http://schemas.openxmlformats.org/officeDocument/2006/relationships/hyperlink" Target="https://www.itu.int/en/about/Pages/default.aspx" TargetMode="External"/><Relationship Id="rId35" Type="http://schemas.openxmlformats.org/officeDocument/2006/relationships/hyperlink" Target="https://www.itu.int/fr/council/Pages/members.aspx" TargetMode="External"/><Relationship Id="rId56" Type="http://schemas.openxmlformats.org/officeDocument/2006/relationships/image" Target="media/image32.emf"/><Relationship Id="rId77" Type="http://schemas.openxmlformats.org/officeDocument/2006/relationships/header" Target="header1.xml"/><Relationship Id="rId100" Type="http://schemas.openxmlformats.org/officeDocument/2006/relationships/image" Target="media/image64.emf"/><Relationship Id="rId105" Type="http://schemas.openxmlformats.org/officeDocument/2006/relationships/image" Target="media/image69.emf"/><Relationship Id="rId126" Type="http://schemas.openxmlformats.org/officeDocument/2006/relationships/footer" Target="footer7.xml"/><Relationship Id="rId8" Type="http://schemas.openxmlformats.org/officeDocument/2006/relationships/hyperlink" Target="https://www.itu.int/en/council/Documents/basic-texts/Convention-f.pdf" TargetMode="External"/><Relationship Id="rId51" Type="http://schemas.openxmlformats.org/officeDocument/2006/relationships/image" Target="media/image27.emf"/><Relationship Id="rId72" Type="http://schemas.openxmlformats.org/officeDocument/2006/relationships/image" Target="media/image45.emf"/><Relationship Id="rId93" Type="http://schemas.openxmlformats.org/officeDocument/2006/relationships/image" Target="media/image57.emf"/><Relationship Id="rId98" Type="http://schemas.openxmlformats.org/officeDocument/2006/relationships/image" Target="media/image62.emf"/><Relationship Id="rId121" Type="http://schemas.openxmlformats.org/officeDocument/2006/relationships/hyperlink" Target="http://www.itu.int/md/S24-CL-C-0041/en" TargetMode="External"/><Relationship Id="rId3" Type="http://schemas.openxmlformats.org/officeDocument/2006/relationships/styles" Target="styles.xml"/><Relationship Id="rId25" Type="http://schemas.openxmlformats.org/officeDocument/2006/relationships/image" Target="media/image15.emf"/><Relationship Id="rId46" Type="http://schemas.openxmlformats.org/officeDocument/2006/relationships/image" Target="media/image23.emf"/><Relationship Id="rId67" Type="http://schemas.openxmlformats.org/officeDocument/2006/relationships/image" Target="media/image41.emf"/><Relationship Id="rId116" Type="http://schemas.openxmlformats.org/officeDocument/2006/relationships/image" Target="media/image80.emf"/><Relationship Id="rId20" Type="http://schemas.openxmlformats.org/officeDocument/2006/relationships/image" Target="media/image10.png"/><Relationship Id="rId41" Type="http://schemas.openxmlformats.org/officeDocument/2006/relationships/image" Target="media/image18.emf"/><Relationship Id="rId62" Type="http://schemas.openxmlformats.org/officeDocument/2006/relationships/image" Target="media/image38.emf"/><Relationship Id="rId83" Type="http://schemas.openxmlformats.org/officeDocument/2006/relationships/image" Target="media/image51.emf"/><Relationship Id="rId88" Type="http://schemas.openxmlformats.org/officeDocument/2006/relationships/footer" Target="footer5.xml"/><Relationship Id="rId111" Type="http://schemas.openxmlformats.org/officeDocument/2006/relationships/image" Target="media/image75.emf"/><Relationship Id="rId15" Type="http://schemas.openxmlformats.org/officeDocument/2006/relationships/image" Target="media/image5.emf"/><Relationship Id="rId36" Type="http://schemas.openxmlformats.org/officeDocument/2006/relationships/hyperlink" Target="https://www.itu.int/fr/ITU-R/conferences/RRB/Pages/default.aspx" TargetMode="External"/><Relationship Id="rId57" Type="http://schemas.openxmlformats.org/officeDocument/2006/relationships/image" Target="media/image33.emf"/><Relationship Id="rId106" Type="http://schemas.openxmlformats.org/officeDocument/2006/relationships/image" Target="media/image70.emf"/><Relationship Id="rId127" Type="http://schemas.openxmlformats.org/officeDocument/2006/relationships/header" Target="header8.xml"/><Relationship Id="rId10" Type="http://schemas.openxmlformats.org/officeDocument/2006/relationships/image" Target="media/image1.emf"/><Relationship Id="rId31" Type="http://schemas.openxmlformats.org/officeDocument/2006/relationships/hyperlink" Target="https://www.itu.int/online/mm/scripts/gensel8?lang=?lang=fr" TargetMode="External"/><Relationship Id="rId52" Type="http://schemas.openxmlformats.org/officeDocument/2006/relationships/image" Target="media/image28.emf"/><Relationship Id="rId73" Type="http://schemas.openxmlformats.org/officeDocument/2006/relationships/image" Target="media/image46.emf"/><Relationship Id="rId78" Type="http://schemas.openxmlformats.org/officeDocument/2006/relationships/header" Target="header2.xml"/><Relationship Id="rId94" Type="http://schemas.openxmlformats.org/officeDocument/2006/relationships/image" Target="media/image58.emf"/><Relationship Id="rId99" Type="http://schemas.openxmlformats.org/officeDocument/2006/relationships/image" Target="media/image63.emf"/><Relationship Id="rId101" Type="http://schemas.openxmlformats.org/officeDocument/2006/relationships/image" Target="media/image65.emf"/><Relationship Id="rId122" Type="http://schemas.openxmlformats.org/officeDocument/2006/relationships/hyperlink" Target="http://www.itu.int/md/S24-CL-C-0040/en" TargetMode="External"/><Relationship Id="rId4" Type="http://schemas.openxmlformats.org/officeDocument/2006/relationships/settings" Target="settings.xml"/><Relationship Id="rId9" Type="http://schemas.openxmlformats.org/officeDocument/2006/relationships/hyperlink" Target="https://www.itu.int/en/council/Documents/Financial-Regulations/S-GEN-REG_RGTFIN-2018-PDF-F.pdf" TargetMode="External"/><Relationship Id="rId26" Type="http://schemas.openxmlformats.org/officeDocument/2006/relationships/hyperlink" Target="http://www.unsystem.org/fr/content/bienvenu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8C0F3-E82A-4B2D-92CF-47D2498E3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89</Pages>
  <Words>27533</Words>
  <Characters>156092</Characters>
  <Application>Microsoft Office Word</Application>
  <DocSecurity>0</DocSecurity>
  <Lines>1300</Lines>
  <Paragraphs>366</Paragraphs>
  <ScaleCrop>false</ScaleCrop>
  <HeadingPairs>
    <vt:vector size="2" baseType="variant">
      <vt:variant>
        <vt:lpstr>Title</vt:lpstr>
      </vt:variant>
      <vt:variant>
        <vt:i4>1</vt:i4>
      </vt:variant>
    </vt:vector>
  </HeadingPairs>
  <TitlesOfParts>
    <vt:vector size="1" baseType="lpstr">
      <vt:lpstr>Rapport de gestion financière pour l'exercice financier 2022</vt:lpstr>
    </vt:vector>
  </TitlesOfParts>
  <Manager>Secrétariat général - Pool</Manager>
  <Company>Union internationale des télécommunications (UIT)</Company>
  <LinksUpToDate>false</LinksUpToDate>
  <CharactersWithSpaces>183259</CharactersWithSpaces>
  <SharedDoc>false</SharedDoc>
  <HLinks>
    <vt:vector size="6" baseType="variant">
      <vt:variant>
        <vt:i4>3342371</vt:i4>
      </vt:variant>
      <vt:variant>
        <vt:i4>24</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de gestion financière pour l'exercice financier 2022</dc:title>
  <dc:subject>Conseil 2024 de l'UIT</dc:subject>
  <dc:creator>Xue, Kun</dc:creator>
  <cp:keywords>C2024, C24, Council-24</cp:keywords>
  <dc:description/>
  <cp:lastModifiedBy>Brouard, Ricarda</cp:lastModifiedBy>
  <cp:revision>4</cp:revision>
  <cp:lastPrinted>2000-07-18T08:55:00Z</cp:lastPrinted>
  <dcterms:created xsi:type="dcterms:W3CDTF">2024-05-01T08:04:00Z</dcterms:created>
  <dcterms:modified xsi:type="dcterms:W3CDTF">2024-05-01T09:11:00Z</dcterms:modified>
  <cp:category>Document de conférence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C17/-F</vt:lpwstr>
  </property>
  <property fmtid="{D5CDD505-2E9C-101B-9397-08002B2CF9AE}" pid="3" name="Docdate">
    <vt:lpwstr>janvier 2017</vt:lpwstr>
  </property>
  <property fmtid="{D5CDD505-2E9C-101B-9397-08002B2CF9AE}" pid="4" name="Docorlang">
    <vt:lpwstr>Original: anglais</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